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4FE" w:rsidRDefault="00956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564FE" w:rsidRDefault="009564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564FE" w:rsidRDefault="009564FE">
      <w:pPr>
        <w:pStyle w:val="Heading1"/>
      </w:pPr>
      <w:r>
        <w:t>Budget-Based Rent Increase</w:t>
      </w:r>
    </w:p>
    <w:p w:rsidR="009564FE" w:rsidRDefault="009564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2502-0324</w:t>
      </w:r>
    </w:p>
    <w:p w:rsidR="009564FE" w:rsidRDefault="009564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(HUD-92547-A)</w:t>
      </w:r>
    </w:p>
    <w:p w:rsidR="009564FE" w:rsidRDefault="009564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rPr>
      </w:pPr>
    </w:p>
    <w:p w:rsidR="009564FE" w:rsidRDefault="009564FE">
      <w:pPr>
        <w:pStyle w:val="Heading3"/>
      </w:pPr>
      <w:r>
        <w:t xml:space="preserve">A. </w:t>
      </w:r>
      <w:r>
        <w:tab/>
        <w:t>Justification</w:t>
      </w:r>
    </w:p>
    <w:p w:rsidR="009564FE" w:rsidRDefault="00956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rPr>
      </w:pPr>
    </w:p>
    <w:p w:rsidR="009564FE" w:rsidRDefault="009564FE">
      <w:pPr>
        <w:pStyle w:val="BodyTextIndent"/>
        <w:rPr>
          <w:b w:val="0"/>
          <w:bCs w:val="0"/>
          <w:sz w:val="24"/>
        </w:rPr>
      </w:pPr>
      <w:r>
        <w:rPr>
          <w:b w:val="0"/>
          <w:bCs w:val="0"/>
          <w:sz w:val="24"/>
        </w:rPr>
        <w:t>1.</w:t>
      </w:r>
      <w:r>
        <w:rPr>
          <w:b w:val="0"/>
          <w:bCs w:val="0"/>
          <w:sz w:val="24"/>
        </w:rPr>
        <w:tab/>
        <w:t xml:space="preserve">Title II of the National Housing Act requires that HUD regulate rents for certain cooperative and subsidized rental projects.   Section 207(b)(2) of Title II states that “…The Secretary may, in the Secretary’s discretion, require any such mortgagor to be regulated or restricted as to rents or sales …”Further, this section states “insurance for mortgagees under this section is intended to facilitate particularly the production of rental accommodations, </w:t>
      </w:r>
      <w:r>
        <w:rPr>
          <w:sz w:val="24"/>
        </w:rPr>
        <w:t>at reasonable rents</w:t>
      </w:r>
      <w:r>
        <w:rPr>
          <w:b w:val="0"/>
          <w:bCs w:val="0"/>
          <w:sz w:val="24"/>
        </w:rPr>
        <w:t>, of design and size suitable for family living…” In addition, Section 236(e) of the National Housing Act states, “As a condition for receiving the benefits of interest reduction payments, the project owner shall operate the project in accordance with such requirements with respect to tenant eligibility and rents as the Secretary may prescribe….” Under Section 236(f) “For each dwelling unit there shall be established with the approval of the Secretary (A) a basic rental charge determined on the basis of operating the project with payment of principal and interest due under a mortgage bearing interest at the rate of 1 per centum per annum; and (B) a fair market rental charge determined on the basis of operating the project with payment of principal, interest, and mortgage insurance premium which the mortgagor is obligated to pay under the mortgage covering the project.  The rental for each dwelling unit shall be at the basic rental charge or such greater amount, not exceeding the fair market rental charge, as represents 30 per centum of the tenant’s adjusted income.  With respect to those projects which the Secretary determines have separate utility metering for some or all dwelling units, the Secretary is authorized (i) to permit the basic rental charge and the fair market rental charge to be determined on the basis of operating the project without the payment of the cost of utility services used by such dwelling units; and (ii) to permit the charging of a rental for such dwelling units at such an amount less than 30 per centum of a tenant’s adjusted income as the Secretary determines represents a proportionate decrease for the utility charges to be paid by such tenant, but in no case shall rental be lower than 25 per centum of a tenant’s adjusted income….”.  Also, Section 221(d)(3) requires that projects be “regulated or supervised … by the Secretary under a Regulatory Agreement or otherwise, as to rents, charges, and methods of operation, in such form and in such a manner as in the opinion of the Secretary will effectuate the purposes of this section…”</w:t>
      </w:r>
    </w:p>
    <w:p w:rsidR="009564FE" w:rsidRDefault="009564FE">
      <w:pPr>
        <w:tabs>
          <w:tab w:val="left" w:pos="360"/>
          <w:tab w:val="left" w:pos="720"/>
        </w:tabs>
        <w:ind w:left="360"/>
        <w:rPr>
          <w:bCs/>
          <w:sz w:val="24"/>
        </w:rPr>
      </w:pPr>
    </w:p>
    <w:p w:rsidR="009564FE" w:rsidRDefault="009564FE">
      <w:pPr>
        <w:tabs>
          <w:tab w:val="left" w:pos="360"/>
          <w:tab w:val="left" w:pos="720"/>
        </w:tabs>
        <w:ind w:left="360"/>
        <w:rPr>
          <w:bCs/>
          <w:sz w:val="24"/>
        </w:rPr>
      </w:pPr>
      <w:r>
        <w:rPr>
          <w:bCs/>
          <w:sz w:val="24"/>
        </w:rPr>
        <w:t>In developing regulations for the exercise of this HUD authority, the Department formulated the processes by which owners could request increases.  The requirement for tenant participation in the rent increase process, which is included in Section 202(b) of the Housing and Community Development Amendments of 1978, necessitated that the Department design procedures to give consideration to tenant comments.  The resultant rule for Tenant Participation in Multifamily Housing Projects, 24 CFR 245, specifies the information to be collected for a rent increase request.  Specifically, 24 CFR 245.310 requires notice to tenants at least 30 days before submitting a request to HUD for approval of an increase in maximum permissible rents.  In addition, 24 CFR 245.320 requires copies of documentation to accompany the rent increase request including copies of all written comments submitted by the tenants to the mortgagor.</w:t>
      </w:r>
    </w:p>
    <w:p w:rsidR="009564FE" w:rsidRDefault="009564FE">
      <w:pPr>
        <w:tabs>
          <w:tab w:val="left" w:pos="360"/>
          <w:tab w:val="left" w:pos="720"/>
        </w:tabs>
        <w:ind w:left="360"/>
        <w:rPr>
          <w:bCs/>
          <w:sz w:val="24"/>
        </w:rPr>
      </w:pPr>
    </w:p>
    <w:p w:rsidR="009564FE" w:rsidRDefault="009564FE">
      <w:pPr>
        <w:tabs>
          <w:tab w:val="left" w:pos="360"/>
          <w:tab w:val="left" w:pos="720"/>
        </w:tabs>
        <w:ind w:left="360"/>
        <w:rPr>
          <w:bCs/>
          <w:sz w:val="24"/>
        </w:rPr>
      </w:pPr>
    </w:p>
    <w:p w:rsidR="009564FE" w:rsidRDefault="009564FE">
      <w:pPr>
        <w:tabs>
          <w:tab w:val="left" w:pos="360"/>
          <w:tab w:val="left" w:pos="720"/>
        </w:tabs>
        <w:ind w:left="360"/>
        <w:rPr>
          <w:bCs/>
          <w:sz w:val="24"/>
        </w:rPr>
      </w:pPr>
      <w:r>
        <w:rPr>
          <w:bCs/>
          <w:sz w:val="24"/>
        </w:rPr>
        <w:br w:type="page"/>
      </w:r>
    </w:p>
    <w:p w:rsidR="009564FE" w:rsidRDefault="009564FE">
      <w:pPr>
        <w:pStyle w:val="BodyTextIndent"/>
        <w:rPr>
          <w:b w:val="0"/>
          <w:bCs w:val="0"/>
          <w:sz w:val="24"/>
        </w:rPr>
      </w:pPr>
      <w:r>
        <w:rPr>
          <w:b w:val="0"/>
          <w:bCs w:val="0"/>
          <w:sz w:val="24"/>
        </w:rPr>
        <w:lastRenderedPageBreak/>
        <w:t>2.</w:t>
      </w:r>
      <w:r>
        <w:rPr>
          <w:b w:val="0"/>
          <w:bCs w:val="0"/>
          <w:sz w:val="24"/>
        </w:rPr>
        <w:tab/>
        <w:t>Owners are required to submit the following documents to HUD for review and approval:</w:t>
      </w:r>
    </w:p>
    <w:p w:rsidR="009564FE" w:rsidRDefault="009564FE">
      <w:pPr>
        <w:pStyle w:val="BodyTextIndent"/>
        <w:rPr>
          <w:b w:val="0"/>
          <w:bCs w:val="0"/>
          <w:sz w:val="24"/>
        </w:rPr>
      </w:pPr>
    </w:p>
    <w:p w:rsidR="009564FE" w:rsidRDefault="009564FE">
      <w:pPr>
        <w:numPr>
          <w:ilvl w:val="0"/>
          <w:numId w:val="11"/>
        </w:numPr>
        <w:tabs>
          <w:tab w:val="left" w:pos="360"/>
          <w:tab w:val="left" w:pos="720"/>
        </w:tabs>
        <w:rPr>
          <w:bCs/>
          <w:sz w:val="24"/>
        </w:rPr>
      </w:pPr>
      <w:r>
        <w:rPr>
          <w:bCs/>
          <w:sz w:val="24"/>
        </w:rPr>
        <w:t>Cover letter summarizing the reasons a rent increase is needed;</w:t>
      </w:r>
    </w:p>
    <w:p w:rsidR="009564FE" w:rsidRDefault="009564FE">
      <w:pPr>
        <w:numPr>
          <w:ilvl w:val="0"/>
          <w:numId w:val="11"/>
        </w:numPr>
        <w:tabs>
          <w:tab w:val="left" w:pos="360"/>
          <w:tab w:val="left" w:pos="720"/>
        </w:tabs>
        <w:rPr>
          <w:bCs/>
          <w:sz w:val="24"/>
        </w:rPr>
      </w:pPr>
      <w:r>
        <w:rPr>
          <w:bCs/>
          <w:sz w:val="24"/>
        </w:rPr>
        <w:t>Copy of notice to tenants;</w:t>
      </w:r>
    </w:p>
    <w:p w:rsidR="009564FE" w:rsidRDefault="009564FE">
      <w:pPr>
        <w:numPr>
          <w:ilvl w:val="0"/>
          <w:numId w:val="11"/>
        </w:numPr>
        <w:tabs>
          <w:tab w:val="left" w:pos="360"/>
          <w:tab w:val="left" w:pos="720"/>
        </w:tabs>
        <w:rPr>
          <w:bCs/>
          <w:sz w:val="24"/>
        </w:rPr>
      </w:pPr>
      <w:r>
        <w:rPr>
          <w:bCs/>
          <w:sz w:val="24"/>
        </w:rPr>
        <w:t>A rent increase worksheet (form HUD-</w:t>
      </w:r>
      <w:r>
        <w:rPr>
          <w:color w:val="000000"/>
          <w:sz w:val="24"/>
        </w:rPr>
        <w:t>92547-A)</w:t>
      </w:r>
      <w:r>
        <w:rPr>
          <w:bCs/>
          <w:sz w:val="24"/>
        </w:rPr>
        <w:t xml:space="preserve"> providing an income and expense budget for the 12 months following the anticipated effective date of the proposed rent increase;</w:t>
      </w:r>
    </w:p>
    <w:p w:rsidR="009564FE" w:rsidRDefault="009564FE">
      <w:pPr>
        <w:numPr>
          <w:ilvl w:val="0"/>
          <w:numId w:val="11"/>
        </w:numPr>
        <w:tabs>
          <w:tab w:val="left" w:pos="360"/>
          <w:tab w:val="left" w:pos="720"/>
        </w:tabs>
        <w:rPr>
          <w:bCs/>
          <w:sz w:val="24"/>
        </w:rPr>
      </w:pPr>
      <w:r>
        <w:rPr>
          <w:bCs/>
          <w:sz w:val="24"/>
        </w:rPr>
        <w:t>A brief statement explaining the basis for the expense lines on the rent increase worksheet;</w:t>
      </w:r>
    </w:p>
    <w:p w:rsidR="009564FE" w:rsidRDefault="009564FE">
      <w:pPr>
        <w:numPr>
          <w:ilvl w:val="0"/>
          <w:numId w:val="11"/>
        </w:numPr>
        <w:tabs>
          <w:tab w:val="left" w:pos="360"/>
          <w:tab w:val="left" w:pos="720"/>
        </w:tabs>
        <w:rPr>
          <w:bCs/>
          <w:sz w:val="24"/>
        </w:rPr>
      </w:pPr>
      <w:r>
        <w:rPr>
          <w:bCs/>
          <w:sz w:val="24"/>
        </w:rPr>
        <w:t>If tenants receive utility allowances, the mortgagor’s recommended utility allowance for each unit type and brief statement explaining the basis for the recommended increase, and;</w:t>
      </w:r>
    </w:p>
    <w:p w:rsidR="009564FE" w:rsidRDefault="009564FE">
      <w:pPr>
        <w:numPr>
          <w:ilvl w:val="0"/>
          <w:numId w:val="11"/>
        </w:numPr>
        <w:tabs>
          <w:tab w:val="left" w:pos="360"/>
          <w:tab w:val="left" w:pos="720"/>
        </w:tabs>
        <w:rPr>
          <w:bCs/>
          <w:sz w:val="24"/>
        </w:rPr>
      </w:pPr>
      <w:r>
        <w:rPr>
          <w:bCs/>
          <w:sz w:val="24"/>
        </w:rPr>
        <w:t>A status report on the project’s implementation of its current Energy Conservation Plan.</w:t>
      </w:r>
    </w:p>
    <w:p w:rsidR="009564FE" w:rsidRDefault="009564FE">
      <w:pPr>
        <w:tabs>
          <w:tab w:val="left" w:pos="360"/>
          <w:tab w:val="left" w:pos="720"/>
        </w:tabs>
        <w:ind w:left="1080"/>
        <w:rPr>
          <w:bCs/>
          <w:sz w:val="24"/>
        </w:rPr>
      </w:pPr>
    </w:p>
    <w:p w:rsidR="009564FE" w:rsidRDefault="009564FE">
      <w:pPr>
        <w:tabs>
          <w:tab w:val="left" w:pos="360"/>
          <w:tab w:val="left" w:pos="720"/>
        </w:tabs>
        <w:ind w:left="720"/>
        <w:rPr>
          <w:bCs/>
          <w:sz w:val="24"/>
        </w:rPr>
      </w:pPr>
      <w:r>
        <w:rPr>
          <w:bCs/>
          <w:sz w:val="24"/>
        </w:rPr>
        <w:t>Upon expiration of the tenant comment period, the owner must submit the following documents in addition to the documents listed above:</w:t>
      </w:r>
    </w:p>
    <w:p w:rsidR="009564FE" w:rsidRDefault="009564FE">
      <w:pPr>
        <w:tabs>
          <w:tab w:val="left" w:pos="360"/>
          <w:tab w:val="left" w:pos="720"/>
        </w:tabs>
        <w:ind w:left="720"/>
        <w:rPr>
          <w:bCs/>
          <w:sz w:val="24"/>
        </w:rPr>
      </w:pPr>
    </w:p>
    <w:p w:rsidR="009564FE" w:rsidRDefault="009564FE">
      <w:pPr>
        <w:numPr>
          <w:ilvl w:val="0"/>
          <w:numId w:val="12"/>
        </w:numPr>
        <w:tabs>
          <w:tab w:val="left" w:pos="360"/>
          <w:tab w:val="left" w:pos="720"/>
        </w:tabs>
        <w:rPr>
          <w:bCs/>
          <w:sz w:val="24"/>
        </w:rPr>
      </w:pPr>
      <w:r>
        <w:rPr>
          <w:bCs/>
          <w:sz w:val="24"/>
        </w:rPr>
        <w:t>Copies of all written comments submitted by the tenants to the owner;</w:t>
      </w:r>
    </w:p>
    <w:p w:rsidR="009564FE" w:rsidRDefault="009564FE">
      <w:pPr>
        <w:numPr>
          <w:ilvl w:val="0"/>
          <w:numId w:val="12"/>
        </w:numPr>
        <w:tabs>
          <w:tab w:val="left" w:pos="360"/>
          <w:tab w:val="left" w:pos="720"/>
        </w:tabs>
        <w:rPr>
          <w:bCs/>
          <w:sz w:val="24"/>
        </w:rPr>
      </w:pPr>
      <w:r>
        <w:rPr>
          <w:bCs/>
          <w:sz w:val="24"/>
        </w:rPr>
        <w:t>The owner’s evaluation of the tenants’ comments with respect to the request;</w:t>
      </w:r>
    </w:p>
    <w:p w:rsidR="009564FE" w:rsidRDefault="009564FE">
      <w:pPr>
        <w:numPr>
          <w:ilvl w:val="0"/>
          <w:numId w:val="12"/>
        </w:numPr>
        <w:tabs>
          <w:tab w:val="left" w:pos="360"/>
          <w:tab w:val="left" w:pos="720"/>
        </w:tabs>
        <w:rPr>
          <w:bCs/>
          <w:sz w:val="24"/>
        </w:rPr>
      </w:pPr>
      <w:r>
        <w:rPr>
          <w:bCs/>
          <w:sz w:val="24"/>
        </w:rPr>
        <w:t>A certification by the owner that:</w:t>
      </w:r>
    </w:p>
    <w:p w:rsidR="009564FE" w:rsidRDefault="009564FE">
      <w:pPr>
        <w:numPr>
          <w:ilvl w:val="1"/>
          <w:numId w:val="12"/>
        </w:numPr>
        <w:tabs>
          <w:tab w:val="left" w:pos="360"/>
          <w:tab w:val="left" w:pos="720"/>
        </w:tabs>
        <w:rPr>
          <w:bCs/>
          <w:sz w:val="24"/>
        </w:rPr>
      </w:pPr>
      <w:r>
        <w:rPr>
          <w:bCs/>
          <w:sz w:val="24"/>
        </w:rPr>
        <w:t>It has complied with all of the requirements of 24 CFR 245, Subpart D;</w:t>
      </w:r>
    </w:p>
    <w:p w:rsidR="009564FE" w:rsidRDefault="009564FE">
      <w:pPr>
        <w:numPr>
          <w:ilvl w:val="1"/>
          <w:numId w:val="12"/>
        </w:numPr>
        <w:tabs>
          <w:tab w:val="left" w:pos="360"/>
          <w:tab w:val="left" w:pos="720"/>
        </w:tabs>
        <w:rPr>
          <w:bCs/>
          <w:sz w:val="24"/>
        </w:rPr>
      </w:pPr>
      <w:r>
        <w:rPr>
          <w:bCs/>
          <w:sz w:val="24"/>
        </w:rPr>
        <w:t>The copies of the materials submitted in support of the proposed increase were located in a place reasonably convenient to tenants in the project during normal business hours and that requests by tenants to inspect the materials, as provided for in the notice, were honored;</w:t>
      </w:r>
    </w:p>
    <w:p w:rsidR="009564FE" w:rsidRDefault="009564FE">
      <w:pPr>
        <w:numPr>
          <w:ilvl w:val="1"/>
          <w:numId w:val="12"/>
        </w:numPr>
        <w:tabs>
          <w:tab w:val="left" w:pos="360"/>
          <w:tab w:val="left" w:pos="720"/>
        </w:tabs>
        <w:rPr>
          <w:bCs/>
          <w:sz w:val="24"/>
        </w:rPr>
      </w:pPr>
      <w:r>
        <w:rPr>
          <w:bCs/>
          <w:sz w:val="24"/>
        </w:rPr>
        <w:t>All comments received from tenants were considered by the owner in making its evaluation; and</w:t>
      </w:r>
    </w:p>
    <w:p w:rsidR="009564FE" w:rsidRDefault="009564FE">
      <w:pPr>
        <w:numPr>
          <w:ilvl w:val="1"/>
          <w:numId w:val="12"/>
        </w:numPr>
        <w:tabs>
          <w:tab w:val="left" w:pos="360"/>
          <w:tab w:val="left" w:pos="720"/>
        </w:tabs>
        <w:rPr>
          <w:bCs/>
          <w:sz w:val="24"/>
        </w:rPr>
      </w:pPr>
      <w:r>
        <w:rPr>
          <w:bCs/>
          <w:sz w:val="24"/>
        </w:rPr>
        <w:t>Under penalties and provisions of Title 18 U.S.C. Section 1001, the statements contained in this request and its attachments have been examined by me and, to the best of my knowledge and belief, are true, correct, and complete.</w:t>
      </w:r>
    </w:p>
    <w:p w:rsidR="009564FE" w:rsidRDefault="009564FE">
      <w:pPr>
        <w:tabs>
          <w:tab w:val="left" w:pos="360"/>
          <w:tab w:val="left" w:pos="720"/>
        </w:tabs>
        <w:ind w:left="1800"/>
        <w:rPr>
          <w:bCs/>
          <w:sz w:val="24"/>
        </w:rPr>
      </w:pPr>
    </w:p>
    <w:p w:rsidR="009564FE" w:rsidRDefault="009564FE">
      <w:pPr>
        <w:pStyle w:val="BodyTextIndent2"/>
        <w:rPr>
          <w:rFonts w:ascii="Times New Roman" w:hAnsi="Times New Roman" w:cs="Times New Roman"/>
          <w:bCs/>
          <w:sz w:val="24"/>
        </w:rPr>
      </w:pPr>
      <w:r>
        <w:rPr>
          <w:rFonts w:ascii="Times New Roman" w:hAnsi="Times New Roman" w:cs="Times New Roman"/>
          <w:b/>
          <w:sz w:val="24"/>
        </w:rPr>
        <w:t>Form HUD-</w:t>
      </w:r>
      <w:r>
        <w:rPr>
          <w:rFonts w:ascii="Times New Roman" w:hAnsi="Times New Roman" w:cs="Times New Roman"/>
          <w:b/>
          <w:color w:val="000000"/>
          <w:sz w:val="24"/>
        </w:rPr>
        <w:t>92547-A,</w:t>
      </w:r>
      <w:r>
        <w:rPr>
          <w:rFonts w:ascii="Times New Roman" w:hAnsi="Times New Roman" w:cs="Times New Roman"/>
          <w:bCs/>
          <w:sz w:val="24"/>
        </w:rPr>
        <w:t xml:space="preserve"> Budget Worksheet will be used by HUD Field staff, along with other information submitted by owners, as a tool for determining the reasonableness of </w:t>
      </w:r>
      <w:r w:rsidR="00BA3E55">
        <w:rPr>
          <w:rFonts w:ascii="Times New Roman" w:hAnsi="Times New Roman" w:cs="Times New Roman"/>
          <w:bCs/>
          <w:sz w:val="24"/>
        </w:rPr>
        <w:t>rent</w:t>
      </w:r>
      <w:r>
        <w:rPr>
          <w:rFonts w:ascii="Times New Roman" w:hAnsi="Times New Roman" w:cs="Times New Roman"/>
          <w:bCs/>
          <w:sz w:val="24"/>
        </w:rPr>
        <w:t xml:space="preserve"> increases.  The purposes of the worksheet and the collection of budgetary information are to allow owners to plan for expected increases in expenditures</w:t>
      </w:r>
      <w:r w:rsidR="00BA3E55">
        <w:rPr>
          <w:rFonts w:ascii="Times New Roman" w:hAnsi="Times New Roman" w:cs="Times New Roman"/>
          <w:bCs/>
          <w:sz w:val="24"/>
        </w:rPr>
        <w:t>.</w:t>
      </w:r>
    </w:p>
    <w:p w:rsidR="009564FE" w:rsidRDefault="009564FE">
      <w:pPr>
        <w:tabs>
          <w:tab w:val="left" w:pos="360"/>
        </w:tabs>
        <w:rPr>
          <w:bCs/>
          <w:sz w:val="24"/>
        </w:rPr>
      </w:pPr>
    </w:p>
    <w:p w:rsidR="009564FE" w:rsidRDefault="009564FE">
      <w:pPr>
        <w:pStyle w:val="BodyTextIndent"/>
        <w:rPr>
          <w:b w:val="0"/>
          <w:bCs w:val="0"/>
          <w:sz w:val="24"/>
        </w:rPr>
      </w:pPr>
      <w:r>
        <w:rPr>
          <w:b w:val="0"/>
          <w:bCs w:val="0"/>
          <w:sz w:val="24"/>
        </w:rPr>
        <w:t>3.</w:t>
      </w:r>
      <w:r>
        <w:rPr>
          <w:b w:val="0"/>
          <w:bCs w:val="0"/>
        </w:rPr>
        <w:tab/>
      </w:r>
      <w:r w:rsidR="00BA3E55">
        <w:rPr>
          <w:b w:val="0"/>
          <w:bCs w:val="0"/>
        </w:rPr>
        <w:t>T</w:t>
      </w:r>
      <w:r>
        <w:rPr>
          <w:b w:val="0"/>
          <w:bCs w:val="0"/>
          <w:sz w:val="24"/>
        </w:rPr>
        <w:t>his process is not automated because it involves providing copies of supporting documentation.  The budget</w:t>
      </w:r>
      <w:r w:rsidR="00BA3E55">
        <w:rPr>
          <w:b w:val="0"/>
          <w:bCs w:val="0"/>
          <w:sz w:val="24"/>
        </w:rPr>
        <w:t>-</w:t>
      </w:r>
      <w:r>
        <w:rPr>
          <w:b w:val="0"/>
          <w:bCs w:val="0"/>
          <w:sz w:val="24"/>
        </w:rPr>
        <w:t xml:space="preserve">based rent increase worksheet is requested by the owner and submitted to the local HUD field office for review and approval.  Additionally, this information collection requires certification documents with original signatures for HUD approval.  The HUD-92547-A is available on HUD Clips and can be completed using a personal computer. Computer-generated representations of the information included in the 92547-A will also </w:t>
      </w:r>
      <w:r w:rsidR="00BA3E55">
        <w:rPr>
          <w:b w:val="0"/>
          <w:bCs w:val="0"/>
          <w:sz w:val="24"/>
        </w:rPr>
        <w:t xml:space="preserve">be </w:t>
      </w:r>
      <w:r>
        <w:rPr>
          <w:b w:val="0"/>
          <w:bCs w:val="0"/>
          <w:sz w:val="24"/>
        </w:rPr>
        <w:t>accepted in place of the worksheet.  Analyses w</w:t>
      </w:r>
      <w:r w:rsidR="00BA3E55">
        <w:rPr>
          <w:b w:val="0"/>
          <w:bCs w:val="0"/>
          <w:sz w:val="24"/>
        </w:rPr>
        <w:t>ere</w:t>
      </w:r>
      <w:r>
        <w:rPr>
          <w:b w:val="0"/>
          <w:bCs w:val="0"/>
          <w:sz w:val="24"/>
        </w:rPr>
        <w:t xml:space="preserve"> conducted to determine the cost effectiveness and feasibility of automating this collection</w:t>
      </w:r>
      <w:r w:rsidR="00BA3E55">
        <w:rPr>
          <w:b w:val="0"/>
          <w:bCs w:val="0"/>
          <w:sz w:val="24"/>
        </w:rPr>
        <w:t>. A</w:t>
      </w:r>
      <w:r>
        <w:rPr>
          <w:b w:val="0"/>
          <w:bCs w:val="0"/>
          <w:sz w:val="24"/>
        </w:rPr>
        <w:t>t this time</w:t>
      </w:r>
      <w:r w:rsidR="00BA3E55">
        <w:rPr>
          <w:b w:val="0"/>
          <w:bCs w:val="0"/>
          <w:sz w:val="24"/>
        </w:rPr>
        <w:t>, however,</w:t>
      </w:r>
      <w:r>
        <w:rPr>
          <w:b w:val="0"/>
          <w:bCs w:val="0"/>
          <w:sz w:val="24"/>
        </w:rPr>
        <w:t xml:space="preserve"> there are no available resources that can be used for electronic submission.</w:t>
      </w:r>
    </w:p>
    <w:p w:rsidR="009564FE" w:rsidRDefault="009564FE">
      <w:pPr>
        <w:tabs>
          <w:tab w:val="left" w:pos="360"/>
        </w:tabs>
        <w:ind w:left="360" w:hanging="360"/>
        <w:rPr>
          <w:sz w:val="24"/>
        </w:rPr>
      </w:pPr>
    </w:p>
    <w:p w:rsidR="009564FE" w:rsidRDefault="009564FE">
      <w:pPr>
        <w:pStyle w:val="BodyTextIndent"/>
      </w:pPr>
      <w:r>
        <w:rPr>
          <w:b w:val="0"/>
          <w:bCs w:val="0"/>
          <w:sz w:val="24"/>
        </w:rPr>
        <w:t>4.</w:t>
      </w:r>
      <w:r>
        <w:rPr>
          <w:b w:val="0"/>
          <w:bCs w:val="0"/>
          <w:sz w:val="24"/>
        </w:rPr>
        <w:tab/>
        <w:t>The uniqueness of project expenses precludes the possibility of duplication among projects</w:t>
      </w:r>
      <w:r>
        <w:t>.</w:t>
      </w:r>
    </w:p>
    <w:p w:rsidR="009564FE" w:rsidRDefault="009564FE">
      <w:pPr>
        <w:tabs>
          <w:tab w:val="left" w:pos="360"/>
        </w:tabs>
        <w:ind w:left="360" w:hanging="360"/>
        <w:rPr>
          <w:bCs/>
          <w:sz w:val="24"/>
        </w:rPr>
      </w:pPr>
    </w:p>
    <w:p w:rsidR="009564FE" w:rsidRDefault="009564FE">
      <w:pPr>
        <w:tabs>
          <w:tab w:val="left" w:pos="360"/>
        </w:tabs>
        <w:ind w:left="360" w:hanging="360"/>
        <w:rPr>
          <w:bCs/>
          <w:sz w:val="24"/>
        </w:rPr>
      </w:pPr>
      <w:r>
        <w:rPr>
          <w:bCs/>
          <w:sz w:val="24"/>
        </w:rPr>
        <w:t>5.</w:t>
      </w:r>
      <w:r>
        <w:rPr>
          <w:bCs/>
          <w:sz w:val="24"/>
        </w:rPr>
        <w:tab/>
        <w:t xml:space="preserve"> There is no impact on small businesses or small entities. </w:t>
      </w:r>
    </w:p>
    <w:p w:rsidR="009564FE" w:rsidRDefault="009564FE">
      <w:pPr>
        <w:tabs>
          <w:tab w:val="left" w:pos="360"/>
        </w:tabs>
        <w:ind w:left="360" w:hanging="360"/>
        <w:rPr>
          <w:bCs/>
          <w:sz w:val="24"/>
        </w:rPr>
      </w:pPr>
    </w:p>
    <w:p w:rsidR="009564FE" w:rsidRDefault="009564FE">
      <w:pPr>
        <w:pStyle w:val="BodyTextIndent"/>
        <w:rPr>
          <w:b w:val="0"/>
          <w:bCs w:val="0"/>
          <w:sz w:val="24"/>
        </w:rPr>
      </w:pPr>
      <w:r>
        <w:rPr>
          <w:b w:val="0"/>
          <w:bCs w:val="0"/>
          <w:sz w:val="24"/>
        </w:rPr>
        <w:t>6.</w:t>
      </w:r>
      <w:r>
        <w:rPr>
          <w:b w:val="0"/>
          <w:bCs w:val="0"/>
          <w:sz w:val="24"/>
        </w:rPr>
        <w:tab/>
        <w:t>If the information were collected less frequently, HUD would be unable to monitor rent increases for</w:t>
      </w:r>
      <w:r w:rsidR="00BA3E55">
        <w:rPr>
          <w:b w:val="0"/>
          <w:bCs w:val="0"/>
          <w:sz w:val="24"/>
        </w:rPr>
        <w:t xml:space="preserve"> the projects subject to this requirement</w:t>
      </w:r>
      <w:r>
        <w:rPr>
          <w:b w:val="0"/>
          <w:bCs w:val="0"/>
          <w:sz w:val="24"/>
        </w:rPr>
        <w:t>.</w:t>
      </w:r>
    </w:p>
    <w:p w:rsidR="009564FE" w:rsidRDefault="009564FE">
      <w:pPr>
        <w:tabs>
          <w:tab w:val="left" w:pos="360"/>
          <w:tab w:val="left" w:pos="720"/>
        </w:tabs>
        <w:rPr>
          <w:bCs/>
          <w:sz w:val="24"/>
        </w:rPr>
      </w:pPr>
    </w:p>
    <w:p w:rsidR="009564FE" w:rsidRDefault="009564FE">
      <w:pPr>
        <w:tabs>
          <w:tab w:val="left" w:pos="360"/>
          <w:tab w:val="left" w:pos="720"/>
        </w:tabs>
        <w:ind w:left="360" w:hanging="360"/>
        <w:rPr>
          <w:bCs/>
          <w:sz w:val="24"/>
        </w:rPr>
      </w:pPr>
      <w:r>
        <w:rPr>
          <w:bCs/>
          <w:sz w:val="24"/>
        </w:rPr>
        <w:t>7.  No special circumstances apply to this collection.</w:t>
      </w:r>
    </w:p>
    <w:p w:rsidR="009564FE" w:rsidRDefault="009564FE">
      <w:pPr>
        <w:tabs>
          <w:tab w:val="left" w:pos="360"/>
        </w:tabs>
        <w:rPr>
          <w:b/>
          <w:bCs/>
          <w:sz w:val="22"/>
        </w:rPr>
      </w:pPr>
    </w:p>
    <w:p w:rsidR="008219D8" w:rsidRPr="00615ADB" w:rsidRDefault="008219D8" w:rsidP="008219D8">
      <w:pPr>
        <w:numPr>
          <w:ilvl w:val="0"/>
          <w:numId w:val="46"/>
        </w:numPr>
        <w:rPr>
          <w:sz w:val="24"/>
        </w:rPr>
      </w:pPr>
      <w:r w:rsidRPr="00615ADB">
        <w:rPr>
          <w:sz w:val="24"/>
        </w:rPr>
        <w:lastRenderedPageBreak/>
        <w:t xml:space="preserve">In accordance with 5 CFR 1320.8(d), this information collection soliciting public comments was announced in the </w:t>
      </w:r>
      <w:r w:rsidRPr="00615ADB">
        <w:rPr>
          <w:i/>
          <w:iCs/>
          <w:sz w:val="24"/>
        </w:rPr>
        <w:t>Federal Register</w:t>
      </w:r>
      <w:r w:rsidR="00804B17">
        <w:rPr>
          <w:sz w:val="24"/>
        </w:rPr>
        <w:t xml:space="preserve"> on Thursday, April 12, 2011 (Volume 76, Number 77, </w:t>
      </w:r>
      <w:proofErr w:type="gramStart"/>
      <w:r w:rsidR="00804B17">
        <w:rPr>
          <w:sz w:val="24"/>
        </w:rPr>
        <w:t>Page</w:t>
      </w:r>
      <w:proofErr w:type="gramEnd"/>
      <w:r w:rsidR="00804B17">
        <w:rPr>
          <w:sz w:val="24"/>
        </w:rPr>
        <w:t xml:space="preserve"> 22411). No </w:t>
      </w:r>
      <w:r w:rsidRPr="00615ADB">
        <w:rPr>
          <w:sz w:val="24"/>
        </w:rPr>
        <w:t>comments were received.</w:t>
      </w:r>
    </w:p>
    <w:p w:rsidR="009564FE" w:rsidRDefault="009564FE" w:rsidP="008219D8">
      <w:pPr>
        <w:tabs>
          <w:tab w:val="left" w:pos="360"/>
        </w:tabs>
        <w:rPr>
          <w:sz w:val="24"/>
        </w:rPr>
      </w:pPr>
    </w:p>
    <w:p w:rsidR="009564FE" w:rsidRDefault="009564FE">
      <w:pPr>
        <w:tabs>
          <w:tab w:val="left" w:pos="360"/>
        </w:tabs>
        <w:ind w:left="360" w:hanging="360"/>
        <w:rPr>
          <w:sz w:val="22"/>
        </w:rPr>
      </w:pPr>
      <w:r>
        <w:rPr>
          <w:sz w:val="24"/>
        </w:rPr>
        <w:t>9.</w:t>
      </w:r>
      <w:r>
        <w:rPr>
          <w:sz w:val="24"/>
        </w:rPr>
        <w:tab/>
        <w:t>No payments or gifts of any kind are provided to respondents</w:t>
      </w:r>
      <w:r>
        <w:rPr>
          <w:sz w:val="22"/>
        </w:rPr>
        <w:t>.</w:t>
      </w:r>
    </w:p>
    <w:p w:rsidR="009564FE" w:rsidRDefault="009564FE">
      <w:pPr>
        <w:tabs>
          <w:tab w:val="left" w:pos="360"/>
        </w:tabs>
        <w:ind w:left="360" w:hanging="360"/>
        <w:rPr>
          <w:sz w:val="22"/>
        </w:rPr>
      </w:pPr>
    </w:p>
    <w:p w:rsidR="009564FE" w:rsidRDefault="009564FE">
      <w:pPr>
        <w:pStyle w:val="BodyTextIndent"/>
      </w:pPr>
      <w:r>
        <w:rPr>
          <w:b w:val="0"/>
          <w:bCs w:val="0"/>
          <w:sz w:val="24"/>
        </w:rPr>
        <w:t>10.</w:t>
      </w:r>
      <w:r>
        <w:rPr>
          <w:b w:val="0"/>
          <w:bCs w:val="0"/>
          <w:sz w:val="24"/>
        </w:rPr>
        <w:tab/>
        <w:t>The Department does not assure confidentiality to respondents</w:t>
      </w:r>
      <w:r>
        <w:t>.</w:t>
      </w:r>
    </w:p>
    <w:p w:rsidR="009564FE" w:rsidRDefault="009564FE">
      <w:pPr>
        <w:pStyle w:val="BodyTextIndent"/>
        <w:rPr>
          <w:b w:val="0"/>
          <w:bCs w:val="0"/>
        </w:rPr>
      </w:pPr>
    </w:p>
    <w:p w:rsidR="009564FE" w:rsidRDefault="009564FE">
      <w:pPr>
        <w:pStyle w:val="BodyTextIndent"/>
        <w:rPr>
          <w:b w:val="0"/>
          <w:bCs w:val="0"/>
          <w:sz w:val="24"/>
        </w:rPr>
      </w:pPr>
      <w:r>
        <w:rPr>
          <w:b w:val="0"/>
          <w:bCs w:val="0"/>
          <w:sz w:val="24"/>
        </w:rPr>
        <w:t>11. There are no questions of a sensitive nature.</w:t>
      </w:r>
    </w:p>
    <w:p w:rsidR="009564FE" w:rsidRDefault="009564FE">
      <w:pPr>
        <w:pStyle w:val="BodyTextIndent"/>
        <w:rPr>
          <w:b w:val="0"/>
          <w:bCs w:val="0"/>
          <w:sz w:val="24"/>
        </w:rPr>
      </w:pPr>
    </w:p>
    <w:p w:rsidR="009564FE" w:rsidRDefault="009564FE">
      <w:pPr>
        <w:pStyle w:val="BodyTextIndent"/>
        <w:rPr>
          <w:b w:val="0"/>
          <w:bCs w:val="0"/>
          <w:sz w:val="24"/>
        </w:rPr>
      </w:pPr>
      <w:r>
        <w:rPr>
          <w:b w:val="0"/>
          <w:bCs w:val="0"/>
          <w:sz w:val="24"/>
        </w:rPr>
        <w:t>12.</w:t>
      </w:r>
      <w:r>
        <w:rPr>
          <w:b w:val="0"/>
          <w:bCs w:val="0"/>
          <w:sz w:val="24"/>
        </w:rPr>
        <w:tab/>
        <w:t>Annual Burden Estimate:</w:t>
      </w:r>
    </w:p>
    <w:p w:rsidR="009564FE" w:rsidRDefault="009564FE">
      <w:pPr>
        <w:pStyle w:val="BodyTextIndent"/>
        <w:rPr>
          <w:b w:val="0"/>
          <w:bCs w:val="0"/>
          <w:sz w:val="24"/>
        </w:rPr>
      </w:pPr>
    </w:p>
    <w:tbl>
      <w:tblPr>
        <w:tblW w:w="106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800"/>
        <w:gridCol w:w="1368"/>
        <w:gridCol w:w="1260"/>
        <w:gridCol w:w="1260"/>
        <w:gridCol w:w="1447"/>
        <w:gridCol w:w="1260"/>
        <w:gridCol w:w="990"/>
        <w:gridCol w:w="1260"/>
      </w:tblGrid>
      <w:tr w:rsidR="00BA3E55" w:rsidTr="00256356">
        <w:tc>
          <w:tcPr>
            <w:tcW w:w="1800" w:type="dxa"/>
            <w:vAlign w:val="center"/>
          </w:tcPr>
          <w:p w:rsidR="00BA3E55" w:rsidRDefault="00BA3E55" w:rsidP="00256356">
            <w:pPr>
              <w:keepNext/>
              <w:jc w:val="center"/>
              <w:rPr>
                <w:rFonts w:ascii="Arial" w:hAnsi="Arial" w:cs="Arial"/>
                <w:color w:val="000000"/>
                <w:sz w:val="18"/>
              </w:rPr>
            </w:pPr>
            <w:r>
              <w:rPr>
                <w:rFonts w:ascii="Arial" w:hAnsi="Arial" w:cs="Arial"/>
                <w:color w:val="000000"/>
                <w:sz w:val="18"/>
              </w:rPr>
              <w:t>Information Collection</w:t>
            </w:r>
          </w:p>
        </w:tc>
        <w:tc>
          <w:tcPr>
            <w:tcW w:w="1368" w:type="dxa"/>
            <w:vAlign w:val="center"/>
          </w:tcPr>
          <w:p w:rsidR="00BA3E55" w:rsidRDefault="00BA3E55" w:rsidP="00256356">
            <w:pPr>
              <w:keepNext/>
              <w:jc w:val="center"/>
              <w:rPr>
                <w:rFonts w:ascii="Arial" w:hAnsi="Arial" w:cs="Arial"/>
                <w:color w:val="000000"/>
                <w:sz w:val="18"/>
              </w:rPr>
            </w:pPr>
            <w:r>
              <w:rPr>
                <w:rFonts w:ascii="Arial" w:hAnsi="Arial" w:cs="Arial"/>
                <w:color w:val="000000"/>
                <w:sz w:val="18"/>
              </w:rPr>
              <w:t>Number of Respondents</w:t>
            </w:r>
          </w:p>
        </w:tc>
        <w:tc>
          <w:tcPr>
            <w:tcW w:w="1260" w:type="dxa"/>
            <w:vAlign w:val="center"/>
          </w:tcPr>
          <w:p w:rsidR="00BA3E55" w:rsidRDefault="00BA3E55" w:rsidP="00256356">
            <w:pPr>
              <w:keepNext/>
              <w:jc w:val="center"/>
              <w:rPr>
                <w:rFonts w:ascii="Arial" w:hAnsi="Arial" w:cs="Arial"/>
                <w:color w:val="000000"/>
                <w:sz w:val="18"/>
              </w:rPr>
            </w:pPr>
            <w:r>
              <w:rPr>
                <w:rFonts w:ascii="Arial" w:hAnsi="Arial" w:cs="Arial"/>
                <w:color w:val="000000"/>
                <w:sz w:val="18"/>
              </w:rPr>
              <w:t>Frequency of Response</w:t>
            </w:r>
          </w:p>
        </w:tc>
        <w:tc>
          <w:tcPr>
            <w:tcW w:w="1260" w:type="dxa"/>
            <w:vAlign w:val="center"/>
          </w:tcPr>
          <w:p w:rsidR="00BA3E55" w:rsidRDefault="00BA3E55" w:rsidP="00256356">
            <w:pPr>
              <w:keepNext/>
              <w:jc w:val="center"/>
              <w:rPr>
                <w:rFonts w:ascii="Arial" w:hAnsi="Arial" w:cs="Arial"/>
                <w:color w:val="000000"/>
                <w:sz w:val="18"/>
              </w:rPr>
            </w:pPr>
            <w:r>
              <w:rPr>
                <w:rFonts w:ascii="Arial" w:hAnsi="Arial" w:cs="Arial"/>
                <w:color w:val="000000"/>
                <w:sz w:val="18"/>
              </w:rPr>
              <w:t>Total Annual Responses</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Burden Hours per Response</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Total Annual Burden Hrs</w:t>
            </w:r>
          </w:p>
        </w:tc>
        <w:tc>
          <w:tcPr>
            <w:tcW w:w="99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Hourly Cost</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Total Annual Cost</w:t>
            </w:r>
          </w:p>
        </w:tc>
      </w:tr>
      <w:tr w:rsidR="00BA3E55" w:rsidTr="00256356">
        <w:tc>
          <w:tcPr>
            <w:tcW w:w="10645" w:type="dxa"/>
            <w:gridSpan w:val="8"/>
            <w:vAlign w:val="center"/>
          </w:tcPr>
          <w:p w:rsidR="00BA3E55" w:rsidRDefault="00BA3E55" w:rsidP="00256356">
            <w:pPr>
              <w:pStyle w:val="Heading2"/>
              <w:rPr>
                <w:sz w:val="18"/>
              </w:rPr>
            </w:pPr>
            <w:r>
              <w:rPr>
                <w:sz w:val="18"/>
              </w:rPr>
              <w:t>Rent Increase Worksheet</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HUD-92547-A</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1.5</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17,355</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BA3E55" w:rsidP="00245F38">
            <w:pPr>
              <w:keepNext/>
              <w:tabs>
                <w:tab w:val="left" w:pos="360"/>
                <w:tab w:val="left" w:pos="720"/>
              </w:tabs>
              <w:ind w:right="227"/>
              <w:jc w:val="center"/>
              <w:rPr>
                <w:rFonts w:ascii="Arial" w:hAnsi="Arial" w:cs="Arial"/>
                <w:color w:val="000000"/>
                <w:sz w:val="18"/>
              </w:rPr>
            </w:pPr>
            <w:r>
              <w:rPr>
                <w:rFonts w:ascii="Arial" w:hAnsi="Arial" w:cs="Arial"/>
                <w:color w:val="000000"/>
                <w:sz w:val="18"/>
              </w:rPr>
              <w:t>$</w:t>
            </w:r>
            <w:r w:rsidR="006418B3">
              <w:rPr>
                <w:rFonts w:ascii="Arial" w:hAnsi="Arial" w:cs="Arial"/>
                <w:color w:val="000000"/>
                <w:sz w:val="18"/>
              </w:rPr>
              <w:t>5</w:t>
            </w:r>
            <w:r w:rsidR="00245F38">
              <w:rPr>
                <w:rFonts w:ascii="Arial" w:hAnsi="Arial" w:cs="Arial"/>
                <w:color w:val="000000"/>
                <w:sz w:val="18"/>
              </w:rPr>
              <w:t>90,070</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b/>
                <w:bCs/>
                <w:color w:val="000000"/>
                <w:sz w:val="18"/>
              </w:rPr>
            </w:pPr>
            <w:r>
              <w:rPr>
                <w:rFonts w:ascii="Arial" w:hAnsi="Arial" w:cs="Arial"/>
                <w:b/>
                <w:bCs/>
                <w:color w:val="000000"/>
                <w:sz w:val="18"/>
              </w:rPr>
              <w:t>Subtotal</w:t>
            </w:r>
          </w:p>
        </w:tc>
        <w:tc>
          <w:tcPr>
            <w:tcW w:w="1368" w:type="dxa"/>
            <w:vAlign w:val="center"/>
          </w:tcPr>
          <w:p w:rsidR="00BA3E55" w:rsidRDefault="0061130C"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1.5</w:t>
            </w:r>
          </w:p>
        </w:tc>
        <w:tc>
          <w:tcPr>
            <w:tcW w:w="1260" w:type="dxa"/>
            <w:vAlign w:val="center"/>
          </w:tcPr>
          <w:p w:rsidR="00BA3E55" w:rsidRDefault="006418B3"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17,355</w:t>
            </w:r>
          </w:p>
        </w:tc>
        <w:tc>
          <w:tcPr>
            <w:tcW w:w="990" w:type="dxa"/>
            <w:vAlign w:val="center"/>
          </w:tcPr>
          <w:p w:rsidR="00BA3E55" w:rsidRDefault="00BA3E55"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w:t>
            </w:r>
            <w:r w:rsidR="006466DE">
              <w:rPr>
                <w:rFonts w:ascii="Arial" w:hAnsi="Arial" w:cs="Arial"/>
                <w:b/>
                <w:bCs/>
                <w:color w:val="000000"/>
                <w:sz w:val="18"/>
              </w:rPr>
              <w:t>34</w:t>
            </w:r>
          </w:p>
        </w:tc>
        <w:tc>
          <w:tcPr>
            <w:tcW w:w="1260" w:type="dxa"/>
            <w:vAlign w:val="center"/>
          </w:tcPr>
          <w:p w:rsidR="00BA3E55" w:rsidRDefault="00BA3E55" w:rsidP="00245F38">
            <w:pPr>
              <w:keepNext/>
              <w:tabs>
                <w:tab w:val="left" w:pos="360"/>
                <w:tab w:val="left" w:pos="720"/>
              </w:tabs>
              <w:ind w:right="227"/>
              <w:jc w:val="center"/>
              <w:rPr>
                <w:rFonts w:ascii="Arial" w:hAnsi="Arial" w:cs="Arial"/>
                <w:b/>
                <w:bCs/>
                <w:color w:val="000000"/>
                <w:sz w:val="18"/>
              </w:rPr>
            </w:pPr>
            <w:r>
              <w:rPr>
                <w:rFonts w:ascii="Arial" w:hAnsi="Arial" w:cs="Arial"/>
                <w:b/>
                <w:bCs/>
                <w:color w:val="000000"/>
                <w:sz w:val="18"/>
              </w:rPr>
              <w:t>$</w:t>
            </w:r>
            <w:r w:rsidR="006418B3">
              <w:rPr>
                <w:rFonts w:ascii="Arial" w:hAnsi="Arial" w:cs="Arial"/>
                <w:b/>
                <w:bCs/>
                <w:color w:val="000000"/>
                <w:sz w:val="18"/>
              </w:rPr>
              <w:t>5</w:t>
            </w:r>
            <w:r w:rsidR="00245F38">
              <w:rPr>
                <w:rFonts w:ascii="Arial" w:hAnsi="Arial" w:cs="Arial"/>
                <w:b/>
                <w:bCs/>
                <w:color w:val="000000"/>
                <w:sz w:val="18"/>
              </w:rPr>
              <w:t>90,070</w:t>
            </w:r>
          </w:p>
        </w:tc>
      </w:tr>
      <w:tr w:rsidR="00BA3E55" w:rsidTr="00256356">
        <w:trPr>
          <w:cantSplit/>
        </w:trPr>
        <w:tc>
          <w:tcPr>
            <w:tcW w:w="10645" w:type="dxa"/>
            <w:gridSpan w:val="8"/>
            <w:shd w:val="clear" w:color="auto" w:fill="D9D9D9"/>
            <w:vAlign w:val="center"/>
          </w:tcPr>
          <w:p w:rsidR="00BA3E55" w:rsidRDefault="00BA3E55" w:rsidP="00256356">
            <w:pPr>
              <w:keepNext/>
              <w:tabs>
                <w:tab w:val="left" w:pos="360"/>
                <w:tab w:val="left" w:pos="720"/>
              </w:tabs>
              <w:ind w:right="227"/>
              <w:jc w:val="right"/>
              <w:rPr>
                <w:rFonts w:ascii="Arial" w:hAnsi="Arial" w:cs="Arial"/>
                <w:color w:val="000000"/>
                <w:sz w:val="6"/>
              </w:rPr>
            </w:pPr>
          </w:p>
        </w:tc>
      </w:tr>
      <w:tr w:rsidR="00BA3E55" w:rsidTr="00256356">
        <w:trPr>
          <w:cantSplit/>
        </w:trPr>
        <w:tc>
          <w:tcPr>
            <w:tcW w:w="10645" w:type="dxa"/>
            <w:gridSpan w:val="8"/>
            <w:vAlign w:val="center"/>
          </w:tcPr>
          <w:p w:rsidR="00BA3E55" w:rsidRDefault="00BA3E55" w:rsidP="00256356">
            <w:pPr>
              <w:pStyle w:val="Heading5"/>
            </w:pPr>
            <w:r>
              <w:t>All Written Requests</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Cover Letter</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.25</w:t>
            </w:r>
          </w:p>
        </w:tc>
        <w:tc>
          <w:tcPr>
            <w:tcW w:w="1260" w:type="dxa"/>
            <w:vAlign w:val="center"/>
          </w:tcPr>
          <w:p w:rsidR="00BA3E55" w:rsidRDefault="006418B3" w:rsidP="007C1924">
            <w:pPr>
              <w:keepNext/>
              <w:tabs>
                <w:tab w:val="left" w:pos="360"/>
                <w:tab w:val="left" w:pos="720"/>
              </w:tabs>
              <w:jc w:val="center"/>
              <w:rPr>
                <w:rFonts w:ascii="Arial" w:hAnsi="Arial" w:cs="Arial"/>
                <w:color w:val="000000"/>
                <w:sz w:val="18"/>
              </w:rPr>
            </w:pPr>
            <w:r>
              <w:rPr>
                <w:rFonts w:ascii="Arial" w:hAnsi="Arial" w:cs="Arial"/>
                <w:color w:val="000000"/>
                <w:sz w:val="18"/>
              </w:rPr>
              <w:t>2,89</w:t>
            </w:r>
            <w:r w:rsidR="007C1924">
              <w:rPr>
                <w:rFonts w:ascii="Arial" w:hAnsi="Arial" w:cs="Arial"/>
                <w:color w:val="000000"/>
                <w:sz w:val="18"/>
              </w:rPr>
              <w:t>3</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245F38"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9</w:t>
            </w:r>
            <w:r w:rsidR="006418B3">
              <w:rPr>
                <w:rFonts w:ascii="Arial" w:hAnsi="Arial" w:cs="Arial"/>
                <w:color w:val="000000"/>
                <w:sz w:val="18"/>
              </w:rPr>
              <w:t>8,</w:t>
            </w:r>
            <w:r w:rsidR="007C1924">
              <w:rPr>
                <w:rFonts w:ascii="Arial" w:hAnsi="Arial" w:cs="Arial"/>
                <w:color w:val="000000"/>
                <w:sz w:val="18"/>
              </w:rPr>
              <w:t>3</w:t>
            </w:r>
            <w:r>
              <w:rPr>
                <w:rFonts w:ascii="Arial" w:hAnsi="Arial" w:cs="Arial"/>
                <w:color w:val="000000"/>
                <w:sz w:val="18"/>
              </w:rPr>
              <w:t>45</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Copy of Notice to Tenants</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.25</w:t>
            </w:r>
          </w:p>
        </w:tc>
        <w:tc>
          <w:tcPr>
            <w:tcW w:w="1260" w:type="dxa"/>
            <w:vAlign w:val="center"/>
          </w:tcPr>
          <w:p w:rsidR="00BA3E55" w:rsidRDefault="006418B3" w:rsidP="007C1924">
            <w:pPr>
              <w:keepNext/>
              <w:tabs>
                <w:tab w:val="left" w:pos="360"/>
                <w:tab w:val="left" w:pos="720"/>
              </w:tabs>
              <w:jc w:val="center"/>
              <w:rPr>
                <w:rFonts w:ascii="Arial" w:hAnsi="Arial" w:cs="Arial"/>
                <w:color w:val="000000"/>
                <w:sz w:val="18"/>
              </w:rPr>
            </w:pPr>
            <w:r>
              <w:rPr>
                <w:rFonts w:ascii="Arial" w:hAnsi="Arial" w:cs="Arial"/>
                <w:color w:val="000000"/>
                <w:sz w:val="18"/>
              </w:rPr>
              <w:t>2,89</w:t>
            </w:r>
            <w:r w:rsidR="007C1924">
              <w:rPr>
                <w:rFonts w:ascii="Arial" w:hAnsi="Arial" w:cs="Arial"/>
                <w:color w:val="000000"/>
                <w:sz w:val="18"/>
              </w:rPr>
              <w:t>3</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245F38"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9</w:t>
            </w:r>
            <w:r w:rsidR="006418B3">
              <w:rPr>
                <w:rFonts w:ascii="Arial" w:hAnsi="Arial" w:cs="Arial"/>
                <w:color w:val="000000"/>
                <w:sz w:val="18"/>
              </w:rPr>
              <w:t>8,</w:t>
            </w:r>
            <w:r w:rsidR="007C1924">
              <w:rPr>
                <w:rFonts w:ascii="Arial" w:hAnsi="Arial" w:cs="Arial"/>
                <w:color w:val="000000"/>
                <w:sz w:val="18"/>
              </w:rPr>
              <w:t>3</w:t>
            </w:r>
            <w:r>
              <w:rPr>
                <w:rFonts w:ascii="Arial" w:hAnsi="Arial" w:cs="Arial"/>
                <w:color w:val="000000"/>
                <w:sz w:val="18"/>
              </w:rPr>
              <w:t>45</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Copies of all written tenants’ comments</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.50</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5,785</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6418B3"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1</w:t>
            </w:r>
            <w:r w:rsidR="00245F38">
              <w:rPr>
                <w:rFonts w:ascii="Arial" w:hAnsi="Arial" w:cs="Arial"/>
                <w:color w:val="000000"/>
                <w:sz w:val="18"/>
              </w:rPr>
              <w:t>96</w:t>
            </w:r>
            <w:r>
              <w:rPr>
                <w:rFonts w:ascii="Arial" w:hAnsi="Arial" w:cs="Arial"/>
                <w:color w:val="000000"/>
                <w:sz w:val="18"/>
              </w:rPr>
              <w:t>,</w:t>
            </w:r>
            <w:r w:rsidR="00245F38">
              <w:rPr>
                <w:rFonts w:ascii="Arial" w:hAnsi="Arial" w:cs="Arial"/>
                <w:color w:val="000000"/>
                <w:sz w:val="18"/>
              </w:rPr>
              <w:t>690</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Owner’s Evaluation of Tenants’ comments</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6418B3"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3</w:t>
            </w:r>
            <w:r w:rsidR="00245F38">
              <w:rPr>
                <w:rFonts w:ascii="Arial" w:hAnsi="Arial" w:cs="Arial"/>
                <w:color w:val="000000"/>
                <w:sz w:val="18"/>
              </w:rPr>
              <w:t>93</w:t>
            </w:r>
            <w:r>
              <w:rPr>
                <w:rFonts w:ascii="Arial" w:hAnsi="Arial" w:cs="Arial"/>
                <w:color w:val="000000"/>
                <w:sz w:val="18"/>
              </w:rPr>
              <w:t>,3</w:t>
            </w:r>
            <w:r w:rsidR="00245F38">
              <w:rPr>
                <w:rFonts w:ascii="Arial" w:hAnsi="Arial" w:cs="Arial"/>
                <w:color w:val="000000"/>
                <w:sz w:val="18"/>
              </w:rPr>
              <w:t>8</w:t>
            </w:r>
            <w:r>
              <w:rPr>
                <w:rFonts w:ascii="Arial" w:hAnsi="Arial" w:cs="Arial"/>
                <w:color w:val="000000"/>
                <w:sz w:val="18"/>
              </w:rPr>
              <w:t>0</w:t>
            </w:r>
          </w:p>
        </w:tc>
      </w:tr>
      <w:tr w:rsidR="00BA3E55" w:rsidTr="00256356">
        <w:trPr>
          <w:trHeight w:val="815"/>
        </w:trPr>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Statement Explaining basis for expense lines on rent increase worksheet</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6466DE" w:rsidP="006466DE">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245F38"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245F38"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393</w:t>
            </w:r>
            <w:r w:rsidR="006418B3">
              <w:rPr>
                <w:rFonts w:ascii="Arial" w:hAnsi="Arial" w:cs="Arial"/>
                <w:color w:val="000000"/>
                <w:sz w:val="18"/>
              </w:rPr>
              <w:t>,</w:t>
            </w:r>
            <w:r>
              <w:rPr>
                <w:rFonts w:ascii="Arial" w:hAnsi="Arial" w:cs="Arial"/>
                <w:color w:val="000000"/>
                <w:sz w:val="18"/>
              </w:rPr>
              <w:t>380</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Utility allowance explanation</w:t>
            </w:r>
          </w:p>
        </w:tc>
        <w:tc>
          <w:tcPr>
            <w:tcW w:w="1368" w:type="dxa"/>
            <w:vAlign w:val="center"/>
          </w:tcPr>
          <w:p w:rsidR="00BA3E55" w:rsidRDefault="0061130C"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50</w:t>
            </w:r>
          </w:p>
        </w:tc>
        <w:tc>
          <w:tcPr>
            <w:tcW w:w="1260" w:type="dxa"/>
            <w:vAlign w:val="center"/>
          </w:tcPr>
          <w:p w:rsidR="00BA3E55" w:rsidRDefault="00245F38" w:rsidP="007C1924">
            <w:pPr>
              <w:keepNext/>
              <w:tabs>
                <w:tab w:val="left" w:pos="360"/>
                <w:tab w:val="left" w:pos="720"/>
              </w:tabs>
              <w:jc w:val="center"/>
              <w:rPr>
                <w:rFonts w:ascii="Arial" w:hAnsi="Arial" w:cs="Arial"/>
                <w:color w:val="000000"/>
                <w:sz w:val="18"/>
              </w:rPr>
            </w:pPr>
            <w:r>
              <w:rPr>
                <w:rFonts w:ascii="Arial" w:hAnsi="Arial" w:cs="Arial"/>
                <w:color w:val="000000"/>
                <w:sz w:val="18"/>
              </w:rPr>
              <w:t>5,785</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597612"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196,690</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Owner’s certification that all requirements have been completed</w:t>
            </w:r>
          </w:p>
        </w:tc>
        <w:tc>
          <w:tcPr>
            <w:tcW w:w="1368"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.25</w:t>
            </w:r>
          </w:p>
        </w:tc>
        <w:tc>
          <w:tcPr>
            <w:tcW w:w="1260" w:type="dxa"/>
            <w:vAlign w:val="center"/>
          </w:tcPr>
          <w:p w:rsidR="00BA3E55" w:rsidRDefault="006418B3" w:rsidP="007C1924">
            <w:pPr>
              <w:keepNext/>
              <w:tabs>
                <w:tab w:val="left" w:pos="360"/>
                <w:tab w:val="left" w:pos="720"/>
              </w:tabs>
              <w:jc w:val="center"/>
              <w:rPr>
                <w:rFonts w:ascii="Arial" w:hAnsi="Arial" w:cs="Arial"/>
                <w:color w:val="000000"/>
                <w:sz w:val="18"/>
              </w:rPr>
            </w:pPr>
            <w:r>
              <w:rPr>
                <w:rFonts w:ascii="Arial" w:hAnsi="Arial" w:cs="Arial"/>
                <w:color w:val="000000"/>
                <w:sz w:val="18"/>
              </w:rPr>
              <w:t>2,89</w:t>
            </w:r>
            <w:r w:rsidR="007C1924">
              <w:rPr>
                <w:rFonts w:ascii="Arial" w:hAnsi="Arial" w:cs="Arial"/>
                <w:color w:val="000000"/>
                <w:sz w:val="18"/>
              </w:rPr>
              <w:t>3</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245F38"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98</w:t>
            </w:r>
            <w:r w:rsidR="006418B3">
              <w:rPr>
                <w:rFonts w:ascii="Arial" w:hAnsi="Arial" w:cs="Arial"/>
                <w:color w:val="000000"/>
                <w:sz w:val="18"/>
              </w:rPr>
              <w:t>,</w:t>
            </w:r>
            <w:r w:rsidR="007C1924">
              <w:rPr>
                <w:rFonts w:ascii="Arial" w:hAnsi="Arial" w:cs="Arial"/>
                <w:color w:val="000000"/>
                <w:sz w:val="18"/>
              </w:rPr>
              <w:t>3</w:t>
            </w:r>
            <w:r>
              <w:rPr>
                <w:rFonts w:ascii="Arial" w:hAnsi="Arial" w:cs="Arial"/>
                <w:color w:val="000000"/>
                <w:sz w:val="18"/>
              </w:rPr>
              <w:t>45</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color w:val="000000"/>
                <w:sz w:val="18"/>
              </w:rPr>
            </w:pPr>
            <w:r>
              <w:rPr>
                <w:rFonts w:ascii="Arial" w:hAnsi="Arial" w:cs="Arial"/>
                <w:color w:val="000000"/>
                <w:sz w:val="18"/>
              </w:rPr>
              <w:t>Status report on implementation of Energy Conservation Plan</w:t>
            </w:r>
          </w:p>
        </w:tc>
        <w:tc>
          <w:tcPr>
            <w:tcW w:w="1368"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260"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1</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11,570</w:t>
            </w:r>
          </w:p>
        </w:tc>
        <w:tc>
          <w:tcPr>
            <w:tcW w:w="1447" w:type="dxa"/>
            <w:vAlign w:val="center"/>
          </w:tcPr>
          <w:p w:rsidR="00BA3E55" w:rsidRDefault="00BA3E55" w:rsidP="00256356">
            <w:pPr>
              <w:keepNext/>
              <w:tabs>
                <w:tab w:val="left" w:pos="360"/>
                <w:tab w:val="left" w:pos="720"/>
              </w:tabs>
              <w:jc w:val="center"/>
              <w:rPr>
                <w:rFonts w:ascii="Arial" w:hAnsi="Arial" w:cs="Arial"/>
                <w:color w:val="000000"/>
                <w:sz w:val="18"/>
              </w:rPr>
            </w:pPr>
            <w:r>
              <w:rPr>
                <w:rFonts w:ascii="Arial" w:hAnsi="Arial" w:cs="Arial"/>
                <w:color w:val="000000"/>
                <w:sz w:val="18"/>
              </w:rPr>
              <w:t>.50</w:t>
            </w:r>
          </w:p>
        </w:tc>
        <w:tc>
          <w:tcPr>
            <w:tcW w:w="1260" w:type="dxa"/>
            <w:vAlign w:val="center"/>
          </w:tcPr>
          <w:p w:rsidR="00BA3E55" w:rsidRDefault="006418B3" w:rsidP="00256356">
            <w:pPr>
              <w:keepNext/>
              <w:tabs>
                <w:tab w:val="left" w:pos="360"/>
                <w:tab w:val="left" w:pos="720"/>
              </w:tabs>
              <w:jc w:val="center"/>
              <w:rPr>
                <w:rFonts w:ascii="Arial" w:hAnsi="Arial" w:cs="Arial"/>
                <w:color w:val="000000"/>
                <w:sz w:val="18"/>
              </w:rPr>
            </w:pPr>
            <w:r>
              <w:rPr>
                <w:rFonts w:ascii="Arial" w:hAnsi="Arial" w:cs="Arial"/>
                <w:color w:val="000000"/>
                <w:sz w:val="18"/>
              </w:rPr>
              <w:t>5,785</w:t>
            </w:r>
          </w:p>
        </w:tc>
        <w:tc>
          <w:tcPr>
            <w:tcW w:w="990" w:type="dxa"/>
            <w:vAlign w:val="center"/>
          </w:tcPr>
          <w:p w:rsidR="00BA3E55" w:rsidRDefault="00BA3E55" w:rsidP="006466DE">
            <w:pPr>
              <w:keepNext/>
              <w:tabs>
                <w:tab w:val="left" w:pos="360"/>
                <w:tab w:val="left" w:pos="720"/>
              </w:tabs>
              <w:jc w:val="center"/>
              <w:rPr>
                <w:rFonts w:ascii="Arial" w:hAnsi="Arial" w:cs="Arial"/>
                <w:color w:val="000000"/>
                <w:sz w:val="18"/>
              </w:rPr>
            </w:pPr>
            <w:r>
              <w:rPr>
                <w:rFonts w:ascii="Arial" w:hAnsi="Arial" w:cs="Arial"/>
                <w:color w:val="000000"/>
                <w:sz w:val="18"/>
              </w:rPr>
              <w:t>$</w:t>
            </w:r>
            <w:r w:rsidR="006466DE">
              <w:rPr>
                <w:rFonts w:ascii="Arial" w:hAnsi="Arial" w:cs="Arial"/>
                <w:color w:val="000000"/>
                <w:sz w:val="18"/>
              </w:rPr>
              <w:t>34</w:t>
            </w:r>
          </w:p>
        </w:tc>
        <w:tc>
          <w:tcPr>
            <w:tcW w:w="1260" w:type="dxa"/>
            <w:vAlign w:val="center"/>
          </w:tcPr>
          <w:p w:rsidR="00BA3E55" w:rsidRDefault="006418B3" w:rsidP="00245F38">
            <w:pPr>
              <w:keepNext/>
              <w:tabs>
                <w:tab w:val="left" w:pos="360"/>
                <w:tab w:val="left" w:pos="720"/>
              </w:tabs>
              <w:ind w:right="227"/>
              <w:jc w:val="right"/>
              <w:rPr>
                <w:rFonts w:ascii="Arial" w:hAnsi="Arial" w:cs="Arial"/>
                <w:color w:val="000000"/>
                <w:sz w:val="18"/>
              </w:rPr>
            </w:pPr>
            <w:r>
              <w:rPr>
                <w:rFonts w:ascii="Arial" w:hAnsi="Arial" w:cs="Arial"/>
                <w:color w:val="000000"/>
                <w:sz w:val="18"/>
              </w:rPr>
              <w:t>1</w:t>
            </w:r>
            <w:r w:rsidR="00245F38">
              <w:rPr>
                <w:rFonts w:ascii="Arial" w:hAnsi="Arial" w:cs="Arial"/>
                <w:color w:val="000000"/>
                <w:sz w:val="18"/>
              </w:rPr>
              <w:t>96</w:t>
            </w:r>
            <w:r>
              <w:rPr>
                <w:rFonts w:ascii="Arial" w:hAnsi="Arial" w:cs="Arial"/>
                <w:color w:val="000000"/>
                <w:sz w:val="18"/>
              </w:rPr>
              <w:t>,</w:t>
            </w:r>
            <w:r w:rsidR="00245F38">
              <w:rPr>
                <w:rFonts w:ascii="Arial" w:hAnsi="Arial" w:cs="Arial"/>
                <w:color w:val="000000"/>
                <w:sz w:val="18"/>
              </w:rPr>
              <w:t>690</w:t>
            </w:r>
          </w:p>
        </w:tc>
      </w:tr>
      <w:tr w:rsidR="00BA3E55" w:rsidTr="00256356">
        <w:tc>
          <w:tcPr>
            <w:tcW w:w="1800" w:type="dxa"/>
            <w:vAlign w:val="center"/>
          </w:tcPr>
          <w:p w:rsidR="00BA3E55" w:rsidRDefault="00BA3E55" w:rsidP="00256356">
            <w:pPr>
              <w:keepNext/>
              <w:tabs>
                <w:tab w:val="left" w:pos="360"/>
                <w:tab w:val="left" w:pos="720"/>
              </w:tabs>
              <w:rPr>
                <w:rFonts w:ascii="Arial" w:hAnsi="Arial" w:cs="Arial"/>
                <w:b/>
                <w:bCs/>
                <w:color w:val="000000"/>
                <w:sz w:val="18"/>
              </w:rPr>
            </w:pPr>
            <w:r>
              <w:rPr>
                <w:rFonts w:ascii="Arial" w:hAnsi="Arial" w:cs="Arial"/>
                <w:b/>
                <w:bCs/>
                <w:color w:val="000000"/>
                <w:sz w:val="18"/>
              </w:rPr>
              <w:t>Subtotal</w:t>
            </w:r>
          </w:p>
        </w:tc>
        <w:tc>
          <w:tcPr>
            <w:tcW w:w="1368" w:type="dxa"/>
            <w:vAlign w:val="center"/>
          </w:tcPr>
          <w:p w:rsidR="00BA3E55" w:rsidRPr="00DC4B00" w:rsidRDefault="00A45364" w:rsidP="00256356">
            <w:pPr>
              <w:keepNext/>
              <w:tabs>
                <w:tab w:val="left" w:pos="360"/>
                <w:tab w:val="left" w:pos="720"/>
              </w:tabs>
              <w:jc w:val="center"/>
              <w:rPr>
                <w:rFonts w:ascii="Arial" w:hAnsi="Arial" w:cs="Arial"/>
                <w:b/>
                <w:color w:val="000000"/>
                <w:sz w:val="18"/>
              </w:rPr>
            </w:pPr>
            <w:r>
              <w:rPr>
                <w:rFonts w:ascii="Arial" w:hAnsi="Arial" w:cs="Arial"/>
                <w:b/>
                <w:color w:val="000000"/>
                <w:sz w:val="18"/>
              </w:rPr>
              <w:t>*</w:t>
            </w:r>
            <w:r w:rsidR="006418B3">
              <w:rPr>
                <w:rFonts w:ascii="Arial" w:hAnsi="Arial" w:cs="Arial"/>
                <w:b/>
                <w:color w:val="000000"/>
                <w:sz w:val="18"/>
              </w:rPr>
              <w:t>11,570</w:t>
            </w:r>
          </w:p>
        </w:tc>
        <w:tc>
          <w:tcPr>
            <w:tcW w:w="1260" w:type="dxa"/>
            <w:vAlign w:val="center"/>
          </w:tcPr>
          <w:p w:rsidR="00BA3E55" w:rsidRPr="00DC4B00" w:rsidRDefault="00BA3E55" w:rsidP="00256356">
            <w:pPr>
              <w:keepNext/>
              <w:tabs>
                <w:tab w:val="left" w:pos="360"/>
                <w:tab w:val="left" w:pos="720"/>
              </w:tabs>
              <w:jc w:val="center"/>
              <w:rPr>
                <w:rFonts w:ascii="Arial" w:hAnsi="Arial" w:cs="Arial"/>
                <w:b/>
                <w:bCs/>
                <w:color w:val="000000"/>
                <w:sz w:val="18"/>
              </w:rPr>
            </w:pPr>
            <w:r w:rsidRPr="00DC4B00">
              <w:rPr>
                <w:rFonts w:ascii="Arial" w:hAnsi="Arial" w:cs="Arial"/>
                <w:b/>
                <w:bCs/>
                <w:color w:val="000000"/>
                <w:sz w:val="18"/>
              </w:rPr>
              <w:t>1</w:t>
            </w:r>
          </w:p>
        </w:tc>
        <w:tc>
          <w:tcPr>
            <w:tcW w:w="1260" w:type="dxa"/>
            <w:vAlign w:val="center"/>
          </w:tcPr>
          <w:p w:rsidR="00BA3E55" w:rsidRPr="00DC4B00" w:rsidRDefault="006418B3" w:rsidP="00256356">
            <w:pPr>
              <w:keepNext/>
              <w:tabs>
                <w:tab w:val="left" w:pos="360"/>
                <w:tab w:val="left" w:pos="720"/>
              </w:tabs>
              <w:jc w:val="center"/>
              <w:rPr>
                <w:rFonts w:ascii="Arial" w:hAnsi="Arial" w:cs="Arial"/>
                <w:b/>
                <w:bCs/>
                <w:color w:val="000000"/>
                <w:sz w:val="18"/>
              </w:rPr>
            </w:pPr>
            <w:r>
              <w:rPr>
                <w:rFonts w:ascii="Arial" w:hAnsi="Arial" w:cs="Arial"/>
                <w:b/>
                <w:bCs/>
                <w:color w:val="000000"/>
                <w:sz w:val="18"/>
              </w:rPr>
              <w:t>11,570</w:t>
            </w:r>
          </w:p>
        </w:tc>
        <w:tc>
          <w:tcPr>
            <w:tcW w:w="1447" w:type="dxa"/>
            <w:vAlign w:val="center"/>
          </w:tcPr>
          <w:p w:rsidR="00BA3E55" w:rsidRPr="00DC4B00" w:rsidRDefault="00BD7E76" w:rsidP="00BD7E76">
            <w:pPr>
              <w:keepNext/>
              <w:tabs>
                <w:tab w:val="left" w:pos="360"/>
                <w:tab w:val="left" w:pos="720"/>
              </w:tabs>
              <w:jc w:val="center"/>
              <w:rPr>
                <w:rFonts w:ascii="Arial" w:hAnsi="Arial" w:cs="Arial"/>
                <w:b/>
                <w:bCs/>
                <w:color w:val="000000"/>
                <w:sz w:val="18"/>
              </w:rPr>
            </w:pPr>
            <w:r>
              <w:rPr>
                <w:rFonts w:ascii="Arial" w:hAnsi="Arial" w:cs="Arial"/>
                <w:b/>
                <w:bCs/>
                <w:color w:val="000000"/>
                <w:sz w:val="18"/>
              </w:rPr>
              <w:t>4.25</w:t>
            </w:r>
          </w:p>
        </w:tc>
        <w:tc>
          <w:tcPr>
            <w:tcW w:w="1260" w:type="dxa"/>
            <w:vAlign w:val="center"/>
          </w:tcPr>
          <w:p w:rsidR="00BA3E55" w:rsidRDefault="007C1924" w:rsidP="00BD7E76">
            <w:pPr>
              <w:keepNext/>
              <w:tabs>
                <w:tab w:val="left" w:pos="360"/>
                <w:tab w:val="left" w:pos="720"/>
              </w:tabs>
              <w:jc w:val="center"/>
              <w:rPr>
                <w:rFonts w:ascii="Arial" w:hAnsi="Arial" w:cs="Arial"/>
                <w:b/>
                <w:bCs/>
                <w:color w:val="000000"/>
                <w:sz w:val="18"/>
              </w:rPr>
            </w:pPr>
            <w:r>
              <w:rPr>
                <w:rFonts w:ascii="Arial" w:hAnsi="Arial" w:cs="Arial"/>
                <w:b/>
                <w:bCs/>
                <w:color w:val="000000"/>
                <w:sz w:val="18"/>
              </w:rPr>
              <w:t>4</w:t>
            </w:r>
            <w:r w:rsidR="00BD7E76">
              <w:rPr>
                <w:rFonts w:ascii="Arial" w:hAnsi="Arial" w:cs="Arial"/>
                <w:b/>
                <w:bCs/>
                <w:color w:val="000000"/>
                <w:sz w:val="18"/>
              </w:rPr>
              <w:t>9</w:t>
            </w:r>
            <w:r>
              <w:rPr>
                <w:rFonts w:ascii="Arial" w:hAnsi="Arial" w:cs="Arial"/>
                <w:b/>
                <w:bCs/>
                <w:color w:val="000000"/>
                <w:sz w:val="18"/>
              </w:rPr>
              <w:t>,</w:t>
            </w:r>
            <w:r w:rsidR="00BD7E76">
              <w:rPr>
                <w:rFonts w:ascii="Arial" w:hAnsi="Arial" w:cs="Arial"/>
                <w:b/>
                <w:bCs/>
                <w:color w:val="000000"/>
                <w:sz w:val="18"/>
              </w:rPr>
              <w:t>173</w:t>
            </w:r>
          </w:p>
        </w:tc>
        <w:tc>
          <w:tcPr>
            <w:tcW w:w="990" w:type="dxa"/>
            <w:vAlign w:val="center"/>
          </w:tcPr>
          <w:p w:rsidR="00BA3E55" w:rsidRDefault="00BA3E55" w:rsidP="006466DE">
            <w:pPr>
              <w:keepNext/>
              <w:tabs>
                <w:tab w:val="left" w:pos="360"/>
                <w:tab w:val="left" w:pos="720"/>
              </w:tabs>
              <w:jc w:val="center"/>
              <w:rPr>
                <w:rFonts w:ascii="Arial" w:hAnsi="Arial" w:cs="Arial"/>
                <w:b/>
                <w:bCs/>
                <w:color w:val="000000"/>
                <w:sz w:val="18"/>
              </w:rPr>
            </w:pPr>
            <w:r>
              <w:rPr>
                <w:rFonts w:ascii="Arial" w:hAnsi="Arial" w:cs="Arial"/>
                <w:b/>
                <w:bCs/>
                <w:color w:val="000000"/>
                <w:sz w:val="18"/>
              </w:rPr>
              <w:t>$</w:t>
            </w:r>
            <w:r w:rsidR="006466DE">
              <w:rPr>
                <w:rFonts w:ascii="Arial" w:hAnsi="Arial" w:cs="Arial"/>
                <w:b/>
                <w:bCs/>
                <w:color w:val="000000"/>
                <w:sz w:val="18"/>
              </w:rPr>
              <w:t>34</w:t>
            </w:r>
          </w:p>
        </w:tc>
        <w:tc>
          <w:tcPr>
            <w:tcW w:w="1260" w:type="dxa"/>
            <w:vAlign w:val="center"/>
          </w:tcPr>
          <w:p w:rsidR="00BA3E55" w:rsidRDefault="00BA3E55" w:rsidP="00BD7E76">
            <w:pPr>
              <w:keepNext/>
              <w:tabs>
                <w:tab w:val="left" w:pos="360"/>
                <w:tab w:val="left" w:pos="720"/>
              </w:tabs>
              <w:ind w:right="227"/>
              <w:jc w:val="right"/>
              <w:rPr>
                <w:rFonts w:ascii="Arial" w:hAnsi="Arial" w:cs="Arial"/>
                <w:b/>
                <w:bCs/>
                <w:color w:val="000000"/>
                <w:sz w:val="18"/>
              </w:rPr>
            </w:pPr>
            <w:r>
              <w:rPr>
                <w:rFonts w:ascii="Arial" w:hAnsi="Arial" w:cs="Arial"/>
                <w:b/>
                <w:bCs/>
                <w:color w:val="000000"/>
                <w:sz w:val="18"/>
              </w:rPr>
              <w:t>1</w:t>
            </w:r>
            <w:r w:rsidR="007C1924">
              <w:rPr>
                <w:rFonts w:ascii="Arial" w:hAnsi="Arial" w:cs="Arial"/>
                <w:b/>
                <w:bCs/>
                <w:color w:val="000000"/>
                <w:sz w:val="18"/>
              </w:rPr>
              <w:t>,</w:t>
            </w:r>
            <w:r w:rsidR="00BD7E76">
              <w:rPr>
                <w:rFonts w:ascii="Arial" w:hAnsi="Arial" w:cs="Arial"/>
                <w:b/>
                <w:bCs/>
                <w:color w:val="000000"/>
                <w:sz w:val="18"/>
              </w:rPr>
              <w:t>671,865</w:t>
            </w:r>
          </w:p>
        </w:tc>
      </w:tr>
    </w:tbl>
    <w:p w:rsidR="00BA3E55" w:rsidRDefault="00BA3E55" w:rsidP="00BA3E55">
      <w:pPr>
        <w:ind w:left="360"/>
        <w:rPr>
          <w:sz w:val="18"/>
        </w:rPr>
      </w:pPr>
      <w:r>
        <w:rPr>
          <w:sz w:val="18"/>
        </w:rPr>
        <w:t xml:space="preserve"> Estimated burden hours and hourly costs for respondent’s staff to review and provide the requested information</w:t>
      </w:r>
      <w:r w:rsidR="00A45364">
        <w:rPr>
          <w:sz w:val="18"/>
        </w:rPr>
        <w:t>.  *The number of respondents decrease</w:t>
      </w:r>
      <w:r w:rsidR="00166C0C">
        <w:rPr>
          <w:sz w:val="18"/>
        </w:rPr>
        <w:t>d because some owners opted out of the Section 8 Housing Assistance Payment Contract that requires submission of a budget-based rent increase.</w:t>
      </w:r>
    </w:p>
    <w:p w:rsidR="009564FE" w:rsidRDefault="009564FE">
      <w:pPr>
        <w:rPr>
          <w:sz w:val="18"/>
        </w:rPr>
      </w:pPr>
    </w:p>
    <w:p w:rsidR="009564FE" w:rsidRDefault="009564FE">
      <w:pPr>
        <w:rPr>
          <w:sz w:val="24"/>
        </w:rPr>
      </w:pPr>
      <w:r>
        <w:rPr>
          <w:sz w:val="24"/>
        </w:rPr>
        <w:t>13.  There are no additional costs to respondents.</w:t>
      </w:r>
    </w:p>
    <w:p w:rsidR="009564FE" w:rsidRDefault="009564FE">
      <w:pPr>
        <w:ind w:left="360"/>
        <w:rPr>
          <w:sz w:val="22"/>
        </w:rPr>
      </w:pPr>
    </w:p>
    <w:p w:rsidR="009564FE" w:rsidRDefault="009564FE">
      <w:pPr>
        <w:pStyle w:val="BodyText"/>
        <w:numPr>
          <w:ilvl w:val="0"/>
          <w:numId w:val="43"/>
        </w:numPr>
        <w:rPr>
          <w:b w:val="0"/>
          <w:bCs w:val="0"/>
          <w:sz w:val="24"/>
        </w:rPr>
      </w:pPr>
      <w:r>
        <w:rPr>
          <w:b w:val="0"/>
          <w:bCs w:val="0"/>
          <w:sz w:val="24"/>
        </w:rPr>
        <w:t xml:space="preserve"> Annual Cost to the Federal Government:</w:t>
      </w:r>
    </w:p>
    <w:p w:rsidR="00BA3E55" w:rsidRDefault="00BA3E55">
      <w:pPr>
        <w:ind w:firstLine="360"/>
        <w:rPr>
          <w:sz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1500"/>
        <w:gridCol w:w="1695"/>
        <w:gridCol w:w="1695"/>
        <w:gridCol w:w="1695"/>
        <w:gridCol w:w="1695"/>
      </w:tblGrid>
      <w:tr w:rsidR="00BA3E55" w:rsidRPr="00DC4B00" w:rsidTr="00256356">
        <w:tc>
          <w:tcPr>
            <w:tcW w:w="1890" w:type="dxa"/>
            <w:vAlign w:val="center"/>
          </w:tcPr>
          <w:p w:rsidR="00BA3E55" w:rsidRPr="00DC4B00" w:rsidRDefault="00BA3E55" w:rsidP="00256356">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Information Collection</w:t>
            </w:r>
          </w:p>
        </w:tc>
        <w:tc>
          <w:tcPr>
            <w:tcW w:w="1500" w:type="dxa"/>
            <w:vAlign w:val="center"/>
          </w:tcPr>
          <w:p w:rsidR="00BA3E55" w:rsidRPr="00DC4B00" w:rsidRDefault="00BA3E55" w:rsidP="00256356">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Number of Responses</w:t>
            </w:r>
          </w:p>
        </w:tc>
        <w:tc>
          <w:tcPr>
            <w:tcW w:w="1695" w:type="dxa"/>
            <w:vAlign w:val="center"/>
          </w:tcPr>
          <w:p w:rsidR="00BA3E55" w:rsidRPr="00DC4B00" w:rsidRDefault="00BA3E55" w:rsidP="00256356">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Hours per Response</w:t>
            </w:r>
          </w:p>
        </w:tc>
        <w:tc>
          <w:tcPr>
            <w:tcW w:w="1695" w:type="dxa"/>
            <w:vAlign w:val="center"/>
          </w:tcPr>
          <w:p w:rsidR="00BA3E55" w:rsidRPr="00DC4B00" w:rsidRDefault="00BA3E55" w:rsidP="00256356">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Total Annual Hours</w:t>
            </w:r>
          </w:p>
        </w:tc>
        <w:tc>
          <w:tcPr>
            <w:tcW w:w="1695" w:type="dxa"/>
            <w:vAlign w:val="center"/>
          </w:tcPr>
          <w:p w:rsidR="00BA3E55" w:rsidRPr="00DC4B00" w:rsidRDefault="00BA3E55" w:rsidP="00256356">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Hourly Cost</w:t>
            </w:r>
          </w:p>
        </w:tc>
        <w:tc>
          <w:tcPr>
            <w:tcW w:w="1695" w:type="dxa"/>
            <w:vAlign w:val="center"/>
          </w:tcPr>
          <w:p w:rsidR="00BA3E55" w:rsidRPr="00DC4B00" w:rsidRDefault="00BA3E55" w:rsidP="00256356">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Total Annual Cost</w:t>
            </w:r>
          </w:p>
        </w:tc>
      </w:tr>
      <w:tr w:rsidR="00BA3E55" w:rsidRPr="00DC4B00" w:rsidTr="00256356">
        <w:tc>
          <w:tcPr>
            <w:tcW w:w="1890" w:type="dxa"/>
          </w:tcPr>
          <w:p w:rsidR="00BA3E55" w:rsidRPr="00DC4B00" w:rsidRDefault="00BA3E55" w:rsidP="00256356">
            <w:pPr>
              <w:keepNext/>
              <w:keepLines/>
              <w:tabs>
                <w:tab w:val="left" w:pos="360"/>
              </w:tabs>
              <w:spacing w:before="40" w:after="40"/>
              <w:ind w:left="-108" w:right="252"/>
              <w:jc w:val="right"/>
              <w:rPr>
                <w:rFonts w:ascii="Arial" w:hAnsi="Arial" w:cs="Arial"/>
                <w:color w:val="000000"/>
                <w:sz w:val="18"/>
              </w:rPr>
            </w:pPr>
            <w:r w:rsidRPr="00DC4B00">
              <w:rPr>
                <w:rFonts w:ascii="Arial" w:hAnsi="Arial" w:cs="Arial"/>
                <w:color w:val="000000"/>
                <w:sz w:val="18"/>
              </w:rPr>
              <w:t>HUD-92547-A</w:t>
            </w:r>
          </w:p>
        </w:tc>
        <w:tc>
          <w:tcPr>
            <w:tcW w:w="1500" w:type="dxa"/>
            <w:vAlign w:val="center"/>
          </w:tcPr>
          <w:p w:rsidR="00BA3E55" w:rsidRPr="00DC4B00" w:rsidRDefault="0061130C" w:rsidP="00256356">
            <w:pPr>
              <w:keepNext/>
              <w:keepLines/>
              <w:tabs>
                <w:tab w:val="left" w:pos="360"/>
              </w:tabs>
              <w:spacing w:before="40" w:after="40"/>
              <w:ind w:left="-108" w:right="252"/>
              <w:jc w:val="right"/>
              <w:rPr>
                <w:rFonts w:ascii="Arial" w:hAnsi="Arial" w:cs="Arial"/>
                <w:color w:val="000000"/>
                <w:sz w:val="18"/>
              </w:rPr>
            </w:pPr>
            <w:r>
              <w:rPr>
                <w:rFonts w:ascii="Arial" w:hAnsi="Arial" w:cs="Arial"/>
                <w:color w:val="000000"/>
                <w:sz w:val="18"/>
              </w:rPr>
              <w:t>11,570</w:t>
            </w:r>
          </w:p>
        </w:tc>
        <w:tc>
          <w:tcPr>
            <w:tcW w:w="1695" w:type="dxa"/>
          </w:tcPr>
          <w:p w:rsidR="00BA3E55" w:rsidRPr="00DC4B00" w:rsidRDefault="00BA3E55" w:rsidP="00256356">
            <w:pPr>
              <w:keepNext/>
              <w:keepLines/>
              <w:tabs>
                <w:tab w:val="left" w:pos="360"/>
              </w:tabs>
              <w:spacing w:before="40" w:after="40"/>
              <w:ind w:right="372"/>
              <w:jc w:val="right"/>
              <w:rPr>
                <w:rFonts w:ascii="Arial" w:hAnsi="Arial" w:cs="Arial"/>
                <w:color w:val="000000"/>
                <w:sz w:val="18"/>
              </w:rPr>
            </w:pPr>
            <w:r w:rsidRPr="00DC4B00">
              <w:rPr>
                <w:rFonts w:ascii="Arial" w:hAnsi="Arial" w:cs="Arial"/>
                <w:color w:val="000000"/>
                <w:sz w:val="18"/>
              </w:rPr>
              <w:t>1</w:t>
            </w:r>
          </w:p>
        </w:tc>
        <w:tc>
          <w:tcPr>
            <w:tcW w:w="1695" w:type="dxa"/>
            <w:vAlign w:val="center"/>
          </w:tcPr>
          <w:p w:rsidR="00BA3E55" w:rsidRPr="00DC4B00" w:rsidRDefault="0061130C" w:rsidP="00256356">
            <w:pPr>
              <w:keepNext/>
              <w:keepLines/>
              <w:tabs>
                <w:tab w:val="left" w:pos="360"/>
              </w:tabs>
              <w:spacing w:before="40" w:after="40"/>
              <w:ind w:right="372"/>
              <w:jc w:val="right"/>
              <w:rPr>
                <w:rFonts w:ascii="Arial" w:hAnsi="Arial" w:cs="Arial"/>
                <w:color w:val="000000"/>
                <w:sz w:val="18"/>
              </w:rPr>
            </w:pPr>
            <w:r>
              <w:rPr>
                <w:rFonts w:ascii="Arial" w:hAnsi="Arial" w:cs="Arial"/>
                <w:color w:val="000000"/>
                <w:sz w:val="18"/>
              </w:rPr>
              <w:t>11,570</w:t>
            </w:r>
          </w:p>
        </w:tc>
        <w:tc>
          <w:tcPr>
            <w:tcW w:w="1695" w:type="dxa"/>
            <w:vAlign w:val="center"/>
          </w:tcPr>
          <w:p w:rsidR="00BA3E55" w:rsidRPr="00DC4B00" w:rsidRDefault="00BA3E55" w:rsidP="0061130C">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w:t>
            </w:r>
            <w:r w:rsidR="0061130C">
              <w:rPr>
                <w:rFonts w:ascii="Arial" w:hAnsi="Arial" w:cs="Arial"/>
                <w:color w:val="000000"/>
                <w:sz w:val="18"/>
              </w:rPr>
              <w:t>35</w:t>
            </w:r>
          </w:p>
        </w:tc>
        <w:tc>
          <w:tcPr>
            <w:tcW w:w="1695" w:type="dxa"/>
          </w:tcPr>
          <w:p w:rsidR="00BA3E55" w:rsidRPr="00DC4B00" w:rsidRDefault="00BA3E55" w:rsidP="0061130C">
            <w:pPr>
              <w:keepNext/>
              <w:keepLines/>
              <w:tabs>
                <w:tab w:val="left" w:pos="360"/>
              </w:tabs>
              <w:spacing w:before="40" w:after="40"/>
              <w:ind w:right="252"/>
              <w:jc w:val="right"/>
              <w:rPr>
                <w:rFonts w:ascii="Arial" w:hAnsi="Arial" w:cs="Arial"/>
                <w:color w:val="000000"/>
                <w:sz w:val="18"/>
              </w:rPr>
            </w:pPr>
            <w:r w:rsidRPr="00DC4B00">
              <w:rPr>
                <w:rFonts w:ascii="Arial" w:hAnsi="Arial" w:cs="Arial"/>
                <w:color w:val="000000"/>
                <w:sz w:val="18"/>
              </w:rPr>
              <w:t>$</w:t>
            </w:r>
            <w:r w:rsidR="0061130C">
              <w:rPr>
                <w:rFonts w:ascii="Arial" w:hAnsi="Arial" w:cs="Arial"/>
                <w:color w:val="000000"/>
                <w:sz w:val="18"/>
              </w:rPr>
              <w:t>404,950</w:t>
            </w:r>
          </w:p>
        </w:tc>
      </w:tr>
      <w:tr w:rsidR="00BA3E55" w:rsidRPr="00DC4B00" w:rsidTr="00256356">
        <w:tc>
          <w:tcPr>
            <w:tcW w:w="1890" w:type="dxa"/>
          </w:tcPr>
          <w:p w:rsidR="00BA3E55" w:rsidRPr="00DC4B00" w:rsidRDefault="00BA3E55" w:rsidP="00256356">
            <w:pPr>
              <w:keepNext/>
              <w:keepLines/>
              <w:tabs>
                <w:tab w:val="left" w:pos="360"/>
              </w:tabs>
              <w:spacing w:before="40" w:after="40"/>
              <w:ind w:left="-108" w:right="252"/>
              <w:jc w:val="center"/>
              <w:rPr>
                <w:rFonts w:ascii="Arial" w:hAnsi="Arial" w:cs="Arial"/>
                <w:color w:val="000000"/>
                <w:sz w:val="18"/>
              </w:rPr>
            </w:pPr>
            <w:r w:rsidRPr="00DC4B00">
              <w:rPr>
                <w:rFonts w:ascii="Arial" w:hAnsi="Arial" w:cs="Arial"/>
                <w:color w:val="000000"/>
                <w:sz w:val="18"/>
              </w:rPr>
              <w:t>Review of all written requests</w:t>
            </w:r>
          </w:p>
        </w:tc>
        <w:tc>
          <w:tcPr>
            <w:tcW w:w="1500" w:type="dxa"/>
            <w:vAlign w:val="center"/>
          </w:tcPr>
          <w:p w:rsidR="00BA3E55" w:rsidRPr="00DC4B00" w:rsidRDefault="0061130C" w:rsidP="00256356">
            <w:pPr>
              <w:keepNext/>
              <w:keepLines/>
              <w:tabs>
                <w:tab w:val="left" w:pos="360"/>
              </w:tabs>
              <w:spacing w:before="40" w:after="40"/>
              <w:ind w:left="-108" w:right="252"/>
              <w:jc w:val="right"/>
              <w:rPr>
                <w:rFonts w:ascii="Arial" w:hAnsi="Arial" w:cs="Arial"/>
                <w:color w:val="000000"/>
                <w:sz w:val="18"/>
              </w:rPr>
            </w:pPr>
            <w:r>
              <w:rPr>
                <w:rFonts w:ascii="Arial" w:hAnsi="Arial" w:cs="Arial"/>
                <w:color w:val="000000"/>
                <w:sz w:val="18"/>
              </w:rPr>
              <w:t>11,570</w:t>
            </w:r>
          </w:p>
        </w:tc>
        <w:tc>
          <w:tcPr>
            <w:tcW w:w="1695" w:type="dxa"/>
          </w:tcPr>
          <w:p w:rsidR="00BA3E55" w:rsidRPr="00DC4B00" w:rsidRDefault="00BA3E55" w:rsidP="00256356">
            <w:pPr>
              <w:keepNext/>
              <w:keepLines/>
              <w:tabs>
                <w:tab w:val="left" w:pos="360"/>
              </w:tabs>
              <w:spacing w:before="40" w:after="40"/>
              <w:ind w:right="372"/>
              <w:jc w:val="right"/>
              <w:rPr>
                <w:rFonts w:ascii="Arial" w:hAnsi="Arial" w:cs="Arial"/>
                <w:color w:val="000000"/>
                <w:sz w:val="18"/>
              </w:rPr>
            </w:pPr>
            <w:r w:rsidRPr="00DC4B00">
              <w:rPr>
                <w:rFonts w:ascii="Arial" w:hAnsi="Arial" w:cs="Arial"/>
                <w:color w:val="000000"/>
                <w:sz w:val="18"/>
              </w:rPr>
              <w:t>1</w:t>
            </w:r>
          </w:p>
        </w:tc>
        <w:tc>
          <w:tcPr>
            <w:tcW w:w="1695" w:type="dxa"/>
            <w:vAlign w:val="center"/>
          </w:tcPr>
          <w:p w:rsidR="00BA3E55" w:rsidRPr="00DC4B00" w:rsidRDefault="0061130C" w:rsidP="00256356">
            <w:pPr>
              <w:keepNext/>
              <w:keepLines/>
              <w:tabs>
                <w:tab w:val="left" w:pos="360"/>
              </w:tabs>
              <w:spacing w:before="40" w:after="40"/>
              <w:ind w:right="372"/>
              <w:jc w:val="right"/>
              <w:rPr>
                <w:rFonts w:ascii="Arial" w:hAnsi="Arial" w:cs="Arial"/>
                <w:color w:val="000000"/>
                <w:sz w:val="18"/>
              </w:rPr>
            </w:pPr>
            <w:r>
              <w:rPr>
                <w:rFonts w:ascii="Arial" w:hAnsi="Arial" w:cs="Arial"/>
                <w:color w:val="000000"/>
                <w:sz w:val="18"/>
              </w:rPr>
              <w:t>11,570</w:t>
            </w:r>
          </w:p>
        </w:tc>
        <w:tc>
          <w:tcPr>
            <w:tcW w:w="1695" w:type="dxa"/>
            <w:vAlign w:val="center"/>
          </w:tcPr>
          <w:p w:rsidR="00BA3E55" w:rsidRPr="00DC4B00" w:rsidRDefault="00BA3E55" w:rsidP="0061130C">
            <w:pPr>
              <w:keepNext/>
              <w:keepLines/>
              <w:tabs>
                <w:tab w:val="left" w:pos="360"/>
              </w:tabs>
              <w:spacing w:before="40" w:after="40"/>
              <w:jc w:val="center"/>
              <w:rPr>
                <w:rFonts w:ascii="Arial" w:hAnsi="Arial" w:cs="Arial"/>
                <w:color w:val="000000"/>
                <w:sz w:val="18"/>
              </w:rPr>
            </w:pPr>
            <w:r w:rsidRPr="00DC4B00">
              <w:rPr>
                <w:rFonts w:ascii="Arial" w:hAnsi="Arial" w:cs="Arial"/>
                <w:color w:val="000000"/>
                <w:sz w:val="18"/>
              </w:rPr>
              <w:t>$</w:t>
            </w:r>
            <w:r w:rsidR="0061130C">
              <w:rPr>
                <w:rFonts w:ascii="Arial" w:hAnsi="Arial" w:cs="Arial"/>
                <w:color w:val="000000"/>
                <w:sz w:val="18"/>
              </w:rPr>
              <w:t>35</w:t>
            </w:r>
          </w:p>
        </w:tc>
        <w:tc>
          <w:tcPr>
            <w:tcW w:w="1695" w:type="dxa"/>
          </w:tcPr>
          <w:p w:rsidR="00BA3E55" w:rsidRPr="00DC4B00" w:rsidRDefault="00BA3E55" w:rsidP="0061130C">
            <w:pPr>
              <w:keepNext/>
              <w:keepLines/>
              <w:tabs>
                <w:tab w:val="left" w:pos="360"/>
              </w:tabs>
              <w:spacing w:before="40" w:after="40"/>
              <w:ind w:right="252"/>
              <w:jc w:val="right"/>
              <w:rPr>
                <w:rFonts w:ascii="Arial" w:hAnsi="Arial" w:cs="Arial"/>
                <w:color w:val="000000"/>
                <w:sz w:val="18"/>
              </w:rPr>
            </w:pPr>
            <w:r w:rsidRPr="00DC4B00">
              <w:rPr>
                <w:rFonts w:ascii="Arial" w:hAnsi="Arial" w:cs="Arial"/>
                <w:color w:val="000000"/>
                <w:sz w:val="18"/>
              </w:rPr>
              <w:t>$</w:t>
            </w:r>
            <w:r w:rsidR="0061130C">
              <w:rPr>
                <w:rFonts w:ascii="Arial" w:hAnsi="Arial" w:cs="Arial"/>
                <w:color w:val="000000"/>
                <w:sz w:val="18"/>
              </w:rPr>
              <w:t>404,950</w:t>
            </w:r>
          </w:p>
        </w:tc>
      </w:tr>
      <w:tr w:rsidR="00BA3E55" w:rsidRPr="00DC4B00" w:rsidTr="00256356">
        <w:tc>
          <w:tcPr>
            <w:tcW w:w="1890" w:type="dxa"/>
          </w:tcPr>
          <w:p w:rsidR="00BA3E55" w:rsidRPr="00DC4B00" w:rsidRDefault="00BA3E55" w:rsidP="00256356">
            <w:pPr>
              <w:keepNext/>
              <w:keepLines/>
              <w:tabs>
                <w:tab w:val="left" w:pos="360"/>
              </w:tabs>
              <w:spacing w:before="40" w:after="40"/>
              <w:ind w:left="-108" w:right="252"/>
              <w:rPr>
                <w:rFonts w:ascii="Arial" w:hAnsi="Arial" w:cs="Arial"/>
                <w:b/>
                <w:bCs/>
                <w:color w:val="000000"/>
                <w:sz w:val="18"/>
              </w:rPr>
            </w:pPr>
            <w:r w:rsidRPr="00DC4B00">
              <w:rPr>
                <w:rFonts w:ascii="Arial" w:hAnsi="Arial" w:cs="Arial"/>
                <w:b/>
                <w:bCs/>
                <w:color w:val="000000"/>
                <w:sz w:val="18"/>
              </w:rPr>
              <w:t>Totals</w:t>
            </w:r>
          </w:p>
        </w:tc>
        <w:tc>
          <w:tcPr>
            <w:tcW w:w="1500" w:type="dxa"/>
            <w:vAlign w:val="center"/>
          </w:tcPr>
          <w:p w:rsidR="00BA3E55" w:rsidRPr="00DC4B00" w:rsidRDefault="0061130C" w:rsidP="00256356">
            <w:pPr>
              <w:keepNext/>
              <w:keepLines/>
              <w:tabs>
                <w:tab w:val="left" w:pos="360"/>
              </w:tabs>
              <w:spacing w:before="40" w:after="40"/>
              <w:ind w:left="-108" w:right="252"/>
              <w:jc w:val="right"/>
              <w:rPr>
                <w:rFonts w:ascii="Arial" w:hAnsi="Arial" w:cs="Arial"/>
                <w:b/>
                <w:bCs/>
                <w:color w:val="000000"/>
                <w:sz w:val="18"/>
              </w:rPr>
            </w:pPr>
            <w:r>
              <w:rPr>
                <w:rFonts w:ascii="Arial" w:hAnsi="Arial" w:cs="Arial"/>
                <w:b/>
                <w:bCs/>
                <w:color w:val="000000"/>
                <w:sz w:val="18"/>
              </w:rPr>
              <w:t>11,570</w:t>
            </w:r>
          </w:p>
        </w:tc>
        <w:tc>
          <w:tcPr>
            <w:tcW w:w="1695" w:type="dxa"/>
          </w:tcPr>
          <w:p w:rsidR="00BA3E55" w:rsidRPr="00DC4B00" w:rsidRDefault="00BA3E55" w:rsidP="00256356">
            <w:pPr>
              <w:keepNext/>
              <w:keepLines/>
              <w:tabs>
                <w:tab w:val="left" w:pos="360"/>
              </w:tabs>
              <w:spacing w:before="40" w:after="40"/>
              <w:ind w:right="372"/>
              <w:jc w:val="right"/>
              <w:rPr>
                <w:rFonts w:ascii="Arial" w:hAnsi="Arial" w:cs="Arial"/>
                <w:b/>
                <w:bCs/>
                <w:color w:val="000000"/>
                <w:sz w:val="18"/>
              </w:rPr>
            </w:pPr>
            <w:r w:rsidRPr="00DC4B00">
              <w:rPr>
                <w:rFonts w:ascii="Arial" w:hAnsi="Arial" w:cs="Arial"/>
                <w:b/>
                <w:bCs/>
                <w:color w:val="000000"/>
                <w:sz w:val="18"/>
              </w:rPr>
              <w:t>1</w:t>
            </w:r>
          </w:p>
        </w:tc>
        <w:tc>
          <w:tcPr>
            <w:tcW w:w="1695" w:type="dxa"/>
            <w:vAlign w:val="center"/>
          </w:tcPr>
          <w:p w:rsidR="00BA3E55" w:rsidRPr="00DC4B00" w:rsidRDefault="0061130C" w:rsidP="00256356">
            <w:pPr>
              <w:keepNext/>
              <w:keepLines/>
              <w:tabs>
                <w:tab w:val="left" w:pos="360"/>
              </w:tabs>
              <w:spacing w:before="40" w:after="40"/>
              <w:ind w:right="372"/>
              <w:jc w:val="right"/>
              <w:rPr>
                <w:rFonts w:ascii="Arial" w:hAnsi="Arial" w:cs="Arial"/>
                <w:b/>
                <w:bCs/>
                <w:color w:val="000000"/>
                <w:sz w:val="18"/>
              </w:rPr>
            </w:pPr>
            <w:r>
              <w:rPr>
                <w:rFonts w:ascii="Arial" w:hAnsi="Arial" w:cs="Arial"/>
                <w:b/>
                <w:bCs/>
                <w:color w:val="000000"/>
                <w:sz w:val="18"/>
              </w:rPr>
              <w:t>23,140</w:t>
            </w:r>
          </w:p>
        </w:tc>
        <w:tc>
          <w:tcPr>
            <w:tcW w:w="1695" w:type="dxa"/>
            <w:vAlign w:val="center"/>
          </w:tcPr>
          <w:p w:rsidR="00BA3E55" w:rsidRPr="00DC4B00" w:rsidRDefault="00BA3E55" w:rsidP="0061130C">
            <w:pPr>
              <w:keepNext/>
              <w:keepLines/>
              <w:tabs>
                <w:tab w:val="left" w:pos="360"/>
              </w:tabs>
              <w:spacing w:before="40" w:after="40"/>
              <w:jc w:val="center"/>
              <w:rPr>
                <w:rFonts w:ascii="Arial" w:hAnsi="Arial" w:cs="Arial"/>
                <w:b/>
                <w:bCs/>
                <w:color w:val="000000"/>
                <w:sz w:val="18"/>
              </w:rPr>
            </w:pPr>
            <w:r w:rsidRPr="00DC4B00">
              <w:rPr>
                <w:rFonts w:ascii="Arial" w:hAnsi="Arial" w:cs="Arial"/>
                <w:b/>
                <w:bCs/>
                <w:color w:val="000000"/>
                <w:sz w:val="18"/>
              </w:rPr>
              <w:t>$</w:t>
            </w:r>
            <w:r w:rsidR="0061130C">
              <w:rPr>
                <w:rFonts w:ascii="Arial" w:hAnsi="Arial" w:cs="Arial"/>
                <w:b/>
                <w:bCs/>
                <w:color w:val="000000"/>
                <w:sz w:val="18"/>
              </w:rPr>
              <w:t>35</w:t>
            </w:r>
          </w:p>
        </w:tc>
        <w:tc>
          <w:tcPr>
            <w:tcW w:w="1695" w:type="dxa"/>
          </w:tcPr>
          <w:p w:rsidR="00BA3E55" w:rsidRPr="00DC4B00" w:rsidRDefault="00BA3E55" w:rsidP="0061130C">
            <w:pPr>
              <w:keepNext/>
              <w:keepLines/>
              <w:tabs>
                <w:tab w:val="left" w:pos="360"/>
              </w:tabs>
              <w:spacing w:before="40" w:after="40"/>
              <w:ind w:right="252"/>
              <w:jc w:val="right"/>
              <w:rPr>
                <w:rFonts w:ascii="Arial" w:hAnsi="Arial" w:cs="Arial"/>
                <w:b/>
                <w:bCs/>
                <w:color w:val="000000"/>
                <w:sz w:val="18"/>
              </w:rPr>
            </w:pPr>
            <w:r w:rsidRPr="00DC4B00">
              <w:rPr>
                <w:rFonts w:ascii="Arial" w:hAnsi="Arial" w:cs="Arial"/>
                <w:b/>
                <w:bCs/>
                <w:color w:val="000000"/>
                <w:sz w:val="18"/>
              </w:rPr>
              <w:t>$</w:t>
            </w:r>
            <w:r w:rsidR="0061130C">
              <w:rPr>
                <w:rFonts w:ascii="Arial" w:hAnsi="Arial" w:cs="Arial"/>
                <w:b/>
                <w:bCs/>
                <w:color w:val="000000"/>
                <w:sz w:val="18"/>
              </w:rPr>
              <w:t>809,900</w:t>
            </w:r>
          </w:p>
        </w:tc>
      </w:tr>
    </w:tbl>
    <w:p w:rsidR="009564FE" w:rsidRDefault="009564FE">
      <w:pPr>
        <w:ind w:firstLine="360"/>
        <w:rPr>
          <w:sz w:val="24"/>
        </w:rPr>
      </w:pPr>
      <w:r>
        <w:rPr>
          <w:sz w:val="18"/>
        </w:rPr>
        <w:t>Estimated annual cost to the Federal Government assuming that a GS-12</w:t>
      </w:r>
      <w:r w:rsidR="00D27035">
        <w:rPr>
          <w:sz w:val="18"/>
        </w:rPr>
        <w:t xml:space="preserve"> </w:t>
      </w:r>
      <w:r>
        <w:rPr>
          <w:sz w:val="18"/>
        </w:rPr>
        <w:t>Project Manager will review and process the information</w:t>
      </w:r>
      <w:r>
        <w:rPr>
          <w:sz w:val="24"/>
        </w:rPr>
        <w:t>.</w:t>
      </w:r>
    </w:p>
    <w:p w:rsidR="009564FE" w:rsidRDefault="009564FE">
      <w:pPr>
        <w:pStyle w:val="BodyTextIndent"/>
        <w:ind w:left="0" w:firstLine="0"/>
        <w:rPr>
          <w:b w:val="0"/>
          <w:bCs w:val="0"/>
          <w:sz w:val="24"/>
        </w:rPr>
      </w:pPr>
    </w:p>
    <w:p w:rsidR="009564FE" w:rsidRDefault="009564FE">
      <w:pPr>
        <w:pStyle w:val="BodyTextIndent"/>
        <w:rPr>
          <w:sz w:val="24"/>
        </w:rPr>
      </w:pPr>
      <w:r>
        <w:rPr>
          <w:b w:val="0"/>
          <w:bCs w:val="0"/>
          <w:sz w:val="24"/>
        </w:rPr>
        <w:t>15. This</w:t>
      </w:r>
      <w:r>
        <w:rPr>
          <w:sz w:val="24"/>
        </w:rPr>
        <w:t xml:space="preserve"> </w:t>
      </w:r>
      <w:r>
        <w:rPr>
          <w:b w:val="0"/>
          <w:bCs w:val="0"/>
          <w:sz w:val="24"/>
        </w:rPr>
        <w:t>is an extension of a currently approved collection.  There are no program changes since the last request for approval of this information collection</w:t>
      </w:r>
      <w:r w:rsidR="00950B30">
        <w:rPr>
          <w:b w:val="0"/>
          <w:bCs w:val="0"/>
          <w:sz w:val="24"/>
        </w:rPr>
        <w:t>.</w:t>
      </w:r>
      <w:r w:rsidR="00950B30" w:rsidRPr="00950B30">
        <w:rPr>
          <w:b w:val="0"/>
          <w:bCs w:val="0"/>
          <w:sz w:val="24"/>
        </w:rPr>
        <w:t xml:space="preserve"> </w:t>
      </w:r>
      <w:r w:rsidR="00950B30">
        <w:rPr>
          <w:b w:val="0"/>
          <w:bCs w:val="0"/>
          <w:sz w:val="24"/>
        </w:rPr>
        <w:t xml:space="preserve">The number of burden hours </w:t>
      </w:r>
      <w:r w:rsidR="000F2E8B">
        <w:rPr>
          <w:b w:val="0"/>
          <w:bCs w:val="0"/>
          <w:sz w:val="24"/>
        </w:rPr>
        <w:t>in</w:t>
      </w:r>
      <w:r w:rsidR="00950B30">
        <w:rPr>
          <w:b w:val="0"/>
          <w:bCs w:val="0"/>
          <w:sz w:val="24"/>
        </w:rPr>
        <w:t xml:space="preserve">creased because </w:t>
      </w:r>
      <w:r w:rsidR="009630D5">
        <w:rPr>
          <w:b w:val="0"/>
          <w:bCs w:val="0"/>
          <w:sz w:val="24"/>
        </w:rPr>
        <w:t>of the increased time it takes to explain expense line items</w:t>
      </w:r>
      <w:r w:rsidR="007D2F56">
        <w:rPr>
          <w:b w:val="0"/>
          <w:bCs w:val="0"/>
          <w:sz w:val="24"/>
        </w:rPr>
        <w:t xml:space="preserve"> (30-minutes)</w:t>
      </w:r>
      <w:r w:rsidR="009630D5">
        <w:rPr>
          <w:b w:val="0"/>
          <w:bCs w:val="0"/>
          <w:sz w:val="24"/>
        </w:rPr>
        <w:t xml:space="preserve"> a</w:t>
      </w:r>
      <w:r w:rsidR="007D2F56">
        <w:rPr>
          <w:b w:val="0"/>
          <w:bCs w:val="0"/>
          <w:sz w:val="24"/>
        </w:rPr>
        <w:t xml:space="preserve">nd utility allowance processing (15-minutes) </w:t>
      </w:r>
      <w:r w:rsidR="009630D5">
        <w:rPr>
          <w:b w:val="0"/>
          <w:bCs w:val="0"/>
          <w:sz w:val="24"/>
        </w:rPr>
        <w:t>for rent increase requests</w:t>
      </w:r>
      <w:r w:rsidR="00C41A48">
        <w:rPr>
          <w:b w:val="0"/>
          <w:bCs w:val="0"/>
          <w:sz w:val="24"/>
        </w:rPr>
        <w:t>.</w:t>
      </w:r>
      <w:r w:rsidR="00950B30">
        <w:rPr>
          <w:b w:val="0"/>
          <w:bCs w:val="0"/>
          <w:sz w:val="24"/>
        </w:rPr>
        <w:t xml:space="preserve"> </w:t>
      </w:r>
      <w:r>
        <w:rPr>
          <w:b w:val="0"/>
          <w:bCs w:val="0"/>
          <w:sz w:val="24"/>
        </w:rPr>
        <w:t xml:space="preserve"> </w:t>
      </w:r>
    </w:p>
    <w:p w:rsidR="009564FE" w:rsidRDefault="009564FE">
      <w:pPr>
        <w:pStyle w:val="BodyTextIndent"/>
        <w:ind w:left="-90" w:firstLine="0"/>
        <w:rPr>
          <w:sz w:val="24"/>
        </w:rPr>
      </w:pPr>
    </w:p>
    <w:p w:rsidR="009564FE" w:rsidRDefault="009564FE">
      <w:pPr>
        <w:pStyle w:val="BodyTextIndent"/>
        <w:numPr>
          <w:ilvl w:val="0"/>
          <w:numId w:val="44"/>
        </w:numPr>
        <w:rPr>
          <w:b w:val="0"/>
          <w:bCs w:val="0"/>
          <w:sz w:val="24"/>
        </w:rPr>
      </w:pPr>
      <w:r>
        <w:rPr>
          <w:b w:val="0"/>
          <w:bCs w:val="0"/>
          <w:sz w:val="24"/>
        </w:rPr>
        <w:t>The results of this collection will not be published.</w:t>
      </w:r>
    </w:p>
    <w:p w:rsidR="009564FE" w:rsidRDefault="009564FE">
      <w:pPr>
        <w:pStyle w:val="BodyTextIndent"/>
        <w:ind w:left="0" w:firstLine="0"/>
        <w:rPr>
          <w:b w:val="0"/>
          <w:bCs w:val="0"/>
          <w:sz w:val="24"/>
        </w:rPr>
      </w:pPr>
    </w:p>
    <w:p w:rsidR="009564FE" w:rsidRDefault="009564FE">
      <w:pPr>
        <w:pStyle w:val="BodyTextIndent"/>
        <w:numPr>
          <w:ilvl w:val="0"/>
          <w:numId w:val="44"/>
        </w:numPr>
        <w:rPr>
          <w:b w:val="0"/>
          <w:bCs w:val="0"/>
          <w:sz w:val="24"/>
        </w:rPr>
      </w:pPr>
      <w:r>
        <w:rPr>
          <w:b w:val="0"/>
          <w:bCs w:val="0"/>
          <w:sz w:val="24"/>
        </w:rPr>
        <w:t>HUD is not requesting approval to avoid displaying the expiration date on the HUD Form-92547-A.</w:t>
      </w:r>
    </w:p>
    <w:p w:rsidR="009564FE" w:rsidRDefault="009564FE">
      <w:pPr>
        <w:pStyle w:val="BodyTextIndent"/>
        <w:ind w:left="0" w:firstLine="0"/>
        <w:rPr>
          <w:b w:val="0"/>
          <w:bCs w:val="0"/>
          <w:sz w:val="24"/>
        </w:rPr>
      </w:pPr>
    </w:p>
    <w:p w:rsidR="009564FE" w:rsidRDefault="009564FE">
      <w:pPr>
        <w:pStyle w:val="BodyTextIndent"/>
        <w:numPr>
          <w:ilvl w:val="0"/>
          <w:numId w:val="44"/>
        </w:numPr>
        <w:rPr>
          <w:b w:val="0"/>
          <w:bCs w:val="0"/>
          <w:sz w:val="24"/>
        </w:rPr>
      </w:pPr>
      <w:r>
        <w:rPr>
          <w:b w:val="0"/>
          <w:bCs w:val="0"/>
          <w:sz w:val="24"/>
        </w:rPr>
        <w:t>There are no exceptions to the certification statement identified in Item #19 on form OMB 83-I, “Certification for Paperwork Reduction Act Submissions.”</w:t>
      </w:r>
    </w:p>
    <w:p w:rsidR="009564FE" w:rsidRDefault="009564FE">
      <w:pPr>
        <w:tabs>
          <w:tab w:val="left" w:pos="360"/>
          <w:tab w:val="left" w:pos="720"/>
        </w:tabs>
        <w:rPr>
          <w:sz w:val="22"/>
        </w:rPr>
      </w:pPr>
    </w:p>
    <w:p w:rsidR="009564FE" w:rsidRDefault="009564FE">
      <w:pPr>
        <w:pStyle w:val="Heading2"/>
        <w:rPr>
          <w:sz w:val="24"/>
        </w:rPr>
      </w:pPr>
      <w:r>
        <w:rPr>
          <w:sz w:val="24"/>
        </w:rPr>
        <w:t xml:space="preserve">B. </w:t>
      </w:r>
      <w:r>
        <w:rPr>
          <w:sz w:val="24"/>
        </w:rPr>
        <w:tab/>
        <w:t>Collections of Information Employing Statistical Methods</w:t>
      </w:r>
    </w:p>
    <w:p w:rsidR="009564FE" w:rsidRDefault="00956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9564FE" w:rsidRDefault="009564FE">
      <w:pPr>
        <w:tabs>
          <w:tab w:val="left" w:pos="360"/>
          <w:tab w:val="left" w:pos="720"/>
        </w:tabs>
        <w:ind w:left="360"/>
        <w:rPr>
          <w:sz w:val="22"/>
        </w:rPr>
      </w:pPr>
      <w:r>
        <w:rPr>
          <w:sz w:val="24"/>
        </w:rPr>
        <w:t>There are no plans to use statistical methods for collection of this information</w:t>
      </w:r>
      <w:r>
        <w:rPr>
          <w:sz w:val="22"/>
        </w:rPr>
        <w:t>.</w:t>
      </w:r>
    </w:p>
    <w:sectPr w:rsidR="009564FE" w:rsidSect="003939CF">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6BF" w:rsidRDefault="006006BF">
      <w:r>
        <w:separator/>
      </w:r>
    </w:p>
  </w:endnote>
  <w:endnote w:type="continuationSeparator" w:id="0">
    <w:p w:rsidR="006006BF" w:rsidRDefault="00600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F1" w:rsidRDefault="000C1D52">
    <w:pPr>
      <w:pStyle w:val="Footer"/>
      <w:framePr w:wrap="around" w:vAnchor="text" w:hAnchor="margin" w:xAlign="center" w:y="1"/>
      <w:rPr>
        <w:rStyle w:val="PageNumber"/>
      </w:rPr>
    </w:pPr>
    <w:r>
      <w:rPr>
        <w:rStyle w:val="PageNumber"/>
      </w:rPr>
      <w:fldChar w:fldCharType="begin"/>
    </w:r>
    <w:r w:rsidR="00DE0DF1">
      <w:rPr>
        <w:rStyle w:val="PageNumber"/>
      </w:rPr>
      <w:instrText xml:space="preserve">PAGE  </w:instrText>
    </w:r>
    <w:r>
      <w:rPr>
        <w:rStyle w:val="PageNumber"/>
      </w:rPr>
      <w:fldChar w:fldCharType="separate"/>
    </w:r>
    <w:r w:rsidR="00166C0C">
      <w:rPr>
        <w:rStyle w:val="PageNumber"/>
        <w:noProof/>
      </w:rPr>
      <w:t>3</w:t>
    </w:r>
    <w:r>
      <w:rPr>
        <w:rStyle w:val="PageNumber"/>
      </w:rPr>
      <w:fldChar w:fldCharType="end"/>
    </w:r>
  </w:p>
  <w:p w:rsidR="00DE0DF1" w:rsidRDefault="00DE0DF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DF1" w:rsidRDefault="00DE0DF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6BF" w:rsidRDefault="006006BF">
      <w:r>
        <w:separator/>
      </w:r>
    </w:p>
  </w:footnote>
  <w:footnote w:type="continuationSeparator" w:id="0">
    <w:p w:rsidR="006006BF" w:rsidRDefault="00600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87B0E5F"/>
    <w:multiLevelType w:val="hybridMultilevel"/>
    <w:tmpl w:val="6024DCC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0385FEC"/>
    <w:multiLevelType w:val="hybridMultilevel"/>
    <w:tmpl w:val="96DAD042"/>
    <w:lvl w:ilvl="0" w:tplc="1F14B768">
      <w:start w:val="1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20A2ED9"/>
    <w:multiLevelType w:val="hybridMultilevel"/>
    <w:tmpl w:val="2928707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0A14F8"/>
    <w:multiLevelType w:val="hybridMultilevel"/>
    <w:tmpl w:val="AAD063C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9A58B4"/>
    <w:multiLevelType w:val="hybridMultilevel"/>
    <w:tmpl w:val="B29CB01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A607B1"/>
    <w:multiLevelType w:val="hybridMultilevel"/>
    <w:tmpl w:val="A268EC6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147097"/>
    <w:multiLevelType w:val="hybridMultilevel"/>
    <w:tmpl w:val="2C4E01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2530831"/>
    <w:multiLevelType w:val="hybridMultilevel"/>
    <w:tmpl w:val="FA30976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FA3D81"/>
    <w:multiLevelType w:val="hybridMultilevel"/>
    <w:tmpl w:val="A1CCB09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405721"/>
    <w:multiLevelType w:val="hybridMultilevel"/>
    <w:tmpl w:val="6AA26398"/>
    <w:lvl w:ilvl="0" w:tplc="E1C8712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744721C"/>
    <w:multiLevelType w:val="hybridMultilevel"/>
    <w:tmpl w:val="1F78A746"/>
    <w:lvl w:ilvl="0" w:tplc="302669EC">
      <w:start w:val="16"/>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nsid w:val="38060FA6"/>
    <w:multiLevelType w:val="hybridMultilevel"/>
    <w:tmpl w:val="7A6056F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6">
    <w:nsid w:val="3B41752D"/>
    <w:multiLevelType w:val="hybridMultilevel"/>
    <w:tmpl w:val="749E701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2F0E04"/>
    <w:multiLevelType w:val="hybridMultilevel"/>
    <w:tmpl w:val="B6AED7CC"/>
    <w:lvl w:ilvl="0" w:tplc="AED0CF84">
      <w:start w:val="15"/>
      <w:numFmt w:val="decimal"/>
      <w:lvlText w:val="%1"/>
      <w:lvlJc w:val="left"/>
      <w:pPr>
        <w:tabs>
          <w:tab w:val="num" w:pos="270"/>
        </w:tabs>
        <w:ind w:left="270" w:hanging="360"/>
      </w:pPr>
      <w:rPr>
        <w:rFonts w:hint="default"/>
        <w:b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3F3172DB"/>
    <w:multiLevelType w:val="hybridMultilevel"/>
    <w:tmpl w:val="B0AA02B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E41A8E"/>
    <w:multiLevelType w:val="hybridMultilevel"/>
    <w:tmpl w:val="F5D697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733EFF"/>
    <w:multiLevelType w:val="hybridMultilevel"/>
    <w:tmpl w:val="1A3E2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79F6008"/>
    <w:multiLevelType w:val="hybridMultilevel"/>
    <w:tmpl w:val="AF748220"/>
    <w:lvl w:ilvl="0" w:tplc="0CDCC4E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1612F2"/>
    <w:multiLevelType w:val="hybridMultilevel"/>
    <w:tmpl w:val="9AC05D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4">
    <w:nsid w:val="5010349E"/>
    <w:multiLevelType w:val="hybridMultilevel"/>
    <w:tmpl w:val="94F033FA"/>
    <w:lvl w:ilvl="0" w:tplc="8938C574">
      <w:start w:val="13"/>
      <w:numFmt w:val="decimal"/>
      <w:lvlText w:val="%1."/>
      <w:lvlJc w:val="left"/>
      <w:pPr>
        <w:tabs>
          <w:tab w:val="num" w:pos="330"/>
        </w:tabs>
        <w:ind w:left="330" w:hanging="4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nsid w:val="540E5DDD"/>
    <w:multiLevelType w:val="hybridMultilevel"/>
    <w:tmpl w:val="9306DC9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6137BB"/>
    <w:multiLevelType w:val="hybridMultilevel"/>
    <w:tmpl w:val="92BEFC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6F820BE"/>
    <w:multiLevelType w:val="hybridMultilevel"/>
    <w:tmpl w:val="19F05EA8"/>
    <w:lvl w:ilvl="0" w:tplc="7DBAAB10">
      <w:start w:val="1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5761B6"/>
    <w:multiLevelType w:val="hybridMultilevel"/>
    <w:tmpl w:val="4C7220D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186B37"/>
    <w:multiLevelType w:val="hybridMultilevel"/>
    <w:tmpl w:val="B938228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BD6A6A"/>
    <w:multiLevelType w:val="hybridMultilevel"/>
    <w:tmpl w:val="74D20B2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FC556F"/>
    <w:multiLevelType w:val="hybridMultilevel"/>
    <w:tmpl w:val="A448D20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A005B0"/>
    <w:multiLevelType w:val="hybridMultilevel"/>
    <w:tmpl w:val="A246DD6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4C7071"/>
    <w:multiLevelType w:val="hybridMultilevel"/>
    <w:tmpl w:val="4746B9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9304D9"/>
    <w:multiLevelType w:val="hybridMultilevel"/>
    <w:tmpl w:val="E23CAD7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8A18FB"/>
    <w:multiLevelType w:val="hybridMultilevel"/>
    <w:tmpl w:val="800AA6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123D4A"/>
    <w:multiLevelType w:val="hybridMultilevel"/>
    <w:tmpl w:val="46AE142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9">
    <w:nsid w:val="77054784"/>
    <w:multiLevelType w:val="hybridMultilevel"/>
    <w:tmpl w:val="EA8A45A8"/>
    <w:lvl w:ilvl="0" w:tplc="8D8CBF9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6040D8"/>
    <w:multiLevelType w:val="hybridMultilevel"/>
    <w:tmpl w:val="20B421A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2">
    <w:nsid w:val="79C95588"/>
    <w:multiLevelType w:val="hybridMultilevel"/>
    <w:tmpl w:val="81DC488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4">
    <w:nsid w:val="7E8A58B4"/>
    <w:multiLevelType w:val="hybridMultilevel"/>
    <w:tmpl w:val="0F70A2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43"/>
  </w:num>
  <w:num w:numId="3">
    <w:abstractNumId w:val="2"/>
  </w:num>
  <w:num w:numId="4">
    <w:abstractNumId w:val="41"/>
  </w:num>
  <w:num w:numId="5">
    <w:abstractNumId w:val="38"/>
  </w:num>
  <w:num w:numId="6">
    <w:abstractNumId w:val="3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6"/>
  </w:num>
  <w:num w:numId="10">
    <w:abstractNumId w:val="19"/>
  </w:num>
  <w:num w:numId="11">
    <w:abstractNumId w:val="20"/>
  </w:num>
  <w:num w:numId="12">
    <w:abstractNumId w:val="9"/>
  </w:num>
  <w:num w:numId="13">
    <w:abstractNumId w:val="33"/>
  </w:num>
  <w:num w:numId="14">
    <w:abstractNumId w:val="25"/>
  </w:num>
  <w:num w:numId="15">
    <w:abstractNumId w:val="11"/>
  </w:num>
  <w:num w:numId="16">
    <w:abstractNumId w:val="1"/>
  </w:num>
  <w:num w:numId="17">
    <w:abstractNumId w:val="36"/>
  </w:num>
  <w:num w:numId="18">
    <w:abstractNumId w:val="22"/>
  </w:num>
  <w:num w:numId="19">
    <w:abstractNumId w:val="30"/>
  </w:num>
  <w:num w:numId="20">
    <w:abstractNumId w:val="5"/>
  </w:num>
  <w:num w:numId="21">
    <w:abstractNumId w:val="6"/>
  </w:num>
  <w:num w:numId="22">
    <w:abstractNumId w:val="16"/>
  </w:num>
  <w:num w:numId="23">
    <w:abstractNumId w:val="18"/>
  </w:num>
  <w:num w:numId="24">
    <w:abstractNumId w:val="31"/>
  </w:num>
  <w:num w:numId="25">
    <w:abstractNumId w:val="29"/>
  </w:num>
  <w:num w:numId="26">
    <w:abstractNumId w:val="7"/>
  </w:num>
  <w:num w:numId="27">
    <w:abstractNumId w:val="14"/>
  </w:num>
  <w:num w:numId="28">
    <w:abstractNumId w:val="37"/>
  </w:num>
  <w:num w:numId="29">
    <w:abstractNumId w:val="42"/>
  </w:num>
  <w:num w:numId="30">
    <w:abstractNumId w:val="40"/>
  </w:num>
  <w:num w:numId="31">
    <w:abstractNumId w:val="35"/>
  </w:num>
  <w:num w:numId="32">
    <w:abstractNumId w:val="8"/>
  </w:num>
  <w:num w:numId="33">
    <w:abstractNumId w:val="44"/>
  </w:num>
  <w:num w:numId="34">
    <w:abstractNumId w:val="10"/>
  </w:num>
  <w:num w:numId="35">
    <w:abstractNumId w:val="12"/>
  </w:num>
  <w:num w:numId="36">
    <w:abstractNumId w:val="34"/>
  </w:num>
  <w:num w:numId="37">
    <w:abstractNumId w:val="39"/>
  </w:num>
  <w:num w:numId="38">
    <w:abstractNumId w:val="21"/>
  </w:num>
  <w:num w:numId="39">
    <w:abstractNumId w:val="27"/>
  </w:num>
  <w:num w:numId="40">
    <w:abstractNumId w:val="24"/>
  </w:num>
  <w:num w:numId="41">
    <w:abstractNumId w:val="17"/>
  </w:num>
  <w:num w:numId="42">
    <w:abstractNumId w:val="28"/>
  </w:num>
  <w:num w:numId="43">
    <w:abstractNumId w:val="3"/>
  </w:num>
  <w:num w:numId="44">
    <w:abstractNumId w:val="13"/>
  </w:num>
  <w:num w:numId="45">
    <w:abstractNumId w:val="32"/>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2576D"/>
    <w:rsid w:val="000454FD"/>
    <w:rsid w:val="0007415A"/>
    <w:rsid w:val="000C1D52"/>
    <w:rsid w:val="000F2E8B"/>
    <w:rsid w:val="00166C0C"/>
    <w:rsid w:val="001F3D4E"/>
    <w:rsid w:val="00245F38"/>
    <w:rsid w:val="00256356"/>
    <w:rsid w:val="00325DB5"/>
    <w:rsid w:val="003939CF"/>
    <w:rsid w:val="0042560E"/>
    <w:rsid w:val="0047601A"/>
    <w:rsid w:val="0049703F"/>
    <w:rsid w:val="004F3ECE"/>
    <w:rsid w:val="0052576D"/>
    <w:rsid w:val="00597612"/>
    <w:rsid w:val="006006BF"/>
    <w:rsid w:val="0061130C"/>
    <w:rsid w:val="006418B3"/>
    <w:rsid w:val="006466DE"/>
    <w:rsid w:val="006F3EFB"/>
    <w:rsid w:val="00714CBF"/>
    <w:rsid w:val="0077287F"/>
    <w:rsid w:val="007C1924"/>
    <w:rsid w:val="007D2F56"/>
    <w:rsid w:val="00804B17"/>
    <w:rsid w:val="008219D8"/>
    <w:rsid w:val="00950B30"/>
    <w:rsid w:val="009564FE"/>
    <w:rsid w:val="009630D5"/>
    <w:rsid w:val="00A45364"/>
    <w:rsid w:val="00AA7B2A"/>
    <w:rsid w:val="00BA3E55"/>
    <w:rsid w:val="00BC779E"/>
    <w:rsid w:val="00BD7E76"/>
    <w:rsid w:val="00C41A48"/>
    <w:rsid w:val="00CC1ACE"/>
    <w:rsid w:val="00D27035"/>
    <w:rsid w:val="00DD0EBF"/>
    <w:rsid w:val="00DE0DF1"/>
    <w:rsid w:val="00F338C0"/>
    <w:rsid w:val="00F8375F"/>
    <w:rsid w:val="00FA2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9CF"/>
    <w:pPr>
      <w:overflowPunct w:val="0"/>
      <w:autoSpaceDE w:val="0"/>
      <w:autoSpaceDN w:val="0"/>
      <w:adjustRightInd w:val="0"/>
      <w:textAlignment w:val="baseline"/>
    </w:pPr>
  </w:style>
  <w:style w:type="paragraph" w:styleId="Heading1">
    <w:name w:val="heading 1"/>
    <w:basedOn w:val="Normal"/>
    <w:next w:val="Normal"/>
    <w:qFormat/>
    <w:rsid w:val="003939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3939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1"/>
    </w:pPr>
    <w:rPr>
      <w:b/>
      <w:sz w:val="22"/>
    </w:rPr>
  </w:style>
  <w:style w:type="paragraph" w:styleId="Heading3">
    <w:name w:val="heading 3"/>
    <w:basedOn w:val="Normal"/>
    <w:next w:val="Normal"/>
    <w:qFormat/>
    <w:rsid w:val="003939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2"/>
    </w:pPr>
    <w:rPr>
      <w:b/>
      <w:sz w:val="24"/>
    </w:rPr>
  </w:style>
  <w:style w:type="paragraph" w:styleId="Heading5">
    <w:name w:val="heading 5"/>
    <w:basedOn w:val="Normal"/>
    <w:next w:val="Normal"/>
    <w:qFormat/>
    <w:rsid w:val="003939CF"/>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939CF"/>
    <w:pPr>
      <w:tabs>
        <w:tab w:val="center" w:pos="4320"/>
        <w:tab w:val="right" w:pos="8640"/>
      </w:tabs>
    </w:pPr>
  </w:style>
  <w:style w:type="paragraph" w:styleId="Footer">
    <w:name w:val="footer"/>
    <w:basedOn w:val="Normal"/>
    <w:semiHidden/>
    <w:rsid w:val="003939CF"/>
    <w:pPr>
      <w:tabs>
        <w:tab w:val="center" w:pos="4320"/>
        <w:tab w:val="right" w:pos="8640"/>
      </w:tabs>
    </w:pPr>
  </w:style>
  <w:style w:type="character" w:styleId="PageNumber">
    <w:name w:val="page number"/>
    <w:basedOn w:val="DefaultParagraphFont"/>
    <w:semiHidden/>
    <w:rsid w:val="003939CF"/>
  </w:style>
  <w:style w:type="paragraph" w:styleId="Title">
    <w:name w:val="Title"/>
    <w:basedOn w:val="Normal"/>
    <w:qFormat/>
    <w:rsid w:val="003939CF"/>
    <w:pPr>
      <w:jc w:val="center"/>
    </w:pPr>
    <w:rPr>
      <w:rFonts w:ascii="Helvetica" w:hAnsi="Helvetica"/>
      <w:b/>
      <w:sz w:val="28"/>
    </w:rPr>
  </w:style>
  <w:style w:type="paragraph" w:styleId="BodyTextIndent">
    <w:name w:val="Body Text Indent"/>
    <w:basedOn w:val="Normal"/>
    <w:semiHidden/>
    <w:rsid w:val="003939CF"/>
    <w:pPr>
      <w:tabs>
        <w:tab w:val="left" w:pos="360"/>
      </w:tabs>
      <w:ind w:left="360" w:hanging="360"/>
    </w:pPr>
    <w:rPr>
      <w:b/>
      <w:bCs/>
      <w:sz w:val="22"/>
    </w:rPr>
  </w:style>
  <w:style w:type="paragraph" w:styleId="BodyTextIndent2">
    <w:name w:val="Body Text Indent 2"/>
    <w:basedOn w:val="Normal"/>
    <w:semiHidden/>
    <w:rsid w:val="003939CF"/>
    <w:pPr>
      <w:tabs>
        <w:tab w:val="left" w:pos="360"/>
        <w:tab w:val="left" w:pos="720"/>
      </w:tabs>
      <w:ind w:left="360"/>
    </w:pPr>
    <w:rPr>
      <w:rFonts w:ascii="Arial" w:hAnsi="Arial" w:cs="Arial"/>
    </w:rPr>
  </w:style>
  <w:style w:type="paragraph" w:styleId="BodyTextIndent3">
    <w:name w:val="Body Text Indent 3"/>
    <w:basedOn w:val="Normal"/>
    <w:semiHidden/>
    <w:rsid w:val="003939CF"/>
    <w:pPr>
      <w:tabs>
        <w:tab w:val="left" w:pos="360"/>
      </w:tabs>
      <w:ind w:left="480"/>
    </w:pPr>
    <w:rPr>
      <w:rFonts w:ascii="Arial" w:hAnsi="Arial" w:cs="Arial"/>
    </w:rPr>
  </w:style>
  <w:style w:type="paragraph" w:styleId="BodyText">
    <w:name w:val="Body Text"/>
    <w:basedOn w:val="Normal"/>
    <w:semiHidden/>
    <w:rsid w:val="003939CF"/>
    <w:pPr>
      <w:tabs>
        <w:tab w:val="left" w:pos="360"/>
        <w:tab w:val="left" w:pos="720"/>
      </w:tabs>
    </w:pPr>
    <w:rPr>
      <w:b/>
      <w:bCs/>
      <w:sz w:val="22"/>
    </w:rPr>
  </w:style>
  <w:style w:type="character" w:styleId="Hyperlink">
    <w:name w:val="Hyperlink"/>
    <w:basedOn w:val="DefaultParagraphFont"/>
    <w:semiHidden/>
    <w:rsid w:val="003939CF"/>
    <w:rPr>
      <w:color w:val="0000FF"/>
      <w:u w:val="single"/>
    </w:rPr>
  </w:style>
  <w:style w:type="paragraph" w:styleId="DocumentMap">
    <w:name w:val="Document Map"/>
    <w:basedOn w:val="Normal"/>
    <w:semiHidden/>
    <w:rsid w:val="003939CF"/>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6F3EFB"/>
    <w:rPr>
      <w:rFonts w:ascii="Tahoma" w:hAnsi="Tahoma" w:cs="Tahoma"/>
      <w:sz w:val="16"/>
      <w:szCs w:val="16"/>
    </w:rPr>
  </w:style>
  <w:style w:type="character" w:customStyle="1" w:styleId="BalloonTextChar">
    <w:name w:val="Balloon Text Char"/>
    <w:basedOn w:val="DefaultParagraphFont"/>
    <w:link w:val="BalloonText"/>
    <w:uiPriority w:val="99"/>
    <w:semiHidden/>
    <w:rsid w:val="006F3E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47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9839</CharactersWithSpaces>
  <SharedDoc>false</SharedDoc>
  <HLinks>
    <vt:vector size="18" baseType="variant">
      <vt:variant>
        <vt:i4>1900605</vt:i4>
      </vt:variant>
      <vt:variant>
        <vt:i4>124</vt:i4>
      </vt:variant>
      <vt:variant>
        <vt:i4>0</vt:i4>
      </vt:variant>
      <vt:variant>
        <vt:i4>5</vt:i4>
      </vt:variant>
      <vt:variant>
        <vt:lpwstr>mailto:dmuha@hudnlha.com</vt:lpwstr>
      </vt:variant>
      <vt:variant>
        <vt:lpwstr/>
      </vt:variant>
      <vt:variant>
        <vt:i4>2424919</vt:i4>
      </vt:variant>
      <vt:variant>
        <vt:i4>121</vt:i4>
      </vt:variant>
      <vt:variant>
        <vt:i4>0</vt:i4>
      </vt:variant>
      <vt:variant>
        <vt:i4>5</vt:i4>
      </vt:variant>
      <vt:variant>
        <vt:lpwstr>mailto:kris.cook@nahma.org</vt:lpwstr>
      </vt:variant>
      <vt:variant>
        <vt:lpwstr/>
      </vt:variant>
      <vt:variant>
        <vt:i4>786477</vt:i4>
      </vt:variant>
      <vt:variant>
        <vt:i4>118</vt:i4>
      </vt:variant>
      <vt:variant>
        <vt:i4>0</vt:i4>
      </vt:variant>
      <vt:variant>
        <vt:i4>5</vt:i4>
      </vt:variant>
      <vt:variant>
        <vt:lpwstr>mailto:CBLOOM@AAHSA.ORG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H11824</cp:lastModifiedBy>
  <cp:revision>4</cp:revision>
  <cp:lastPrinted>2011-05-09T15:19:00Z</cp:lastPrinted>
  <dcterms:created xsi:type="dcterms:W3CDTF">2011-05-09T15:20:00Z</dcterms:created>
  <dcterms:modified xsi:type="dcterms:W3CDTF">2011-11-28T18:00:00Z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446655384</vt:i4>
  </property>
  <property fmtid="{D5CDD505-2E9C-101B-9397-08002B2CF9AE}" pid="3" name="_NewReviewCycle">
    <vt:lpwstr/>
  </property>
  <property fmtid="{D5CDD505-2E9C-101B-9397-08002B2CF9AE}" pid="4" name="_EmailSubject">
    <vt:lpwstr>Sending OMB comments on "Budget-Based Rent Increase"</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1396454928</vt:i4>
  </property>
  <property fmtid="{D5CDD505-2E9C-101B-9397-08002B2CF9AE}" pid="8" name="_ReviewingToolsShownOnce">
    <vt:lpwstr/>
  </property>
</Properties>
</file>