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CA0" w:rsidRDefault="00CE3CA0" w:rsidP="00CE3CA0">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03E15">
        <w:rPr>
          <w:sz w:val="28"/>
        </w:rPr>
        <w:t>2700-0153</w:t>
      </w:r>
      <w:r>
        <w:rPr>
          <w:sz w:val="28"/>
        </w:rPr>
        <w:t>)</w:t>
      </w:r>
    </w:p>
    <w:p w:rsidR="00CE3CA0" w:rsidRPr="009239AA" w:rsidRDefault="00157894" w:rsidP="00CE3CA0">
      <w:pPr>
        <w:rPr>
          <w:b/>
        </w:rPr>
      </w:pPr>
      <w:r>
        <w:rPr>
          <w:b/>
          <w:noProof/>
        </w:rPr>
        <w:pict>
          <v:line id="_x0000_s1027" style="position:absolute;z-index:251657728" from="0,0" to="468pt,0" o:allowincell="f" strokeweight="1.5pt"/>
        </w:pict>
      </w:r>
      <w:r w:rsidR="00CE3CA0" w:rsidRPr="00434E33">
        <w:rPr>
          <w:b/>
        </w:rPr>
        <w:t>TITLE OF INFORMATION COLLECTION:</w:t>
      </w:r>
      <w:r w:rsidR="00CE3CA0">
        <w:t xml:space="preserve">  IGCCE FY2011 </w:t>
      </w:r>
      <w:proofErr w:type="spellStart"/>
      <w:r w:rsidR="00CE3CA0">
        <w:t>Awardee</w:t>
      </w:r>
      <w:proofErr w:type="spellEnd"/>
      <w:r w:rsidR="00CE3CA0">
        <w:t xml:space="preserve"> Entrance Questionnaire</w:t>
      </w:r>
    </w:p>
    <w:p w:rsidR="00CE3CA0" w:rsidRDefault="00CE3CA0"/>
    <w:p w:rsidR="00CE3CA0" w:rsidRDefault="00CE3CA0">
      <w:r>
        <w:rPr>
          <w:b/>
        </w:rPr>
        <w:t>PURPOSE</w:t>
      </w:r>
      <w:r w:rsidRPr="009239AA">
        <w:rPr>
          <w:b/>
        </w:rPr>
        <w:t xml:space="preserve">:  </w:t>
      </w:r>
    </w:p>
    <w:p w:rsidR="00CE3CA0" w:rsidRDefault="00CE3CA0"/>
    <w:p w:rsidR="00CE3CA0" w:rsidRDefault="00CE3CA0">
      <w:r>
        <w:t>Satisfaction survey in order to gain feedback from Principal Investigators of projects selected for cooperative agreement awards in the FY2011 proposal cycle for IGCCE (Innovations in Global Climate Change Education, now NASA Innovations in Climate Education or NICE). The requested feedback pertains to overall satisfaction with the proposal process that all of the awardees undertook, and is focused on identifying difficulties in that process. The feedback will be used to plan future workshops and to clarify language in future versions of NICE funding solicitations. This is part of an overall effort on the part of the NICE management team to provide better services for the Principal Investigators and proposers.</w:t>
      </w:r>
    </w:p>
    <w:p w:rsidR="00CE3CA0" w:rsidRDefault="00CE3CA0" w:rsidP="00CE3CA0">
      <w:pPr>
        <w:pStyle w:val="Header"/>
        <w:tabs>
          <w:tab w:val="clear" w:pos="4320"/>
          <w:tab w:val="clear" w:pos="8640"/>
        </w:tabs>
        <w:rPr>
          <w:b/>
        </w:rPr>
      </w:pPr>
    </w:p>
    <w:p w:rsidR="00CE3CA0" w:rsidRPr="00434E33" w:rsidRDefault="00CE3CA0" w:rsidP="00CE3CA0">
      <w:pPr>
        <w:pStyle w:val="Header"/>
        <w:tabs>
          <w:tab w:val="clear" w:pos="4320"/>
          <w:tab w:val="clear" w:pos="8640"/>
        </w:tabs>
        <w:rPr>
          <w:i/>
          <w:snapToGrid/>
        </w:rPr>
      </w:pPr>
      <w:r w:rsidRPr="00434E33">
        <w:rPr>
          <w:b/>
        </w:rPr>
        <w:t>DESCRIPTION OF RESPONDENTS</w:t>
      </w:r>
      <w:r>
        <w:t xml:space="preserve">: </w:t>
      </w:r>
    </w:p>
    <w:p w:rsidR="00CE3CA0" w:rsidRDefault="00CE3CA0"/>
    <w:p w:rsidR="00CE3CA0" w:rsidRDefault="00CE3CA0">
      <w:r>
        <w:t xml:space="preserve">Principal Investigators of FY2011 </w:t>
      </w:r>
      <w:proofErr w:type="spellStart"/>
      <w:r>
        <w:t>awardee</w:t>
      </w:r>
      <w:proofErr w:type="spellEnd"/>
      <w:r>
        <w:t xml:space="preserve"> projects in the IGCCE/NICE program. These principal investigators include faculty and staff at academic institutions and nonprofit organizations.</w:t>
      </w:r>
    </w:p>
    <w:p w:rsidR="00CE3CA0" w:rsidRDefault="00CE3CA0">
      <w:pPr>
        <w:rPr>
          <w:b/>
        </w:rPr>
      </w:pPr>
    </w:p>
    <w:p w:rsidR="00CE3CA0" w:rsidRDefault="00CE3CA0">
      <w:pPr>
        <w:rPr>
          <w:b/>
        </w:rPr>
      </w:pPr>
    </w:p>
    <w:p w:rsidR="00CE3CA0" w:rsidRPr="00F06866" w:rsidRDefault="00CE3CA0">
      <w:pPr>
        <w:rPr>
          <w:b/>
        </w:rPr>
      </w:pPr>
      <w:r>
        <w:rPr>
          <w:b/>
        </w:rPr>
        <w:t>TYPE OF COLLECTION:</w:t>
      </w:r>
      <w:r w:rsidRPr="00F06866">
        <w:t xml:space="preserve"> (Check one)</w:t>
      </w:r>
    </w:p>
    <w:p w:rsidR="00CE3CA0" w:rsidRPr="00434E33" w:rsidRDefault="00CE3CA0" w:rsidP="00CE3CA0">
      <w:pPr>
        <w:pStyle w:val="BodyTextIndent"/>
        <w:tabs>
          <w:tab w:val="left" w:pos="360"/>
        </w:tabs>
        <w:ind w:left="0"/>
        <w:rPr>
          <w:bCs/>
          <w:sz w:val="16"/>
          <w:szCs w:val="16"/>
        </w:rPr>
      </w:pPr>
    </w:p>
    <w:p w:rsidR="00CE3CA0" w:rsidRPr="00F06866" w:rsidRDefault="00CE3CA0" w:rsidP="00CE3CA0">
      <w:pPr>
        <w:pStyle w:val="BodyTextIndent"/>
        <w:tabs>
          <w:tab w:val="left" w:pos="360"/>
        </w:tabs>
        <w:ind w:left="0"/>
        <w:rPr>
          <w:bCs/>
          <w:sz w:val="24"/>
        </w:rPr>
      </w:pPr>
      <w:r w:rsidRPr="00F06866">
        <w:rPr>
          <w:bCs/>
          <w:sz w:val="24"/>
        </w:rPr>
        <w:t xml:space="preserve">[ ] Customer Comment Card/Complaint Form </w:t>
      </w:r>
      <w:r w:rsidRPr="00F06866">
        <w:rPr>
          <w:bCs/>
          <w:sz w:val="24"/>
        </w:rPr>
        <w:tab/>
      </w:r>
      <w:proofErr w:type="gramStart"/>
      <w:r w:rsidRPr="00F06866">
        <w:rPr>
          <w:bCs/>
          <w:sz w:val="24"/>
        </w:rPr>
        <w:t xml:space="preserve">[ </w:t>
      </w:r>
      <w:r>
        <w:rPr>
          <w:bCs/>
          <w:sz w:val="24"/>
        </w:rPr>
        <w:t>X</w:t>
      </w:r>
      <w:proofErr w:type="gramEnd"/>
      <w:r w:rsidRPr="00F06866">
        <w:rPr>
          <w:bCs/>
          <w:sz w:val="24"/>
        </w:rPr>
        <w:t xml:space="preserve">] Customer Satisfaction Survey    </w:t>
      </w:r>
    </w:p>
    <w:p w:rsidR="00CE3CA0" w:rsidRDefault="00CE3CA0" w:rsidP="00CE3CA0">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CE3CA0" w:rsidRPr="00F06866" w:rsidRDefault="00CE3CA0" w:rsidP="00CE3CA0">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CE3CA0" w:rsidRDefault="00CE3CA0">
      <w:pPr>
        <w:pStyle w:val="Header"/>
        <w:tabs>
          <w:tab w:val="clear" w:pos="4320"/>
          <w:tab w:val="clear" w:pos="8640"/>
        </w:tabs>
      </w:pPr>
    </w:p>
    <w:p w:rsidR="00CE3CA0" w:rsidRDefault="00CE3CA0">
      <w:pPr>
        <w:rPr>
          <w:b/>
        </w:rPr>
      </w:pPr>
      <w:r>
        <w:rPr>
          <w:b/>
        </w:rPr>
        <w:t>CERTIFICATION:</w:t>
      </w:r>
    </w:p>
    <w:p w:rsidR="00CE3CA0" w:rsidRDefault="00CE3CA0">
      <w:pPr>
        <w:rPr>
          <w:sz w:val="16"/>
          <w:szCs w:val="16"/>
        </w:rPr>
      </w:pPr>
    </w:p>
    <w:p w:rsidR="00CE3CA0" w:rsidRPr="009C13B9" w:rsidRDefault="00CE3CA0" w:rsidP="00CE3CA0">
      <w:r>
        <w:t xml:space="preserve">I certify the following to be true: </w:t>
      </w:r>
    </w:p>
    <w:p w:rsidR="00CE3CA0" w:rsidRDefault="00CE3CA0" w:rsidP="00CE3CA0">
      <w:pPr>
        <w:pStyle w:val="ColorfulList-Accent11"/>
        <w:numPr>
          <w:ilvl w:val="0"/>
          <w:numId w:val="14"/>
        </w:numPr>
      </w:pPr>
      <w:r>
        <w:t>The collection is voluntary.</w:t>
      </w:r>
      <w:r w:rsidRPr="00C14CC4">
        <w:t xml:space="preserve"> </w:t>
      </w:r>
    </w:p>
    <w:p w:rsidR="00CE3CA0" w:rsidRDefault="00CE3CA0" w:rsidP="00CE3CA0">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CE3CA0" w:rsidRDefault="00CE3CA0" w:rsidP="00CE3CA0">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CE3CA0" w:rsidRDefault="00CE3CA0" w:rsidP="00CE3CA0">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CE3CA0" w:rsidRDefault="00CE3CA0" w:rsidP="00CE3CA0">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CE3CA0" w:rsidRDefault="00CE3CA0" w:rsidP="00CE3CA0">
      <w:pPr>
        <w:pStyle w:val="ColorfulList-Accent11"/>
        <w:numPr>
          <w:ilvl w:val="0"/>
          <w:numId w:val="14"/>
        </w:numPr>
      </w:pPr>
      <w:r>
        <w:t>The collection is targeted to the solicitation of opinions from respondents who have experience with the program or may have experience with the program in the future.</w:t>
      </w:r>
    </w:p>
    <w:p w:rsidR="00CE3CA0" w:rsidRDefault="00CE3CA0" w:rsidP="00CE3CA0"/>
    <w:p w:rsidR="00CE3CA0" w:rsidRDefault="00CE3CA0" w:rsidP="00CE3CA0">
      <w:proofErr w:type="spellStart"/>
      <w:r>
        <w:t>Name</w:t>
      </w:r>
      <w:proofErr w:type="gramStart"/>
      <w:r>
        <w:t>:_</w:t>
      </w:r>
      <w:proofErr w:type="gramEnd"/>
      <w:r>
        <w:t>________________Ann</w:t>
      </w:r>
      <w:proofErr w:type="spellEnd"/>
      <w:r>
        <w:t xml:space="preserve"> M. Martin__________________________</w:t>
      </w:r>
    </w:p>
    <w:p w:rsidR="00CE3CA0" w:rsidRDefault="00CE3CA0" w:rsidP="00CE3CA0">
      <w:pPr>
        <w:pStyle w:val="ColorfulList-Accent11"/>
        <w:ind w:left="360"/>
      </w:pPr>
    </w:p>
    <w:p w:rsidR="00CE3CA0" w:rsidRDefault="00CE3CA0" w:rsidP="00CE3CA0">
      <w:r>
        <w:t>To assist review, please provide answers to the following question:</w:t>
      </w:r>
    </w:p>
    <w:p w:rsidR="00CE3CA0" w:rsidRDefault="00CE3CA0" w:rsidP="00CE3CA0">
      <w:pPr>
        <w:pStyle w:val="ColorfulList-Accent11"/>
        <w:ind w:left="360"/>
      </w:pPr>
    </w:p>
    <w:p w:rsidR="00CE3CA0" w:rsidRPr="00C86E91" w:rsidRDefault="00CE3CA0" w:rsidP="00CE3CA0">
      <w:pPr>
        <w:rPr>
          <w:b/>
        </w:rPr>
      </w:pPr>
      <w:r w:rsidRPr="00C86E91">
        <w:rPr>
          <w:b/>
        </w:rPr>
        <w:t>Personally Identifiable Information:</w:t>
      </w:r>
    </w:p>
    <w:p w:rsidR="00CE3CA0" w:rsidRDefault="00CE3CA0" w:rsidP="00CE3CA0">
      <w:pPr>
        <w:pStyle w:val="ColorfulList-Accent11"/>
        <w:numPr>
          <w:ilvl w:val="0"/>
          <w:numId w:val="18"/>
        </w:numPr>
      </w:pPr>
      <w:r>
        <w:t xml:space="preserve">Is personally identifiable information (PII) collected?  [  ] Yes  [X ]  No </w:t>
      </w:r>
    </w:p>
    <w:p w:rsidR="00CE3CA0" w:rsidRDefault="00CE3CA0" w:rsidP="00CE3CA0">
      <w:pPr>
        <w:pStyle w:val="ColorfulList-Accent11"/>
        <w:numPr>
          <w:ilvl w:val="0"/>
          <w:numId w:val="18"/>
        </w:numPr>
      </w:pPr>
      <w:r>
        <w:lastRenderedPageBreak/>
        <w:t xml:space="preserve">If </w:t>
      </w:r>
      <w:proofErr w:type="gramStart"/>
      <w:r>
        <w:t>Yes</w:t>
      </w:r>
      <w:proofErr w:type="gramEnd"/>
      <w:r>
        <w:t xml:space="preserve">, will any information that is collected be included in records that are subject to the Privacy Act of 1974?   [  ] Yes [  ] No   </w:t>
      </w:r>
    </w:p>
    <w:p w:rsidR="00CE3CA0" w:rsidRDefault="00CE3CA0" w:rsidP="00CE3CA0">
      <w:pPr>
        <w:pStyle w:val="ColorfulList-Accent11"/>
        <w:numPr>
          <w:ilvl w:val="0"/>
          <w:numId w:val="18"/>
        </w:numPr>
      </w:pPr>
      <w:r>
        <w:t xml:space="preserve">If </w:t>
      </w:r>
      <w:proofErr w:type="gramStart"/>
      <w:r>
        <w:t>Yes</w:t>
      </w:r>
      <w:proofErr w:type="gramEnd"/>
      <w:r>
        <w:t>, has an up-to-date System of Records Notice (SORN) been published?  [  ] Yes  [  ] No</w:t>
      </w:r>
    </w:p>
    <w:p w:rsidR="00CE3CA0" w:rsidRDefault="00CE3CA0" w:rsidP="00CE3CA0">
      <w:pPr>
        <w:pStyle w:val="ColorfulList-Accent11"/>
        <w:ind w:left="0"/>
        <w:rPr>
          <w:b/>
        </w:rPr>
      </w:pPr>
    </w:p>
    <w:p w:rsidR="00CE3CA0" w:rsidRPr="00C86E91" w:rsidRDefault="00CE3CA0" w:rsidP="00CE3CA0">
      <w:pPr>
        <w:pStyle w:val="ColorfulList-Accent11"/>
        <w:ind w:left="0"/>
        <w:rPr>
          <w:b/>
        </w:rPr>
      </w:pPr>
      <w:r>
        <w:rPr>
          <w:b/>
        </w:rPr>
        <w:t>Gifts or Payments:</w:t>
      </w:r>
    </w:p>
    <w:p w:rsidR="00CE3CA0" w:rsidRDefault="00CE3CA0" w:rsidP="00CE3CA0">
      <w:r>
        <w:t xml:space="preserve">Is an incentive (e.g., money or reimbursement of expenses, token of appreciation) provided to participants?  [  ] Yes </w:t>
      </w:r>
      <w:proofErr w:type="gramStart"/>
      <w:r>
        <w:t>[ X</w:t>
      </w:r>
      <w:proofErr w:type="gramEnd"/>
      <w:r>
        <w:t xml:space="preserve"> ] No  </w:t>
      </w:r>
    </w:p>
    <w:p w:rsidR="00CE3CA0" w:rsidRDefault="00CE3CA0">
      <w:pPr>
        <w:rPr>
          <w:b/>
        </w:rPr>
      </w:pPr>
    </w:p>
    <w:p w:rsidR="00CE3CA0" w:rsidRDefault="00CE3CA0">
      <w:pPr>
        <w:rPr>
          <w:b/>
        </w:rPr>
      </w:pPr>
    </w:p>
    <w:p w:rsidR="00CE3CA0" w:rsidRDefault="00CE3CA0" w:rsidP="00CE3CA0">
      <w:pPr>
        <w:rPr>
          <w:i/>
        </w:rPr>
      </w:pPr>
      <w:r>
        <w:rPr>
          <w:b/>
        </w:rPr>
        <w:t>BURDEN HOURS</w:t>
      </w:r>
      <w:r>
        <w:t xml:space="preserve"> </w:t>
      </w:r>
    </w:p>
    <w:p w:rsidR="00CE3CA0" w:rsidRPr="006832D9" w:rsidRDefault="00CE3CA0" w:rsidP="00CE3CA0">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CE3CA0">
        <w:trPr>
          <w:trHeight w:val="274"/>
        </w:trPr>
        <w:tc>
          <w:tcPr>
            <w:tcW w:w="5418" w:type="dxa"/>
          </w:tcPr>
          <w:p w:rsidR="00CE3CA0" w:rsidRPr="0001027E" w:rsidRDefault="00CE3CA0" w:rsidP="00CE3CA0">
            <w:pPr>
              <w:rPr>
                <w:b/>
              </w:rPr>
            </w:pPr>
            <w:r w:rsidRPr="0001027E">
              <w:rPr>
                <w:b/>
              </w:rPr>
              <w:t xml:space="preserve">Category of Respondent </w:t>
            </w:r>
          </w:p>
        </w:tc>
        <w:tc>
          <w:tcPr>
            <w:tcW w:w="1530" w:type="dxa"/>
          </w:tcPr>
          <w:p w:rsidR="00CE3CA0" w:rsidRPr="0001027E" w:rsidRDefault="00CE3CA0" w:rsidP="00CE3CA0">
            <w:pPr>
              <w:rPr>
                <w:b/>
              </w:rPr>
            </w:pPr>
            <w:r w:rsidRPr="0001027E">
              <w:rPr>
                <w:b/>
              </w:rPr>
              <w:t>No. of Respondents</w:t>
            </w:r>
          </w:p>
        </w:tc>
        <w:tc>
          <w:tcPr>
            <w:tcW w:w="1710" w:type="dxa"/>
          </w:tcPr>
          <w:p w:rsidR="00CE3CA0" w:rsidRPr="0001027E" w:rsidRDefault="00CE3CA0" w:rsidP="00CE3CA0">
            <w:pPr>
              <w:rPr>
                <w:b/>
              </w:rPr>
            </w:pPr>
            <w:r w:rsidRPr="0001027E">
              <w:rPr>
                <w:b/>
              </w:rPr>
              <w:t>Participation Time</w:t>
            </w:r>
          </w:p>
        </w:tc>
        <w:tc>
          <w:tcPr>
            <w:tcW w:w="1003" w:type="dxa"/>
          </w:tcPr>
          <w:p w:rsidR="00CE3CA0" w:rsidRPr="0001027E" w:rsidRDefault="00CE3CA0" w:rsidP="00CE3CA0">
            <w:pPr>
              <w:rPr>
                <w:b/>
              </w:rPr>
            </w:pPr>
            <w:r w:rsidRPr="0001027E">
              <w:rPr>
                <w:b/>
              </w:rPr>
              <w:t>Burden</w:t>
            </w:r>
          </w:p>
        </w:tc>
      </w:tr>
      <w:tr w:rsidR="00CE3CA0">
        <w:trPr>
          <w:trHeight w:val="274"/>
        </w:trPr>
        <w:tc>
          <w:tcPr>
            <w:tcW w:w="5418" w:type="dxa"/>
          </w:tcPr>
          <w:p w:rsidR="00CE3CA0" w:rsidRDefault="00CE3CA0" w:rsidP="00CE3CA0">
            <w:r>
              <w:t>Individuals</w:t>
            </w:r>
          </w:p>
        </w:tc>
        <w:tc>
          <w:tcPr>
            <w:tcW w:w="1530" w:type="dxa"/>
          </w:tcPr>
          <w:p w:rsidR="00CE3CA0" w:rsidRDefault="00CE3CA0" w:rsidP="00CE3CA0">
            <w:r>
              <w:t>14</w:t>
            </w:r>
          </w:p>
        </w:tc>
        <w:tc>
          <w:tcPr>
            <w:tcW w:w="1710" w:type="dxa"/>
          </w:tcPr>
          <w:p w:rsidR="00CE3CA0" w:rsidRDefault="00CE3CA0" w:rsidP="00CE3CA0">
            <w:r>
              <w:t>5 minutes</w:t>
            </w:r>
          </w:p>
        </w:tc>
        <w:tc>
          <w:tcPr>
            <w:tcW w:w="1003" w:type="dxa"/>
          </w:tcPr>
          <w:p w:rsidR="00CE3CA0" w:rsidRDefault="00CE3CA0" w:rsidP="00CE3CA0">
            <w:r>
              <w:t>70 minutes</w:t>
            </w:r>
          </w:p>
        </w:tc>
      </w:tr>
      <w:tr w:rsidR="00CE3CA0">
        <w:trPr>
          <w:trHeight w:val="274"/>
        </w:trPr>
        <w:tc>
          <w:tcPr>
            <w:tcW w:w="5418" w:type="dxa"/>
          </w:tcPr>
          <w:p w:rsidR="00CE3CA0" w:rsidRDefault="00CE3CA0" w:rsidP="00CE3CA0"/>
        </w:tc>
        <w:tc>
          <w:tcPr>
            <w:tcW w:w="1530" w:type="dxa"/>
          </w:tcPr>
          <w:p w:rsidR="00CE3CA0" w:rsidRDefault="00CE3CA0" w:rsidP="00CE3CA0"/>
        </w:tc>
        <w:tc>
          <w:tcPr>
            <w:tcW w:w="1710" w:type="dxa"/>
          </w:tcPr>
          <w:p w:rsidR="00CE3CA0" w:rsidRDefault="00CE3CA0" w:rsidP="00CE3CA0"/>
        </w:tc>
        <w:tc>
          <w:tcPr>
            <w:tcW w:w="1003" w:type="dxa"/>
          </w:tcPr>
          <w:p w:rsidR="00CE3CA0" w:rsidRDefault="00CE3CA0" w:rsidP="00CE3CA0"/>
        </w:tc>
      </w:tr>
      <w:tr w:rsidR="00CE3CA0">
        <w:trPr>
          <w:trHeight w:val="289"/>
        </w:trPr>
        <w:tc>
          <w:tcPr>
            <w:tcW w:w="5418" w:type="dxa"/>
          </w:tcPr>
          <w:p w:rsidR="00CE3CA0" w:rsidRPr="0001027E" w:rsidRDefault="00CE3CA0" w:rsidP="00CE3CA0">
            <w:pPr>
              <w:rPr>
                <w:b/>
              </w:rPr>
            </w:pPr>
            <w:r w:rsidRPr="0001027E">
              <w:rPr>
                <w:b/>
              </w:rPr>
              <w:t>Totals</w:t>
            </w:r>
          </w:p>
        </w:tc>
        <w:tc>
          <w:tcPr>
            <w:tcW w:w="1530" w:type="dxa"/>
          </w:tcPr>
          <w:p w:rsidR="00CE3CA0" w:rsidRPr="0001027E" w:rsidRDefault="00CE3CA0" w:rsidP="00CE3CA0">
            <w:pPr>
              <w:rPr>
                <w:b/>
              </w:rPr>
            </w:pPr>
            <w:r>
              <w:rPr>
                <w:b/>
              </w:rPr>
              <w:t>14</w:t>
            </w:r>
          </w:p>
        </w:tc>
        <w:tc>
          <w:tcPr>
            <w:tcW w:w="1710" w:type="dxa"/>
          </w:tcPr>
          <w:p w:rsidR="00CE3CA0" w:rsidRPr="005F203C" w:rsidRDefault="00CE3CA0" w:rsidP="00CE3CA0">
            <w:pPr>
              <w:rPr>
                <w:b/>
              </w:rPr>
            </w:pPr>
            <w:r>
              <w:rPr>
                <w:b/>
              </w:rPr>
              <w:t>5 minutes</w:t>
            </w:r>
          </w:p>
        </w:tc>
        <w:tc>
          <w:tcPr>
            <w:tcW w:w="1003" w:type="dxa"/>
          </w:tcPr>
          <w:p w:rsidR="00CE3CA0" w:rsidRPr="0001027E" w:rsidRDefault="00CE3CA0" w:rsidP="00CE3CA0">
            <w:pPr>
              <w:rPr>
                <w:b/>
              </w:rPr>
            </w:pPr>
            <w:r>
              <w:rPr>
                <w:b/>
              </w:rPr>
              <w:t>70 minutes</w:t>
            </w:r>
          </w:p>
        </w:tc>
      </w:tr>
    </w:tbl>
    <w:p w:rsidR="00CE3CA0" w:rsidRDefault="00CE3CA0" w:rsidP="00CE3CA0"/>
    <w:p w:rsidR="00CE3CA0" w:rsidRDefault="00CE3CA0">
      <w:pPr>
        <w:rPr>
          <w:b/>
        </w:rPr>
      </w:pPr>
      <w:r>
        <w:rPr>
          <w:b/>
        </w:rPr>
        <w:t xml:space="preserve">FEDERAL COST:  </w:t>
      </w:r>
      <w:r>
        <w:t>The estimated annual cost to the Federal government is  __$1750__________</w:t>
      </w:r>
      <w:r w:rsidRPr="000A390D">
        <w:t xml:space="preserve"> </w:t>
      </w:r>
      <w:r>
        <w:t>The cost is based on an annualized effort of 10 person-hours for administration and data collection, and 60 person-hours of analysis and synthesis, at the postdoctoral fellow’s rate of $25/hour.</w:t>
      </w:r>
    </w:p>
    <w:p w:rsidR="00CE3CA0" w:rsidRDefault="00CE3CA0">
      <w:pPr>
        <w:rPr>
          <w:b/>
          <w:bCs/>
          <w:u w:val="single"/>
        </w:rPr>
      </w:pPr>
    </w:p>
    <w:p w:rsidR="00CE3CA0" w:rsidRDefault="00CE3CA0" w:rsidP="00CE3CA0">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CE3CA0" w:rsidRDefault="00CE3CA0" w:rsidP="00CE3CA0">
      <w:pPr>
        <w:rPr>
          <w:b/>
        </w:rPr>
      </w:pPr>
    </w:p>
    <w:p w:rsidR="00CE3CA0" w:rsidRDefault="00CE3CA0" w:rsidP="00CE3CA0">
      <w:pPr>
        <w:rPr>
          <w:b/>
        </w:rPr>
      </w:pPr>
      <w:r>
        <w:rPr>
          <w:b/>
        </w:rPr>
        <w:t>The selection of your targeted respondents</w:t>
      </w:r>
    </w:p>
    <w:p w:rsidR="00CE3CA0" w:rsidRDefault="00CE3CA0" w:rsidP="00CE3CA0">
      <w:pPr>
        <w:pStyle w:val="ColorfulList-Accent11"/>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6D52CF">
        <w:t xml:space="preserve"> </w:t>
      </w:r>
      <w:r>
        <w:t>] Yes</w:t>
      </w:r>
      <w:r>
        <w:tab/>
        <w:t>[</w:t>
      </w:r>
      <w:r w:rsidR="006D52CF">
        <w:t>X</w:t>
      </w:r>
      <w:r>
        <w:t>] No</w:t>
      </w:r>
    </w:p>
    <w:p w:rsidR="00CE3CA0" w:rsidRDefault="00CE3CA0" w:rsidP="00CE3CA0">
      <w:pPr>
        <w:pStyle w:val="ColorfulList-Accent11"/>
      </w:pPr>
    </w:p>
    <w:p w:rsidR="00CE3CA0" w:rsidRDefault="00CE3CA0" w:rsidP="00CE3CA0">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CE3CA0" w:rsidRDefault="00CE3CA0" w:rsidP="00CE3CA0">
      <w:pPr>
        <w:pStyle w:val="ColorfulList-Accent11"/>
      </w:pPr>
    </w:p>
    <w:p w:rsidR="00CE3CA0" w:rsidRDefault="00CE3CA0" w:rsidP="00CE3CA0">
      <w:r>
        <w:tab/>
        <w:t>The survey will be sent to the Principal Investigator of each project selected for cooperative agreement funding in the IGCCE/NICE FY2011 funding cycle.</w:t>
      </w:r>
    </w:p>
    <w:p w:rsidR="00CE3CA0" w:rsidRDefault="00CE3CA0" w:rsidP="00CE3CA0"/>
    <w:p w:rsidR="00CE3CA0" w:rsidRDefault="00CE3CA0" w:rsidP="00CE3CA0">
      <w:pPr>
        <w:rPr>
          <w:b/>
        </w:rPr>
      </w:pPr>
    </w:p>
    <w:p w:rsidR="00CE3CA0" w:rsidRDefault="00CE3CA0" w:rsidP="00CE3CA0">
      <w:pPr>
        <w:rPr>
          <w:b/>
        </w:rPr>
      </w:pPr>
      <w:r>
        <w:rPr>
          <w:b/>
        </w:rPr>
        <w:t>Administration of the Instrument</w:t>
      </w:r>
    </w:p>
    <w:p w:rsidR="00CE3CA0" w:rsidRDefault="00CE3CA0" w:rsidP="00CE3CA0">
      <w:pPr>
        <w:pStyle w:val="ColorfulList-Accent11"/>
        <w:numPr>
          <w:ilvl w:val="0"/>
          <w:numId w:val="17"/>
        </w:numPr>
      </w:pPr>
      <w:r>
        <w:t>How will you collect the information? (Check all that apply)</w:t>
      </w:r>
    </w:p>
    <w:p w:rsidR="00CE3CA0" w:rsidRDefault="00CE3CA0" w:rsidP="00CE3CA0">
      <w:pPr>
        <w:ind w:left="720"/>
      </w:pPr>
      <w:proofErr w:type="gramStart"/>
      <w:r>
        <w:t>[ X</w:t>
      </w:r>
      <w:proofErr w:type="gramEnd"/>
      <w:r>
        <w:t xml:space="preserve"> ] Web-based or other forms of Social Media </w:t>
      </w:r>
    </w:p>
    <w:p w:rsidR="00CE3CA0" w:rsidRDefault="00CE3CA0" w:rsidP="00CE3CA0">
      <w:pPr>
        <w:ind w:left="720"/>
      </w:pPr>
      <w:r>
        <w:t>[  ] Telephone</w:t>
      </w:r>
      <w:r>
        <w:tab/>
      </w:r>
    </w:p>
    <w:p w:rsidR="00CE3CA0" w:rsidRDefault="00CE3CA0" w:rsidP="00CE3CA0">
      <w:pPr>
        <w:ind w:left="720"/>
      </w:pPr>
      <w:r>
        <w:t>[  ] In-person</w:t>
      </w:r>
      <w:r>
        <w:tab/>
      </w:r>
    </w:p>
    <w:p w:rsidR="00CE3CA0" w:rsidRDefault="00CE3CA0" w:rsidP="00CE3CA0">
      <w:pPr>
        <w:ind w:left="720"/>
      </w:pPr>
      <w:r>
        <w:t xml:space="preserve">[  ] Mail </w:t>
      </w:r>
    </w:p>
    <w:p w:rsidR="00CE3CA0" w:rsidRDefault="00CE3CA0" w:rsidP="00CE3CA0">
      <w:pPr>
        <w:ind w:left="720"/>
      </w:pPr>
      <w:r>
        <w:t>[  ] Other, Explain</w:t>
      </w:r>
    </w:p>
    <w:p w:rsidR="00CE3CA0" w:rsidRDefault="00CE3CA0" w:rsidP="00CE3CA0">
      <w:pPr>
        <w:pStyle w:val="ColorfulList-Accent11"/>
        <w:numPr>
          <w:ilvl w:val="0"/>
          <w:numId w:val="17"/>
        </w:numPr>
      </w:pPr>
      <w:r>
        <w:t>Will interviewers or facilitators be used?  [  ] Yes [ X ] No</w:t>
      </w:r>
    </w:p>
    <w:sectPr w:rsidR="00CE3CA0" w:rsidSect="00CE3CA0">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CA0" w:rsidRDefault="00CE3CA0">
      <w:r>
        <w:separator/>
      </w:r>
    </w:p>
  </w:endnote>
  <w:endnote w:type="continuationSeparator" w:id="0">
    <w:p w:rsidR="00CE3CA0" w:rsidRDefault="00CE3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CA0" w:rsidRDefault="00157894">
    <w:pPr>
      <w:pStyle w:val="Footer"/>
      <w:tabs>
        <w:tab w:val="clear" w:pos="8640"/>
        <w:tab w:val="right" w:pos="9000"/>
      </w:tabs>
      <w:jc w:val="center"/>
      <w:rPr>
        <w:iCs/>
        <w:sz w:val="20"/>
        <w:szCs w:val="20"/>
      </w:rPr>
    </w:pPr>
    <w:r>
      <w:rPr>
        <w:rStyle w:val="PageNumber"/>
        <w:sz w:val="20"/>
        <w:szCs w:val="20"/>
      </w:rPr>
      <w:fldChar w:fldCharType="begin"/>
    </w:r>
    <w:r w:rsidR="00CE3CA0">
      <w:rPr>
        <w:rStyle w:val="PageNumber"/>
        <w:sz w:val="20"/>
        <w:szCs w:val="20"/>
      </w:rPr>
      <w:instrText xml:space="preserve"> PAGE </w:instrText>
    </w:r>
    <w:r>
      <w:rPr>
        <w:rStyle w:val="PageNumber"/>
        <w:sz w:val="20"/>
        <w:szCs w:val="20"/>
      </w:rPr>
      <w:fldChar w:fldCharType="separate"/>
    </w:r>
    <w:r w:rsidR="006D52CF">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CA0" w:rsidRDefault="00CE3CA0">
      <w:r>
        <w:separator/>
      </w:r>
    </w:p>
  </w:footnote>
  <w:footnote w:type="continuationSeparator" w:id="0">
    <w:p w:rsidR="00CE3CA0" w:rsidRDefault="00CE3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Symbol"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Symbol"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Symbol"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Symbo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Symbo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Symbo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D6383F"/>
    <w:rsid w:val="00157894"/>
    <w:rsid w:val="005C00F7"/>
    <w:rsid w:val="006D52CF"/>
    <w:rsid w:val="00CE3CA0"/>
    <w:rsid w:val="00D6383F"/>
    <w:rsid w:val="00F03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643</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lparker3</cp:lastModifiedBy>
  <cp:revision>2</cp:revision>
  <cp:lastPrinted>2010-10-04T15:59:00Z</cp:lastPrinted>
  <dcterms:created xsi:type="dcterms:W3CDTF">2011-10-04T15:02:00Z</dcterms:created>
  <dcterms:modified xsi:type="dcterms:W3CDTF">2011-10-04T15:02:00Z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