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A89" w:rsidRPr="002F7C95" w:rsidRDefault="00B90A89" w:rsidP="00B90A89">
      <w:pPr>
        <w:widowControl w:val="0"/>
        <w:autoSpaceDE w:val="0"/>
        <w:autoSpaceDN w:val="0"/>
        <w:adjustRightInd w:val="0"/>
        <w:jc w:val="center"/>
        <w:rPr>
          <w:b/>
          <w:bCs/>
          <w:sz w:val="28"/>
          <w:szCs w:val="28"/>
        </w:rPr>
      </w:pPr>
      <w:r w:rsidRPr="002F7C95">
        <w:rPr>
          <w:b/>
          <w:bCs/>
          <w:sz w:val="28"/>
          <w:szCs w:val="28"/>
        </w:rPr>
        <w:t xml:space="preserve">NATIONAL PRACTITIONER DATA BANK (NPDB) REGULATIONS </w:t>
      </w:r>
    </w:p>
    <w:p w:rsidR="00B90A89" w:rsidRPr="002F7C95" w:rsidRDefault="00B90A89" w:rsidP="00B90A89">
      <w:pPr>
        <w:widowControl w:val="0"/>
        <w:autoSpaceDE w:val="0"/>
        <w:autoSpaceDN w:val="0"/>
        <w:adjustRightInd w:val="0"/>
        <w:jc w:val="center"/>
        <w:rPr>
          <w:b/>
          <w:bCs/>
          <w:sz w:val="28"/>
          <w:szCs w:val="28"/>
        </w:rPr>
      </w:pPr>
      <w:r w:rsidRPr="002F7C95">
        <w:rPr>
          <w:b/>
          <w:bCs/>
          <w:sz w:val="28"/>
          <w:szCs w:val="28"/>
        </w:rPr>
        <w:t>2900-0621</w:t>
      </w:r>
    </w:p>
    <w:p w:rsidR="008F4D51" w:rsidRPr="00241591" w:rsidRDefault="008F4D51" w:rsidP="0018790F">
      <w:pPr>
        <w:tabs>
          <w:tab w:val="left" w:pos="547"/>
          <w:tab w:val="left" w:pos="1080"/>
          <w:tab w:val="left" w:pos="1627"/>
          <w:tab w:val="left" w:pos="2160"/>
          <w:tab w:val="left" w:pos="2880"/>
        </w:tabs>
        <w:rPr>
          <w:b/>
        </w:rPr>
      </w:pPr>
    </w:p>
    <w:p w:rsidR="0018790F" w:rsidRPr="00241591" w:rsidRDefault="0018790F" w:rsidP="0018790F">
      <w:pPr>
        <w:tabs>
          <w:tab w:val="left" w:pos="547"/>
          <w:tab w:val="left" w:pos="1080"/>
          <w:tab w:val="left" w:pos="1627"/>
          <w:tab w:val="left" w:pos="2160"/>
          <w:tab w:val="left" w:pos="2880"/>
        </w:tabs>
        <w:rPr>
          <w:b/>
        </w:rPr>
      </w:pPr>
      <w:r w:rsidRPr="00241591">
        <w:rPr>
          <w:b/>
        </w:rPr>
        <w:t>1.</w:t>
      </w:r>
      <w:r w:rsidRPr="00241591">
        <w:rPr>
          <w:b/>
        </w:rPr>
        <w:tab/>
        <w:t>Explain the circumstances that make the collection of information necessary.  Identify legal or administrative requirements that necessitate the collection of information.</w:t>
      </w:r>
    </w:p>
    <w:p w:rsidR="002A6147" w:rsidRPr="00241591" w:rsidRDefault="002A6147" w:rsidP="00396856">
      <w:pPr>
        <w:widowControl w:val="0"/>
        <w:tabs>
          <w:tab w:val="left" w:pos="498"/>
        </w:tabs>
        <w:autoSpaceDE w:val="0"/>
        <w:autoSpaceDN w:val="0"/>
        <w:adjustRightInd w:val="0"/>
        <w:rPr>
          <w:bCs/>
        </w:rPr>
      </w:pPr>
    </w:p>
    <w:p w:rsidR="00BB187C" w:rsidRPr="00241591" w:rsidRDefault="00BB187C" w:rsidP="00BB187C">
      <w:pPr>
        <w:widowControl w:val="0"/>
        <w:tabs>
          <w:tab w:val="left" w:pos="498"/>
        </w:tabs>
        <w:autoSpaceDE w:val="0"/>
        <w:autoSpaceDN w:val="0"/>
        <w:adjustRightInd w:val="0"/>
      </w:pPr>
      <w:r w:rsidRPr="00241591">
        <w:tab/>
        <w:t>Under the provisions of the Health Care Quality Improvement Act of 1986, which established the National Practitioner Data Bank</w:t>
      </w:r>
      <w:r w:rsidR="00F84C04" w:rsidRPr="00241591">
        <w:t xml:space="preserve"> – Health Integrity and Protection Data Bank</w:t>
      </w:r>
      <w:r w:rsidRPr="00241591">
        <w:t xml:space="preserve"> (NPDB</w:t>
      </w:r>
      <w:r w:rsidR="00F84C04" w:rsidRPr="00241591">
        <w:t xml:space="preserve"> – HIPDB</w:t>
      </w:r>
      <w:r w:rsidRPr="00241591">
        <w:t>), and a Memorandum of Understanding (MOU) between the Department of Veterans Affairs (VA) and the Department of Health and Human Services (HHS), VA medical treatment facilities are required to query the NPDB at the time of initial appointment to a VA medical treatment facility, any time a change in privileges occurs and at the time of reappointment to the medical staff of the facility (a minimum of every 2 years)</w:t>
      </w:r>
      <w:r w:rsidR="002352FC" w:rsidRPr="00241591">
        <w:t xml:space="preserve"> of any </w:t>
      </w:r>
      <w:r w:rsidR="004246EA" w:rsidRPr="00241591">
        <w:t xml:space="preserve">licensed independent </w:t>
      </w:r>
      <w:r w:rsidR="002352FC" w:rsidRPr="00241591">
        <w:t>healthcare professional</w:t>
      </w:r>
      <w:r w:rsidRPr="00241591">
        <w:t xml:space="preserve">.  </w:t>
      </w:r>
      <w:r w:rsidR="004165C0">
        <w:t xml:space="preserve">In 2007, at the direction of the Under Secretary for Health, VA medical treatment facilities enrolled all licensed independent provider in the NPDB Proactive Disclosure/Continuous Query Service which provides an automatic, ongoing monitoring against the NPDB.  </w:t>
      </w:r>
      <w:r w:rsidRPr="00241591">
        <w:t>In accordance with 38 CFR, Chapter 1, Part 46, information is collected so that VA can consider if malpractice payments were made related to substandard care, professional incompetence, or professional misconduct on the part of a physician, dentist, or other licensed health care practitioner.</w:t>
      </w:r>
    </w:p>
    <w:p w:rsidR="00BB187C" w:rsidRPr="00241591" w:rsidRDefault="00BB187C" w:rsidP="00396856">
      <w:pPr>
        <w:widowControl w:val="0"/>
        <w:tabs>
          <w:tab w:val="left" w:pos="498"/>
        </w:tabs>
        <w:autoSpaceDE w:val="0"/>
        <w:autoSpaceDN w:val="0"/>
        <w:adjustRightInd w:val="0"/>
        <w:rPr>
          <w:bCs/>
        </w:rPr>
      </w:pPr>
    </w:p>
    <w:p w:rsidR="0056154B" w:rsidRPr="00241591" w:rsidRDefault="0056154B" w:rsidP="005E79E7">
      <w:pPr>
        <w:pStyle w:val="BodyText2"/>
        <w:spacing w:after="0" w:line="240" w:lineRule="auto"/>
      </w:pPr>
      <w:r w:rsidRPr="00241591">
        <w:tab/>
      </w:r>
      <w:r w:rsidR="00BB187C" w:rsidRPr="00241591">
        <w:t>Additionally, c</w:t>
      </w:r>
      <w:r w:rsidRPr="00241591">
        <w:t>omplete and thorough credentialing is required to assure that only qualified healthcare professionals provide care to our Nation’s veterans.  The term credentialing refers to the systematic process of screening and evaluating qualifications and other credentials, including licensure, required education, relevant training and experience, current</w:t>
      </w:r>
      <w:r w:rsidR="00BB187C" w:rsidRPr="00241591">
        <w:t xml:space="preserve"> competence and health status.</w:t>
      </w:r>
    </w:p>
    <w:p w:rsidR="0056154B" w:rsidRPr="00241591" w:rsidRDefault="0056154B" w:rsidP="005E79E7">
      <w:pPr>
        <w:widowControl w:val="0"/>
        <w:tabs>
          <w:tab w:val="left" w:pos="498"/>
        </w:tabs>
        <w:autoSpaceDE w:val="0"/>
        <w:autoSpaceDN w:val="0"/>
        <w:adjustRightInd w:val="0"/>
        <w:rPr>
          <w:bCs/>
        </w:rPr>
      </w:pPr>
    </w:p>
    <w:p w:rsidR="0018790F" w:rsidRPr="00241591" w:rsidRDefault="0018790F" w:rsidP="0018790F">
      <w:pPr>
        <w:tabs>
          <w:tab w:val="left" w:pos="547"/>
          <w:tab w:val="left" w:pos="1080"/>
          <w:tab w:val="left" w:pos="1627"/>
          <w:tab w:val="left" w:pos="2160"/>
          <w:tab w:val="left" w:pos="2880"/>
        </w:tabs>
      </w:pPr>
      <w:r w:rsidRPr="00241591">
        <w:rPr>
          <w:b/>
        </w:rPr>
        <w:t>2.</w:t>
      </w:r>
      <w:r w:rsidRPr="00241591">
        <w:rPr>
          <w:b/>
        </w:rPr>
        <w:tab/>
        <w:t>Indicate how, by whom, and for what purposes the information is to be used; indicate actual use the agency has made of the information received from current collection.</w:t>
      </w:r>
    </w:p>
    <w:p w:rsidR="00490443" w:rsidRPr="00241591" w:rsidRDefault="00490443" w:rsidP="00490443">
      <w:pPr>
        <w:widowControl w:val="0"/>
        <w:tabs>
          <w:tab w:val="left" w:pos="498"/>
        </w:tabs>
        <w:autoSpaceDE w:val="0"/>
        <w:autoSpaceDN w:val="0"/>
        <w:adjustRightInd w:val="0"/>
        <w:spacing w:line="272" w:lineRule="exact"/>
      </w:pPr>
    </w:p>
    <w:p w:rsidR="00377BCA" w:rsidRPr="00241591" w:rsidRDefault="000B03DB" w:rsidP="002B0EBA">
      <w:pPr>
        <w:pStyle w:val="BodyText"/>
        <w:tabs>
          <w:tab w:val="clear" w:pos="204"/>
          <w:tab w:val="left" w:pos="540"/>
        </w:tabs>
        <w:rPr>
          <w:b w:val="0"/>
        </w:rPr>
      </w:pPr>
      <w:r w:rsidRPr="00241591">
        <w:rPr>
          <w:b w:val="0"/>
        </w:rPr>
        <w:t>VA credentialers designated in each medical treatment facility verify information provided on the 10-2850</w:t>
      </w:r>
      <w:r w:rsidR="005A732A" w:rsidRPr="00241591">
        <w:rPr>
          <w:b w:val="0"/>
        </w:rPr>
        <w:t>,</w:t>
      </w:r>
      <w:r w:rsidRPr="00241591">
        <w:rPr>
          <w:b w:val="0"/>
        </w:rPr>
        <w:t xml:space="preserve"> </w:t>
      </w:r>
      <w:r w:rsidR="005A732A" w:rsidRPr="00241591">
        <w:rPr>
          <w:b w:val="0"/>
        </w:rPr>
        <w:t>Application for</w:t>
      </w:r>
      <w:r w:rsidR="002352FC" w:rsidRPr="00241591">
        <w:t xml:space="preserve"> </w:t>
      </w:r>
      <w:r w:rsidR="002352FC" w:rsidRPr="00241591">
        <w:rPr>
          <w:b w:val="0"/>
        </w:rPr>
        <w:t>Physicians, Dentists, Podiatrists, Optometrists &amp; Chiropractors</w:t>
      </w:r>
      <w:r w:rsidR="005A732A" w:rsidRPr="00241591">
        <w:rPr>
          <w:b w:val="0"/>
        </w:rPr>
        <w:t xml:space="preserve">, </w:t>
      </w:r>
      <w:r w:rsidR="004246EA" w:rsidRPr="00241591">
        <w:rPr>
          <w:b w:val="0"/>
        </w:rPr>
        <w:t xml:space="preserve">10-2850a Application for Nurse and Nurse Anesthetist, </w:t>
      </w:r>
      <w:r w:rsidRPr="00241591">
        <w:rPr>
          <w:b w:val="0"/>
        </w:rPr>
        <w:t>and 10-2850c</w:t>
      </w:r>
      <w:r w:rsidR="005A732A" w:rsidRPr="00241591">
        <w:rPr>
          <w:b w:val="0"/>
        </w:rPr>
        <w:t>, Application for Associated Health Occupations</w:t>
      </w:r>
      <w:r w:rsidR="00C06C01" w:rsidRPr="00241591">
        <w:rPr>
          <w:b w:val="0"/>
        </w:rPr>
        <w:t xml:space="preserve"> approved under </w:t>
      </w:r>
      <w:r w:rsidR="00241591">
        <w:rPr>
          <w:b w:val="0"/>
        </w:rPr>
        <w:t xml:space="preserve">OMB number </w:t>
      </w:r>
      <w:r w:rsidR="00C06C01" w:rsidRPr="00241591">
        <w:rPr>
          <w:b w:val="0"/>
        </w:rPr>
        <w:t>2900-0205</w:t>
      </w:r>
      <w:r w:rsidR="00377BCA" w:rsidRPr="00241591">
        <w:rPr>
          <w:b w:val="0"/>
        </w:rPr>
        <w:t>.  Th</w:t>
      </w:r>
      <w:r w:rsidR="005A732A" w:rsidRPr="00241591">
        <w:rPr>
          <w:b w:val="0"/>
        </w:rPr>
        <w:t xml:space="preserve">e </w:t>
      </w:r>
      <w:r w:rsidR="00377BCA" w:rsidRPr="00241591">
        <w:rPr>
          <w:b w:val="0"/>
        </w:rPr>
        <w:t xml:space="preserve">information is </w:t>
      </w:r>
      <w:r w:rsidR="005A732A" w:rsidRPr="00241591">
        <w:rPr>
          <w:b w:val="0"/>
        </w:rPr>
        <w:t xml:space="preserve">verified </w:t>
      </w:r>
      <w:r w:rsidR="00F84C04" w:rsidRPr="00241591">
        <w:rPr>
          <w:b w:val="0"/>
        </w:rPr>
        <w:t xml:space="preserve">by </w:t>
      </w:r>
      <w:r w:rsidR="00377BCA" w:rsidRPr="00241591">
        <w:rPr>
          <w:b w:val="0"/>
        </w:rPr>
        <w:t xml:space="preserve">the primary source (the organization that provided the education or training or granted the license).  The primary sources include state licensing board, the educational institution (over 125 medical schools, 7800 training program in over 400 facilities), registrations and certification, and references through written correspondence, documented telephone calls, internet web sites, and electronic requests through VetPro, VHA’s electronic credentials system by the credentialing staff at the medical center.  VetPro facilitates many of these queries by allowing the credentialing staff to click a button for a letter generation to the primary source or electronic query.  Information received is documented in VetPro including incorporation of a scanned document so that in the future additional queries are not required.  The collected information is used by the medical center leadership to evaluate the qualifications, skills, and abilities and make decisions whether to appoint of these healthcare practitioners to care for our Nation’s veterans.  </w:t>
      </w:r>
    </w:p>
    <w:p w:rsidR="00377BCA" w:rsidRPr="00241591" w:rsidRDefault="00377BCA" w:rsidP="00377BCA">
      <w:pPr>
        <w:pStyle w:val="Heade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pPr>
    </w:p>
    <w:p w:rsidR="0018790F" w:rsidRPr="00241591" w:rsidRDefault="00B90A89" w:rsidP="0018790F">
      <w:pPr>
        <w:tabs>
          <w:tab w:val="left" w:pos="547"/>
          <w:tab w:val="left" w:pos="1080"/>
          <w:tab w:val="left" w:pos="1627"/>
          <w:tab w:val="left" w:pos="2160"/>
          <w:tab w:val="left" w:pos="2880"/>
        </w:tabs>
      </w:pPr>
      <w:r>
        <w:rPr>
          <w:b/>
        </w:rPr>
        <w:br w:type="page"/>
      </w:r>
      <w:r w:rsidR="0018790F" w:rsidRPr="00241591">
        <w:rPr>
          <w:b/>
        </w:rPr>
        <w:t>3.</w:t>
      </w:r>
      <w:r w:rsidR="0018790F" w:rsidRPr="00241591">
        <w:rPr>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0018790F" w:rsidRPr="00241591">
        <w:rPr>
          <w:b/>
        </w:rPr>
        <w:t>Also described any consideration of using information technology to reduce burden.</w:t>
      </w:r>
      <w:proofErr w:type="gramEnd"/>
    </w:p>
    <w:p w:rsidR="0018790F" w:rsidRPr="00241591" w:rsidRDefault="0018790F" w:rsidP="0018790F">
      <w:pPr>
        <w:tabs>
          <w:tab w:val="left" w:pos="547"/>
          <w:tab w:val="left" w:pos="1080"/>
          <w:tab w:val="left" w:pos="1627"/>
          <w:tab w:val="left" w:pos="2160"/>
          <w:tab w:val="left" w:pos="2880"/>
        </w:tabs>
      </w:pPr>
    </w:p>
    <w:p w:rsidR="009E3231" w:rsidRPr="00241591" w:rsidRDefault="009E3231" w:rsidP="00941E11">
      <w:pPr>
        <w:pStyle w:val="BodyText"/>
        <w:tabs>
          <w:tab w:val="clear" w:pos="204"/>
          <w:tab w:val="left" w:pos="540"/>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val="0"/>
        </w:rPr>
      </w:pPr>
      <w:r w:rsidRPr="00241591">
        <w:rPr>
          <w:b w:val="0"/>
        </w:rPr>
        <w:tab/>
      </w:r>
      <w:r w:rsidR="00C40922" w:rsidRPr="00241591">
        <w:rPr>
          <w:b w:val="0"/>
        </w:rPr>
        <w:t>In the past few years, many State licensing boards have facilitated the ability to obtain these verifications electronically through automated facsimile or the Internet.  Where it is possible, VA is encouraging the electronic verification of credentials and has facilitated this through electronic interfaces between VA’s VetPro and the NPDB</w:t>
      </w:r>
      <w:r w:rsidR="00F84C04" w:rsidRPr="00241591">
        <w:rPr>
          <w:b w:val="0"/>
        </w:rPr>
        <w:t xml:space="preserve"> – HIPDB</w:t>
      </w:r>
      <w:r w:rsidR="00C40922" w:rsidRPr="00241591">
        <w:rPr>
          <w:b w:val="0"/>
        </w:rPr>
        <w:t xml:space="preserve"> as well as the Federation of State Medical Boards (FSMB).  Technology has afforded VA the ability to verify the non-time limited information of education and training once and incorporate it into the electronic record (VetPro).  This eliminates the need for </w:t>
      </w:r>
      <w:proofErr w:type="spellStart"/>
      <w:r w:rsidR="00C40922" w:rsidRPr="00241591">
        <w:rPr>
          <w:b w:val="0"/>
        </w:rPr>
        <w:t>reverifi</w:t>
      </w:r>
      <w:r w:rsidR="00B941AF" w:rsidRPr="00241591">
        <w:rPr>
          <w:b w:val="0"/>
        </w:rPr>
        <w:t>cation</w:t>
      </w:r>
      <w:proofErr w:type="spellEnd"/>
      <w:r w:rsidR="00C40922" w:rsidRPr="00241591">
        <w:rPr>
          <w:b w:val="0"/>
        </w:rPr>
        <w:t xml:space="preserve"> when a healthcare provider moves or is shared between facilities.  </w:t>
      </w:r>
      <w:r w:rsidR="00B941AF" w:rsidRPr="00241591">
        <w:rPr>
          <w:b w:val="0"/>
        </w:rPr>
        <w:t>However, m</w:t>
      </w:r>
      <w:r w:rsidRPr="00241591">
        <w:rPr>
          <w:b w:val="0"/>
        </w:rPr>
        <w:t xml:space="preserve">uch of the process involves an individual responding to VA’s query.  </w:t>
      </w:r>
      <w:r w:rsidR="007E1DC9">
        <w:rPr>
          <w:b w:val="0"/>
        </w:rPr>
        <w:t xml:space="preserve">In March 2011, the Records Control System, RCS 10-1, 10Q, Health Care Provider Credentialing and Privileging Records, was amended to move to a paperless environment so all </w:t>
      </w:r>
      <w:r w:rsidRPr="00241591">
        <w:rPr>
          <w:b w:val="0"/>
        </w:rPr>
        <w:t xml:space="preserve">records are maintained electronically, but an individual </w:t>
      </w:r>
      <w:r w:rsidR="007E1DC9">
        <w:rPr>
          <w:b w:val="0"/>
        </w:rPr>
        <w:t xml:space="preserve">is required to obtain the verification and document the </w:t>
      </w:r>
      <w:r w:rsidRPr="00241591">
        <w:rPr>
          <w:b w:val="0"/>
        </w:rPr>
        <w:t>response.  Th</w:t>
      </w:r>
      <w:r w:rsidR="00C40922" w:rsidRPr="00241591">
        <w:rPr>
          <w:b w:val="0"/>
        </w:rPr>
        <w:t>e burden reflects the time</w:t>
      </w:r>
      <w:r w:rsidRPr="00241591">
        <w:rPr>
          <w:b w:val="0"/>
        </w:rPr>
        <w:t xml:space="preserve"> </w:t>
      </w:r>
      <w:r w:rsidR="00C40922" w:rsidRPr="00241591">
        <w:rPr>
          <w:b w:val="0"/>
        </w:rPr>
        <w:t xml:space="preserve">expended on </w:t>
      </w:r>
      <w:r w:rsidR="00B941AF" w:rsidRPr="00241591">
        <w:rPr>
          <w:b w:val="0"/>
        </w:rPr>
        <w:t xml:space="preserve">these </w:t>
      </w:r>
      <w:r w:rsidRPr="00241591">
        <w:rPr>
          <w:b w:val="0"/>
        </w:rPr>
        <w:t>verifications of education and training information as well as personal references.</w:t>
      </w:r>
    </w:p>
    <w:p w:rsidR="009E3231" w:rsidRPr="00241591" w:rsidRDefault="009E3231" w:rsidP="009E3231">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pPr>
    </w:p>
    <w:p w:rsidR="005F7CA5" w:rsidRPr="00241591" w:rsidRDefault="005F7CA5" w:rsidP="005F7CA5">
      <w:pPr>
        <w:tabs>
          <w:tab w:val="left" w:pos="547"/>
          <w:tab w:val="left" w:pos="1080"/>
          <w:tab w:val="left" w:pos="1627"/>
          <w:tab w:val="left" w:pos="2160"/>
          <w:tab w:val="left" w:pos="2880"/>
        </w:tabs>
        <w:rPr>
          <w:b/>
        </w:rPr>
      </w:pPr>
      <w:r w:rsidRPr="00241591">
        <w:rPr>
          <w:b/>
        </w:rPr>
        <w:t>4.</w:t>
      </w:r>
      <w:r w:rsidRPr="00241591">
        <w:rPr>
          <w:b/>
        </w:rPr>
        <w:tab/>
        <w:t>Describe efforts to identify duplication.  Show specifically why any similar information already available cannot be used or modified for use for the purposes described in Item 2 above.</w:t>
      </w:r>
    </w:p>
    <w:p w:rsidR="00A84BF0" w:rsidRPr="00241591" w:rsidRDefault="00A84BF0" w:rsidP="00377BCA">
      <w:pPr>
        <w:pStyle w:val="Heade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pPr>
    </w:p>
    <w:p w:rsidR="00377BCA" w:rsidRPr="00241591" w:rsidRDefault="00377BCA" w:rsidP="00377BCA">
      <w:pPr>
        <w:pStyle w:val="Heade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pPr>
      <w:r w:rsidRPr="00241591">
        <w:tab/>
        <w:t xml:space="preserve">When VA introduced VetPro in 2001, one objective was to reduce the duplication created when a provider transfers to another facility.  The incorporation of the verification into the electronic credentials record </w:t>
      </w:r>
      <w:r w:rsidR="00A84BF0" w:rsidRPr="00241591">
        <w:t xml:space="preserve">(VetPro) </w:t>
      </w:r>
      <w:r w:rsidRPr="00241591">
        <w:t xml:space="preserve">has reduced this duplication since the electronic file is now shared or transferred as appropriate. </w:t>
      </w:r>
    </w:p>
    <w:p w:rsidR="00377BCA" w:rsidRPr="00241591" w:rsidRDefault="00377BCA" w:rsidP="00377BCA">
      <w:pPr>
        <w:pStyle w:val="Heade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pPr>
    </w:p>
    <w:p w:rsidR="007D2B64" w:rsidRPr="00241591" w:rsidRDefault="007D2B64" w:rsidP="007D2B64">
      <w:pPr>
        <w:tabs>
          <w:tab w:val="left" w:pos="547"/>
          <w:tab w:val="left" w:pos="1080"/>
          <w:tab w:val="left" w:pos="1627"/>
          <w:tab w:val="left" w:pos="2160"/>
          <w:tab w:val="left" w:pos="2880"/>
        </w:tabs>
        <w:rPr>
          <w:b/>
        </w:rPr>
      </w:pPr>
      <w:r w:rsidRPr="00241591">
        <w:rPr>
          <w:b/>
        </w:rPr>
        <w:t>5.</w:t>
      </w:r>
      <w:r w:rsidRPr="00241591">
        <w:rPr>
          <w:b/>
        </w:rPr>
        <w:tab/>
        <w:t>If the collection of information impacts small businesses or other small entities, describe any methods used to minimize burden.</w:t>
      </w:r>
    </w:p>
    <w:p w:rsidR="009E3231" w:rsidRPr="00241591" w:rsidRDefault="009E3231" w:rsidP="007D2B64">
      <w:pPr>
        <w:pStyle w:val="Header"/>
        <w:tabs>
          <w:tab w:val="clear" w:pos="4320"/>
          <w:tab w:val="clear" w:pos="8640"/>
          <w:tab w:val="left" w:pos="547"/>
          <w:tab w:val="left" w:pos="1080"/>
          <w:tab w:val="left" w:pos="1627"/>
          <w:tab w:val="left" w:pos="2160"/>
          <w:tab w:val="left" w:pos="2880"/>
        </w:tabs>
      </w:pPr>
    </w:p>
    <w:p w:rsidR="00C97B8C" w:rsidRPr="00241591" w:rsidRDefault="00C878E7" w:rsidP="00C878E7">
      <w:pPr>
        <w:widowControl w:val="0"/>
        <w:tabs>
          <w:tab w:val="left" w:pos="538"/>
        </w:tabs>
        <w:autoSpaceDE w:val="0"/>
        <w:autoSpaceDN w:val="0"/>
        <w:adjustRightInd w:val="0"/>
        <w:spacing w:line="283" w:lineRule="exact"/>
      </w:pPr>
      <w:r w:rsidRPr="00241591">
        <w:tab/>
      </w:r>
      <w:r w:rsidR="005A2E0F" w:rsidRPr="00241591">
        <w:t>No small businesses or other small entities are impacted by th</w:t>
      </w:r>
      <w:r w:rsidR="00A84BF0" w:rsidRPr="00241591">
        <w:t xml:space="preserve">e NPDB </w:t>
      </w:r>
      <w:r w:rsidR="005A2E0F" w:rsidRPr="00241591">
        <w:t>information collection.</w:t>
      </w:r>
      <w:r w:rsidR="00A84BF0" w:rsidRPr="00241591">
        <w:t xml:space="preserve">  </w:t>
      </w:r>
      <w:r w:rsidR="00C97B8C" w:rsidRPr="00241591">
        <w:t>Th</w:t>
      </w:r>
      <w:r w:rsidR="00A84BF0" w:rsidRPr="00241591">
        <w:t xml:space="preserve">e remaining </w:t>
      </w:r>
      <w:r w:rsidR="00C97B8C" w:rsidRPr="00241591">
        <w:t>collection of information is a standard business practice in the healthcare industry.  Every effort has been made to streamline the data collection and to limit the data collected to that considered an industry standard.  VA facilitates the queries completed on paper by providing a self-addressed, stamped envelope.</w:t>
      </w:r>
    </w:p>
    <w:p w:rsidR="005A2E0F" w:rsidRPr="00241591" w:rsidRDefault="005A2E0F" w:rsidP="00396856">
      <w:pPr>
        <w:widowControl w:val="0"/>
        <w:tabs>
          <w:tab w:val="left" w:pos="538"/>
        </w:tabs>
        <w:autoSpaceDE w:val="0"/>
        <w:autoSpaceDN w:val="0"/>
        <w:adjustRightInd w:val="0"/>
        <w:spacing w:line="283" w:lineRule="exact"/>
      </w:pPr>
    </w:p>
    <w:p w:rsidR="007D2B64" w:rsidRPr="00241591" w:rsidRDefault="007D2B64" w:rsidP="007D2B64">
      <w:pPr>
        <w:tabs>
          <w:tab w:val="left" w:pos="547"/>
          <w:tab w:val="left" w:pos="1080"/>
          <w:tab w:val="left" w:pos="1627"/>
          <w:tab w:val="left" w:pos="2160"/>
          <w:tab w:val="left" w:pos="2880"/>
        </w:tabs>
        <w:rPr>
          <w:b/>
        </w:rPr>
      </w:pPr>
      <w:r w:rsidRPr="00241591">
        <w:rPr>
          <w:b/>
        </w:rPr>
        <w:t>6.</w:t>
      </w:r>
      <w:r w:rsidRPr="00241591">
        <w:rPr>
          <w:b/>
        </w:rPr>
        <w:tab/>
        <w:t>Describe the consequences to Federal program or policy activities if the collection is not conducted or is conducted less frequently as well as any technical or legal obstacles to reducing burden.</w:t>
      </w:r>
    </w:p>
    <w:p w:rsidR="006C4848" w:rsidRPr="00241591" w:rsidRDefault="006C4848" w:rsidP="006C4848">
      <w:pPr>
        <w:tabs>
          <w:tab w:val="left" w:pos="547"/>
          <w:tab w:val="left" w:pos="1080"/>
          <w:tab w:val="left" w:pos="1627"/>
          <w:tab w:val="left" w:pos="2160"/>
          <w:tab w:val="left" w:pos="2880"/>
        </w:tabs>
      </w:pPr>
    </w:p>
    <w:p w:rsidR="00547404" w:rsidRPr="00241591" w:rsidRDefault="00D23CAC" w:rsidP="00D23CAC">
      <w:pPr>
        <w:widowControl w:val="0"/>
        <w:tabs>
          <w:tab w:val="left" w:pos="538"/>
        </w:tabs>
        <w:autoSpaceDE w:val="0"/>
        <w:autoSpaceDN w:val="0"/>
        <w:adjustRightInd w:val="0"/>
        <w:spacing w:line="283" w:lineRule="exact"/>
      </w:pPr>
      <w:r w:rsidRPr="00241591">
        <w:tab/>
        <w:t>T</w:t>
      </w:r>
      <w:r w:rsidR="00547404" w:rsidRPr="00241591">
        <w:t xml:space="preserve">he collection is performed once at the time of initial appointment to a VA medical treatment facility with all time limited information </w:t>
      </w:r>
      <w:proofErr w:type="spellStart"/>
      <w:r w:rsidR="00547404" w:rsidRPr="00241591">
        <w:t>reverified</w:t>
      </w:r>
      <w:proofErr w:type="spellEnd"/>
      <w:r w:rsidR="00547404" w:rsidRPr="00241591">
        <w:t xml:space="preserve"> at expiration and at the time of reappraisal, a minimum of every two years.  This is required by the Joint Commission </w:t>
      </w:r>
      <w:r w:rsidRPr="00241591">
        <w:t>(</w:t>
      </w:r>
      <w:r w:rsidR="007E1DC9">
        <w:t>T</w:t>
      </w:r>
      <w:r w:rsidRPr="00241591">
        <w:t xml:space="preserve">JC) </w:t>
      </w:r>
      <w:r w:rsidR="00547404" w:rsidRPr="00241591">
        <w:t>who accredits VA healthcare facilities.  The query of the NPDB</w:t>
      </w:r>
      <w:r w:rsidR="00F84C04" w:rsidRPr="00241591">
        <w:t xml:space="preserve"> – HIPDB</w:t>
      </w:r>
      <w:r w:rsidR="00547404" w:rsidRPr="00241591">
        <w:t xml:space="preserve"> is required by the MOU with </w:t>
      </w:r>
      <w:r w:rsidRPr="00241591">
        <w:t>the Department of Health and Human Services (</w:t>
      </w:r>
      <w:r w:rsidR="00547404" w:rsidRPr="00241591">
        <w:t>HHS</w:t>
      </w:r>
      <w:r w:rsidRPr="00241591">
        <w:t>)</w:t>
      </w:r>
      <w:r w:rsidR="00547404" w:rsidRPr="00241591">
        <w:t xml:space="preserve"> in order to be in compliance with the Health Care Quality Improvement Act.  Frequency cannot be reduced or we violate compliance with </w:t>
      </w:r>
      <w:r w:rsidR="007E1DC9">
        <w:t>T</w:t>
      </w:r>
      <w:r w:rsidR="00547404" w:rsidRPr="00241591">
        <w:t xml:space="preserve">JC Accreditation Standards </w:t>
      </w:r>
      <w:r w:rsidRPr="00241591">
        <w:t>and</w:t>
      </w:r>
      <w:r w:rsidR="00547404" w:rsidRPr="00241591">
        <w:t xml:space="preserve"> the Memo of Understanding (MOU) with Health and Human Services (HHS) maintained.</w:t>
      </w:r>
    </w:p>
    <w:p w:rsidR="005F68CA" w:rsidRPr="00241591" w:rsidRDefault="005F68CA" w:rsidP="00547404">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pPr>
    </w:p>
    <w:p w:rsidR="007D2B64" w:rsidRPr="00241591" w:rsidRDefault="007D2B64" w:rsidP="007D2B64">
      <w:pPr>
        <w:tabs>
          <w:tab w:val="left" w:pos="547"/>
          <w:tab w:val="left" w:pos="1080"/>
          <w:tab w:val="left" w:pos="1627"/>
          <w:tab w:val="left" w:pos="2160"/>
          <w:tab w:val="left" w:pos="2880"/>
        </w:tabs>
        <w:rPr>
          <w:b/>
        </w:rPr>
      </w:pPr>
      <w:r w:rsidRPr="00241591">
        <w:rPr>
          <w:b/>
        </w:rPr>
        <w:lastRenderedPageBreak/>
        <w:t>7</w:t>
      </w:r>
      <w:r w:rsidRPr="00241591">
        <w:t>.</w:t>
      </w:r>
      <w:r w:rsidRPr="00241591">
        <w:tab/>
      </w:r>
      <w:r w:rsidRPr="00241591">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D2B64" w:rsidRPr="00241591" w:rsidRDefault="007D2B64" w:rsidP="007D2B64">
      <w:pPr>
        <w:tabs>
          <w:tab w:val="left" w:pos="547"/>
          <w:tab w:val="left" w:pos="1080"/>
          <w:tab w:val="left" w:pos="1627"/>
          <w:tab w:val="left" w:pos="2160"/>
          <w:tab w:val="left" w:pos="2880"/>
        </w:tabs>
      </w:pPr>
    </w:p>
    <w:p w:rsidR="005A2E0F" w:rsidRPr="00241591" w:rsidRDefault="00823390" w:rsidP="00823390">
      <w:pPr>
        <w:widowControl w:val="0"/>
        <w:tabs>
          <w:tab w:val="left" w:pos="540"/>
        </w:tabs>
        <w:autoSpaceDE w:val="0"/>
        <w:autoSpaceDN w:val="0"/>
        <w:adjustRightInd w:val="0"/>
      </w:pPr>
      <w:r w:rsidRPr="00241591">
        <w:tab/>
      </w:r>
      <w:r w:rsidR="005A2E0F" w:rsidRPr="00241591">
        <w:t>There are no such special circumstances.</w:t>
      </w:r>
    </w:p>
    <w:p w:rsidR="005A2E0F" w:rsidRPr="00241591" w:rsidRDefault="005A2E0F" w:rsidP="00396856">
      <w:pPr>
        <w:widowControl w:val="0"/>
        <w:tabs>
          <w:tab w:val="left" w:pos="527"/>
        </w:tabs>
        <w:autoSpaceDE w:val="0"/>
        <w:autoSpaceDN w:val="0"/>
        <w:adjustRightInd w:val="0"/>
        <w:rPr>
          <w:bCs/>
        </w:rPr>
      </w:pPr>
    </w:p>
    <w:p w:rsidR="00B9334B" w:rsidRPr="00241591" w:rsidRDefault="00B9334B" w:rsidP="00C81150">
      <w:pPr>
        <w:tabs>
          <w:tab w:val="left" w:pos="547"/>
          <w:tab w:val="left" w:pos="1080"/>
          <w:tab w:val="left" w:pos="1627"/>
          <w:tab w:val="left" w:pos="2160"/>
          <w:tab w:val="left" w:pos="2880"/>
        </w:tabs>
        <w:rPr>
          <w:b/>
        </w:rPr>
      </w:pPr>
      <w:r w:rsidRPr="00241591">
        <w:rPr>
          <w:b/>
        </w:rPr>
        <w:t>8.</w:t>
      </w:r>
      <w:r w:rsidRPr="00241591">
        <w:rPr>
          <w:b/>
        </w:rPr>
        <w:tab/>
      </w:r>
      <w:proofErr w:type="gramStart"/>
      <w:r w:rsidRPr="00241591">
        <w:rPr>
          <w:b/>
        </w:rPr>
        <w:t>a</w:t>
      </w:r>
      <w:proofErr w:type="gramEnd"/>
      <w:r w:rsidRPr="00241591">
        <w:rPr>
          <w:b/>
        </w:rPr>
        <w:t>.</w:t>
      </w:r>
      <w:r w:rsidRPr="00241591">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B9334B" w:rsidRPr="00241591" w:rsidRDefault="00B9334B" w:rsidP="00C81150">
      <w:pPr>
        <w:tabs>
          <w:tab w:val="left" w:pos="547"/>
          <w:tab w:val="left" w:pos="1080"/>
          <w:tab w:val="left" w:pos="1627"/>
          <w:tab w:val="left" w:pos="2160"/>
          <w:tab w:val="left" w:pos="2880"/>
        </w:tabs>
        <w:rPr>
          <w:b/>
        </w:rPr>
      </w:pPr>
    </w:p>
    <w:p w:rsidR="0059178D" w:rsidRPr="00C8044A" w:rsidRDefault="0059178D" w:rsidP="00C8044A">
      <w:pPr>
        <w:rPr>
          <w:noProof/>
        </w:rPr>
      </w:pPr>
      <w:r w:rsidRPr="00241591">
        <w:tab/>
      </w:r>
      <w:r w:rsidRPr="00C8044A">
        <w:t xml:space="preserve">The notice of Proposed Information Collection Activity was published in the Federal Register on </w:t>
      </w:r>
      <w:r w:rsidR="000562D7" w:rsidRPr="00C8044A">
        <w:t xml:space="preserve">June 7, 2011, </w:t>
      </w:r>
      <w:r w:rsidR="00C06C01" w:rsidRPr="00C8044A">
        <w:t xml:space="preserve">page </w:t>
      </w:r>
      <w:r w:rsidR="000562D7" w:rsidRPr="00C8044A">
        <w:t xml:space="preserve">33032.  </w:t>
      </w:r>
      <w:r w:rsidR="00E164D8" w:rsidRPr="00C8044A">
        <w:t xml:space="preserve">VA received one comment in response to this notice.  </w:t>
      </w:r>
      <w:r w:rsidR="008D00A3" w:rsidRPr="00C8044A">
        <w:t xml:space="preserve">The </w:t>
      </w:r>
      <w:r w:rsidR="00E164D8" w:rsidRPr="00C8044A">
        <w:t xml:space="preserve">VA </w:t>
      </w:r>
      <w:r w:rsidR="008D00A3" w:rsidRPr="00C8044A">
        <w:t>program office</w:t>
      </w:r>
      <w:r w:rsidR="00C8044A" w:rsidRPr="00C8044A">
        <w:t xml:space="preserve"> Director, </w:t>
      </w:r>
      <w:r w:rsidR="00C8044A" w:rsidRPr="00C8044A">
        <w:rPr>
          <w:noProof/>
        </w:rPr>
        <w:t xml:space="preserve">Katherine Enchelmayer, Credentialing and Privileging, </w:t>
      </w:r>
      <w:r w:rsidR="00E164D8" w:rsidRPr="00C8044A">
        <w:t>provided a response on 7/11</w:t>
      </w:r>
      <w:r w:rsidR="008D00A3" w:rsidRPr="00C8044A">
        <w:t>/2011 (see attach</w:t>
      </w:r>
      <w:r w:rsidR="00C8044A">
        <w:t xml:space="preserve">ment </w:t>
      </w:r>
      <w:r w:rsidR="008D00A3" w:rsidRPr="00C8044A">
        <w:t>in the Supplementary Documents/ROCIS).</w:t>
      </w:r>
      <w:r w:rsidRPr="00C8044A">
        <w:t xml:space="preserve"> </w:t>
      </w:r>
    </w:p>
    <w:p w:rsidR="00E164D8" w:rsidRPr="008D00A3" w:rsidRDefault="00E164D8" w:rsidP="0059178D">
      <w:pPr>
        <w:tabs>
          <w:tab w:val="left" w:pos="547"/>
          <w:tab w:val="left" w:pos="1080"/>
          <w:tab w:val="left" w:pos="1627"/>
          <w:tab w:val="left" w:pos="2160"/>
          <w:tab w:val="left" w:pos="2880"/>
        </w:tabs>
      </w:pPr>
    </w:p>
    <w:p w:rsidR="00C8044A" w:rsidRDefault="00E164D8" w:rsidP="008D00A3">
      <w:pPr>
        <w:ind w:left="540"/>
        <w:rPr>
          <w:b/>
        </w:rPr>
      </w:pPr>
      <w:r w:rsidRPr="00C8044A">
        <w:rPr>
          <w:b/>
        </w:rPr>
        <w:t>National Practitioner Data Bank Regulation;</w:t>
      </w:r>
    </w:p>
    <w:p w:rsidR="00E164D8" w:rsidRPr="008D00A3" w:rsidRDefault="00E164D8" w:rsidP="008D00A3">
      <w:pPr>
        <w:ind w:left="540"/>
      </w:pPr>
      <w:r w:rsidRPr="008D00A3">
        <w:t xml:space="preserve"> OMB No. 0621; FR Doc. #2011-13967</w:t>
      </w:r>
    </w:p>
    <w:p w:rsidR="00E164D8" w:rsidRPr="008D00A3" w:rsidRDefault="00E164D8" w:rsidP="008D00A3">
      <w:pPr>
        <w:ind w:left="540"/>
        <w:rPr>
          <w:b/>
        </w:rPr>
      </w:pPr>
      <w:r w:rsidRPr="008D00A3">
        <w:rPr>
          <w:b/>
        </w:rPr>
        <w:t>Document: VA-2011-VACO-0001-0144</w:t>
      </w:r>
    </w:p>
    <w:p w:rsidR="00E164D8" w:rsidRPr="008D00A3" w:rsidRDefault="00E164D8" w:rsidP="008D00A3">
      <w:pPr>
        <w:ind w:left="540"/>
        <w:rPr>
          <w:b/>
        </w:rPr>
      </w:pPr>
    </w:p>
    <w:p w:rsidR="00E164D8" w:rsidRPr="008D00A3" w:rsidRDefault="00E164D8" w:rsidP="008D00A3">
      <w:pPr>
        <w:spacing w:after="120"/>
        <w:ind w:left="540"/>
        <w:rPr>
          <w:b/>
        </w:rPr>
      </w:pPr>
      <w:r w:rsidRPr="008D00A3">
        <w:rPr>
          <w:b/>
        </w:rPr>
        <w:t>Submitter Information</w:t>
      </w:r>
    </w:p>
    <w:p w:rsidR="00E164D8" w:rsidRPr="008D00A3" w:rsidRDefault="00E164D8" w:rsidP="008D00A3">
      <w:pPr>
        <w:ind w:left="540"/>
      </w:pPr>
      <w:r w:rsidRPr="008D00A3">
        <w:t>Name: Berta M Simmons</w:t>
      </w:r>
    </w:p>
    <w:p w:rsidR="00E164D8" w:rsidRPr="008D00A3" w:rsidRDefault="00E164D8" w:rsidP="008D00A3">
      <w:pPr>
        <w:ind w:left="540"/>
      </w:pPr>
      <w:r w:rsidRPr="008D00A3">
        <w:t xml:space="preserve">Address: 3614 Brown Hill Rd, </w:t>
      </w:r>
      <w:proofErr w:type="spellStart"/>
      <w:r w:rsidRPr="008D00A3">
        <w:t>Cohocton</w:t>
      </w:r>
      <w:proofErr w:type="spellEnd"/>
      <w:proofErr w:type="gramStart"/>
      <w:r w:rsidRPr="008D00A3">
        <w:t>,  NY</w:t>
      </w:r>
      <w:proofErr w:type="gramEnd"/>
      <w:r w:rsidRPr="008D00A3">
        <w:t>,  14826</w:t>
      </w:r>
    </w:p>
    <w:p w:rsidR="00E164D8" w:rsidRPr="008D00A3" w:rsidRDefault="00E164D8" w:rsidP="008D00A3">
      <w:pPr>
        <w:ind w:left="540"/>
      </w:pPr>
      <w:r w:rsidRPr="008D00A3">
        <w:t>Email: BSim756679@aol.com</w:t>
      </w:r>
    </w:p>
    <w:p w:rsidR="00E164D8" w:rsidRPr="008D00A3" w:rsidRDefault="00E164D8" w:rsidP="008D00A3">
      <w:pPr>
        <w:ind w:left="540"/>
      </w:pPr>
      <w:r w:rsidRPr="008D00A3">
        <w:t>Phone: 607-566-2819</w:t>
      </w:r>
    </w:p>
    <w:p w:rsidR="00E164D8" w:rsidRPr="00241591" w:rsidRDefault="00E164D8" w:rsidP="008D00A3">
      <w:pPr>
        <w:ind w:left="540"/>
      </w:pPr>
      <w:r w:rsidRPr="008D00A3">
        <w:rPr>
          <w:b/>
        </w:rPr>
        <w:t xml:space="preserve">Organization: </w:t>
      </w:r>
      <w:r w:rsidRPr="008D00A3">
        <w:t>volunteer disabled veterans advocate</w:t>
      </w:r>
    </w:p>
    <w:p w:rsidR="00A05B7B" w:rsidRPr="00241591" w:rsidRDefault="00A05B7B" w:rsidP="00C81150">
      <w:pPr>
        <w:tabs>
          <w:tab w:val="left" w:pos="547"/>
          <w:tab w:val="left" w:pos="1080"/>
        </w:tabs>
      </w:pPr>
    </w:p>
    <w:p w:rsidR="00B9334B" w:rsidRPr="00241591" w:rsidRDefault="00B9334B" w:rsidP="00C81150">
      <w:pPr>
        <w:tabs>
          <w:tab w:val="left" w:pos="547"/>
          <w:tab w:val="left" w:pos="1080"/>
          <w:tab w:val="left" w:pos="1627"/>
          <w:tab w:val="left" w:pos="2160"/>
          <w:tab w:val="left" w:pos="2880"/>
        </w:tabs>
        <w:rPr>
          <w:b/>
        </w:rPr>
      </w:pPr>
      <w:r w:rsidRPr="00241591">
        <w:tab/>
      </w:r>
      <w:r w:rsidRPr="00241591">
        <w:rPr>
          <w:b/>
        </w:rPr>
        <w:t>b.</w:t>
      </w:r>
      <w:r w:rsidRPr="00241591">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5F68CA" w:rsidRPr="00241591" w:rsidRDefault="005F68CA" w:rsidP="00C81150">
      <w:pPr>
        <w:widowControl w:val="0"/>
        <w:tabs>
          <w:tab w:val="left" w:pos="547"/>
          <w:tab w:val="left" w:pos="1080"/>
        </w:tabs>
        <w:autoSpaceDE w:val="0"/>
        <w:autoSpaceDN w:val="0"/>
        <w:adjustRightInd w:val="0"/>
        <w:spacing w:line="272" w:lineRule="exact"/>
      </w:pPr>
    </w:p>
    <w:p w:rsidR="007E2CB7" w:rsidRPr="00241591" w:rsidRDefault="007E2CB7" w:rsidP="00C81150">
      <w:pPr>
        <w:pStyle w:val="BodyText2"/>
        <w:tabs>
          <w:tab w:val="left" w:pos="547"/>
          <w:tab w:val="left" w:pos="1080"/>
          <w:tab w:val="left" w:pos="1620"/>
        </w:tabs>
        <w:spacing w:after="0" w:line="240" w:lineRule="auto"/>
        <w:rPr>
          <w:bCs/>
        </w:rPr>
      </w:pPr>
      <w:r w:rsidRPr="00241591">
        <w:rPr>
          <w:bCs/>
        </w:rPr>
        <w:tab/>
        <w:t>These collection requirements are discussed regularly with our accreditation partners (</w:t>
      </w:r>
      <w:r w:rsidR="005B1BD4">
        <w:rPr>
          <w:bCs/>
        </w:rPr>
        <w:t>T</w:t>
      </w:r>
      <w:r w:rsidRPr="00241591">
        <w:rPr>
          <w:bCs/>
        </w:rPr>
        <w:t>JC) as well as other Federal healthcare agencies, and professional organizations.  These collections are a standard in the healthcare industry.  There are no circumstances which would preclude consultation.  Additionally, the 30- and 60-day Federal Register Notices constitute outside consultation.</w:t>
      </w:r>
    </w:p>
    <w:p w:rsidR="00C8044A" w:rsidRPr="00241591" w:rsidRDefault="00C8044A" w:rsidP="003D131C">
      <w:pPr>
        <w:pStyle w:val="BodyText2"/>
        <w:spacing w:after="0" w:line="240" w:lineRule="auto"/>
        <w:rPr>
          <w:bCs/>
        </w:rPr>
      </w:pPr>
    </w:p>
    <w:p w:rsidR="00E72F0F" w:rsidRDefault="00E72F0F">
      <w:pPr>
        <w:rPr>
          <w:b/>
        </w:rPr>
      </w:pPr>
      <w:r>
        <w:rPr>
          <w:b/>
        </w:rPr>
        <w:br w:type="page"/>
      </w:r>
    </w:p>
    <w:p w:rsidR="00B9334B" w:rsidRPr="00241591" w:rsidRDefault="00B9334B" w:rsidP="00B9334B">
      <w:pPr>
        <w:tabs>
          <w:tab w:val="left" w:pos="547"/>
          <w:tab w:val="left" w:pos="1080"/>
          <w:tab w:val="left" w:pos="1627"/>
          <w:tab w:val="left" w:pos="2160"/>
          <w:tab w:val="left" w:pos="2880"/>
        </w:tabs>
      </w:pPr>
      <w:r w:rsidRPr="00241591">
        <w:rPr>
          <w:b/>
        </w:rPr>
        <w:t>9</w:t>
      </w:r>
      <w:r w:rsidRPr="00241591">
        <w:t>.</w:t>
      </w:r>
      <w:r w:rsidRPr="00241591">
        <w:tab/>
      </w:r>
      <w:r w:rsidRPr="00241591">
        <w:rPr>
          <w:b/>
        </w:rPr>
        <w:t>Explain any decision to provide any payment or gift to respondents, other than remuneration of contractors or grantees.</w:t>
      </w:r>
    </w:p>
    <w:p w:rsidR="00B9334B" w:rsidRPr="00241591" w:rsidRDefault="00B9334B" w:rsidP="00B9334B">
      <w:pPr>
        <w:tabs>
          <w:tab w:val="left" w:pos="547"/>
          <w:tab w:val="left" w:pos="1080"/>
          <w:tab w:val="left" w:pos="1627"/>
          <w:tab w:val="left" w:pos="2160"/>
          <w:tab w:val="left" w:pos="2880"/>
        </w:tabs>
      </w:pPr>
    </w:p>
    <w:p w:rsidR="001A0107" w:rsidRPr="00241591" w:rsidRDefault="001A0107" w:rsidP="001A0107">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pPr>
      <w:r w:rsidRPr="00241591">
        <w:tab/>
        <w:t>Some verification entities require payment of a processing fee that can be as low as $</w:t>
      </w:r>
      <w:r w:rsidR="005B1BD4">
        <w:t>4</w:t>
      </w:r>
      <w:r w:rsidRPr="00241591">
        <w:t xml:space="preserve">.50 to the Federation of State Medical Boards for a history of licensure </w:t>
      </w:r>
      <w:r w:rsidR="005B1BD4">
        <w:t xml:space="preserve">and </w:t>
      </w:r>
      <w:r w:rsidRPr="00241591">
        <w:t xml:space="preserve">adverse actions, to $25 for verification of a medical license in the District of Columbia.  The costs of these queries vary from one entity to another and are paid by the respective VA medical treatment facility. </w:t>
      </w:r>
    </w:p>
    <w:p w:rsidR="001A0107" w:rsidRPr="00241591" w:rsidRDefault="001A0107" w:rsidP="001A0107">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pPr>
    </w:p>
    <w:p w:rsidR="00B9334B" w:rsidRPr="00241591" w:rsidRDefault="00B9334B" w:rsidP="00B9334B">
      <w:pPr>
        <w:tabs>
          <w:tab w:val="left" w:pos="547"/>
          <w:tab w:val="left" w:pos="1080"/>
          <w:tab w:val="left" w:pos="1627"/>
          <w:tab w:val="left" w:pos="2160"/>
          <w:tab w:val="left" w:pos="2880"/>
        </w:tabs>
        <w:rPr>
          <w:b/>
        </w:rPr>
      </w:pPr>
      <w:proofErr w:type="gramStart"/>
      <w:r w:rsidRPr="00241591">
        <w:rPr>
          <w:b/>
        </w:rPr>
        <w:t>10.</w:t>
      </w:r>
      <w:r w:rsidRPr="00241591">
        <w:rPr>
          <w:b/>
        </w:rPr>
        <w:tab/>
        <w:t>Describe any assurance</w:t>
      </w:r>
      <w:r w:rsidR="00DE34D0">
        <w:rPr>
          <w:b/>
        </w:rPr>
        <w:t>s</w:t>
      </w:r>
      <w:r w:rsidRPr="00241591">
        <w:rPr>
          <w:b/>
        </w:rPr>
        <w:t xml:space="preserve"> of </w:t>
      </w:r>
      <w:r w:rsidR="00DE34D0">
        <w:rPr>
          <w:b/>
        </w:rPr>
        <w:t>privac</w:t>
      </w:r>
      <w:r w:rsidRPr="00241591">
        <w:rPr>
          <w:b/>
        </w:rPr>
        <w:t>y</w:t>
      </w:r>
      <w:r w:rsidR="00DE34D0">
        <w:rPr>
          <w:b/>
        </w:rPr>
        <w:t>,</w:t>
      </w:r>
      <w:r w:rsidRPr="00241591">
        <w:rPr>
          <w:b/>
        </w:rPr>
        <w:t xml:space="preserve"> </w:t>
      </w:r>
      <w:r w:rsidR="00DE34D0" w:rsidRPr="00E105B2">
        <w:rPr>
          <w:b/>
        </w:rPr>
        <w:t>to the extent permitted by law</w:t>
      </w:r>
      <w:r w:rsidR="00DE34D0">
        <w:rPr>
          <w:b/>
        </w:rPr>
        <w:t>,</w:t>
      </w:r>
      <w:r w:rsidR="00DE34D0" w:rsidRPr="00241591">
        <w:rPr>
          <w:b/>
        </w:rPr>
        <w:t xml:space="preserve"> </w:t>
      </w:r>
      <w:r w:rsidRPr="00241591">
        <w:rPr>
          <w:b/>
        </w:rPr>
        <w:t>provided to respondents and the basis for the assurance in statue, regulation, or agency policy.</w:t>
      </w:r>
      <w:proofErr w:type="gramEnd"/>
    </w:p>
    <w:p w:rsidR="00205EA8" w:rsidRPr="00241591" w:rsidRDefault="00205EA8" w:rsidP="00B9334B">
      <w:pPr>
        <w:tabs>
          <w:tab w:val="left" w:pos="547"/>
          <w:tab w:val="left" w:pos="1080"/>
          <w:tab w:val="left" w:pos="1627"/>
          <w:tab w:val="left" w:pos="2160"/>
          <w:tab w:val="left" w:pos="2880"/>
        </w:tabs>
      </w:pPr>
    </w:p>
    <w:p w:rsidR="00A65E08" w:rsidRPr="00241591" w:rsidRDefault="00205EA8" w:rsidP="005F5FF8">
      <w:pPr>
        <w:widowControl w:val="0"/>
        <w:tabs>
          <w:tab w:val="left" w:pos="504"/>
        </w:tabs>
        <w:autoSpaceDE w:val="0"/>
        <w:autoSpaceDN w:val="0"/>
        <w:adjustRightInd w:val="0"/>
        <w:spacing w:line="272" w:lineRule="exact"/>
      </w:pPr>
      <w:r w:rsidRPr="00241591">
        <w:tab/>
        <w:t xml:space="preserve">Assurances of </w:t>
      </w:r>
      <w:r w:rsidR="00DE34D0">
        <w:t>privac</w:t>
      </w:r>
      <w:r w:rsidRPr="00241591">
        <w:t xml:space="preserve">y are contained </w:t>
      </w:r>
      <w:r w:rsidR="00F84C04" w:rsidRPr="00241591">
        <w:t>in the</w:t>
      </w:r>
      <w:r w:rsidR="005F5FF8" w:rsidRPr="00241591">
        <w:t xml:space="preserve"> system of records identified as</w:t>
      </w:r>
      <w:r w:rsidR="00A65E08" w:rsidRPr="00241591">
        <w:t>, 77VA10Q</w:t>
      </w:r>
      <w:r w:rsidR="009A1966" w:rsidRPr="00241591">
        <w:t xml:space="preserve">, Health Care Provider Credentialing and Privileging Records-VA as set forth in the </w:t>
      </w:r>
      <w:r w:rsidR="005B1BD4">
        <w:t xml:space="preserve">Federal Register March 25, 2008 and available at </w:t>
      </w:r>
      <w:hyperlink r:id="rId7" w:history="1">
        <w:r w:rsidR="005B1BD4" w:rsidRPr="00DE55CE">
          <w:rPr>
            <w:rStyle w:val="Hyperlink"/>
          </w:rPr>
          <w:t>http://frwebgate.access.gpo.gov/cgi-bin/getpage.cgi?position=all&amp;page=16097&amp;dbname=2008_register</w:t>
        </w:r>
      </w:hyperlink>
      <w:r w:rsidR="005B1BD4">
        <w:t xml:space="preserve"> </w:t>
      </w:r>
      <w:r w:rsidR="00A65E08" w:rsidRPr="00241591">
        <w:t xml:space="preserve">.  The responses are received and maintained in credentialing files that </w:t>
      </w:r>
      <w:r w:rsidR="005B1BD4">
        <w:t>we</w:t>
      </w:r>
      <w:r w:rsidR="00A65E08" w:rsidRPr="00241591">
        <w:t xml:space="preserve">re </w:t>
      </w:r>
      <w:r w:rsidR="005B1BD4">
        <w:t xml:space="preserve">previously </w:t>
      </w:r>
      <w:r w:rsidR="00A65E08" w:rsidRPr="00241591">
        <w:t>stored in locked file cabinets a</w:t>
      </w:r>
      <w:r w:rsidR="005B1BD4">
        <w:t>nd currently in</w:t>
      </w:r>
      <w:r w:rsidR="00A65E08" w:rsidRPr="00241591">
        <w:t xml:space="preserve"> VetPro, the electronic credentials system</w:t>
      </w:r>
      <w:r w:rsidR="009255EC">
        <w:t xml:space="preserve"> </w:t>
      </w:r>
      <w:r w:rsidR="009255EC" w:rsidRPr="009255EC">
        <w:rPr>
          <w:u w:val="single"/>
        </w:rPr>
        <w:t>https://fcp.vetpro.org</w:t>
      </w:r>
      <w:r w:rsidR="00A65E08" w:rsidRPr="00241591">
        <w:t xml:space="preserve">.  The files can be retrieved only by the facility that made the query.  The VetPro electronic system is a secure system maintained at National Institutes of Health, Center for Information Technology, a Level 3 secure site (the same level of security as the high level DoD sites, with multiple firewalls of differing technology, that are monitored 7 days a week, 24 hours a day).  </w:t>
      </w:r>
    </w:p>
    <w:p w:rsidR="00A65E08" w:rsidRPr="00241591" w:rsidRDefault="00A65E08" w:rsidP="00B9334B">
      <w:pPr>
        <w:tabs>
          <w:tab w:val="left" w:pos="547"/>
          <w:tab w:val="left" w:pos="1080"/>
          <w:tab w:val="left" w:pos="1627"/>
          <w:tab w:val="left" w:pos="2160"/>
          <w:tab w:val="left" w:pos="2880"/>
        </w:tabs>
      </w:pPr>
    </w:p>
    <w:p w:rsidR="00B9334B" w:rsidRPr="00241591" w:rsidRDefault="00B9334B" w:rsidP="00A21EAB">
      <w:pPr>
        <w:pStyle w:val="NormalWeb"/>
        <w:tabs>
          <w:tab w:val="left" w:pos="540"/>
        </w:tabs>
        <w:spacing w:before="0" w:beforeAutospacing="0" w:after="0" w:afterAutospacing="0"/>
        <w:rPr>
          <w:b/>
          <w:color w:val="auto"/>
          <w:sz w:val="24"/>
          <w:szCs w:val="24"/>
        </w:rPr>
      </w:pPr>
      <w:r w:rsidRPr="00241591">
        <w:rPr>
          <w:b/>
          <w:color w:val="auto"/>
          <w:sz w:val="24"/>
          <w:szCs w:val="24"/>
        </w:rPr>
        <w:t>11.</w:t>
      </w:r>
      <w:r w:rsidRPr="00241591">
        <w:rPr>
          <w:b/>
          <w:color w:val="auto"/>
          <w:sz w:val="24"/>
          <w:szCs w:val="24"/>
        </w:rPr>
        <w:tab/>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B9334B" w:rsidRPr="00241591" w:rsidRDefault="00B9334B" w:rsidP="00205EA8">
      <w:pPr>
        <w:pStyle w:val="BodyText3"/>
        <w:tabs>
          <w:tab w:val="left" w:pos="547"/>
          <w:tab w:val="left" w:pos="1080"/>
          <w:tab w:val="left" w:pos="1627"/>
          <w:tab w:val="left" w:pos="2160"/>
          <w:tab w:val="left" w:pos="2880"/>
        </w:tabs>
        <w:spacing w:after="0"/>
        <w:rPr>
          <w:sz w:val="24"/>
          <w:szCs w:val="24"/>
        </w:rPr>
      </w:pPr>
    </w:p>
    <w:p w:rsidR="00C60D25" w:rsidRPr="00241591" w:rsidRDefault="00C60D25" w:rsidP="00205EA8">
      <w:pPr>
        <w:pStyle w:val="Heading3"/>
        <w:tabs>
          <w:tab w:val="left" w:pos="540"/>
          <w:tab w:val="left" w:pos="10260"/>
        </w:tabs>
        <w:spacing w:before="0" w:after="0"/>
        <w:ind w:right="54"/>
        <w:rPr>
          <w:rFonts w:ascii="Times New Roman" w:hAnsi="Times New Roman" w:cs="Times New Roman"/>
          <w:b w:val="0"/>
          <w:sz w:val="24"/>
          <w:szCs w:val="24"/>
        </w:rPr>
      </w:pPr>
      <w:r w:rsidRPr="00241591">
        <w:rPr>
          <w:rFonts w:ascii="Times New Roman" w:hAnsi="Times New Roman" w:cs="Times New Roman"/>
          <w:b w:val="0"/>
          <w:sz w:val="24"/>
          <w:szCs w:val="24"/>
        </w:rPr>
        <w:tab/>
        <w:t>The information collected may be considered sensitive</w:t>
      </w:r>
      <w:r w:rsidR="00F84C04" w:rsidRPr="00241591">
        <w:rPr>
          <w:rFonts w:ascii="Times New Roman" w:hAnsi="Times New Roman" w:cs="Times New Roman"/>
          <w:b w:val="0"/>
          <w:sz w:val="24"/>
          <w:szCs w:val="24"/>
        </w:rPr>
        <w:t xml:space="preserve"> in that there is personally identifiable information as well the possibility that</w:t>
      </w:r>
      <w:r w:rsidRPr="00241591">
        <w:rPr>
          <w:rFonts w:ascii="Times New Roman" w:hAnsi="Times New Roman" w:cs="Times New Roman"/>
          <w:b w:val="0"/>
          <w:sz w:val="24"/>
          <w:szCs w:val="24"/>
        </w:rPr>
        <w:t xml:space="preserve"> there is a report containing information on the type of action taken by a medical State licensing board; an adverse action taken by a health care or professional organization; or a medical malpractice payment.  Any of these will contain general description of the basis of the incident and action.  </w:t>
      </w:r>
      <w:r w:rsidR="00A21EAB" w:rsidRPr="00241591">
        <w:rPr>
          <w:rFonts w:ascii="Times New Roman" w:hAnsi="Times New Roman" w:cs="Times New Roman"/>
          <w:b w:val="0"/>
          <w:sz w:val="24"/>
          <w:szCs w:val="24"/>
        </w:rPr>
        <w:t>Practitioners are given the opportunity provide information that they want to provide concerning the specific care that led to the claim.</w:t>
      </w:r>
    </w:p>
    <w:p w:rsidR="00C60D25" w:rsidRPr="00241591" w:rsidRDefault="00C60D25" w:rsidP="00C60D25">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ind w:right="3744"/>
      </w:pPr>
    </w:p>
    <w:p w:rsidR="00250E67" w:rsidRPr="00241591" w:rsidRDefault="00250E67" w:rsidP="00250E67">
      <w:pPr>
        <w:tabs>
          <w:tab w:val="left" w:pos="547"/>
          <w:tab w:val="left" w:pos="1080"/>
          <w:tab w:val="left" w:pos="1627"/>
          <w:tab w:val="left" w:pos="2160"/>
          <w:tab w:val="left" w:pos="2880"/>
        </w:tabs>
        <w:rPr>
          <w:b/>
        </w:rPr>
      </w:pPr>
      <w:r w:rsidRPr="008E1F91">
        <w:rPr>
          <w:b/>
        </w:rPr>
        <w:t>12.</w:t>
      </w:r>
      <w:r w:rsidRPr="008E1F91">
        <w:rPr>
          <w:b/>
        </w:rPr>
        <w:tab/>
        <w:t>Estimate of the hour burden of the collection of information:</w:t>
      </w:r>
    </w:p>
    <w:p w:rsidR="008D4CF9" w:rsidRPr="00241591" w:rsidRDefault="008D4CF9" w:rsidP="00250E67">
      <w:pPr>
        <w:tabs>
          <w:tab w:val="left" w:pos="547"/>
          <w:tab w:val="left" w:pos="1080"/>
          <w:tab w:val="left" w:pos="1627"/>
          <w:tab w:val="left" w:pos="2160"/>
          <w:tab w:val="left" w:pos="2880"/>
        </w:tabs>
        <w:rPr>
          <w:b/>
        </w:rPr>
      </w:pPr>
    </w:p>
    <w:p w:rsidR="00A903F5" w:rsidRPr="00241591" w:rsidRDefault="00585CCF" w:rsidP="00A903F5">
      <w:pPr>
        <w:tabs>
          <w:tab w:val="left" w:pos="504"/>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241591">
        <w:tab/>
      </w:r>
      <w:r w:rsidR="00A903F5" w:rsidRPr="00241591">
        <w:t>a.</w:t>
      </w:r>
      <w:r w:rsidR="00A903F5" w:rsidRPr="00241591">
        <w:tab/>
        <w:t xml:space="preserve">The annual burden is estimated at </w:t>
      </w:r>
      <w:r w:rsidR="000C65F4">
        <w:t>2,50</w:t>
      </w:r>
      <w:r w:rsidR="00F11833" w:rsidRPr="00241591">
        <w:t>0</w:t>
      </w:r>
      <w:r w:rsidR="00A903F5" w:rsidRPr="00241591">
        <w:t xml:space="preserve"> hours.  This is based on the sum of the time expended by each of the different organizations asked to verify data.</w:t>
      </w:r>
    </w:p>
    <w:p w:rsidR="00A903F5" w:rsidRPr="00241591" w:rsidRDefault="00A903F5" w:rsidP="00A903F5">
      <w:pPr>
        <w:tabs>
          <w:tab w:val="left" w:pos="504"/>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tbl>
      <w:tblPr>
        <w:tblW w:w="8910" w:type="dxa"/>
        <w:tblInd w:w="1195" w:type="dxa"/>
        <w:tblLayout w:type="fixed"/>
        <w:tblCellMar>
          <w:left w:w="115" w:type="dxa"/>
          <w:right w:w="115" w:type="dxa"/>
        </w:tblCellMar>
        <w:tblLook w:val="0000"/>
      </w:tblPr>
      <w:tblGrid>
        <w:gridCol w:w="1080"/>
        <w:gridCol w:w="1440"/>
        <w:gridCol w:w="1260"/>
        <w:gridCol w:w="90"/>
        <w:gridCol w:w="1890"/>
        <w:gridCol w:w="90"/>
        <w:gridCol w:w="1170"/>
        <w:gridCol w:w="90"/>
        <w:gridCol w:w="1710"/>
        <w:gridCol w:w="90"/>
      </w:tblGrid>
      <w:tr w:rsidR="003D1F7D" w:rsidRPr="00241591" w:rsidTr="00506F1F">
        <w:trPr>
          <w:trHeight w:val="216"/>
        </w:trPr>
        <w:tc>
          <w:tcPr>
            <w:tcW w:w="1080" w:type="dxa"/>
            <w:shd w:val="clear" w:color="auto" w:fill="auto"/>
            <w:vAlign w:val="bottom"/>
          </w:tcPr>
          <w:p w:rsidR="008D4CF9" w:rsidRPr="00506F1F" w:rsidRDefault="008D4CF9" w:rsidP="00B97D04">
            <w:pPr>
              <w:jc w:val="center"/>
              <w:rPr>
                <w:rFonts w:ascii="Arial Narrow" w:hAnsi="Arial Narrow"/>
                <w:b/>
                <w:bCs/>
                <w:sz w:val="22"/>
                <w:szCs w:val="22"/>
              </w:rPr>
            </w:pPr>
            <w:r w:rsidRPr="00506F1F">
              <w:rPr>
                <w:rFonts w:ascii="Arial Narrow" w:hAnsi="Arial Narrow"/>
                <w:b/>
                <w:bCs/>
                <w:sz w:val="22"/>
                <w:szCs w:val="22"/>
              </w:rPr>
              <w:t> </w:t>
            </w:r>
          </w:p>
        </w:tc>
        <w:tc>
          <w:tcPr>
            <w:tcW w:w="1440" w:type="dxa"/>
            <w:shd w:val="clear" w:color="auto" w:fill="auto"/>
            <w:vAlign w:val="bottom"/>
          </w:tcPr>
          <w:p w:rsidR="008D4CF9" w:rsidRPr="00506F1F" w:rsidRDefault="008D4CF9" w:rsidP="00B97D04">
            <w:pPr>
              <w:jc w:val="center"/>
              <w:rPr>
                <w:rFonts w:ascii="Arial Narrow" w:hAnsi="Arial Narrow"/>
                <w:b/>
                <w:bCs/>
                <w:sz w:val="22"/>
                <w:szCs w:val="22"/>
              </w:rPr>
            </w:pPr>
            <w:r w:rsidRPr="00506F1F">
              <w:rPr>
                <w:rFonts w:ascii="Arial Narrow" w:hAnsi="Arial Narrow"/>
                <w:b/>
                <w:bCs/>
                <w:sz w:val="22"/>
                <w:szCs w:val="22"/>
              </w:rPr>
              <w:t>Respondent</w:t>
            </w:r>
          </w:p>
        </w:tc>
        <w:tc>
          <w:tcPr>
            <w:tcW w:w="1350" w:type="dxa"/>
            <w:gridSpan w:val="2"/>
            <w:shd w:val="clear" w:color="auto" w:fill="auto"/>
            <w:noWrap/>
            <w:vAlign w:val="bottom"/>
          </w:tcPr>
          <w:p w:rsidR="008D4CF9" w:rsidRPr="00506F1F" w:rsidRDefault="008D4CF9" w:rsidP="00B97D04">
            <w:pPr>
              <w:jc w:val="center"/>
              <w:rPr>
                <w:rFonts w:ascii="Arial Narrow" w:hAnsi="Arial Narrow"/>
                <w:b/>
                <w:bCs/>
                <w:sz w:val="22"/>
                <w:szCs w:val="22"/>
              </w:rPr>
            </w:pPr>
            <w:r w:rsidRPr="00506F1F">
              <w:rPr>
                <w:rFonts w:ascii="Arial Narrow" w:hAnsi="Arial Narrow"/>
                <w:b/>
                <w:bCs/>
                <w:sz w:val="22"/>
                <w:szCs w:val="22"/>
              </w:rPr>
              <w:t>Frequency</w:t>
            </w:r>
          </w:p>
        </w:tc>
        <w:tc>
          <w:tcPr>
            <w:tcW w:w="1980" w:type="dxa"/>
            <w:gridSpan w:val="2"/>
            <w:shd w:val="clear" w:color="auto" w:fill="auto"/>
            <w:vAlign w:val="bottom"/>
          </w:tcPr>
          <w:p w:rsidR="008D4CF9" w:rsidRPr="00506F1F" w:rsidRDefault="008D4CF9" w:rsidP="00B97D04">
            <w:pPr>
              <w:jc w:val="center"/>
              <w:rPr>
                <w:rFonts w:ascii="Arial Narrow" w:hAnsi="Arial Narrow"/>
                <w:b/>
                <w:bCs/>
                <w:sz w:val="22"/>
                <w:szCs w:val="22"/>
              </w:rPr>
            </w:pPr>
            <w:r w:rsidRPr="00506F1F">
              <w:rPr>
                <w:rFonts w:ascii="Arial Narrow" w:hAnsi="Arial Narrow"/>
                <w:b/>
                <w:bCs/>
                <w:sz w:val="22"/>
                <w:szCs w:val="22"/>
              </w:rPr>
              <w:t>Responses Annually</w:t>
            </w:r>
          </w:p>
        </w:tc>
        <w:tc>
          <w:tcPr>
            <w:tcW w:w="1260" w:type="dxa"/>
            <w:gridSpan w:val="2"/>
            <w:shd w:val="clear" w:color="auto" w:fill="auto"/>
            <w:vAlign w:val="bottom"/>
          </w:tcPr>
          <w:p w:rsidR="008D4CF9" w:rsidRPr="00506F1F" w:rsidRDefault="008D4CF9" w:rsidP="00B97D04">
            <w:pPr>
              <w:jc w:val="center"/>
              <w:rPr>
                <w:rFonts w:ascii="Arial Narrow" w:hAnsi="Arial Narrow"/>
                <w:b/>
                <w:bCs/>
                <w:sz w:val="22"/>
                <w:szCs w:val="22"/>
              </w:rPr>
            </w:pPr>
            <w:r w:rsidRPr="00506F1F">
              <w:rPr>
                <w:rFonts w:ascii="Arial Narrow" w:hAnsi="Arial Narrow"/>
                <w:b/>
                <w:bCs/>
                <w:sz w:val="22"/>
                <w:szCs w:val="22"/>
              </w:rPr>
              <w:t>Hours Each</w:t>
            </w:r>
          </w:p>
        </w:tc>
        <w:tc>
          <w:tcPr>
            <w:tcW w:w="1800" w:type="dxa"/>
            <w:gridSpan w:val="2"/>
            <w:shd w:val="clear" w:color="auto" w:fill="auto"/>
            <w:vAlign w:val="bottom"/>
          </w:tcPr>
          <w:p w:rsidR="008D4CF9" w:rsidRPr="00506F1F" w:rsidRDefault="008D4CF9" w:rsidP="00B97D04">
            <w:pPr>
              <w:jc w:val="center"/>
              <w:rPr>
                <w:rFonts w:ascii="Arial Narrow" w:hAnsi="Arial Narrow"/>
                <w:b/>
                <w:bCs/>
                <w:sz w:val="22"/>
                <w:szCs w:val="22"/>
              </w:rPr>
            </w:pPr>
            <w:r w:rsidRPr="00506F1F">
              <w:rPr>
                <w:rFonts w:ascii="Arial Narrow" w:hAnsi="Arial Narrow"/>
                <w:b/>
                <w:bCs/>
                <w:sz w:val="22"/>
                <w:szCs w:val="22"/>
              </w:rPr>
              <w:t>Annual Burden Hours</w:t>
            </w:r>
          </w:p>
        </w:tc>
      </w:tr>
      <w:tr w:rsidR="003D1F7D" w:rsidRPr="00241591" w:rsidTr="00506F1F">
        <w:trPr>
          <w:gridAfter w:val="1"/>
          <w:wAfter w:w="90" w:type="dxa"/>
          <w:trHeight w:val="216"/>
        </w:trPr>
        <w:tc>
          <w:tcPr>
            <w:tcW w:w="1080" w:type="dxa"/>
            <w:shd w:val="clear" w:color="auto" w:fill="auto"/>
            <w:vAlign w:val="bottom"/>
          </w:tcPr>
          <w:p w:rsidR="008D4CF9" w:rsidRPr="00506F1F" w:rsidRDefault="008D4CF9" w:rsidP="00B97D04">
            <w:pPr>
              <w:jc w:val="center"/>
              <w:rPr>
                <w:rFonts w:ascii="Arial Narrow" w:hAnsi="Arial Narrow"/>
                <w:bCs/>
                <w:sz w:val="22"/>
                <w:szCs w:val="22"/>
              </w:rPr>
            </w:pPr>
            <w:r w:rsidRPr="00506F1F">
              <w:rPr>
                <w:rFonts w:ascii="Arial Narrow" w:hAnsi="Arial Narrow"/>
                <w:bCs/>
                <w:sz w:val="22"/>
                <w:szCs w:val="22"/>
              </w:rPr>
              <w:t>NPDB</w:t>
            </w:r>
          </w:p>
        </w:tc>
        <w:tc>
          <w:tcPr>
            <w:tcW w:w="1440" w:type="dxa"/>
            <w:shd w:val="clear" w:color="auto" w:fill="auto"/>
            <w:vAlign w:val="bottom"/>
          </w:tcPr>
          <w:p w:rsidR="008D4CF9" w:rsidRPr="00506F1F" w:rsidRDefault="008D4CF9" w:rsidP="00B97D04">
            <w:pPr>
              <w:jc w:val="center"/>
              <w:rPr>
                <w:rFonts w:ascii="Arial Narrow" w:hAnsi="Arial Narrow"/>
                <w:bCs/>
                <w:sz w:val="22"/>
                <w:szCs w:val="22"/>
              </w:rPr>
            </w:pPr>
            <w:r w:rsidRPr="00506F1F">
              <w:rPr>
                <w:rFonts w:ascii="Arial Narrow" w:hAnsi="Arial Narrow"/>
                <w:bCs/>
                <w:sz w:val="22"/>
                <w:szCs w:val="22"/>
              </w:rPr>
              <w:t>50</w:t>
            </w:r>
            <w:r w:rsidR="000C65F4" w:rsidRPr="00506F1F">
              <w:rPr>
                <w:rFonts w:ascii="Arial Narrow" w:hAnsi="Arial Narrow"/>
                <w:bCs/>
                <w:sz w:val="22"/>
                <w:szCs w:val="22"/>
              </w:rPr>
              <w:t>0</w:t>
            </w:r>
          </w:p>
        </w:tc>
        <w:tc>
          <w:tcPr>
            <w:tcW w:w="1260" w:type="dxa"/>
            <w:shd w:val="clear" w:color="auto" w:fill="auto"/>
            <w:vAlign w:val="bottom"/>
          </w:tcPr>
          <w:p w:rsidR="008D4CF9" w:rsidRPr="00506F1F" w:rsidRDefault="008D4CF9" w:rsidP="00B97D04">
            <w:pPr>
              <w:jc w:val="center"/>
              <w:rPr>
                <w:rFonts w:ascii="Arial Narrow" w:hAnsi="Arial Narrow"/>
                <w:bCs/>
                <w:sz w:val="22"/>
                <w:szCs w:val="22"/>
              </w:rPr>
            </w:pPr>
            <w:r w:rsidRPr="00506F1F">
              <w:rPr>
                <w:rFonts w:ascii="Arial Narrow" w:hAnsi="Arial Narrow"/>
                <w:bCs/>
                <w:sz w:val="22"/>
                <w:szCs w:val="22"/>
              </w:rPr>
              <w:t>1</w:t>
            </w:r>
          </w:p>
        </w:tc>
        <w:tc>
          <w:tcPr>
            <w:tcW w:w="1980" w:type="dxa"/>
            <w:gridSpan w:val="2"/>
            <w:shd w:val="clear" w:color="auto" w:fill="auto"/>
            <w:noWrap/>
            <w:vAlign w:val="bottom"/>
          </w:tcPr>
          <w:p w:rsidR="008D4CF9" w:rsidRPr="00506F1F" w:rsidRDefault="000C65F4" w:rsidP="00B97D04">
            <w:pPr>
              <w:jc w:val="center"/>
              <w:rPr>
                <w:rFonts w:ascii="Arial Narrow" w:hAnsi="Arial Narrow"/>
                <w:bCs/>
                <w:sz w:val="22"/>
                <w:szCs w:val="22"/>
              </w:rPr>
            </w:pPr>
            <w:r w:rsidRPr="00506F1F">
              <w:rPr>
                <w:rFonts w:ascii="Arial Narrow" w:hAnsi="Arial Narrow"/>
                <w:bCs/>
                <w:sz w:val="22"/>
                <w:szCs w:val="22"/>
              </w:rPr>
              <w:t>500</w:t>
            </w:r>
          </w:p>
        </w:tc>
        <w:tc>
          <w:tcPr>
            <w:tcW w:w="1260" w:type="dxa"/>
            <w:gridSpan w:val="2"/>
            <w:shd w:val="clear" w:color="auto" w:fill="auto"/>
            <w:vAlign w:val="bottom"/>
          </w:tcPr>
          <w:p w:rsidR="008D4CF9" w:rsidRPr="00506F1F" w:rsidRDefault="008D4CF9" w:rsidP="00B97D04">
            <w:pPr>
              <w:jc w:val="center"/>
              <w:rPr>
                <w:rFonts w:ascii="Arial Narrow" w:hAnsi="Arial Narrow"/>
                <w:bCs/>
                <w:sz w:val="22"/>
                <w:szCs w:val="22"/>
              </w:rPr>
            </w:pPr>
            <w:r w:rsidRPr="00506F1F">
              <w:rPr>
                <w:rFonts w:ascii="Arial Narrow" w:hAnsi="Arial Narrow"/>
                <w:bCs/>
                <w:sz w:val="22"/>
                <w:szCs w:val="22"/>
              </w:rPr>
              <w:t>5</w:t>
            </w:r>
          </w:p>
        </w:tc>
        <w:tc>
          <w:tcPr>
            <w:tcW w:w="1800" w:type="dxa"/>
            <w:gridSpan w:val="2"/>
            <w:shd w:val="clear" w:color="auto" w:fill="auto"/>
            <w:vAlign w:val="bottom"/>
          </w:tcPr>
          <w:p w:rsidR="008D4CF9" w:rsidRPr="00506F1F" w:rsidRDefault="000C65F4" w:rsidP="00B97D04">
            <w:pPr>
              <w:jc w:val="center"/>
              <w:rPr>
                <w:rFonts w:ascii="Arial Narrow" w:hAnsi="Arial Narrow"/>
                <w:bCs/>
                <w:sz w:val="22"/>
                <w:szCs w:val="22"/>
              </w:rPr>
            </w:pPr>
            <w:r w:rsidRPr="00506F1F">
              <w:rPr>
                <w:rFonts w:ascii="Arial Narrow" w:hAnsi="Arial Narrow"/>
                <w:bCs/>
                <w:sz w:val="22"/>
                <w:szCs w:val="22"/>
              </w:rPr>
              <w:t>2,500</w:t>
            </w:r>
          </w:p>
        </w:tc>
      </w:tr>
      <w:tr w:rsidR="003D1F7D" w:rsidRPr="00241591" w:rsidTr="00506F1F">
        <w:trPr>
          <w:gridAfter w:val="1"/>
          <w:wAfter w:w="90" w:type="dxa"/>
          <w:trHeight w:val="216"/>
        </w:trPr>
        <w:tc>
          <w:tcPr>
            <w:tcW w:w="1080" w:type="dxa"/>
            <w:tcBorders>
              <w:top w:val="single" w:sz="8" w:space="0" w:color="auto"/>
            </w:tcBorders>
            <w:shd w:val="clear" w:color="auto" w:fill="auto"/>
            <w:vAlign w:val="bottom"/>
          </w:tcPr>
          <w:p w:rsidR="008D4CF9" w:rsidRPr="00506F1F" w:rsidRDefault="008D4CF9" w:rsidP="00B97D04">
            <w:pPr>
              <w:jc w:val="center"/>
              <w:rPr>
                <w:rFonts w:ascii="Arial Narrow" w:hAnsi="Arial Narrow"/>
                <w:b/>
                <w:bCs/>
                <w:sz w:val="22"/>
                <w:szCs w:val="22"/>
              </w:rPr>
            </w:pPr>
            <w:r w:rsidRPr="00506F1F">
              <w:rPr>
                <w:rFonts w:ascii="Arial Narrow" w:hAnsi="Arial Narrow"/>
                <w:b/>
                <w:bCs/>
                <w:sz w:val="22"/>
                <w:szCs w:val="22"/>
              </w:rPr>
              <w:t>TOTAL</w:t>
            </w:r>
          </w:p>
        </w:tc>
        <w:tc>
          <w:tcPr>
            <w:tcW w:w="1440" w:type="dxa"/>
            <w:tcBorders>
              <w:top w:val="single" w:sz="8" w:space="0" w:color="auto"/>
            </w:tcBorders>
            <w:shd w:val="clear" w:color="auto" w:fill="auto"/>
            <w:vAlign w:val="bottom"/>
          </w:tcPr>
          <w:p w:rsidR="008D4CF9" w:rsidRPr="00506F1F" w:rsidRDefault="000C65F4" w:rsidP="00B97D04">
            <w:pPr>
              <w:jc w:val="center"/>
              <w:rPr>
                <w:rFonts w:ascii="Arial Narrow" w:hAnsi="Arial Narrow"/>
                <w:bCs/>
                <w:sz w:val="22"/>
                <w:szCs w:val="22"/>
              </w:rPr>
            </w:pPr>
            <w:r w:rsidRPr="00506F1F">
              <w:rPr>
                <w:rFonts w:ascii="Arial Narrow" w:hAnsi="Arial Narrow"/>
                <w:bCs/>
                <w:sz w:val="22"/>
                <w:szCs w:val="22"/>
              </w:rPr>
              <w:t>50</w:t>
            </w:r>
            <w:r w:rsidR="008D4CF9" w:rsidRPr="00506F1F">
              <w:rPr>
                <w:rFonts w:ascii="Arial Narrow" w:hAnsi="Arial Narrow"/>
                <w:bCs/>
                <w:sz w:val="22"/>
                <w:szCs w:val="22"/>
              </w:rPr>
              <w:t>0</w:t>
            </w:r>
          </w:p>
        </w:tc>
        <w:tc>
          <w:tcPr>
            <w:tcW w:w="1260" w:type="dxa"/>
            <w:tcBorders>
              <w:top w:val="single" w:sz="8" w:space="0" w:color="auto"/>
            </w:tcBorders>
            <w:shd w:val="clear" w:color="auto" w:fill="auto"/>
            <w:vAlign w:val="bottom"/>
          </w:tcPr>
          <w:p w:rsidR="008D4CF9" w:rsidRPr="00506F1F" w:rsidRDefault="008D4CF9" w:rsidP="00B97D04">
            <w:pPr>
              <w:jc w:val="center"/>
              <w:rPr>
                <w:rFonts w:ascii="Arial Narrow" w:hAnsi="Arial Narrow"/>
                <w:bCs/>
                <w:sz w:val="22"/>
                <w:szCs w:val="22"/>
              </w:rPr>
            </w:pPr>
            <w:r w:rsidRPr="00506F1F">
              <w:rPr>
                <w:rFonts w:ascii="Arial Narrow" w:hAnsi="Arial Narrow"/>
                <w:bCs/>
                <w:sz w:val="22"/>
                <w:szCs w:val="22"/>
              </w:rPr>
              <w:t>1</w:t>
            </w:r>
          </w:p>
        </w:tc>
        <w:tc>
          <w:tcPr>
            <w:tcW w:w="1980" w:type="dxa"/>
            <w:gridSpan w:val="2"/>
            <w:tcBorders>
              <w:top w:val="single" w:sz="8" w:space="0" w:color="auto"/>
            </w:tcBorders>
            <w:shd w:val="clear" w:color="auto" w:fill="auto"/>
            <w:noWrap/>
            <w:vAlign w:val="bottom"/>
          </w:tcPr>
          <w:p w:rsidR="008D4CF9" w:rsidRPr="00506F1F" w:rsidRDefault="000C65F4" w:rsidP="00B97D04">
            <w:pPr>
              <w:jc w:val="center"/>
              <w:rPr>
                <w:rFonts w:ascii="Arial Narrow" w:hAnsi="Arial Narrow"/>
                <w:bCs/>
                <w:sz w:val="22"/>
                <w:szCs w:val="22"/>
              </w:rPr>
            </w:pPr>
            <w:r w:rsidRPr="00506F1F">
              <w:rPr>
                <w:rFonts w:ascii="Arial Narrow" w:hAnsi="Arial Narrow"/>
                <w:bCs/>
                <w:sz w:val="22"/>
                <w:szCs w:val="22"/>
              </w:rPr>
              <w:t>500</w:t>
            </w:r>
          </w:p>
        </w:tc>
        <w:tc>
          <w:tcPr>
            <w:tcW w:w="1260" w:type="dxa"/>
            <w:gridSpan w:val="2"/>
            <w:tcBorders>
              <w:top w:val="single" w:sz="8" w:space="0" w:color="auto"/>
            </w:tcBorders>
            <w:shd w:val="clear" w:color="auto" w:fill="auto"/>
            <w:vAlign w:val="bottom"/>
          </w:tcPr>
          <w:p w:rsidR="008D4CF9" w:rsidRPr="00506F1F" w:rsidRDefault="00AE0F14" w:rsidP="00B97D04">
            <w:pPr>
              <w:jc w:val="center"/>
              <w:rPr>
                <w:rFonts w:ascii="Arial Narrow" w:hAnsi="Arial Narrow"/>
                <w:bCs/>
                <w:sz w:val="22"/>
                <w:szCs w:val="22"/>
              </w:rPr>
            </w:pPr>
            <w:r w:rsidRPr="00506F1F">
              <w:rPr>
                <w:rFonts w:ascii="Arial Narrow" w:hAnsi="Arial Narrow"/>
                <w:bCs/>
                <w:sz w:val="22"/>
                <w:szCs w:val="22"/>
              </w:rPr>
              <w:t>5</w:t>
            </w:r>
          </w:p>
        </w:tc>
        <w:tc>
          <w:tcPr>
            <w:tcW w:w="1800" w:type="dxa"/>
            <w:gridSpan w:val="2"/>
            <w:tcBorders>
              <w:top w:val="single" w:sz="8" w:space="0" w:color="auto"/>
            </w:tcBorders>
            <w:shd w:val="clear" w:color="auto" w:fill="auto"/>
            <w:vAlign w:val="bottom"/>
          </w:tcPr>
          <w:p w:rsidR="008D4CF9" w:rsidRPr="00506F1F" w:rsidRDefault="000C65F4" w:rsidP="00B97D04">
            <w:pPr>
              <w:jc w:val="center"/>
              <w:rPr>
                <w:rFonts w:ascii="Arial Narrow" w:hAnsi="Arial Narrow"/>
                <w:bCs/>
                <w:sz w:val="22"/>
                <w:szCs w:val="22"/>
              </w:rPr>
            </w:pPr>
            <w:r w:rsidRPr="00506F1F">
              <w:rPr>
                <w:rFonts w:ascii="Arial Narrow" w:hAnsi="Arial Narrow"/>
                <w:bCs/>
                <w:sz w:val="22"/>
                <w:szCs w:val="22"/>
              </w:rPr>
              <w:t>2,500</w:t>
            </w:r>
          </w:p>
        </w:tc>
      </w:tr>
    </w:tbl>
    <w:p w:rsidR="00AE0F14" w:rsidRDefault="00AE0F14" w:rsidP="008D4CF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E72F0F" w:rsidRDefault="00E72F0F">
      <w:pPr>
        <w:rPr>
          <w:b/>
        </w:rPr>
      </w:pPr>
      <w:r>
        <w:rPr>
          <w:b/>
        </w:rPr>
        <w:br w:type="page"/>
      </w:r>
    </w:p>
    <w:p w:rsidR="00250E67" w:rsidRPr="00241591" w:rsidRDefault="00250E67" w:rsidP="00250E67">
      <w:pPr>
        <w:tabs>
          <w:tab w:val="left" w:pos="547"/>
          <w:tab w:val="left" w:pos="1080"/>
          <w:tab w:val="left" w:pos="1627"/>
          <w:tab w:val="left" w:pos="2160"/>
          <w:tab w:val="left" w:pos="2880"/>
        </w:tabs>
        <w:rPr>
          <w:b/>
        </w:rPr>
      </w:pPr>
      <w:r w:rsidRPr="00241591">
        <w:rPr>
          <w:b/>
        </w:rPr>
        <w:tab/>
        <w:t>b.</w:t>
      </w:r>
      <w:r w:rsidRPr="00241591">
        <w:rPr>
          <w:b/>
        </w:rPr>
        <w:tab/>
        <w:t>If this request for approval covers more than one form, provide separate hour burden estimates for each form and aggregate the hour burdens in Item 13 of OMB 83-I.</w:t>
      </w:r>
    </w:p>
    <w:p w:rsidR="00250E67" w:rsidRPr="00241591" w:rsidRDefault="00250E67" w:rsidP="00250E67">
      <w:pPr>
        <w:pStyle w:val="p5"/>
        <w:tabs>
          <w:tab w:val="clear" w:pos="1082"/>
          <w:tab w:val="left" w:pos="547"/>
          <w:tab w:val="left" w:pos="1080"/>
          <w:tab w:val="left" w:pos="1627"/>
          <w:tab w:val="left" w:pos="2160"/>
          <w:tab w:val="left" w:pos="2880"/>
        </w:tabs>
        <w:spacing w:line="260" w:lineRule="exact"/>
        <w:ind w:firstLine="0"/>
      </w:pPr>
    </w:p>
    <w:p w:rsidR="005A2E0F" w:rsidRPr="00241591" w:rsidRDefault="00250E67" w:rsidP="00250E67">
      <w:pPr>
        <w:pStyle w:val="p5"/>
        <w:tabs>
          <w:tab w:val="clear" w:pos="1082"/>
          <w:tab w:val="left" w:pos="547"/>
          <w:tab w:val="left" w:pos="1080"/>
          <w:tab w:val="left" w:pos="1627"/>
          <w:tab w:val="left" w:pos="2160"/>
          <w:tab w:val="left" w:pos="2880"/>
        </w:tabs>
        <w:spacing w:line="260" w:lineRule="exact"/>
        <w:ind w:firstLine="0"/>
      </w:pPr>
      <w:r w:rsidRPr="00241591">
        <w:tab/>
      </w:r>
      <w:r w:rsidRPr="00241591">
        <w:tab/>
      </w:r>
      <w:r w:rsidR="004246EA" w:rsidRPr="00241591">
        <w:t xml:space="preserve">There is no form in this submission.  </w:t>
      </w:r>
    </w:p>
    <w:p w:rsidR="005A2E0F" w:rsidRPr="00241591" w:rsidRDefault="005A2E0F" w:rsidP="00250E67">
      <w:pPr>
        <w:tabs>
          <w:tab w:val="left" w:pos="547"/>
          <w:tab w:val="left" w:pos="1080"/>
          <w:tab w:val="left" w:pos="1627"/>
          <w:tab w:val="left" w:pos="2160"/>
          <w:tab w:val="left" w:pos="2880"/>
        </w:tabs>
        <w:spacing w:line="260" w:lineRule="exact"/>
      </w:pPr>
    </w:p>
    <w:p w:rsidR="00250E67" w:rsidRPr="00241591" w:rsidRDefault="00250E67" w:rsidP="00250E67">
      <w:pPr>
        <w:tabs>
          <w:tab w:val="left" w:pos="547"/>
          <w:tab w:val="left" w:pos="1080"/>
          <w:tab w:val="left" w:pos="1627"/>
          <w:tab w:val="left" w:pos="2160"/>
          <w:tab w:val="left" w:pos="2880"/>
        </w:tabs>
        <w:rPr>
          <w:b/>
        </w:rPr>
      </w:pPr>
      <w:r w:rsidRPr="00241591">
        <w:rPr>
          <w:b/>
        </w:rPr>
        <w:tab/>
        <w:t>c.</w:t>
      </w:r>
      <w:r w:rsidRPr="00241591">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250E67" w:rsidRPr="00241591" w:rsidRDefault="00250E67" w:rsidP="00250E67">
      <w:pPr>
        <w:tabs>
          <w:tab w:val="left" w:pos="547"/>
          <w:tab w:val="left" w:pos="1080"/>
          <w:tab w:val="left" w:pos="1627"/>
          <w:tab w:val="left" w:pos="2160"/>
          <w:tab w:val="left" w:pos="2880"/>
        </w:tabs>
      </w:pPr>
    </w:p>
    <w:p w:rsidR="00631C2D" w:rsidRPr="00241591" w:rsidRDefault="00631C2D" w:rsidP="00631C2D">
      <w:pPr>
        <w:pStyle w:val="p5"/>
        <w:tabs>
          <w:tab w:val="clear" w:pos="1082"/>
          <w:tab w:val="left" w:pos="547"/>
          <w:tab w:val="left" w:pos="1080"/>
          <w:tab w:val="left" w:pos="1627"/>
          <w:tab w:val="left" w:pos="2160"/>
          <w:tab w:val="left" w:pos="2880"/>
        </w:tabs>
        <w:spacing w:line="260" w:lineRule="exact"/>
        <w:ind w:firstLine="0"/>
      </w:pPr>
      <w:r w:rsidRPr="00241591">
        <w:tab/>
      </w:r>
      <w:r w:rsidRPr="00241591">
        <w:tab/>
        <w:t>The cost to the respondents for completing this information is $</w:t>
      </w:r>
      <w:r w:rsidR="009E0857">
        <w:t>200</w:t>
      </w:r>
      <w:r w:rsidR="008D4CF9" w:rsidRPr="00241591">
        <w:t xml:space="preserve">,000. </w:t>
      </w:r>
      <w:r w:rsidRPr="00241591">
        <w:t xml:space="preserve"> We do not require any additional recordkeeping.</w:t>
      </w:r>
    </w:p>
    <w:p w:rsidR="00631C2D" w:rsidRPr="00241591" w:rsidRDefault="00631C2D" w:rsidP="00631C2D">
      <w:pPr>
        <w:pStyle w:val="p5"/>
        <w:tabs>
          <w:tab w:val="clear" w:pos="1082"/>
          <w:tab w:val="left" w:pos="547"/>
          <w:tab w:val="left" w:pos="1080"/>
          <w:tab w:val="left" w:pos="1627"/>
          <w:tab w:val="left" w:pos="2160"/>
          <w:tab w:val="left" w:pos="2880"/>
        </w:tabs>
        <w:spacing w:line="260" w:lineRule="exact"/>
        <w:ind w:firstLine="0"/>
      </w:pPr>
    </w:p>
    <w:tbl>
      <w:tblPr>
        <w:tblW w:w="4860" w:type="dxa"/>
        <w:tblInd w:w="1195" w:type="dxa"/>
        <w:tblLayout w:type="fixed"/>
        <w:tblCellMar>
          <w:left w:w="115" w:type="dxa"/>
          <w:right w:w="115" w:type="dxa"/>
        </w:tblCellMar>
        <w:tblLook w:val="0000"/>
      </w:tblPr>
      <w:tblGrid>
        <w:gridCol w:w="1260"/>
        <w:gridCol w:w="1137"/>
        <w:gridCol w:w="1023"/>
        <w:gridCol w:w="1440"/>
      </w:tblGrid>
      <w:tr w:rsidR="00631C2D" w:rsidRPr="00241591">
        <w:trPr>
          <w:trHeight w:val="216"/>
        </w:trPr>
        <w:tc>
          <w:tcPr>
            <w:tcW w:w="1260" w:type="dxa"/>
            <w:shd w:val="clear" w:color="auto" w:fill="auto"/>
            <w:noWrap/>
            <w:vAlign w:val="center"/>
          </w:tcPr>
          <w:p w:rsidR="00631C2D" w:rsidRPr="00506F1F" w:rsidRDefault="00631C2D" w:rsidP="00B97D04">
            <w:pPr>
              <w:jc w:val="center"/>
              <w:rPr>
                <w:rFonts w:ascii="Arial Narrow" w:hAnsi="Arial Narrow"/>
                <w:b/>
                <w:bCs/>
                <w:sz w:val="22"/>
                <w:szCs w:val="22"/>
              </w:rPr>
            </w:pPr>
            <w:r w:rsidRPr="00506F1F">
              <w:rPr>
                <w:rFonts w:ascii="Arial Narrow" w:hAnsi="Arial Narrow"/>
                <w:b/>
                <w:bCs/>
                <w:sz w:val="22"/>
                <w:szCs w:val="22"/>
              </w:rPr>
              <w:t> </w:t>
            </w:r>
          </w:p>
        </w:tc>
        <w:tc>
          <w:tcPr>
            <w:tcW w:w="1137" w:type="dxa"/>
            <w:shd w:val="clear" w:color="auto" w:fill="auto"/>
            <w:vAlign w:val="center"/>
          </w:tcPr>
          <w:p w:rsidR="00631C2D" w:rsidRPr="00506F1F" w:rsidRDefault="00631C2D" w:rsidP="00B97D04">
            <w:pPr>
              <w:jc w:val="center"/>
              <w:rPr>
                <w:rFonts w:ascii="Arial Narrow" w:hAnsi="Arial Narrow"/>
                <w:b/>
                <w:bCs/>
                <w:sz w:val="22"/>
                <w:szCs w:val="22"/>
              </w:rPr>
            </w:pPr>
            <w:r w:rsidRPr="00506F1F">
              <w:rPr>
                <w:rFonts w:ascii="Arial Narrow" w:hAnsi="Arial Narrow"/>
                <w:b/>
                <w:bCs/>
                <w:sz w:val="22"/>
                <w:szCs w:val="22"/>
              </w:rPr>
              <w:t>Burden Hours</w:t>
            </w:r>
          </w:p>
        </w:tc>
        <w:tc>
          <w:tcPr>
            <w:tcW w:w="1023" w:type="dxa"/>
            <w:shd w:val="clear" w:color="auto" w:fill="auto"/>
            <w:noWrap/>
            <w:vAlign w:val="center"/>
          </w:tcPr>
          <w:p w:rsidR="00631C2D" w:rsidRPr="00506F1F" w:rsidRDefault="00631C2D" w:rsidP="00B97D04">
            <w:pPr>
              <w:jc w:val="center"/>
              <w:rPr>
                <w:rFonts w:ascii="Arial Narrow" w:hAnsi="Arial Narrow"/>
                <w:b/>
                <w:bCs/>
                <w:sz w:val="22"/>
                <w:szCs w:val="22"/>
              </w:rPr>
            </w:pPr>
            <w:r w:rsidRPr="00506F1F">
              <w:rPr>
                <w:rFonts w:ascii="Arial Narrow" w:hAnsi="Arial Narrow"/>
                <w:b/>
                <w:bCs/>
                <w:sz w:val="22"/>
                <w:szCs w:val="22"/>
              </w:rPr>
              <w:t>Cost</w:t>
            </w:r>
          </w:p>
        </w:tc>
        <w:tc>
          <w:tcPr>
            <w:tcW w:w="1440" w:type="dxa"/>
            <w:shd w:val="clear" w:color="auto" w:fill="auto"/>
            <w:noWrap/>
            <w:vAlign w:val="center"/>
          </w:tcPr>
          <w:p w:rsidR="00631C2D" w:rsidRPr="00506F1F" w:rsidRDefault="00631C2D" w:rsidP="00B97D04">
            <w:pPr>
              <w:jc w:val="center"/>
              <w:rPr>
                <w:rFonts w:ascii="Arial Narrow" w:hAnsi="Arial Narrow"/>
                <w:b/>
                <w:bCs/>
                <w:sz w:val="22"/>
                <w:szCs w:val="22"/>
              </w:rPr>
            </w:pPr>
            <w:r w:rsidRPr="00506F1F">
              <w:rPr>
                <w:rFonts w:ascii="Arial Narrow" w:hAnsi="Arial Narrow"/>
                <w:b/>
                <w:bCs/>
                <w:sz w:val="22"/>
                <w:szCs w:val="22"/>
              </w:rPr>
              <w:t>Total</w:t>
            </w:r>
          </w:p>
        </w:tc>
      </w:tr>
      <w:tr w:rsidR="00631C2D" w:rsidRPr="00241591">
        <w:trPr>
          <w:trHeight w:val="216"/>
        </w:trPr>
        <w:tc>
          <w:tcPr>
            <w:tcW w:w="1260" w:type="dxa"/>
            <w:shd w:val="clear" w:color="auto" w:fill="auto"/>
            <w:vAlign w:val="center"/>
          </w:tcPr>
          <w:p w:rsidR="00631C2D" w:rsidRPr="00506F1F" w:rsidRDefault="00631C2D" w:rsidP="00B97D04">
            <w:pPr>
              <w:jc w:val="center"/>
              <w:rPr>
                <w:rFonts w:ascii="Arial Narrow" w:hAnsi="Arial Narrow"/>
                <w:bCs/>
                <w:sz w:val="22"/>
                <w:szCs w:val="22"/>
              </w:rPr>
            </w:pPr>
            <w:r w:rsidRPr="00506F1F">
              <w:rPr>
                <w:rFonts w:ascii="Arial Narrow" w:hAnsi="Arial Narrow"/>
                <w:bCs/>
                <w:sz w:val="22"/>
                <w:szCs w:val="22"/>
              </w:rPr>
              <w:t>NPDB</w:t>
            </w:r>
          </w:p>
        </w:tc>
        <w:tc>
          <w:tcPr>
            <w:tcW w:w="1137" w:type="dxa"/>
            <w:shd w:val="clear" w:color="auto" w:fill="auto"/>
            <w:vAlign w:val="center"/>
          </w:tcPr>
          <w:p w:rsidR="00631C2D" w:rsidRPr="00506F1F" w:rsidRDefault="009E0857" w:rsidP="00B97D04">
            <w:pPr>
              <w:jc w:val="center"/>
              <w:rPr>
                <w:rFonts w:ascii="Arial Narrow" w:hAnsi="Arial Narrow"/>
                <w:bCs/>
                <w:sz w:val="22"/>
                <w:szCs w:val="22"/>
              </w:rPr>
            </w:pPr>
            <w:r>
              <w:rPr>
                <w:rFonts w:ascii="Arial Narrow" w:hAnsi="Arial Narrow"/>
                <w:bCs/>
                <w:sz w:val="22"/>
                <w:szCs w:val="22"/>
              </w:rPr>
              <w:t>2,</w:t>
            </w:r>
            <w:r w:rsidR="000C65F4" w:rsidRPr="00506F1F">
              <w:rPr>
                <w:rFonts w:ascii="Arial Narrow" w:hAnsi="Arial Narrow"/>
                <w:bCs/>
                <w:sz w:val="22"/>
                <w:szCs w:val="22"/>
              </w:rPr>
              <w:t>500</w:t>
            </w:r>
          </w:p>
        </w:tc>
        <w:tc>
          <w:tcPr>
            <w:tcW w:w="1023" w:type="dxa"/>
            <w:shd w:val="clear" w:color="auto" w:fill="auto"/>
            <w:noWrap/>
            <w:vAlign w:val="center"/>
          </w:tcPr>
          <w:p w:rsidR="00631C2D" w:rsidRPr="00506F1F" w:rsidRDefault="00631C2D" w:rsidP="00B97D04">
            <w:pPr>
              <w:jc w:val="center"/>
              <w:rPr>
                <w:rFonts w:ascii="Arial Narrow" w:hAnsi="Arial Narrow"/>
                <w:bCs/>
                <w:sz w:val="22"/>
                <w:szCs w:val="22"/>
              </w:rPr>
            </w:pPr>
            <w:r w:rsidRPr="00506F1F">
              <w:rPr>
                <w:rFonts w:ascii="Arial Narrow" w:hAnsi="Arial Narrow"/>
                <w:bCs/>
                <w:sz w:val="22"/>
                <w:szCs w:val="22"/>
              </w:rPr>
              <w:t>$80</w:t>
            </w:r>
          </w:p>
        </w:tc>
        <w:tc>
          <w:tcPr>
            <w:tcW w:w="1440" w:type="dxa"/>
            <w:shd w:val="clear" w:color="auto" w:fill="auto"/>
            <w:vAlign w:val="center"/>
          </w:tcPr>
          <w:p w:rsidR="00631C2D" w:rsidRPr="00506F1F" w:rsidRDefault="000C65F4" w:rsidP="009E0857">
            <w:pPr>
              <w:jc w:val="center"/>
              <w:rPr>
                <w:rFonts w:ascii="Arial Narrow" w:hAnsi="Arial Narrow"/>
                <w:bCs/>
                <w:sz w:val="22"/>
                <w:szCs w:val="22"/>
              </w:rPr>
            </w:pPr>
            <w:r w:rsidRPr="00506F1F">
              <w:rPr>
                <w:rFonts w:ascii="Arial Narrow" w:hAnsi="Arial Narrow"/>
                <w:bCs/>
                <w:sz w:val="22"/>
                <w:szCs w:val="22"/>
              </w:rPr>
              <w:t>$</w:t>
            </w:r>
            <w:r w:rsidR="009E0857">
              <w:rPr>
                <w:rFonts w:ascii="Arial Narrow" w:hAnsi="Arial Narrow"/>
                <w:bCs/>
                <w:sz w:val="22"/>
                <w:szCs w:val="22"/>
              </w:rPr>
              <w:t>200,000</w:t>
            </w:r>
          </w:p>
        </w:tc>
      </w:tr>
      <w:tr w:rsidR="00631C2D" w:rsidRPr="00241591">
        <w:trPr>
          <w:trHeight w:val="216"/>
        </w:trPr>
        <w:tc>
          <w:tcPr>
            <w:tcW w:w="1260" w:type="dxa"/>
            <w:tcBorders>
              <w:top w:val="single" w:sz="8" w:space="0" w:color="auto"/>
            </w:tcBorders>
            <w:shd w:val="clear" w:color="auto" w:fill="auto"/>
            <w:vAlign w:val="center"/>
          </w:tcPr>
          <w:p w:rsidR="00631C2D" w:rsidRPr="00506F1F" w:rsidRDefault="00631C2D" w:rsidP="00B97D04">
            <w:pPr>
              <w:jc w:val="center"/>
              <w:rPr>
                <w:rFonts w:ascii="Arial Narrow" w:hAnsi="Arial Narrow"/>
                <w:b/>
                <w:bCs/>
                <w:sz w:val="22"/>
                <w:szCs w:val="22"/>
              </w:rPr>
            </w:pPr>
          </w:p>
        </w:tc>
        <w:tc>
          <w:tcPr>
            <w:tcW w:w="1137" w:type="dxa"/>
            <w:tcBorders>
              <w:top w:val="single" w:sz="8" w:space="0" w:color="auto"/>
            </w:tcBorders>
            <w:shd w:val="clear" w:color="auto" w:fill="auto"/>
            <w:noWrap/>
            <w:vAlign w:val="center"/>
          </w:tcPr>
          <w:p w:rsidR="00631C2D" w:rsidRPr="00506F1F" w:rsidRDefault="00631C2D" w:rsidP="00B97D04">
            <w:pPr>
              <w:jc w:val="center"/>
              <w:rPr>
                <w:rFonts w:ascii="Arial Narrow" w:hAnsi="Arial Narrow"/>
                <w:bCs/>
                <w:sz w:val="22"/>
                <w:szCs w:val="22"/>
              </w:rPr>
            </w:pPr>
          </w:p>
        </w:tc>
        <w:tc>
          <w:tcPr>
            <w:tcW w:w="1023" w:type="dxa"/>
            <w:tcBorders>
              <w:top w:val="single" w:sz="8" w:space="0" w:color="auto"/>
            </w:tcBorders>
            <w:shd w:val="clear" w:color="auto" w:fill="auto"/>
            <w:vAlign w:val="center"/>
          </w:tcPr>
          <w:p w:rsidR="00631C2D" w:rsidRPr="00506F1F" w:rsidRDefault="00631C2D" w:rsidP="00B97D04">
            <w:pPr>
              <w:jc w:val="center"/>
              <w:rPr>
                <w:rFonts w:ascii="Arial Narrow" w:hAnsi="Arial Narrow"/>
                <w:bCs/>
                <w:sz w:val="22"/>
                <w:szCs w:val="22"/>
              </w:rPr>
            </w:pPr>
          </w:p>
        </w:tc>
        <w:tc>
          <w:tcPr>
            <w:tcW w:w="1440" w:type="dxa"/>
            <w:tcBorders>
              <w:top w:val="single" w:sz="8" w:space="0" w:color="auto"/>
            </w:tcBorders>
            <w:shd w:val="clear" w:color="auto" w:fill="auto"/>
            <w:vAlign w:val="center"/>
          </w:tcPr>
          <w:p w:rsidR="00631C2D" w:rsidRPr="00506F1F" w:rsidRDefault="00631C2D" w:rsidP="00B97D04">
            <w:pPr>
              <w:jc w:val="center"/>
              <w:rPr>
                <w:rFonts w:ascii="Arial Narrow" w:hAnsi="Arial Narrow"/>
                <w:bCs/>
                <w:sz w:val="22"/>
                <w:szCs w:val="22"/>
              </w:rPr>
            </w:pPr>
          </w:p>
        </w:tc>
      </w:tr>
    </w:tbl>
    <w:p w:rsidR="00C8044A" w:rsidRDefault="00C8044A" w:rsidP="00396856">
      <w:pPr>
        <w:pStyle w:val="BodyText3"/>
        <w:tabs>
          <w:tab w:val="left" w:pos="547"/>
          <w:tab w:val="left" w:pos="1080"/>
          <w:tab w:val="left" w:pos="1627"/>
          <w:tab w:val="left" w:pos="2160"/>
          <w:tab w:val="left" w:pos="2880"/>
        </w:tabs>
        <w:spacing w:after="0"/>
        <w:rPr>
          <w:b/>
          <w:sz w:val="24"/>
          <w:szCs w:val="24"/>
        </w:rPr>
      </w:pPr>
    </w:p>
    <w:p w:rsidR="00396856" w:rsidRPr="00241591" w:rsidRDefault="00396856" w:rsidP="00396856">
      <w:pPr>
        <w:pStyle w:val="BodyText3"/>
        <w:tabs>
          <w:tab w:val="left" w:pos="547"/>
          <w:tab w:val="left" w:pos="1080"/>
          <w:tab w:val="left" w:pos="1627"/>
          <w:tab w:val="left" w:pos="2160"/>
          <w:tab w:val="left" w:pos="2880"/>
        </w:tabs>
        <w:spacing w:after="0"/>
        <w:rPr>
          <w:b/>
          <w:sz w:val="24"/>
          <w:szCs w:val="24"/>
        </w:rPr>
      </w:pPr>
      <w:r w:rsidRPr="00241591">
        <w:rPr>
          <w:b/>
          <w:sz w:val="24"/>
          <w:szCs w:val="24"/>
        </w:rPr>
        <w:t>13.</w:t>
      </w:r>
      <w:r w:rsidRPr="00241591">
        <w:rPr>
          <w:b/>
          <w:sz w:val="24"/>
          <w:szCs w:val="24"/>
        </w:rPr>
        <w:tab/>
        <w:t xml:space="preserve">Provide an estimate of the total annual cost burden to respondents or </w:t>
      </w:r>
      <w:proofErr w:type="spellStart"/>
      <w:r w:rsidRPr="00241591">
        <w:rPr>
          <w:b/>
          <w:sz w:val="24"/>
          <w:szCs w:val="24"/>
        </w:rPr>
        <w:t>recordkeepers</w:t>
      </w:r>
      <w:proofErr w:type="spellEnd"/>
      <w:r w:rsidRPr="00241591">
        <w:rPr>
          <w:b/>
          <w:sz w:val="24"/>
          <w:szCs w:val="24"/>
        </w:rPr>
        <w:t xml:space="preserve"> resulting from the collection of information.  (Do not include the cost of any hour burden shown in Items 12 and 14).</w:t>
      </w:r>
    </w:p>
    <w:p w:rsidR="00C47120" w:rsidRPr="00241591" w:rsidRDefault="00C47120" w:rsidP="00C47120">
      <w:pPr>
        <w:pStyle w:val="BodyText3"/>
        <w:tabs>
          <w:tab w:val="left" w:pos="547"/>
          <w:tab w:val="left" w:pos="1080"/>
          <w:tab w:val="left" w:pos="1627"/>
          <w:tab w:val="left" w:pos="2160"/>
          <w:tab w:val="left" w:pos="2880"/>
        </w:tabs>
        <w:spacing w:after="0"/>
        <w:rPr>
          <w:sz w:val="24"/>
          <w:szCs w:val="24"/>
        </w:rPr>
      </w:pPr>
    </w:p>
    <w:p w:rsidR="00C47120" w:rsidRPr="00241591" w:rsidRDefault="00C47120" w:rsidP="00C47120">
      <w:pPr>
        <w:pStyle w:val="BodyText3"/>
        <w:tabs>
          <w:tab w:val="left" w:pos="547"/>
          <w:tab w:val="left" w:pos="1080"/>
          <w:tab w:val="left" w:pos="1627"/>
          <w:tab w:val="left" w:pos="2160"/>
          <w:tab w:val="left" w:pos="2880"/>
        </w:tabs>
        <w:spacing w:after="0"/>
        <w:rPr>
          <w:sz w:val="24"/>
          <w:szCs w:val="24"/>
        </w:rPr>
      </w:pPr>
      <w:r w:rsidRPr="00241591">
        <w:rPr>
          <w:sz w:val="24"/>
          <w:szCs w:val="24"/>
        </w:rPr>
        <w:tab/>
        <w:t>a.</w:t>
      </w:r>
      <w:r w:rsidRPr="00241591">
        <w:rPr>
          <w:sz w:val="24"/>
          <w:szCs w:val="24"/>
        </w:rPr>
        <w:tab/>
        <w:t xml:space="preserve">There </w:t>
      </w:r>
      <w:r w:rsidR="000562D7" w:rsidRPr="00241591">
        <w:rPr>
          <w:sz w:val="24"/>
          <w:szCs w:val="24"/>
        </w:rPr>
        <w:t>is no capital</w:t>
      </w:r>
      <w:r w:rsidRPr="00241591">
        <w:rPr>
          <w:sz w:val="24"/>
          <w:szCs w:val="24"/>
        </w:rPr>
        <w:t>, start-up, operation or maintenance costs.</w:t>
      </w:r>
    </w:p>
    <w:p w:rsidR="00C47120" w:rsidRPr="00241591" w:rsidRDefault="00C47120" w:rsidP="00C47120">
      <w:pPr>
        <w:pStyle w:val="BodyText3"/>
        <w:tabs>
          <w:tab w:val="left" w:pos="547"/>
          <w:tab w:val="left" w:pos="1080"/>
          <w:tab w:val="left" w:pos="1627"/>
          <w:tab w:val="left" w:pos="2160"/>
          <w:tab w:val="left" w:pos="2880"/>
        </w:tabs>
        <w:spacing w:after="0"/>
        <w:rPr>
          <w:sz w:val="24"/>
          <w:szCs w:val="24"/>
        </w:rPr>
      </w:pPr>
      <w:r w:rsidRPr="00241591">
        <w:rPr>
          <w:sz w:val="24"/>
          <w:szCs w:val="24"/>
        </w:rPr>
        <w:tab/>
        <w:t>b.</w:t>
      </w:r>
      <w:r w:rsidRPr="00241591">
        <w:rPr>
          <w:sz w:val="24"/>
          <w:szCs w:val="24"/>
        </w:rPr>
        <w:tab/>
        <w:t>Cost estimates are not expected to vary widely.  The only cost is that for the time of the respondent.</w:t>
      </w:r>
    </w:p>
    <w:p w:rsidR="00C47120" w:rsidRPr="00241591" w:rsidRDefault="00C47120" w:rsidP="00C47120">
      <w:pPr>
        <w:pStyle w:val="BodyText3"/>
        <w:tabs>
          <w:tab w:val="left" w:pos="547"/>
          <w:tab w:val="left" w:pos="1080"/>
          <w:tab w:val="left" w:pos="1627"/>
          <w:tab w:val="left" w:pos="2160"/>
          <w:tab w:val="left" w:pos="2880"/>
        </w:tabs>
        <w:spacing w:after="0"/>
        <w:rPr>
          <w:sz w:val="24"/>
          <w:szCs w:val="24"/>
        </w:rPr>
      </w:pPr>
      <w:r w:rsidRPr="00241591">
        <w:rPr>
          <w:sz w:val="24"/>
          <w:szCs w:val="24"/>
        </w:rPr>
        <w:tab/>
        <w:t>c.</w:t>
      </w:r>
      <w:r w:rsidRPr="00241591">
        <w:rPr>
          <w:sz w:val="24"/>
          <w:szCs w:val="24"/>
        </w:rPr>
        <w:tab/>
        <w:t xml:space="preserve">There </w:t>
      </w:r>
      <w:r w:rsidR="000562D7" w:rsidRPr="00241591">
        <w:rPr>
          <w:sz w:val="24"/>
          <w:szCs w:val="24"/>
        </w:rPr>
        <w:t>is no an anticipated capital start-up cost component</w:t>
      </w:r>
      <w:r w:rsidRPr="00241591">
        <w:rPr>
          <w:sz w:val="24"/>
          <w:szCs w:val="24"/>
        </w:rPr>
        <w:t xml:space="preserve"> or requests to provide information.</w:t>
      </w:r>
    </w:p>
    <w:p w:rsidR="00EA7F7F" w:rsidRPr="00241591" w:rsidRDefault="00EA7F7F" w:rsidP="008160E1">
      <w:pPr>
        <w:pStyle w:val="p8"/>
        <w:tabs>
          <w:tab w:val="left" w:pos="990"/>
        </w:tabs>
        <w:spacing w:line="240" w:lineRule="auto"/>
        <w:ind w:firstLine="0"/>
      </w:pPr>
    </w:p>
    <w:p w:rsidR="003D2EC4" w:rsidRPr="00241591" w:rsidRDefault="003D2EC4" w:rsidP="003D2EC4">
      <w:pPr>
        <w:pStyle w:val="BodyText3"/>
        <w:tabs>
          <w:tab w:val="left" w:pos="547"/>
          <w:tab w:val="left" w:pos="1080"/>
          <w:tab w:val="left" w:pos="1627"/>
          <w:tab w:val="left" w:pos="2160"/>
          <w:tab w:val="left" w:pos="2880"/>
        </w:tabs>
        <w:spacing w:after="0"/>
        <w:rPr>
          <w:b/>
          <w:sz w:val="24"/>
          <w:szCs w:val="24"/>
        </w:rPr>
      </w:pPr>
      <w:r w:rsidRPr="008E1F91">
        <w:rPr>
          <w:b/>
          <w:sz w:val="24"/>
          <w:szCs w:val="24"/>
        </w:rPr>
        <w:t>14.</w:t>
      </w:r>
      <w:r w:rsidRPr="008E1F91">
        <w:rPr>
          <w:b/>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62DDA" w:rsidRPr="00241591" w:rsidRDefault="00362DDA" w:rsidP="00337CAF">
      <w:pPr>
        <w:pStyle w:val="p8"/>
        <w:spacing w:line="260" w:lineRule="exact"/>
        <w:ind w:firstLine="0"/>
      </w:pPr>
    </w:p>
    <w:p w:rsidR="00337CAF" w:rsidRPr="00241591" w:rsidRDefault="00F84C04" w:rsidP="003F6BE3">
      <w:pPr>
        <w:pStyle w:val="p8"/>
        <w:tabs>
          <w:tab w:val="clear" w:pos="527"/>
          <w:tab w:val="left" w:pos="720"/>
        </w:tabs>
        <w:spacing w:line="260" w:lineRule="exact"/>
        <w:ind w:firstLine="0"/>
      </w:pPr>
      <w:r w:rsidRPr="00241591">
        <w:tab/>
        <w:t xml:space="preserve">There is no cost to the Federal Government since the process has been automated. </w:t>
      </w:r>
    </w:p>
    <w:p w:rsidR="00F84C04" w:rsidRPr="00241591" w:rsidRDefault="00F84C04" w:rsidP="00337CAF">
      <w:pPr>
        <w:pStyle w:val="p8"/>
        <w:spacing w:line="260" w:lineRule="exact"/>
        <w:ind w:firstLine="0"/>
      </w:pPr>
    </w:p>
    <w:p w:rsidR="005A2E0F" w:rsidRPr="00241591" w:rsidRDefault="005A2E0F" w:rsidP="00396856">
      <w:pPr>
        <w:pStyle w:val="p10"/>
        <w:spacing w:line="240" w:lineRule="auto"/>
        <w:rPr>
          <w:b/>
          <w:bCs/>
        </w:rPr>
      </w:pPr>
      <w:r w:rsidRPr="008E1F91">
        <w:rPr>
          <w:b/>
          <w:bCs/>
        </w:rPr>
        <w:t>15.</w:t>
      </w:r>
      <w:r w:rsidRPr="008E1F91">
        <w:rPr>
          <w:b/>
          <w:bCs/>
        </w:rPr>
        <w:tab/>
        <w:t>Explain the reason for any program changes or adjustments reported in Items 13 or 14</w:t>
      </w:r>
      <w:r w:rsidR="00131A02" w:rsidRPr="008E1F91">
        <w:rPr>
          <w:b/>
          <w:bCs/>
        </w:rPr>
        <w:t>.</w:t>
      </w:r>
      <w:r w:rsidRPr="00241591">
        <w:rPr>
          <w:b/>
          <w:bCs/>
        </w:rPr>
        <w:t xml:space="preserve"> </w:t>
      </w:r>
    </w:p>
    <w:p w:rsidR="00A2707F" w:rsidRPr="00241591" w:rsidRDefault="00A2707F" w:rsidP="000C3747">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pPr>
    </w:p>
    <w:p w:rsidR="00D97526" w:rsidRDefault="000C3747" w:rsidP="00BF6E1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241591">
        <w:tab/>
      </w:r>
      <w:r w:rsidR="00D97526">
        <w:t xml:space="preserve">The </w:t>
      </w:r>
      <w:r w:rsidR="000562D7">
        <w:t>change in</w:t>
      </w:r>
      <w:r w:rsidR="00E63815">
        <w:t xml:space="preserve"> h</w:t>
      </w:r>
      <w:r w:rsidR="00D97526">
        <w:t xml:space="preserve">ours is due to the increase in reports with the implementation of the Proactive Disclosure/Continuous Query Service (PD/CQS).  The enrollment in PD/CQS does not wait for the biannual review or change in privileges but rather directly transmits to VA any new report to the NPDB requiring following with the reporting entity.  </w:t>
      </w:r>
    </w:p>
    <w:p w:rsidR="00D97526" w:rsidRDefault="00D97526" w:rsidP="00BF6E1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BF6E1C" w:rsidRPr="00241591" w:rsidRDefault="00D97526" w:rsidP="00BF6E1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ab/>
      </w:r>
      <w:r w:rsidR="00BF6E1C" w:rsidRPr="00241591">
        <w:t>VA</w:t>
      </w:r>
      <w:r w:rsidR="004B2E9A">
        <w:t xml:space="preserve"> form</w:t>
      </w:r>
      <w:r w:rsidR="00BF6E1C" w:rsidRPr="00241591">
        <w:t xml:space="preserve"> 10-</w:t>
      </w:r>
      <w:r w:rsidR="000562D7">
        <w:t>490</w:t>
      </w:r>
      <w:r w:rsidR="000562D7" w:rsidRPr="00241591">
        <w:t xml:space="preserve"> </w:t>
      </w:r>
      <w:r w:rsidR="00BF6E1C" w:rsidRPr="00241591">
        <w:t xml:space="preserve">was made obsolete by VetPro, VHA’s electronic credentialing system and is therefore no longer used.  </w:t>
      </w:r>
    </w:p>
    <w:p w:rsidR="00C8044A" w:rsidRPr="00241591" w:rsidRDefault="00C8044A" w:rsidP="000C3747">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pPr>
    </w:p>
    <w:p w:rsidR="00E72F0F" w:rsidRDefault="00E72F0F">
      <w:pPr>
        <w:rPr>
          <w:b/>
          <w:bCs/>
        </w:rPr>
      </w:pPr>
      <w:r>
        <w:rPr>
          <w:b/>
          <w:bCs/>
        </w:rPr>
        <w:br w:type="page"/>
      </w:r>
    </w:p>
    <w:p w:rsidR="005A2E0F" w:rsidRPr="00241591" w:rsidRDefault="005A2E0F" w:rsidP="00396856">
      <w:pPr>
        <w:pStyle w:val="p3"/>
        <w:spacing w:line="277" w:lineRule="exact"/>
        <w:rPr>
          <w:b/>
          <w:bCs/>
        </w:rPr>
      </w:pPr>
      <w:r w:rsidRPr="00241591">
        <w:rPr>
          <w:b/>
          <w:bCs/>
        </w:rPr>
        <w:t>16.</w:t>
      </w:r>
      <w:r w:rsidRPr="00241591">
        <w:rPr>
          <w:b/>
          <w:bCs/>
        </w:rPr>
        <w:tab/>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241591">
        <w:rPr>
          <w:b/>
          <w:bCs/>
          <w:i/>
          <w:iCs/>
        </w:rPr>
        <w:t xml:space="preserve">ending </w:t>
      </w:r>
      <w:r w:rsidRPr="00241591">
        <w:rPr>
          <w:b/>
          <w:bCs/>
        </w:rPr>
        <w:t>dates of the collection of information, completion of report, publication dates, and other actions.</w:t>
      </w:r>
    </w:p>
    <w:p w:rsidR="005A2E0F" w:rsidRPr="00241591" w:rsidRDefault="005A2E0F" w:rsidP="00396856">
      <w:pPr>
        <w:tabs>
          <w:tab w:val="left" w:pos="515"/>
        </w:tabs>
        <w:spacing w:line="277" w:lineRule="exact"/>
      </w:pPr>
    </w:p>
    <w:p w:rsidR="005A2E0F" w:rsidRPr="00241591" w:rsidRDefault="005A2E0F" w:rsidP="00396856">
      <w:pPr>
        <w:pStyle w:val="p8"/>
        <w:spacing w:line="260" w:lineRule="exact"/>
      </w:pPr>
      <w:r w:rsidRPr="00241591">
        <w:t>There are no plans to publish the results of the information collected.</w:t>
      </w:r>
    </w:p>
    <w:p w:rsidR="002A6147" w:rsidRPr="00241591" w:rsidRDefault="002A6147" w:rsidP="00396856">
      <w:pPr>
        <w:pStyle w:val="p3"/>
        <w:spacing w:line="277" w:lineRule="exact"/>
        <w:rPr>
          <w:b/>
          <w:bCs/>
        </w:rPr>
      </w:pPr>
    </w:p>
    <w:p w:rsidR="0015567D" w:rsidRPr="00241591" w:rsidRDefault="0015567D" w:rsidP="0015567D">
      <w:pPr>
        <w:pStyle w:val="BodyText3"/>
        <w:tabs>
          <w:tab w:val="left" w:pos="547"/>
          <w:tab w:val="left" w:pos="1080"/>
          <w:tab w:val="left" w:pos="1627"/>
          <w:tab w:val="left" w:pos="2160"/>
          <w:tab w:val="left" w:pos="2880"/>
        </w:tabs>
        <w:spacing w:after="0"/>
        <w:rPr>
          <w:b/>
          <w:sz w:val="24"/>
          <w:szCs w:val="24"/>
        </w:rPr>
      </w:pPr>
      <w:r w:rsidRPr="00241591">
        <w:rPr>
          <w:b/>
          <w:sz w:val="24"/>
          <w:szCs w:val="24"/>
        </w:rPr>
        <w:t>17.</w:t>
      </w:r>
      <w:r w:rsidRPr="00241591">
        <w:rPr>
          <w:b/>
          <w:sz w:val="24"/>
          <w:szCs w:val="24"/>
        </w:rPr>
        <w:tab/>
      </w:r>
      <w:proofErr w:type="gramStart"/>
      <w:r w:rsidRPr="00241591">
        <w:rPr>
          <w:b/>
          <w:sz w:val="24"/>
          <w:szCs w:val="24"/>
        </w:rPr>
        <w:t>If</w:t>
      </w:r>
      <w:proofErr w:type="gramEnd"/>
      <w:r w:rsidRPr="00241591">
        <w:rPr>
          <w:b/>
          <w:sz w:val="24"/>
          <w:szCs w:val="24"/>
        </w:rPr>
        <w:t xml:space="preserve"> seeking approval to omit the expiration date for OMB approval of the information collection, explain the reasons that display would be inappropriate. </w:t>
      </w:r>
    </w:p>
    <w:p w:rsidR="000C3747" w:rsidRPr="00241591" w:rsidRDefault="000C3747" w:rsidP="000C37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pPr>
    </w:p>
    <w:p w:rsidR="000C3747" w:rsidRPr="00241591" w:rsidRDefault="003F6BE3" w:rsidP="003F6BE3">
      <w:pPr>
        <w:tabs>
          <w:tab w:val="left" w:pos="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firstLine="540"/>
      </w:pPr>
      <w:r w:rsidRPr="00241591">
        <w:t>Since the use of the VA 10-</w:t>
      </w:r>
      <w:r w:rsidR="000562D7">
        <w:t>490</w:t>
      </w:r>
      <w:r w:rsidR="000562D7" w:rsidRPr="00241591">
        <w:t xml:space="preserve"> </w:t>
      </w:r>
      <w:r w:rsidRPr="00241591">
        <w:t xml:space="preserve">is no longer used, there is no need for approval to omit an expiration date.  </w:t>
      </w:r>
    </w:p>
    <w:p w:rsidR="0015567D" w:rsidRPr="00241591" w:rsidRDefault="0015567D" w:rsidP="0015567D">
      <w:pPr>
        <w:tabs>
          <w:tab w:val="left" w:pos="547"/>
          <w:tab w:val="left" w:pos="1080"/>
          <w:tab w:val="left" w:pos="1627"/>
          <w:tab w:val="left" w:pos="2160"/>
          <w:tab w:val="left" w:pos="2880"/>
        </w:tabs>
        <w:ind w:right="-108"/>
      </w:pPr>
    </w:p>
    <w:p w:rsidR="0015567D" w:rsidRPr="00241591" w:rsidRDefault="0015567D" w:rsidP="0015567D">
      <w:pPr>
        <w:pStyle w:val="BodyText3"/>
        <w:tabs>
          <w:tab w:val="left" w:pos="547"/>
          <w:tab w:val="left" w:pos="1080"/>
          <w:tab w:val="left" w:pos="1627"/>
          <w:tab w:val="left" w:pos="2160"/>
          <w:tab w:val="left" w:pos="2880"/>
        </w:tabs>
        <w:spacing w:after="0"/>
        <w:rPr>
          <w:b/>
          <w:sz w:val="24"/>
          <w:szCs w:val="24"/>
        </w:rPr>
      </w:pPr>
      <w:proofErr w:type="gramStart"/>
      <w:r w:rsidRPr="00241591">
        <w:rPr>
          <w:b/>
          <w:sz w:val="24"/>
          <w:szCs w:val="24"/>
        </w:rPr>
        <w:t>18.</w:t>
      </w:r>
      <w:r w:rsidRPr="00241591">
        <w:rPr>
          <w:b/>
          <w:sz w:val="24"/>
          <w:szCs w:val="24"/>
        </w:rPr>
        <w:tab/>
        <w:t>Explain each exception to the certification statement identified in Item 19, “Certification for Paperwork Reduction Act Submissions,” of OMB 83-I.</w:t>
      </w:r>
      <w:proofErr w:type="gramEnd"/>
    </w:p>
    <w:p w:rsidR="0015567D" w:rsidRPr="00241591" w:rsidRDefault="0015567D" w:rsidP="0015567D">
      <w:pPr>
        <w:tabs>
          <w:tab w:val="left" w:pos="547"/>
          <w:tab w:val="left" w:pos="1080"/>
          <w:tab w:val="left" w:pos="1627"/>
          <w:tab w:val="left" w:pos="2160"/>
          <w:tab w:val="left" w:pos="2880"/>
        </w:tabs>
      </w:pPr>
    </w:p>
    <w:p w:rsidR="005A2E0F" w:rsidRPr="00241591" w:rsidRDefault="005A2E0F" w:rsidP="00396856">
      <w:pPr>
        <w:pStyle w:val="p11"/>
        <w:spacing w:line="240" w:lineRule="auto"/>
        <w:ind w:left="510"/>
      </w:pPr>
      <w:r w:rsidRPr="00241591">
        <w:t>There are no exceptions.</w:t>
      </w:r>
    </w:p>
    <w:p w:rsidR="005A2E0F" w:rsidRPr="00241591" w:rsidRDefault="005A2E0F" w:rsidP="00396856">
      <w:pPr>
        <w:tabs>
          <w:tab w:val="left" w:pos="510"/>
        </w:tabs>
      </w:pPr>
    </w:p>
    <w:p w:rsidR="005A2E0F" w:rsidRPr="00241591" w:rsidRDefault="005A2E0F" w:rsidP="00396856">
      <w:pPr>
        <w:pStyle w:val="p12"/>
        <w:spacing w:line="240" w:lineRule="auto"/>
        <w:ind w:left="515"/>
        <w:rPr>
          <w:b/>
          <w:bCs/>
        </w:rPr>
      </w:pPr>
      <w:r w:rsidRPr="00241591">
        <w:rPr>
          <w:b/>
          <w:bCs/>
        </w:rPr>
        <w:t>B.</w:t>
      </w:r>
      <w:r w:rsidRPr="00241591">
        <w:rPr>
          <w:b/>
          <w:bCs/>
        </w:rPr>
        <w:tab/>
        <w:t>COLLECTIONS OF INFORMATION EMPLOYING STATISTICAL METHODS</w:t>
      </w:r>
    </w:p>
    <w:p w:rsidR="005A2E0F" w:rsidRPr="00241591" w:rsidRDefault="005A2E0F" w:rsidP="00396856">
      <w:pPr>
        <w:tabs>
          <w:tab w:val="left" w:pos="515"/>
        </w:tabs>
        <w:rPr>
          <w:b/>
          <w:bCs/>
        </w:rPr>
      </w:pPr>
    </w:p>
    <w:p w:rsidR="005A2E0F" w:rsidRPr="00241591" w:rsidRDefault="005A2E0F" w:rsidP="00396856">
      <w:pPr>
        <w:pStyle w:val="p8"/>
        <w:spacing w:line="260" w:lineRule="exact"/>
      </w:pPr>
      <w:r w:rsidRPr="00241591">
        <w:t>No statistical methods are used in this data collection</w:t>
      </w:r>
    </w:p>
    <w:p w:rsidR="005A2E0F" w:rsidRPr="00241591" w:rsidRDefault="005A2E0F" w:rsidP="00396856">
      <w:pPr>
        <w:tabs>
          <w:tab w:val="left" w:pos="527"/>
        </w:tabs>
        <w:spacing w:line="260" w:lineRule="exact"/>
      </w:pPr>
    </w:p>
    <w:sectPr w:rsidR="005A2E0F" w:rsidRPr="00241591" w:rsidSect="00B90A89">
      <w:headerReference w:type="default" r:id="rId8"/>
      <w:footerReference w:type="default" r:id="rId9"/>
      <w:footerReference w:type="first" r:id="rId10"/>
      <w:type w:val="continuous"/>
      <w:pgSz w:w="12240" w:h="15840" w:code="1"/>
      <w:pgMar w:top="1152" w:right="1152" w:bottom="1152" w:left="1152" w:header="576" w:footer="576"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44A" w:rsidRDefault="00C8044A">
      <w:r>
        <w:separator/>
      </w:r>
    </w:p>
  </w:endnote>
  <w:endnote w:type="continuationSeparator" w:id="0">
    <w:p w:rsidR="00C8044A" w:rsidRDefault="00C80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44A" w:rsidRPr="004251F7" w:rsidRDefault="00C8044A" w:rsidP="004251F7">
    <w:pPr>
      <w:pStyle w:val="Footer"/>
      <w:tabs>
        <w:tab w:val="clear" w:pos="4320"/>
        <w:tab w:val="clear" w:pos="8640"/>
        <w:tab w:val="right" w:pos="9360"/>
      </w:tabs>
      <w:rPr>
        <w:b/>
      </w:rPr>
    </w:pPr>
    <w:r>
      <w:tab/>
    </w:r>
    <w:r w:rsidRPr="004251F7">
      <w:rPr>
        <w:b/>
      </w:rPr>
      <w:t xml:space="preserve">Page </w:t>
    </w:r>
    <w:r w:rsidR="00BB0B8C" w:rsidRPr="004251F7">
      <w:rPr>
        <w:rStyle w:val="PageNumber"/>
        <w:b/>
      </w:rPr>
      <w:fldChar w:fldCharType="begin"/>
    </w:r>
    <w:r w:rsidRPr="004251F7">
      <w:rPr>
        <w:rStyle w:val="PageNumber"/>
        <w:b/>
      </w:rPr>
      <w:instrText xml:space="preserve"> PAGE </w:instrText>
    </w:r>
    <w:r w:rsidR="00BB0B8C" w:rsidRPr="004251F7">
      <w:rPr>
        <w:rStyle w:val="PageNumber"/>
        <w:b/>
      </w:rPr>
      <w:fldChar w:fldCharType="separate"/>
    </w:r>
    <w:r w:rsidR="00E72F0F">
      <w:rPr>
        <w:rStyle w:val="PageNumber"/>
        <w:b/>
        <w:noProof/>
      </w:rPr>
      <w:t>6</w:t>
    </w:r>
    <w:r w:rsidR="00BB0B8C" w:rsidRPr="004251F7">
      <w:rPr>
        <w:rStyle w:val="PageNumber"/>
        <w:b/>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44A" w:rsidRPr="004251F7" w:rsidRDefault="00C8044A" w:rsidP="004251F7">
    <w:pPr>
      <w:pStyle w:val="Footer"/>
      <w:tabs>
        <w:tab w:val="clear" w:pos="4320"/>
        <w:tab w:val="clear" w:pos="8640"/>
        <w:tab w:val="right" w:pos="9360"/>
      </w:tabs>
      <w:rPr>
        <w:b/>
      </w:rPr>
    </w:pPr>
    <w:r>
      <w:tab/>
    </w:r>
    <w:r w:rsidRPr="004251F7">
      <w:rPr>
        <w:b/>
      </w:rPr>
      <w:t xml:space="preserve">Page </w:t>
    </w:r>
    <w:r w:rsidR="00BB0B8C" w:rsidRPr="004251F7">
      <w:rPr>
        <w:rStyle w:val="PageNumber"/>
        <w:b/>
      </w:rPr>
      <w:fldChar w:fldCharType="begin"/>
    </w:r>
    <w:r w:rsidRPr="004251F7">
      <w:rPr>
        <w:rStyle w:val="PageNumber"/>
        <w:b/>
      </w:rPr>
      <w:instrText xml:space="preserve"> PAGE </w:instrText>
    </w:r>
    <w:r w:rsidR="00BB0B8C" w:rsidRPr="004251F7">
      <w:rPr>
        <w:rStyle w:val="PageNumber"/>
        <w:b/>
      </w:rPr>
      <w:fldChar w:fldCharType="separate"/>
    </w:r>
    <w:r w:rsidR="00E72F0F">
      <w:rPr>
        <w:rStyle w:val="PageNumber"/>
        <w:b/>
        <w:noProof/>
      </w:rPr>
      <w:t>1</w:t>
    </w:r>
    <w:r w:rsidR="00BB0B8C" w:rsidRPr="004251F7">
      <w:rPr>
        <w:rStyle w:val="PageNumbe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44A" w:rsidRDefault="00C8044A">
      <w:r>
        <w:separator/>
      </w:r>
    </w:p>
  </w:footnote>
  <w:footnote w:type="continuationSeparator" w:id="0">
    <w:p w:rsidR="00C8044A" w:rsidRDefault="00C804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44A" w:rsidRPr="003139CF" w:rsidRDefault="00C8044A" w:rsidP="005B5470">
    <w:pPr>
      <w:widowControl w:val="0"/>
      <w:tabs>
        <w:tab w:val="left" w:pos="498"/>
      </w:tabs>
      <w:autoSpaceDE w:val="0"/>
      <w:autoSpaceDN w:val="0"/>
      <w:adjustRightInd w:val="0"/>
      <w:ind w:left="498" w:hanging="498"/>
      <w:jc w:val="center"/>
      <w:rPr>
        <w:b/>
        <w:bCs/>
        <w:sz w:val="22"/>
        <w:szCs w:val="22"/>
      </w:rPr>
    </w:pPr>
    <w:r w:rsidRPr="003139CF">
      <w:rPr>
        <w:b/>
        <w:sz w:val="22"/>
        <w:szCs w:val="22"/>
      </w:rPr>
      <w:t>SUPPORTING STATEMENT FOR 2900-0621, CONTINUED</w:t>
    </w:r>
  </w:p>
  <w:p w:rsidR="00C8044A" w:rsidRPr="003139CF" w:rsidRDefault="00C8044A" w:rsidP="00473421">
    <w:pPr>
      <w:widowControl w:val="0"/>
      <w:autoSpaceDE w:val="0"/>
      <w:autoSpaceDN w:val="0"/>
      <w:adjustRightInd w:val="0"/>
      <w:jc w:val="center"/>
      <w:rPr>
        <w:b/>
        <w:bCs/>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1">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F33E1F"/>
    <w:rsid w:val="0002371D"/>
    <w:rsid w:val="000463C7"/>
    <w:rsid w:val="000562D7"/>
    <w:rsid w:val="00082DCB"/>
    <w:rsid w:val="000A5417"/>
    <w:rsid w:val="000A56AE"/>
    <w:rsid w:val="000B03DB"/>
    <w:rsid w:val="000B5D97"/>
    <w:rsid w:val="000C3747"/>
    <w:rsid w:val="000C3CF4"/>
    <w:rsid w:val="000C65F4"/>
    <w:rsid w:val="000D5D50"/>
    <w:rsid w:val="000E0EF7"/>
    <w:rsid w:val="000E3047"/>
    <w:rsid w:val="000F556F"/>
    <w:rsid w:val="000F5ABD"/>
    <w:rsid w:val="000F74B1"/>
    <w:rsid w:val="00112894"/>
    <w:rsid w:val="00131A02"/>
    <w:rsid w:val="0015567D"/>
    <w:rsid w:val="0018204A"/>
    <w:rsid w:val="0018753C"/>
    <w:rsid w:val="0018790F"/>
    <w:rsid w:val="001A0107"/>
    <w:rsid w:val="001A1BAB"/>
    <w:rsid w:val="001E132F"/>
    <w:rsid w:val="001E1366"/>
    <w:rsid w:val="001F2048"/>
    <w:rsid w:val="00205EA8"/>
    <w:rsid w:val="002122DE"/>
    <w:rsid w:val="00215D31"/>
    <w:rsid w:val="00224A2E"/>
    <w:rsid w:val="002328FD"/>
    <w:rsid w:val="002352FC"/>
    <w:rsid w:val="00241591"/>
    <w:rsid w:val="00250E67"/>
    <w:rsid w:val="00257BCF"/>
    <w:rsid w:val="00270D8E"/>
    <w:rsid w:val="00283A73"/>
    <w:rsid w:val="00297E92"/>
    <w:rsid w:val="002A31FE"/>
    <w:rsid w:val="002A6147"/>
    <w:rsid w:val="002A6C56"/>
    <w:rsid w:val="002B0EBA"/>
    <w:rsid w:val="002D1489"/>
    <w:rsid w:val="002F7C95"/>
    <w:rsid w:val="003139CF"/>
    <w:rsid w:val="00337CAF"/>
    <w:rsid w:val="003414E4"/>
    <w:rsid w:val="00362DDA"/>
    <w:rsid w:val="00363DD3"/>
    <w:rsid w:val="00377163"/>
    <w:rsid w:val="00377BCA"/>
    <w:rsid w:val="003860F8"/>
    <w:rsid w:val="00396856"/>
    <w:rsid w:val="003C4759"/>
    <w:rsid w:val="003C4D75"/>
    <w:rsid w:val="003D131C"/>
    <w:rsid w:val="003D1F7D"/>
    <w:rsid w:val="003D2EC4"/>
    <w:rsid w:val="003F4CC9"/>
    <w:rsid w:val="003F6BE3"/>
    <w:rsid w:val="00402E0D"/>
    <w:rsid w:val="004067E5"/>
    <w:rsid w:val="004165C0"/>
    <w:rsid w:val="004246EA"/>
    <w:rsid w:val="004251F7"/>
    <w:rsid w:val="004431D3"/>
    <w:rsid w:val="00460714"/>
    <w:rsid w:val="00472DAA"/>
    <w:rsid w:val="00473421"/>
    <w:rsid w:val="004865A1"/>
    <w:rsid w:val="00490443"/>
    <w:rsid w:val="004B2E9A"/>
    <w:rsid w:val="004D16F6"/>
    <w:rsid w:val="004D4E9C"/>
    <w:rsid w:val="00506F1F"/>
    <w:rsid w:val="00516E40"/>
    <w:rsid w:val="00547404"/>
    <w:rsid w:val="0056154B"/>
    <w:rsid w:val="00571F55"/>
    <w:rsid w:val="00573A7A"/>
    <w:rsid w:val="00575608"/>
    <w:rsid w:val="0058408D"/>
    <w:rsid w:val="00585CCF"/>
    <w:rsid w:val="0059178D"/>
    <w:rsid w:val="005A2E0F"/>
    <w:rsid w:val="005A4ABF"/>
    <w:rsid w:val="005A732A"/>
    <w:rsid w:val="005B1BD4"/>
    <w:rsid w:val="005B5470"/>
    <w:rsid w:val="005C3564"/>
    <w:rsid w:val="005E79E7"/>
    <w:rsid w:val="005F5FF8"/>
    <w:rsid w:val="005F68CA"/>
    <w:rsid w:val="005F7CA5"/>
    <w:rsid w:val="006127B2"/>
    <w:rsid w:val="00627C1F"/>
    <w:rsid w:val="00630FA1"/>
    <w:rsid w:val="00631C2D"/>
    <w:rsid w:val="006564D1"/>
    <w:rsid w:val="00692073"/>
    <w:rsid w:val="006A430E"/>
    <w:rsid w:val="006A665B"/>
    <w:rsid w:val="006B137F"/>
    <w:rsid w:val="006B20FB"/>
    <w:rsid w:val="006B2E1C"/>
    <w:rsid w:val="006C4848"/>
    <w:rsid w:val="00724A6B"/>
    <w:rsid w:val="0074507C"/>
    <w:rsid w:val="00750F0A"/>
    <w:rsid w:val="00775087"/>
    <w:rsid w:val="00775FFC"/>
    <w:rsid w:val="00777DA6"/>
    <w:rsid w:val="00796DFC"/>
    <w:rsid w:val="007A2183"/>
    <w:rsid w:val="007B339A"/>
    <w:rsid w:val="007D2B64"/>
    <w:rsid w:val="007D5877"/>
    <w:rsid w:val="007E1DC9"/>
    <w:rsid w:val="007E2CB7"/>
    <w:rsid w:val="00807BE7"/>
    <w:rsid w:val="00813191"/>
    <w:rsid w:val="008160E1"/>
    <w:rsid w:val="00823390"/>
    <w:rsid w:val="00824206"/>
    <w:rsid w:val="00834024"/>
    <w:rsid w:val="00843310"/>
    <w:rsid w:val="00844F80"/>
    <w:rsid w:val="00847A65"/>
    <w:rsid w:val="00852665"/>
    <w:rsid w:val="00865C1B"/>
    <w:rsid w:val="00873364"/>
    <w:rsid w:val="00875664"/>
    <w:rsid w:val="008901AE"/>
    <w:rsid w:val="008A3189"/>
    <w:rsid w:val="008C42B3"/>
    <w:rsid w:val="008D00A3"/>
    <w:rsid w:val="008D3E49"/>
    <w:rsid w:val="008D4CF9"/>
    <w:rsid w:val="008E1F91"/>
    <w:rsid w:val="008E7906"/>
    <w:rsid w:val="008F4D51"/>
    <w:rsid w:val="009255EC"/>
    <w:rsid w:val="00941E11"/>
    <w:rsid w:val="0094658E"/>
    <w:rsid w:val="0096205B"/>
    <w:rsid w:val="00973807"/>
    <w:rsid w:val="00987FD6"/>
    <w:rsid w:val="009A1966"/>
    <w:rsid w:val="009B426C"/>
    <w:rsid w:val="009C3178"/>
    <w:rsid w:val="009E0857"/>
    <w:rsid w:val="009E3231"/>
    <w:rsid w:val="009E613C"/>
    <w:rsid w:val="00A05B7B"/>
    <w:rsid w:val="00A21EAB"/>
    <w:rsid w:val="00A2707F"/>
    <w:rsid w:val="00A44D88"/>
    <w:rsid w:val="00A534EB"/>
    <w:rsid w:val="00A622FF"/>
    <w:rsid w:val="00A64D61"/>
    <w:rsid w:val="00A65E08"/>
    <w:rsid w:val="00A81688"/>
    <w:rsid w:val="00A84BF0"/>
    <w:rsid w:val="00A903F5"/>
    <w:rsid w:val="00AB49DA"/>
    <w:rsid w:val="00AE021E"/>
    <w:rsid w:val="00AE0F14"/>
    <w:rsid w:val="00AF7188"/>
    <w:rsid w:val="00B24BCD"/>
    <w:rsid w:val="00B30DC4"/>
    <w:rsid w:val="00B515D7"/>
    <w:rsid w:val="00B53B3F"/>
    <w:rsid w:val="00B6363C"/>
    <w:rsid w:val="00B90A89"/>
    <w:rsid w:val="00B9334B"/>
    <w:rsid w:val="00B941AF"/>
    <w:rsid w:val="00B97D04"/>
    <w:rsid w:val="00BB0B8C"/>
    <w:rsid w:val="00BB187C"/>
    <w:rsid w:val="00BB2904"/>
    <w:rsid w:val="00BC7D5B"/>
    <w:rsid w:val="00BF29B3"/>
    <w:rsid w:val="00BF3112"/>
    <w:rsid w:val="00BF3BB7"/>
    <w:rsid w:val="00BF6E1C"/>
    <w:rsid w:val="00C03337"/>
    <w:rsid w:val="00C03B73"/>
    <w:rsid w:val="00C06C01"/>
    <w:rsid w:val="00C40922"/>
    <w:rsid w:val="00C47120"/>
    <w:rsid w:val="00C47F32"/>
    <w:rsid w:val="00C60D25"/>
    <w:rsid w:val="00C8044A"/>
    <w:rsid w:val="00C81150"/>
    <w:rsid w:val="00C878E7"/>
    <w:rsid w:val="00C9687D"/>
    <w:rsid w:val="00C97B8C"/>
    <w:rsid w:val="00CB73A8"/>
    <w:rsid w:val="00CC7AE7"/>
    <w:rsid w:val="00CD4853"/>
    <w:rsid w:val="00CD69AD"/>
    <w:rsid w:val="00CF45E9"/>
    <w:rsid w:val="00D23CAC"/>
    <w:rsid w:val="00D275D2"/>
    <w:rsid w:val="00D6587B"/>
    <w:rsid w:val="00D7697B"/>
    <w:rsid w:val="00D904A7"/>
    <w:rsid w:val="00D94313"/>
    <w:rsid w:val="00D9668A"/>
    <w:rsid w:val="00D96D46"/>
    <w:rsid w:val="00D97526"/>
    <w:rsid w:val="00DE0DC8"/>
    <w:rsid w:val="00DE34D0"/>
    <w:rsid w:val="00DE77BF"/>
    <w:rsid w:val="00E0537A"/>
    <w:rsid w:val="00E15C82"/>
    <w:rsid w:val="00E164D8"/>
    <w:rsid w:val="00E2396B"/>
    <w:rsid w:val="00E24400"/>
    <w:rsid w:val="00E44DEB"/>
    <w:rsid w:val="00E63815"/>
    <w:rsid w:val="00E66622"/>
    <w:rsid w:val="00E70CD9"/>
    <w:rsid w:val="00E72F0F"/>
    <w:rsid w:val="00EA7F7F"/>
    <w:rsid w:val="00EB1007"/>
    <w:rsid w:val="00EC341A"/>
    <w:rsid w:val="00ED0E00"/>
    <w:rsid w:val="00ED79BF"/>
    <w:rsid w:val="00EE0889"/>
    <w:rsid w:val="00EF49EF"/>
    <w:rsid w:val="00F0737B"/>
    <w:rsid w:val="00F11833"/>
    <w:rsid w:val="00F33E1F"/>
    <w:rsid w:val="00F42D92"/>
    <w:rsid w:val="00F54570"/>
    <w:rsid w:val="00F6496B"/>
    <w:rsid w:val="00F82298"/>
    <w:rsid w:val="00F84C04"/>
    <w:rsid w:val="00FA5707"/>
    <w:rsid w:val="00FB41D0"/>
    <w:rsid w:val="00FC60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0D8E"/>
    <w:rPr>
      <w:sz w:val="24"/>
      <w:szCs w:val="24"/>
    </w:rPr>
  </w:style>
  <w:style w:type="paragraph" w:styleId="Heading1">
    <w:name w:val="heading 1"/>
    <w:basedOn w:val="Normal"/>
    <w:next w:val="Normal"/>
    <w:qFormat/>
    <w:rsid w:val="003139C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B73A8"/>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3">
    <w:name w:val="heading 3"/>
    <w:basedOn w:val="Normal"/>
    <w:next w:val="Normal"/>
    <w:qFormat/>
    <w:rsid w:val="00CF45E9"/>
    <w:pPr>
      <w:keepNext/>
      <w:spacing w:before="240" w:after="60"/>
      <w:outlineLvl w:val="2"/>
    </w:pPr>
    <w:rPr>
      <w:rFonts w:ascii="Arial" w:hAnsi="Arial" w:cs="Arial"/>
      <w:b/>
      <w:bCs/>
      <w:sz w:val="26"/>
      <w:szCs w:val="26"/>
    </w:rPr>
  </w:style>
  <w:style w:type="paragraph" w:styleId="Heading4">
    <w:name w:val="heading 4"/>
    <w:basedOn w:val="Normal"/>
    <w:next w:val="Normal"/>
    <w:qFormat/>
    <w:rsid w:val="00CB73A8"/>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paragraph" w:styleId="Heading6">
    <w:name w:val="heading 6"/>
    <w:basedOn w:val="Normal"/>
    <w:next w:val="Normal"/>
    <w:qFormat/>
    <w:rsid w:val="00CF45E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70D8E"/>
    <w:rPr>
      <w:color w:val="0000FF"/>
      <w:u w:val="single"/>
    </w:rPr>
  </w:style>
  <w:style w:type="paragraph" w:styleId="BodyTextIndent">
    <w:name w:val="Body Text Indent"/>
    <w:basedOn w:val="Normal"/>
    <w:rsid w:val="00270D8E"/>
    <w:pPr>
      <w:widowControl w:val="0"/>
      <w:tabs>
        <w:tab w:val="left" w:pos="498"/>
      </w:tabs>
      <w:autoSpaceDE w:val="0"/>
      <w:autoSpaceDN w:val="0"/>
      <w:adjustRightInd w:val="0"/>
      <w:spacing w:line="272" w:lineRule="exact"/>
      <w:ind w:firstLine="498"/>
    </w:pPr>
    <w:rPr>
      <w:b/>
      <w:bCs/>
      <w:sz w:val="22"/>
      <w:szCs w:val="22"/>
    </w:rPr>
  </w:style>
  <w:style w:type="paragraph" w:styleId="BodyTextIndent2">
    <w:name w:val="Body Text Indent 2"/>
    <w:basedOn w:val="Normal"/>
    <w:rsid w:val="00270D8E"/>
    <w:pPr>
      <w:widowControl w:val="0"/>
      <w:tabs>
        <w:tab w:val="left" w:pos="527"/>
        <w:tab w:val="left" w:pos="1014"/>
      </w:tabs>
      <w:autoSpaceDE w:val="0"/>
      <w:autoSpaceDN w:val="0"/>
      <w:adjustRightInd w:val="0"/>
      <w:spacing w:line="272" w:lineRule="exact"/>
      <w:ind w:firstLine="527"/>
    </w:pPr>
    <w:rPr>
      <w:b/>
      <w:bCs/>
    </w:rPr>
  </w:style>
  <w:style w:type="paragraph" w:styleId="BodyText">
    <w:name w:val="Body Text"/>
    <w:basedOn w:val="Normal"/>
    <w:rsid w:val="00270D8E"/>
    <w:pPr>
      <w:widowControl w:val="0"/>
      <w:tabs>
        <w:tab w:val="left" w:pos="204"/>
      </w:tabs>
      <w:autoSpaceDE w:val="0"/>
      <w:autoSpaceDN w:val="0"/>
      <w:adjustRightInd w:val="0"/>
      <w:spacing w:line="272" w:lineRule="exact"/>
    </w:pPr>
    <w:rPr>
      <w:b/>
      <w:bCs/>
    </w:rPr>
  </w:style>
  <w:style w:type="paragraph" w:customStyle="1" w:styleId="t1">
    <w:name w:val="t1"/>
    <w:basedOn w:val="Normal"/>
    <w:rsid w:val="00270D8E"/>
    <w:pPr>
      <w:widowControl w:val="0"/>
      <w:autoSpaceDE w:val="0"/>
      <w:autoSpaceDN w:val="0"/>
      <w:adjustRightInd w:val="0"/>
      <w:spacing w:line="226" w:lineRule="atLeast"/>
    </w:pPr>
  </w:style>
  <w:style w:type="paragraph" w:customStyle="1" w:styleId="p2">
    <w:name w:val="p2"/>
    <w:basedOn w:val="Normal"/>
    <w:rsid w:val="00270D8E"/>
    <w:pPr>
      <w:widowControl w:val="0"/>
      <w:tabs>
        <w:tab w:val="left" w:pos="515"/>
      </w:tabs>
      <w:autoSpaceDE w:val="0"/>
      <w:autoSpaceDN w:val="0"/>
      <w:adjustRightInd w:val="0"/>
      <w:spacing w:line="277" w:lineRule="atLeast"/>
      <w:ind w:firstLine="515"/>
    </w:pPr>
  </w:style>
  <w:style w:type="paragraph" w:customStyle="1" w:styleId="p3">
    <w:name w:val="p3"/>
    <w:basedOn w:val="Normal"/>
    <w:rsid w:val="00270D8E"/>
    <w:pPr>
      <w:widowControl w:val="0"/>
      <w:tabs>
        <w:tab w:val="left" w:pos="515"/>
      </w:tabs>
      <w:autoSpaceDE w:val="0"/>
      <w:autoSpaceDN w:val="0"/>
      <w:adjustRightInd w:val="0"/>
      <w:spacing w:line="277" w:lineRule="atLeast"/>
    </w:pPr>
  </w:style>
  <w:style w:type="paragraph" w:customStyle="1" w:styleId="p4">
    <w:name w:val="p4"/>
    <w:basedOn w:val="Normal"/>
    <w:rsid w:val="00270D8E"/>
    <w:pPr>
      <w:widowControl w:val="0"/>
      <w:tabs>
        <w:tab w:val="left" w:pos="515"/>
        <w:tab w:val="left" w:pos="1082"/>
      </w:tabs>
      <w:autoSpaceDE w:val="0"/>
      <w:autoSpaceDN w:val="0"/>
      <w:adjustRightInd w:val="0"/>
      <w:spacing w:line="277" w:lineRule="atLeast"/>
      <w:ind w:firstLine="515"/>
    </w:pPr>
  </w:style>
  <w:style w:type="paragraph" w:customStyle="1" w:styleId="p5">
    <w:name w:val="p5"/>
    <w:basedOn w:val="Normal"/>
    <w:rsid w:val="00270D8E"/>
    <w:pPr>
      <w:widowControl w:val="0"/>
      <w:tabs>
        <w:tab w:val="left" w:pos="1082"/>
      </w:tabs>
      <w:autoSpaceDE w:val="0"/>
      <w:autoSpaceDN w:val="0"/>
      <w:adjustRightInd w:val="0"/>
      <w:spacing w:line="260" w:lineRule="atLeast"/>
      <w:ind w:firstLine="1082"/>
    </w:pPr>
  </w:style>
  <w:style w:type="paragraph" w:customStyle="1" w:styleId="p6">
    <w:name w:val="p6"/>
    <w:basedOn w:val="Normal"/>
    <w:rsid w:val="00270D8E"/>
    <w:pPr>
      <w:widowControl w:val="0"/>
      <w:tabs>
        <w:tab w:val="left" w:pos="544"/>
        <w:tab w:val="left" w:pos="1082"/>
      </w:tabs>
      <w:autoSpaceDE w:val="0"/>
      <w:autoSpaceDN w:val="0"/>
      <w:adjustRightInd w:val="0"/>
      <w:spacing w:line="266" w:lineRule="atLeast"/>
      <w:ind w:firstLine="544"/>
    </w:pPr>
  </w:style>
  <w:style w:type="paragraph" w:customStyle="1" w:styleId="p7">
    <w:name w:val="p7"/>
    <w:basedOn w:val="Normal"/>
    <w:rsid w:val="00270D8E"/>
    <w:pPr>
      <w:widowControl w:val="0"/>
      <w:tabs>
        <w:tab w:val="left" w:pos="527"/>
        <w:tab w:val="left" w:pos="1082"/>
      </w:tabs>
      <w:autoSpaceDE w:val="0"/>
      <w:autoSpaceDN w:val="0"/>
      <w:adjustRightInd w:val="0"/>
      <w:spacing w:line="260" w:lineRule="atLeast"/>
      <w:ind w:firstLine="527"/>
    </w:pPr>
  </w:style>
  <w:style w:type="paragraph" w:customStyle="1" w:styleId="p8">
    <w:name w:val="p8"/>
    <w:basedOn w:val="Normal"/>
    <w:rsid w:val="00270D8E"/>
    <w:pPr>
      <w:widowControl w:val="0"/>
      <w:tabs>
        <w:tab w:val="left" w:pos="527"/>
      </w:tabs>
      <w:autoSpaceDE w:val="0"/>
      <w:autoSpaceDN w:val="0"/>
      <w:adjustRightInd w:val="0"/>
      <w:spacing w:line="260" w:lineRule="atLeast"/>
      <w:ind w:firstLine="527"/>
    </w:pPr>
  </w:style>
  <w:style w:type="paragraph" w:customStyle="1" w:styleId="p9">
    <w:name w:val="p9"/>
    <w:basedOn w:val="Normal"/>
    <w:rsid w:val="00270D8E"/>
    <w:pPr>
      <w:widowControl w:val="0"/>
      <w:tabs>
        <w:tab w:val="left" w:pos="9938"/>
      </w:tabs>
      <w:autoSpaceDE w:val="0"/>
      <w:autoSpaceDN w:val="0"/>
      <w:adjustRightInd w:val="0"/>
      <w:spacing w:line="240" w:lineRule="atLeast"/>
      <w:ind w:left="8498"/>
    </w:pPr>
  </w:style>
  <w:style w:type="paragraph" w:customStyle="1" w:styleId="p10">
    <w:name w:val="p10"/>
    <w:basedOn w:val="Normal"/>
    <w:rsid w:val="00270D8E"/>
    <w:pPr>
      <w:widowControl w:val="0"/>
      <w:tabs>
        <w:tab w:val="left" w:pos="204"/>
      </w:tabs>
      <w:autoSpaceDE w:val="0"/>
      <w:autoSpaceDN w:val="0"/>
      <w:adjustRightInd w:val="0"/>
      <w:spacing w:line="240" w:lineRule="atLeast"/>
    </w:pPr>
  </w:style>
  <w:style w:type="paragraph" w:customStyle="1" w:styleId="p11">
    <w:name w:val="p11"/>
    <w:basedOn w:val="Normal"/>
    <w:rsid w:val="00270D8E"/>
    <w:pPr>
      <w:widowControl w:val="0"/>
      <w:tabs>
        <w:tab w:val="left" w:pos="510"/>
      </w:tabs>
      <w:autoSpaceDE w:val="0"/>
      <w:autoSpaceDN w:val="0"/>
      <w:adjustRightInd w:val="0"/>
      <w:spacing w:line="240" w:lineRule="atLeast"/>
      <w:ind w:left="930"/>
    </w:pPr>
  </w:style>
  <w:style w:type="paragraph" w:customStyle="1" w:styleId="p12">
    <w:name w:val="p12"/>
    <w:basedOn w:val="Normal"/>
    <w:rsid w:val="00270D8E"/>
    <w:pPr>
      <w:widowControl w:val="0"/>
      <w:tabs>
        <w:tab w:val="left" w:pos="515"/>
      </w:tabs>
      <w:autoSpaceDE w:val="0"/>
      <w:autoSpaceDN w:val="0"/>
      <w:adjustRightInd w:val="0"/>
      <w:spacing w:line="240" w:lineRule="atLeast"/>
      <w:ind w:left="925" w:hanging="515"/>
    </w:pPr>
  </w:style>
  <w:style w:type="paragraph" w:customStyle="1" w:styleId="p13">
    <w:name w:val="p13"/>
    <w:basedOn w:val="Normal"/>
    <w:rsid w:val="00270D8E"/>
    <w:pPr>
      <w:widowControl w:val="0"/>
      <w:tabs>
        <w:tab w:val="left" w:pos="9926"/>
      </w:tabs>
      <w:autoSpaceDE w:val="0"/>
      <w:autoSpaceDN w:val="0"/>
      <w:adjustRightInd w:val="0"/>
      <w:spacing w:line="240" w:lineRule="atLeast"/>
      <w:ind w:left="8486"/>
    </w:pPr>
  </w:style>
  <w:style w:type="paragraph" w:styleId="Header">
    <w:name w:val="header"/>
    <w:basedOn w:val="Normal"/>
    <w:rsid w:val="00473421"/>
    <w:pPr>
      <w:tabs>
        <w:tab w:val="center" w:pos="4320"/>
        <w:tab w:val="right" w:pos="8640"/>
      </w:tabs>
    </w:pPr>
  </w:style>
  <w:style w:type="paragraph" w:styleId="Footer">
    <w:name w:val="footer"/>
    <w:basedOn w:val="Normal"/>
    <w:rsid w:val="00473421"/>
    <w:pPr>
      <w:tabs>
        <w:tab w:val="center" w:pos="4320"/>
        <w:tab w:val="right" w:pos="8640"/>
      </w:tabs>
    </w:pPr>
  </w:style>
  <w:style w:type="character" w:styleId="PageNumber">
    <w:name w:val="page number"/>
    <w:basedOn w:val="DefaultParagraphFont"/>
    <w:rsid w:val="004251F7"/>
  </w:style>
  <w:style w:type="paragraph" w:styleId="BodyText3">
    <w:name w:val="Body Text 3"/>
    <w:basedOn w:val="Normal"/>
    <w:rsid w:val="00CB73A8"/>
    <w:pPr>
      <w:spacing w:after="120"/>
    </w:pPr>
    <w:rPr>
      <w:sz w:val="16"/>
      <w:szCs w:val="16"/>
    </w:rPr>
  </w:style>
  <w:style w:type="paragraph" w:styleId="NormalWeb">
    <w:name w:val="Normal (Web)"/>
    <w:basedOn w:val="Normal"/>
    <w:rsid w:val="00CB73A8"/>
    <w:pPr>
      <w:spacing w:before="100" w:beforeAutospacing="1" w:after="100" w:afterAutospacing="1"/>
    </w:pPr>
    <w:rPr>
      <w:color w:val="000000"/>
      <w:sz w:val="28"/>
      <w:szCs w:val="28"/>
    </w:rPr>
  </w:style>
  <w:style w:type="paragraph" w:styleId="HTMLPreformatted">
    <w:name w:val="HTML Preformatted"/>
    <w:basedOn w:val="Normal"/>
    <w:rsid w:val="00A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2">
    <w:name w:val="Body Text 2"/>
    <w:basedOn w:val="Normal"/>
    <w:rsid w:val="00CF45E9"/>
    <w:pPr>
      <w:spacing w:after="120" w:line="480" w:lineRule="auto"/>
    </w:pPr>
  </w:style>
  <w:style w:type="table" w:styleId="TableGrid">
    <w:name w:val="Table Grid"/>
    <w:basedOn w:val="TableNormal"/>
    <w:rsid w:val="00CF4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mniPage2305">
    <w:name w:val="OmniPage #2305"/>
    <w:rsid w:val="003139CF"/>
    <w:pPr>
      <w:tabs>
        <w:tab w:val="left" w:pos="100"/>
        <w:tab w:val="right" w:pos="2991"/>
      </w:tabs>
      <w:ind w:left="100" w:right="6274"/>
      <w:jc w:val="center"/>
    </w:pPr>
    <w:rPr>
      <w:rFonts w:ascii="Courier New" w:hAnsi="Courier New"/>
      <w:sz w:val="18"/>
    </w:rPr>
  </w:style>
  <w:style w:type="paragraph" w:styleId="BalloonText">
    <w:name w:val="Balloon Text"/>
    <w:basedOn w:val="Normal"/>
    <w:semiHidden/>
    <w:rsid w:val="0074507C"/>
    <w:rPr>
      <w:rFonts w:ascii="Tahoma" w:hAnsi="Tahoma" w:cs="Tahoma"/>
      <w:sz w:val="16"/>
      <w:szCs w:val="16"/>
    </w:rPr>
  </w:style>
  <w:style w:type="character" w:styleId="CommentReference">
    <w:name w:val="annotation reference"/>
    <w:basedOn w:val="DefaultParagraphFont"/>
    <w:semiHidden/>
    <w:rsid w:val="00775087"/>
    <w:rPr>
      <w:sz w:val="16"/>
      <w:szCs w:val="16"/>
    </w:rPr>
  </w:style>
  <w:style w:type="paragraph" w:styleId="CommentText">
    <w:name w:val="annotation text"/>
    <w:basedOn w:val="Normal"/>
    <w:semiHidden/>
    <w:rsid w:val="00775087"/>
    <w:rPr>
      <w:sz w:val="20"/>
      <w:szCs w:val="20"/>
    </w:rPr>
  </w:style>
  <w:style w:type="paragraph" w:styleId="CommentSubject">
    <w:name w:val="annotation subject"/>
    <w:basedOn w:val="CommentText"/>
    <w:next w:val="CommentText"/>
    <w:semiHidden/>
    <w:rsid w:val="00775087"/>
    <w:rPr>
      <w:b/>
      <w:bCs/>
    </w:rPr>
  </w:style>
  <w:style w:type="character" w:styleId="FollowedHyperlink">
    <w:name w:val="FollowedHyperlink"/>
    <w:basedOn w:val="DefaultParagraphFont"/>
    <w:rsid w:val="005B1BD4"/>
    <w:rPr>
      <w:color w:val="800080"/>
      <w:u w:val="single"/>
    </w:rPr>
  </w:style>
</w:styles>
</file>

<file path=word/webSettings.xml><?xml version="1.0" encoding="utf-8"?>
<w:webSettings xmlns:r="http://schemas.openxmlformats.org/officeDocument/2006/relationships" xmlns:w="http://schemas.openxmlformats.org/wordprocessingml/2006/main">
  <w:divs>
    <w:div w:id="671377973">
      <w:bodyDiv w:val="1"/>
      <w:marLeft w:val="0"/>
      <w:marRight w:val="0"/>
      <w:marTop w:val="0"/>
      <w:marBottom w:val="0"/>
      <w:divBdr>
        <w:top w:val="none" w:sz="0" w:space="0" w:color="auto"/>
        <w:left w:val="none" w:sz="0" w:space="0" w:color="auto"/>
        <w:bottom w:val="none" w:sz="0" w:space="0" w:color="auto"/>
        <w:right w:val="none" w:sz="0" w:space="0" w:color="auto"/>
      </w:divBdr>
    </w:div>
    <w:div w:id="128650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frwebgate.access.gpo.gov/cgi-bin/getpage.cgi?position=all&amp;page=16097&amp;dbname=2008_regis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2383</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Dept. of VA</Company>
  <LinksUpToDate>false</LinksUpToDate>
  <CharactersWithSpaces>16026</CharactersWithSpaces>
  <SharedDoc>false</SharedDoc>
  <HLinks>
    <vt:vector size="6" baseType="variant">
      <vt:variant>
        <vt:i4>2818136</vt:i4>
      </vt:variant>
      <vt:variant>
        <vt:i4>0</vt:i4>
      </vt:variant>
      <vt:variant>
        <vt:i4>0</vt:i4>
      </vt:variant>
      <vt:variant>
        <vt:i4>5</vt:i4>
      </vt:variant>
      <vt:variant>
        <vt:lpwstr>http://frwebgate.access.gpo.gov/cgi-bin/getpage.cgi?position=all&amp;page=16097&amp;dbname=2008_register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vhacobickoa</dc:creator>
  <cp:keywords/>
  <dc:description/>
  <cp:lastModifiedBy>vacomclamd</cp:lastModifiedBy>
  <cp:revision>2</cp:revision>
  <cp:lastPrinted>2011-08-22T13:24:00Z</cp:lastPrinted>
  <dcterms:created xsi:type="dcterms:W3CDTF">2011-09-08T15:38:00Z</dcterms:created>
  <dcterms:modified xsi:type="dcterms:W3CDTF">2011-09-08T15:38:00Z</dcterms:modified>
</cp:coreProperties>
</file>