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37" w:rsidRDefault="00EA6837" w:rsidP="00EA6837">
      <w:pPr>
        <w:spacing w:after="0" w:line="240" w:lineRule="auto"/>
        <w:ind w:left="720" w:hanging="3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September 22, 2011</w:t>
      </w:r>
    </w:p>
    <w:p w:rsidR="00EA6837" w:rsidRDefault="00EA6837" w:rsidP="00980CEC">
      <w:pPr>
        <w:spacing w:after="0" w:line="240" w:lineRule="auto"/>
        <w:ind w:left="720" w:hanging="360"/>
        <w:rPr>
          <w:rFonts w:ascii="Times New Roman" w:eastAsia="Times New Roman" w:hAnsi="Times New Roman" w:cs="Times New Roman"/>
          <w:color w:val="000000"/>
          <w:sz w:val="24"/>
          <w:szCs w:val="24"/>
        </w:rPr>
      </w:pPr>
    </w:p>
    <w:p w:rsidR="00EA6837" w:rsidRPr="00EA6837" w:rsidRDefault="00EA6837" w:rsidP="00980CEC">
      <w:pPr>
        <w:spacing w:after="0" w:line="240"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Responses to OMB Comments Regarding</w:t>
      </w:r>
    </w:p>
    <w:p w:rsidR="000E2318" w:rsidRPr="00EA6837" w:rsidRDefault="000E2318" w:rsidP="00980CEC">
      <w:pPr>
        <w:spacing w:after="0" w:line="240" w:lineRule="auto"/>
        <w:ind w:left="720" w:hanging="360"/>
        <w:rPr>
          <w:rFonts w:ascii="Times New Roman" w:eastAsia="Times New Roman" w:hAnsi="Times New Roman" w:cs="Times New Roman"/>
          <w:b/>
          <w:color w:val="000000"/>
          <w:sz w:val="24"/>
          <w:szCs w:val="24"/>
        </w:rPr>
      </w:pPr>
      <w:r w:rsidRPr="00EA6837">
        <w:rPr>
          <w:rFonts w:ascii="Times New Roman" w:eastAsia="Times New Roman" w:hAnsi="Times New Roman" w:cs="Times New Roman"/>
          <w:b/>
          <w:color w:val="000000"/>
          <w:sz w:val="24"/>
          <w:szCs w:val="24"/>
        </w:rPr>
        <w:t>3072-0065 – Service Contracts</w:t>
      </w:r>
      <w:r w:rsidR="00EA6837">
        <w:rPr>
          <w:rFonts w:ascii="Times New Roman" w:eastAsia="Times New Roman" w:hAnsi="Times New Roman" w:cs="Times New Roman"/>
          <w:b/>
          <w:color w:val="000000"/>
          <w:sz w:val="24"/>
          <w:szCs w:val="24"/>
        </w:rPr>
        <w:t xml:space="preserve"> – 46 CFR Part 530</w:t>
      </w:r>
    </w:p>
    <w:p w:rsidR="000E2318" w:rsidRPr="000E2318" w:rsidRDefault="000E2318" w:rsidP="00980CEC">
      <w:pPr>
        <w:spacing w:after="0" w:line="240" w:lineRule="auto"/>
        <w:ind w:left="720" w:hanging="360"/>
        <w:rPr>
          <w:rFonts w:ascii="Times New Roman" w:eastAsia="Times New Roman" w:hAnsi="Times New Roman" w:cs="Times New Roman"/>
          <w:color w:val="000000"/>
          <w:sz w:val="24"/>
          <w:szCs w:val="24"/>
        </w:rPr>
      </w:pPr>
    </w:p>
    <w:p w:rsidR="000E2318" w:rsidRPr="000E2318" w:rsidRDefault="000E2318" w:rsidP="00980CEC">
      <w:pPr>
        <w:spacing w:after="0" w:line="240" w:lineRule="auto"/>
        <w:ind w:left="720" w:hanging="360"/>
        <w:rPr>
          <w:rFonts w:ascii="Times New Roman" w:eastAsia="Times New Roman" w:hAnsi="Times New Roman" w:cs="Times New Roman"/>
          <w:color w:val="000000"/>
          <w:sz w:val="24"/>
          <w:szCs w:val="24"/>
        </w:rPr>
      </w:pPr>
    </w:p>
    <w:p w:rsidR="00980CEC" w:rsidRPr="000E2318" w:rsidRDefault="00980CEC" w:rsidP="000E2318">
      <w:pPr>
        <w:pStyle w:val="ListParagraph"/>
        <w:numPr>
          <w:ilvl w:val="0"/>
          <w:numId w:val="1"/>
        </w:numPr>
        <w:rPr>
          <w:rFonts w:ascii="Times New Roman" w:hAnsi="Times New Roman"/>
          <w:sz w:val="24"/>
          <w:szCs w:val="24"/>
        </w:rPr>
      </w:pPr>
      <w:r w:rsidRPr="000E2318">
        <w:rPr>
          <w:rFonts w:ascii="Times New Roman" w:hAnsi="Times New Roman"/>
          <w:b/>
          <w:bCs/>
          <w:color w:val="000000"/>
          <w:sz w:val="24"/>
          <w:szCs w:val="24"/>
        </w:rPr>
        <w:t>IC Details</w:t>
      </w:r>
      <w:r w:rsidRPr="000E2318">
        <w:rPr>
          <w:rFonts w:ascii="Times New Roman" w:hAnsi="Times New Roman"/>
          <w:color w:val="000000"/>
          <w:sz w:val="24"/>
          <w:szCs w:val="24"/>
        </w:rPr>
        <w:t>. What must respondents submit to comply with the less time consuming components of this ICR—audit requirements, third party disclosures, etc.? After reading the SS and 46 CFR 530, it is unclear what goes to FMC and precisely why burden was substantially reduced (see the next question). We recommend FMC include a brief description of the IC’s.</w:t>
      </w:r>
    </w:p>
    <w:p w:rsidR="00980CEC" w:rsidRPr="000E2318" w:rsidRDefault="00980CEC" w:rsidP="00980CEC">
      <w:pPr>
        <w:spacing w:after="0" w:line="240" w:lineRule="auto"/>
        <w:ind w:left="720"/>
        <w:rPr>
          <w:rFonts w:ascii="Times New Roman" w:eastAsia="Times New Roman" w:hAnsi="Times New Roman" w:cs="Times New Roman"/>
          <w:sz w:val="24"/>
          <w:szCs w:val="24"/>
        </w:rPr>
      </w:pPr>
      <w:r w:rsidRPr="000E2318">
        <w:rPr>
          <w:rFonts w:ascii="Times New Roman" w:eastAsia="Times New Roman" w:hAnsi="Times New Roman" w:cs="Times New Roman"/>
          <w:sz w:val="24"/>
          <w:szCs w:val="24"/>
        </w:rPr>
        <w:t> </w:t>
      </w:r>
    </w:p>
    <w:p w:rsidR="00EA6837" w:rsidRDefault="00980CEC" w:rsidP="00980CEC">
      <w:pPr>
        <w:spacing w:after="0" w:line="240" w:lineRule="auto"/>
        <w:ind w:left="720"/>
        <w:rPr>
          <w:rFonts w:ascii="Times New Roman" w:eastAsia="Times New Roman" w:hAnsi="Times New Roman" w:cs="Times New Roman"/>
          <w:color w:val="000000" w:themeColor="text1"/>
          <w:sz w:val="24"/>
          <w:szCs w:val="24"/>
        </w:rPr>
      </w:pPr>
      <w:r w:rsidRPr="000E2318">
        <w:rPr>
          <w:rFonts w:ascii="Times New Roman" w:eastAsia="Times New Roman" w:hAnsi="Times New Roman" w:cs="Times New Roman"/>
          <w:color w:val="000000" w:themeColor="text1"/>
          <w:sz w:val="24"/>
          <w:szCs w:val="24"/>
        </w:rPr>
        <w:t>In order for Vessel Operating Common Carriers (VOCC) or conferences to file Service Contracts</w:t>
      </w:r>
      <w:r w:rsidR="000E2318">
        <w:rPr>
          <w:rFonts w:ascii="Times New Roman" w:eastAsia="Times New Roman" w:hAnsi="Times New Roman" w:cs="Times New Roman"/>
          <w:color w:val="000000" w:themeColor="text1"/>
          <w:sz w:val="24"/>
          <w:szCs w:val="24"/>
        </w:rPr>
        <w:t>,</w:t>
      </w:r>
      <w:r w:rsidRPr="000E2318">
        <w:rPr>
          <w:rFonts w:ascii="Times New Roman" w:eastAsia="Times New Roman" w:hAnsi="Times New Roman" w:cs="Times New Roman"/>
          <w:color w:val="000000" w:themeColor="text1"/>
          <w:sz w:val="24"/>
          <w:szCs w:val="24"/>
        </w:rPr>
        <w:t xml:space="preserve"> they mu</w:t>
      </w:r>
      <w:r w:rsidR="000E2318">
        <w:rPr>
          <w:rFonts w:ascii="Times New Roman" w:eastAsia="Times New Roman" w:hAnsi="Times New Roman" w:cs="Times New Roman"/>
          <w:color w:val="000000" w:themeColor="text1"/>
          <w:sz w:val="24"/>
          <w:szCs w:val="24"/>
        </w:rPr>
        <w:t>st complete Form FMC-83.   The f</w:t>
      </w:r>
      <w:r w:rsidRPr="000E2318">
        <w:rPr>
          <w:rFonts w:ascii="Times New Roman" w:eastAsia="Times New Roman" w:hAnsi="Times New Roman" w:cs="Times New Roman"/>
          <w:color w:val="000000" w:themeColor="text1"/>
          <w:sz w:val="24"/>
          <w:szCs w:val="24"/>
        </w:rPr>
        <w:t>orm is reviewed, approved</w:t>
      </w:r>
      <w:r w:rsidR="000E2318">
        <w:rPr>
          <w:rFonts w:ascii="Times New Roman" w:eastAsia="Times New Roman" w:hAnsi="Times New Roman" w:cs="Times New Roman"/>
          <w:color w:val="000000" w:themeColor="text1"/>
          <w:sz w:val="24"/>
          <w:szCs w:val="24"/>
        </w:rPr>
        <w:t>,</w:t>
      </w:r>
      <w:r w:rsidRPr="000E2318">
        <w:rPr>
          <w:rFonts w:ascii="Times New Roman" w:eastAsia="Times New Roman" w:hAnsi="Times New Roman" w:cs="Times New Roman"/>
          <w:color w:val="000000" w:themeColor="text1"/>
          <w:sz w:val="24"/>
          <w:szCs w:val="24"/>
        </w:rPr>
        <w:t xml:space="preserve"> and they are assigned a login and password.    This </w:t>
      </w:r>
      <w:r w:rsidR="000E2318">
        <w:rPr>
          <w:rFonts w:ascii="Times New Roman" w:eastAsia="Times New Roman" w:hAnsi="Times New Roman" w:cs="Times New Roman"/>
          <w:color w:val="000000" w:themeColor="text1"/>
          <w:sz w:val="24"/>
          <w:szCs w:val="24"/>
        </w:rPr>
        <w:t xml:space="preserve">allows them access into SERVCON, </w:t>
      </w:r>
      <w:r w:rsidRPr="000E2318">
        <w:rPr>
          <w:rFonts w:ascii="Times New Roman" w:eastAsia="Times New Roman" w:hAnsi="Times New Roman" w:cs="Times New Roman"/>
          <w:color w:val="000000" w:themeColor="text1"/>
          <w:sz w:val="24"/>
          <w:szCs w:val="24"/>
        </w:rPr>
        <w:t xml:space="preserve">where they file their non-exempt service contracts as required by law.    While there are approximately 300 VOCCs, only 141 VOCCs filed service contracts into SERVCON during the last fiscal year.  Once Form FMC-83 is in place, VOCCs continue to upload and file their contracts as needed.   There is no annual requirement for this </w:t>
      </w:r>
      <w:r w:rsidR="000E2318">
        <w:rPr>
          <w:rFonts w:ascii="Times New Roman" w:eastAsia="Times New Roman" w:hAnsi="Times New Roman" w:cs="Times New Roman"/>
          <w:color w:val="000000" w:themeColor="text1"/>
          <w:sz w:val="24"/>
          <w:szCs w:val="24"/>
        </w:rPr>
        <w:t>f</w:t>
      </w:r>
      <w:r w:rsidRPr="000E2318">
        <w:rPr>
          <w:rFonts w:ascii="Times New Roman" w:eastAsia="Times New Roman" w:hAnsi="Times New Roman" w:cs="Times New Roman"/>
          <w:color w:val="000000" w:themeColor="text1"/>
          <w:sz w:val="24"/>
          <w:szCs w:val="24"/>
        </w:rPr>
        <w:t>orm.</w:t>
      </w:r>
    </w:p>
    <w:p w:rsidR="00656E64" w:rsidRDefault="00656E64" w:rsidP="00980CEC">
      <w:pPr>
        <w:spacing w:after="0" w:line="240" w:lineRule="auto"/>
        <w:ind w:left="720"/>
        <w:rPr>
          <w:rFonts w:ascii="Times New Roman" w:eastAsia="Times New Roman" w:hAnsi="Times New Roman" w:cs="Times New Roman"/>
          <w:color w:val="000000" w:themeColor="text1"/>
          <w:sz w:val="24"/>
          <w:szCs w:val="24"/>
        </w:rPr>
      </w:pPr>
    </w:p>
    <w:p w:rsidR="00656E64" w:rsidRPr="000E2318" w:rsidRDefault="00656E64" w:rsidP="00980CEC">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FMC has amended No. 12 of its Supporting Statement to include a brief description of the ICs.</w:t>
      </w:r>
      <w:r w:rsidR="00DB5570">
        <w:rPr>
          <w:rFonts w:ascii="Times New Roman" w:eastAsia="Times New Roman" w:hAnsi="Times New Roman" w:cs="Times New Roman"/>
          <w:color w:val="000000" w:themeColor="text1"/>
          <w:sz w:val="24"/>
          <w:szCs w:val="24"/>
        </w:rPr>
        <w:t xml:space="preserve">  We have also amended 3 of the Annual Instances in the table to reflect “the average of actual filings over the past 3 years.”  This necessitated an amendment to the annualized cost to respondents (see revised Attachment 1).</w:t>
      </w:r>
    </w:p>
    <w:p w:rsidR="00980CEC" w:rsidRPr="000E2318" w:rsidRDefault="00980CEC" w:rsidP="00980CEC">
      <w:pPr>
        <w:spacing w:after="0" w:line="240" w:lineRule="auto"/>
        <w:ind w:left="720"/>
        <w:rPr>
          <w:rFonts w:ascii="Times New Roman" w:eastAsia="Times New Roman" w:hAnsi="Times New Roman" w:cs="Times New Roman"/>
          <w:sz w:val="24"/>
          <w:szCs w:val="24"/>
        </w:rPr>
      </w:pPr>
      <w:r w:rsidRPr="000E2318">
        <w:rPr>
          <w:rFonts w:ascii="Times New Roman" w:eastAsia="Times New Roman" w:hAnsi="Times New Roman" w:cs="Times New Roman"/>
          <w:sz w:val="24"/>
          <w:szCs w:val="24"/>
        </w:rPr>
        <w:t> </w:t>
      </w:r>
    </w:p>
    <w:p w:rsidR="00980CEC" w:rsidRPr="000E2318" w:rsidRDefault="00980CEC" w:rsidP="00980CEC">
      <w:pPr>
        <w:spacing w:after="0" w:line="240" w:lineRule="auto"/>
        <w:ind w:left="720"/>
        <w:rPr>
          <w:rFonts w:ascii="Times New Roman" w:eastAsia="Times New Roman" w:hAnsi="Times New Roman" w:cs="Times New Roman"/>
          <w:sz w:val="24"/>
          <w:szCs w:val="24"/>
        </w:rPr>
      </w:pPr>
      <w:r w:rsidRPr="000E2318">
        <w:rPr>
          <w:rFonts w:ascii="Times New Roman" w:eastAsia="Times New Roman" w:hAnsi="Times New Roman" w:cs="Times New Roman"/>
          <w:sz w:val="24"/>
          <w:szCs w:val="24"/>
        </w:rPr>
        <w:t> </w:t>
      </w:r>
    </w:p>
    <w:p w:rsidR="00980CEC" w:rsidRPr="000E2318" w:rsidRDefault="00980CEC" w:rsidP="000E2318">
      <w:pPr>
        <w:pStyle w:val="ListParagraph"/>
        <w:numPr>
          <w:ilvl w:val="0"/>
          <w:numId w:val="3"/>
        </w:numPr>
        <w:rPr>
          <w:rFonts w:ascii="Times New Roman" w:hAnsi="Times New Roman"/>
          <w:sz w:val="24"/>
          <w:szCs w:val="24"/>
        </w:rPr>
      </w:pPr>
      <w:r w:rsidRPr="000E2318">
        <w:rPr>
          <w:rFonts w:ascii="Times New Roman" w:hAnsi="Times New Roman"/>
          <w:b/>
          <w:bCs/>
          <w:color w:val="000000"/>
          <w:sz w:val="24"/>
          <w:szCs w:val="24"/>
        </w:rPr>
        <w:t>Changes in Burden.</w:t>
      </w:r>
      <w:r w:rsidRPr="000E2318">
        <w:rPr>
          <w:rFonts w:ascii="Times New Roman" w:hAnsi="Times New Roman"/>
          <w:color w:val="000000"/>
          <w:sz w:val="24"/>
          <w:szCs w:val="24"/>
        </w:rPr>
        <w:t xml:space="preserve"> Why did the previous ICR submission indicate nearly all IC’s took over 10 times as long? Although FMC states the average hours per response decreased as a result of advancement in technology, we recommend FMC provide details on how new technology reduced time by the estimated amount.</w:t>
      </w:r>
    </w:p>
    <w:p w:rsidR="00980CEC" w:rsidRPr="000E2318" w:rsidRDefault="00980CEC" w:rsidP="00980CEC">
      <w:pPr>
        <w:spacing w:after="0" w:line="240" w:lineRule="auto"/>
        <w:ind w:left="720" w:hanging="360"/>
        <w:rPr>
          <w:rFonts w:ascii="Times New Roman" w:eastAsia="Times New Roman" w:hAnsi="Times New Roman" w:cs="Times New Roman"/>
          <w:sz w:val="24"/>
          <w:szCs w:val="24"/>
        </w:rPr>
      </w:pPr>
      <w:r w:rsidRPr="000E2318">
        <w:rPr>
          <w:rFonts w:ascii="Times New Roman" w:eastAsia="Times New Roman" w:hAnsi="Times New Roman" w:cs="Times New Roman"/>
          <w:color w:val="000000"/>
          <w:sz w:val="24"/>
          <w:szCs w:val="24"/>
        </w:rPr>
        <w:t> </w:t>
      </w:r>
    </w:p>
    <w:p w:rsidR="00980CEC" w:rsidRDefault="000E2318" w:rsidP="00980CEC">
      <w:p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980CEC" w:rsidRPr="000E2318">
        <w:rPr>
          <w:rFonts w:ascii="Times New Roman" w:eastAsia="Times New Roman" w:hAnsi="Times New Roman" w:cs="Times New Roman"/>
          <w:color w:val="000000" w:themeColor="text1"/>
          <w:sz w:val="24"/>
          <w:szCs w:val="24"/>
        </w:rPr>
        <w:t xml:space="preserve">The previous ICR submission vastly overstated the time required to complete the Form FMC-83.   The Form is very basic and </w:t>
      </w:r>
      <w:r>
        <w:rPr>
          <w:rFonts w:ascii="Times New Roman" w:eastAsia="Times New Roman" w:hAnsi="Times New Roman" w:cs="Times New Roman"/>
          <w:color w:val="000000" w:themeColor="text1"/>
          <w:sz w:val="24"/>
          <w:szCs w:val="24"/>
        </w:rPr>
        <w:t xml:space="preserve">the </w:t>
      </w:r>
      <w:r w:rsidR="00980CEC" w:rsidRPr="000E2318">
        <w:rPr>
          <w:rFonts w:ascii="Times New Roman" w:eastAsia="Times New Roman" w:hAnsi="Times New Roman" w:cs="Times New Roman"/>
          <w:color w:val="000000" w:themeColor="text1"/>
          <w:sz w:val="24"/>
          <w:szCs w:val="24"/>
        </w:rPr>
        <w:t>information to complete it should be readily available to the VOCC.</w:t>
      </w:r>
      <w:r w:rsidR="00DB5570">
        <w:rPr>
          <w:rFonts w:ascii="Times New Roman" w:eastAsia="Times New Roman" w:hAnsi="Times New Roman" w:cs="Times New Roman"/>
          <w:color w:val="000000" w:themeColor="text1"/>
          <w:sz w:val="24"/>
          <w:szCs w:val="24"/>
        </w:rPr>
        <w:t xml:space="preserve">  FMC is also amending the average hours per response for “Recordkeeping/Audit Requirements” as explained in No. 12 of the Supporting Statement.</w:t>
      </w:r>
    </w:p>
    <w:p w:rsidR="00DB5570" w:rsidRDefault="00DB5570" w:rsidP="00980CEC">
      <w:pPr>
        <w:spacing w:after="0" w:line="240" w:lineRule="auto"/>
        <w:ind w:left="720" w:hanging="360"/>
        <w:rPr>
          <w:rFonts w:ascii="Times New Roman" w:eastAsia="Times New Roman" w:hAnsi="Times New Roman" w:cs="Times New Roman"/>
          <w:color w:val="000000" w:themeColor="text1"/>
          <w:sz w:val="24"/>
          <w:szCs w:val="24"/>
        </w:rPr>
      </w:pPr>
    </w:p>
    <w:p w:rsidR="00DB5570" w:rsidRPr="000E2318" w:rsidRDefault="00DB5570" w:rsidP="00980CEC">
      <w:p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FMC also is amending response No. 15 of the Supporting Statement to reflect a higher number of annual hours requested than in its previous </w:t>
      </w:r>
      <w:r w:rsidR="00BF7F73">
        <w:rPr>
          <w:rFonts w:ascii="Times New Roman" w:eastAsia="Times New Roman" w:hAnsi="Times New Roman" w:cs="Times New Roman"/>
          <w:color w:val="000000" w:themeColor="text1"/>
          <w:sz w:val="24"/>
          <w:szCs w:val="24"/>
        </w:rPr>
        <w:t>supporting statement</w:t>
      </w:r>
      <w:r>
        <w:rPr>
          <w:rFonts w:ascii="Times New Roman" w:eastAsia="Times New Roman" w:hAnsi="Times New Roman" w:cs="Times New Roman"/>
          <w:color w:val="000000" w:themeColor="text1"/>
          <w:sz w:val="24"/>
          <w:szCs w:val="24"/>
        </w:rPr>
        <w:t>.</w:t>
      </w:r>
    </w:p>
    <w:p w:rsidR="00980CEC" w:rsidRPr="000E2318" w:rsidRDefault="00980CEC" w:rsidP="00980CEC">
      <w:pPr>
        <w:spacing w:after="0" w:line="240" w:lineRule="auto"/>
        <w:ind w:left="720" w:hanging="360"/>
        <w:rPr>
          <w:rFonts w:ascii="Times New Roman" w:eastAsia="Times New Roman" w:hAnsi="Times New Roman" w:cs="Times New Roman"/>
          <w:sz w:val="24"/>
          <w:szCs w:val="24"/>
        </w:rPr>
      </w:pPr>
      <w:r w:rsidRPr="000E2318">
        <w:rPr>
          <w:rFonts w:ascii="Times New Roman" w:eastAsia="Times New Roman" w:hAnsi="Times New Roman" w:cs="Times New Roman"/>
          <w:sz w:val="24"/>
          <w:szCs w:val="24"/>
        </w:rPr>
        <w:t> </w:t>
      </w:r>
    </w:p>
    <w:p w:rsidR="00980CEC" w:rsidRPr="000E2318" w:rsidRDefault="00980CEC" w:rsidP="00980CEC">
      <w:pPr>
        <w:spacing w:after="0" w:line="240" w:lineRule="auto"/>
        <w:ind w:left="720"/>
        <w:rPr>
          <w:rFonts w:ascii="Times New Roman" w:eastAsia="Times New Roman" w:hAnsi="Times New Roman" w:cs="Times New Roman"/>
          <w:sz w:val="24"/>
          <w:szCs w:val="24"/>
        </w:rPr>
      </w:pPr>
      <w:r w:rsidRPr="000E2318">
        <w:rPr>
          <w:rFonts w:ascii="Times New Roman" w:eastAsia="Times New Roman" w:hAnsi="Times New Roman" w:cs="Times New Roman"/>
          <w:sz w:val="24"/>
          <w:szCs w:val="24"/>
        </w:rPr>
        <w:t> </w:t>
      </w:r>
    </w:p>
    <w:p w:rsidR="00980CEC" w:rsidRPr="000E2318" w:rsidRDefault="00980CEC" w:rsidP="000E2318">
      <w:pPr>
        <w:pStyle w:val="ListParagraph"/>
        <w:numPr>
          <w:ilvl w:val="0"/>
          <w:numId w:val="4"/>
        </w:numPr>
        <w:rPr>
          <w:rFonts w:ascii="Times New Roman" w:hAnsi="Times New Roman"/>
          <w:sz w:val="24"/>
          <w:szCs w:val="24"/>
        </w:rPr>
      </w:pPr>
      <w:r w:rsidRPr="000E2318">
        <w:rPr>
          <w:rFonts w:ascii="Times New Roman" w:hAnsi="Times New Roman"/>
          <w:b/>
          <w:bCs/>
          <w:color w:val="000000"/>
          <w:sz w:val="24"/>
          <w:szCs w:val="24"/>
        </w:rPr>
        <w:t>Form Formatting.</w:t>
      </w:r>
      <w:r w:rsidRPr="000E2318">
        <w:rPr>
          <w:rFonts w:ascii="Times New Roman" w:hAnsi="Times New Roman"/>
          <w:color w:val="000000"/>
          <w:sz w:val="24"/>
          <w:szCs w:val="24"/>
        </w:rPr>
        <w:t xml:space="preserve"> Please note Form FMC-83 has several font size and type issues. For example, the font for “3. Registrant” is too small, the text of “Dial-Up” and “Internet-based” are not bolded (in line 4), and “date” is not capitalized (after line 7). Recommend FMC address formatting issues. We also recommend FM amend the </w:t>
      </w:r>
      <w:r w:rsidRPr="000E2318">
        <w:rPr>
          <w:rFonts w:ascii="Times New Roman" w:hAnsi="Times New Roman"/>
          <w:color w:val="000000"/>
          <w:sz w:val="24"/>
          <w:szCs w:val="24"/>
        </w:rPr>
        <w:lastRenderedPageBreak/>
        <w:t>check box in line 7 from “File Service Contracts” to “Authorized to File Service Contracts”.</w:t>
      </w:r>
    </w:p>
    <w:p w:rsidR="00980CEC" w:rsidRPr="000E2318" w:rsidRDefault="00980CEC" w:rsidP="00980CEC">
      <w:pPr>
        <w:spacing w:after="0" w:line="240" w:lineRule="auto"/>
        <w:ind w:left="720" w:hanging="360"/>
        <w:rPr>
          <w:rFonts w:ascii="Times New Roman" w:eastAsia="Times New Roman" w:hAnsi="Times New Roman" w:cs="Times New Roman"/>
          <w:sz w:val="24"/>
          <w:szCs w:val="24"/>
        </w:rPr>
      </w:pPr>
      <w:r w:rsidRPr="000E2318">
        <w:rPr>
          <w:rFonts w:ascii="Times New Roman" w:eastAsia="Times New Roman" w:hAnsi="Times New Roman" w:cs="Times New Roman"/>
          <w:color w:val="000000"/>
          <w:sz w:val="24"/>
          <w:szCs w:val="24"/>
        </w:rPr>
        <w:t> </w:t>
      </w:r>
    </w:p>
    <w:p w:rsidR="000E2318" w:rsidRPr="004E0141" w:rsidRDefault="000E2318" w:rsidP="000E2318">
      <w:pPr>
        <w:spacing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Form FMC-83 was approved by the Commission in 1999.  As part of its regulatory review, the agency is in the process of reviewing all of its regulations.  The FMC does not intend to revise this form until the review process is complete.  However, your comments will be taken into consideration if it is determined that the Form FMC-83 should be revised.</w:t>
      </w:r>
      <w:r>
        <w:rPr>
          <w:rFonts w:ascii="Tahoma" w:hAnsi="Tahoma" w:cs="Tahoma"/>
          <w:color w:val="000080"/>
          <w:sz w:val="24"/>
          <w:szCs w:val="24"/>
        </w:rPr>
        <w:t> </w:t>
      </w:r>
    </w:p>
    <w:p w:rsidR="00980CEC" w:rsidRPr="000E2318" w:rsidRDefault="00980CEC" w:rsidP="00980CEC">
      <w:pPr>
        <w:spacing w:after="0" w:line="240" w:lineRule="auto"/>
        <w:ind w:left="720"/>
        <w:rPr>
          <w:rFonts w:ascii="Times New Roman" w:eastAsia="Times New Roman" w:hAnsi="Times New Roman" w:cs="Times New Roman"/>
          <w:sz w:val="24"/>
          <w:szCs w:val="24"/>
        </w:rPr>
      </w:pPr>
    </w:p>
    <w:p w:rsidR="00980CEC" w:rsidRPr="000E2318" w:rsidRDefault="00980CEC" w:rsidP="000E2318">
      <w:pPr>
        <w:pStyle w:val="ListParagraph"/>
        <w:numPr>
          <w:ilvl w:val="0"/>
          <w:numId w:val="5"/>
        </w:numPr>
        <w:rPr>
          <w:rFonts w:ascii="Times New Roman" w:hAnsi="Times New Roman"/>
          <w:sz w:val="24"/>
          <w:szCs w:val="24"/>
        </w:rPr>
      </w:pPr>
      <w:r w:rsidRPr="000E2318">
        <w:rPr>
          <w:rFonts w:ascii="Times New Roman" w:hAnsi="Times New Roman"/>
          <w:b/>
          <w:bCs/>
          <w:color w:val="000000"/>
          <w:sz w:val="24"/>
          <w:szCs w:val="24"/>
        </w:rPr>
        <w:t xml:space="preserve">Government Cost Allocation. </w:t>
      </w:r>
      <w:r w:rsidRPr="000E2318">
        <w:rPr>
          <w:rFonts w:ascii="Times New Roman" w:hAnsi="Times New Roman"/>
          <w:color w:val="000000"/>
          <w:sz w:val="24"/>
          <w:szCs w:val="24"/>
        </w:rPr>
        <w:t>Why did FMC allocate 30% of database system maintenance in 2011 and 75% of maintenance in 2008? Many of FMC’s government cost decisions regarding staff time, grade, and steps are inconsistent with the previous submission.</w:t>
      </w:r>
    </w:p>
    <w:p w:rsidR="00980CEC" w:rsidRPr="000E2318" w:rsidRDefault="00980CEC" w:rsidP="00980CEC">
      <w:pPr>
        <w:spacing w:after="0" w:line="240" w:lineRule="auto"/>
        <w:ind w:left="720"/>
        <w:rPr>
          <w:rFonts w:ascii="Times New Roman" w:eastAsia="Times New Roman" w:hAnsi="Times New Roman" w:cs="Times New Roman"/>
          <w:sz w:val="24"/>
          <w:szCs w:val="24"/>
        </w:rPr>
      </w:pPr>
      <w:r w:rsidRPr="000E2318">
        <w:rPr>
          <w:rFonts w:ascii="Times New Roman" w:eastAsia="Times New Roman" w:hAnsi="Times New Roman" w:cs="Times New Roman"/>
          <w:sz w:val="24"/>
          <w:szCs w:val="24"/>
        </w:rPr>
        <w:t> </w:t>
      </w:r>
    </w:p>
    <w:p w:rsidR="000E2318" w:rsidRDefault="000E2318" w:rsidP="000E2318">
      <w:pPr>
        <w:spacing w:line="240" w:lineRule="auto"/>
        <w:ind w:left="720"/>
        <w:rPr>
          <w:rFonts w:ascii="Times New Roman" w:hAnsi="Times New Roman"/>
          <w:sz w:val="24"/>
          <w:szCs w:val="24"/>
        </w:rPr>
      </w:pPr>
      <w:r>
        <w:rPr>
          <w:rFonts w:ascii="Times New Roman" w:hAnsi="Times New Roman"/>
          <w:sz w:val="24"/>
          <w:szCs w:val="24"/>
        </w:rPr>
        <w:t>The database system maintenance costs are based upon contractor costs for the fiscal year.  The contractor handles several databases.  We are unable to calculate exactly how much of the contractor’s costs are attributed to each system.  We can only estimate the approximate amount of time the contractor spends on each database.  As databases are added or changed, the amount of time spent on each by the contractor changes.  We have estimated that the contractor costs for this past fiscal year allocated to the Service Contract information collection would be approximately 30% of the total contractor costs.</w:t>
      </w:r>
    </w:p>
    <w:p w:rsidR="000E2318" w:rsidRDefault="000E2318" w:rsidP="000E2318">
      <w:pPr>
        <w:spacing w:after="0" w:line="240" w:lineRule="auto"/>
        <w:ind w:left="720"/>
        <w:rPr>
          <w:rFonts w:ascii="Times New Roman" w:eastAsia="Times New Roman" w:hAnsi="Times New Roman" w:cs="Times New Roman"/>
          <w:color w:val="1F497D"/>
          <w:sz w:val="24"/>
          <w:szCs w:val="24"/>
        </w:rPr>
      </w:pPr>
      <w:r>
        <w:rPr>
          <w:rFonts w:ascii="Times New Roman" w:hAnsi="Times New Roman"/>
          <w:sz w:val="24"/>
          <w:szCs w:val="24"/>
        </w:rPr>
        <w:t xml:space="preserve">We disagree that the FMC’s government costs regarding staff time, grade and steps are inconsistent with the previous submission.  In 2008, we reported total hours as </w:t>
      </w:r>
      <w:r w:rsidR="006B60EB">
        <w:rPr>
          <w:rFonts w:ascii="Times New Roman" w:hAnsi="Times New Roman"/>
          <w:sz w:val="24"/>
          <w:szCs w:val="24"/>
        </w:rPr>
        <w:t>10,529</w:t>
      </w:r>
      <w:r>
        <w:rPr>
          <w:rFonts w:ascii="Times New Roman" w:hAnsi="Times New Roman"/>
          <w:sz w:val="24"/>
          <w:szCs w:val="24"/>
        </w:rPr>
        <w:t xml:space="preserve">; in 2011, we reported total hours as </w:t>
      </w:r>
      <w:r w:rsidR="006B60EB">
        <w:rPr>
          <w:rFonts w:ascii="Times New Roman" w:hAnsi="Times New Roman"/>
          <w:sz w:val="24"/>
          <w:szCs w:val="24"/>
        </w:rPr>
        <w:t>7,072</w:t>
      </w:r>
      <w:r>
        <w:rPr>
          <w:rFonts w:ascii="Times New Roman" w:hAnsi="Times New Roman"/>
          <w:sz w:val="24"/>
          <w:szCs w:val="24"/>
        </w:rPr>
        <w:t xml:space="preserve">.  In 2008, we had 6 employees involved in processing this information collection – an Office </w:t>
      </w:r>
      <w:r w:rsidR="006B60EB">
        <w:rPr>
          <w:rFonts w:ascii="Times New Roman" w:hAnsi="Times New Roman"/>
          <w:sz w:val="24"/>
          <w:szCs w:val="24"/>
        </w:rPr>
        <w:t>Chief (Director)</w:t>
      </w:r>
      <w:r>
        <w:rPr>
          <w:rFonts w:ascii="Times New Roman" w:hAnsi="Times New Roman"/>
          <w:sz w:val="24"/>
          <w:szCs w:val="24"/>
        </w:rPr>
        <w:t xml:space="preserve">, </w:t>
      </w:r>
      <w:r w:rsidR="006B60EB">
        <w:rPr>
          <w:rFonts w:ascii="Times New Roman" w:hAnsi="Times New Roman"/>
          <w:sz w:val="24"/>
          <w:szCs w:val="24"/>
        </w:rPr>
        <w:t>three</w:t>
      </w:r>
      <w:r>
        <w:rPr>
          <w:rFonts w:ascii="Times New Roman" w:hAnsi="Times New Roman"/>
          <w:sz w:val="24"/>
          <w:szCs w:val="24"/>
        </w:rPr>
        <w:t xml:space="preserve"> Transportation Specialists, </w:t>
      </w:r>
      <w:r w:rsidR="006B60EB">
        <w:rPr>
          <w:rFonts w:ascii="Times New Roman" w:hAnsi="Times New Roman"/>
          <w:sz w:val="24"/>
          <w:szCs w:val="24"/>
        </w:rPr>
        <w:t xml:space="preserve">one Industry Analyst, </w:t>
      </w:r>
      <w:r>
        <w:rPr>
          <w:rFonts w:ascii="Times New Roman" w:hAnsi="Times New Roman"/>
          <w:sz w:val="24"/>
          <w:szCs w:val="24"/>
        </w:rPr>
        <w:t xml:space="preserve">and one Information Processing Assistant.  In 2011, we reported a similar, although smaller, staff of </w:t>
      </w:r>
      <w:r w:rsidR="006B60EB">
        <w:rPr>
          <w:rFonts w:ascii="Times New Roman" w:hAnsi="Times New Roman"/>
          <w:sz w:val="24"/>
          <w:szCs w:val="24"/>
        </w:rPr>
        <w:t>five</w:t>
      </w:r>
      <w:r>
        <w:rPr>
          <w:rFonts w:ascii="Times New Roman" w:hAnsi="Times New Roman"/>
          <w:sz w:val="24"/>
          <w:szCs w:val="24"/>
        </w:rPr>
        <w:t xml:space="preserve"> employees – an Office Director</w:t>
      </w:r>
      <w:r w:rsidR="006B60EB">
        <w:rPr>
          <w:rFonts w:ascii="Times New Roman" w:hAnsi="Times New Roman"/>
          <w:sz w:val="24"/>
          <w:szCs w:val="24"/>
        </w:rPr>
        <w:t xml:space="preserve"> (Chief)</w:t>
      </w:r>
      <w:r>
        <w:rPr>
          <w:rFonts w:ascii="Times New Roman" w:hAnsi="Times New Roman"/>
          <w:sz w:val="24"/>
          <w:szCs w:val="24"/>
        </w:rPr>
        <w:t>, a Senior Transportation Specialist, two Transportation Specialists, and an Information Processing Assistant.  In 3 years the grades/steps of these employees are certainly expected to change.  We tie our staff costs directly to an individual employee, not a “pay band.”  We fail to see where we are inconsistent</w:t>
      </w:r>
    </w:p>
    <w:p w:rsidR="000E2318" w:rsidRDefault="000E2318" w:rsidP="00980CEC">
      <w:pPr>
        <w:spacing w:after="0" w:line="240" w:lineRule="auto"/>
        <w:ind w:left="720"/>
        <w:rPr>
          <w:rFonts w:ascii="Times New Roman" w:eastAsia="Times New Roman" w:hAnsi="Times New Roman" w:cs="Times New Roman"/>
          <w:color w:val="1F497D"/>
          <w:sz w:val="24"/>
          <w:szCs w:val="24"/>
        </w:rPr>
      </w:pPr>
    </w:p>
    <w:p w:rsidR="00980CEC" w:rsidRPr="006B60EB" w:rsidRDefault="00980CEC" w:rsidP="006B60EB">
      <w:pPr>
        <w:pStyle w:val="ListParagraph"/>
        <w:numPr>
          <w:ilvl w:val="0"/>
          <w:numId w:val="6"/>
        </w:numPr>
        <w:rPr>
          <w:rFonts w:ascii="Times New Roman" w:hAnsi="Times New Roman"/>
          <w:sz w:val="24"/>
          <w:szCs w:val="24"/>
        </w:rPr>
      </w:pPr>
      <w:r w:rsidRPr="006B60EB">
        <w:rPr>
          <w:rFonts w:ascii="Times New Roman" w:hAnsi="Times New Roman"/>
          <w:b/>
          <w:bCs/>
          <w:color w:val="000000"/>
          <w:sz w:val="24"/>
          <w:szCs w:val="24"/>
        </w:rPr>
        <w:t xml:space="preserve">Industry Cost Allocation. </w:t>
      </w:r>
      <w:r w:rsidRPr="006B60EB">
        <w:rPr>
          <w:rFonts w:ascii="Times New Roman" w:hAnsi="Times New Roman"/>
          <w:color w:val="000000"/>
          <w:sz w:val="24"/>
          <w:szCs w:val="24"/>
        </w:rPr>
        <w:t>Has the percentage of burden allocated to pricing managers versus tariff publishers changed with advancements in technology or adjustments in industry?</w:t>
      </w:r>
    </w:p>
    <w:p w:rsidR="006B60EB" w:rsidRDefault="00980CEC" w:rsidP="006B60EB">
      <w:pPr>
        <w:rPr>
          <w:rFonts w:ascii="Times New Roman" w:eastAsia="Times New Roman" w:hAnsi="Times New Roman" w:cs="Times New Roman"/>
          <w:color w:val="1F497D"/>
          <w:sz w:val="24"/>
          <w:szCs w:val="24"/>
        </w:rPr>
      </w:pPr>
      <w:r w:rsidRPr="000E2318">
        <w:rPr>
          <w:rFonts w:ascii="Times New Roman" w:eastAsia="Times New Roman" w:hAnsi="Times New Roman" w:cs="Times New Roman"/>
          <w:color w:val="1F497D"/>
          <w:sz w:val="24"/>
          <w:szCs w:val="24"/>
        </w:rPr>
        <w:t> </w:t>
      </w:r>
    </w:p>
    <w:p w:rsidR="006B60EB" w:rsidRPr="004E0141" w:rsidRDefault="006B60EB" w:rsidP="006B60EB">
      <w:pPr>
        <w:rPr>
          <w:rFonts w:ascii="Times New Roman" w:eastAsia="Times New Roman" w:hAnsi="Times New Roman" w:cs="Times New Roman"/>
          <w:sz w:val="24"/>
          <w:szCs w:val="24"/>
        </w:rPr>
      </w:pPr>
      <w:r>
        <w:rPr>
          <w:rFonts w:ascii="Times New Roman" w:eastAsia="Times New Roman" w:hAnsi="Times New Roman" w:cs="Times New Roman"/>
          <w:color w:val="1F497D"/>
          <w:sz w:val="24"/>
          <w:szCs w:val="24"/>
        </w:rPr>
        <w:tab/>
      </w:r>
      <w:r>
        <w:rPr>
          <w:rFonts w:ascii="Times New Roman" w:hAnsi="Times New Roman"/>
          <w:sz w:val="24"/>
          <w:szCs w:val="24"/>
        </w:rPr>
        <w:t>No, we do not believe it has changed.</w:t>
      </w:r>
      <w:r w:rsidRPr="004E0141">
        <w:rPr>
          <w:rFonts w:ascii="Times New Roman" w:eastAsia="Times New Roman" w:hAnsi="Times New Roman" w:cs="Times New Roman"/>
          <w:color w:val="1F497D"/>
          <w:sz w:val="24"/>
          <w:szCs w:val="24"/>
        </w:rPr>
        <w:t> </w:t>
      </w:r>
    </w:p>
    <w:p w:rsidR="00980CEC" w:rsidRPr="000E2318" w:rsidRDefault="00980CEC" w:rsidP="00980CEC">
      <w:pPr>
        <w:spacing w:after="0" w:line="240" w:lineRule="auto"/>
        <w:rPr>
          <w:rFonts w:ascii="Times New Roman" w:eastAsia="Times New Roman" w:hAnsi="Times New Roman" w:cs="Times New Roman"/>
          <w:sz w:val="24"/>
          <w:szCs w:val="24"/>
        </w:rPr>
      </w:pPr>
    </w:p>
    <w:sectPr w:rsidR="00980CEC" w:rsidRPr="000E2318" w:rsidSect="00F275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D2E"/>
    <w:multiLevelType w:val="hybridMultilevel"/>
    <w:tmpl w:val="BC9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9F0A61"/>
    <w:multiLevelType w:val="hybridMultilevel"/>
    <w:tmpl w:val="AE36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A2A6A"/>
    <w:multiLevelType w:val="hybridMultilevel"/>
    <w:tmpl w:val="CF4C1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3F59DF"/>
    <w:multiLevelType w:val="hybridMultilevel"/>
    <w:tmpl w:val="294C9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783026"/>
    <w:multiLevelType w:val="hybridMultilevel"/>
    <w:tmpl w:val="ED40370A"/>
    <w:lvl w:ilvl="0" w:tplc="8B9A0C3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B44D19"/>
    <w:multiLevelType w:val="hybridMultilevel"/>
    <w:tmpl w:val="E98C2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0CEC"/>
    <w:rsid w:val="000E2318"/>
    <w:rsid w:val="00154A37"/>
    <w:rsid w:val="003B1786"/>
    <w:rsid w:val="00656E64"/>
    <w:rsid w:val="0068612A"/>
    <w:rsid w:val="006B60EB"/>
    <w:rsid w:val="00980CEC"/>
    <w:rsid w:val="00B16DE6"/>
    <w:rsid w:val="00BA46F6"/>
    <w:rsid w:val="00BF7F73"/>
    <w:rsid w:val="00DB5570"/>
    <w:rsid w:val="00E25CF9"/>
    <w:rsid w:val="00EA6837"/>
    <w:rsid w:val="00F2756A"/>
    <w:rsid w:val="00FE0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0CEC"/>
    <w:rPr>
      <w:color w:val="0000FF"/>
      <w:u w:val="single"/>
    </w:rPr>
  </w:style>
  <w:style w:type="paragraph" w:styleId="ListParagraph">
    <w:name w:val="List Paragraph"/>
    <w:basedOn w:val="Normal"/>
    <w:uiPriority w:val="34"/>
    <w:qFormat/>
    <w:rsid w:val="00980CEC"/>
    <w:pPr>
      <w:spacing w:after="0" w:line="240" w:lineRule="auto"/>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98721566">
      <w:bodyDiv w:val="1"/>
      <w:marLeft w:val="0"/>
      <w:marRight w:val="0"/>
      <w:marTop w:val="0"/>
      <w:marBottom w:val="0"/>
      <w:divBdr>
        <w:top w:val="none" w:sz="0" w:space="0" w:color="auto"/>
        <w:left w:val="none" w:sz="0" w:space="0" w:color="auto"/>
        <w:bottom w:val="none" w:sz="0" w:space="0" w:color="auto"/>
        <w:right w:val="none" w:sz="0" w:space="0" w:color="auto"/>
      </w:divBdr>
      <w:divsChild>
        <w:div w:id="2089419831">
          <w:marLeft w:val="0"/>
          <w:marRight w:val="0"/>
          <w:marTop w:val="0"/>
          <w:marBottom w:val="0"/>
          <w:divBdr>
            <w:top w:val="none" w:sz="0" w:space="0" w:color="auto"/>
            <w:left w:val="none" w:sz="0" w:space="0" w:color="auto"/>
            <w:bottom w:val="none" w:sz="0" w:space="0" w:color="auto"/>
            <w:right w:val="none" w:sz="0" w:space="0" w:color="auto"/>
          </w:divBdr>
          <w:divsChild>
            <w:div w:id="1042822209">
              <w:marLeft w:val="0"/>
              <w:marRight w:val="0"/>
              <w:marTop w:val="0"/>
              <w:marBottom w:val="0"/>
              <w:divBdr>
                <w:top w:val="none" w:sz="0" w:space="0" w:color="auto"/>
                <w:left w:val="none" w:sz="0" w:space="0" w:color="auto"/>
                <w:bottom w:val="none" w:sz="0" w:space="0" w:color="auto"/>
                <w:right w:val="none" w:sz="0" w:space="0" w:color="auto"/>
              </w:divBdr>
              <w:divsChild>
                <w:div w:id="2038117354">
                  <w:marLeft w:val="0"/>
                  <w:marRight w:val="0"/>
                  <w:marTop w:val="0"/>
                  <w:marBottom w:val="0"/>
                  <w:divBdr>
                    <w:top w:val="single" w:sz="8" w:space="3" w:color="B5C4DF"/>
                    <w:left w:val="none" w:sz="0" w:space="0" w:color="auto"/>
                    <w:bottom w:val="none" w:sz="0" w:space="0" w:color="auto"/>
                    <w:right w:val="none" w:sz="0" w:space="0" w:color="auto"/>
                  </w:divBdr>
                </w:div>
              </w:divsChild>
            </w:div>
            <w:div w:id="1101489881">
              <w:marLeft w:val="0"/>
              <w:marRight w:val="0"/>
              <w:marTop w:val="0"/>
              <w:marBottom w:val="0"/>
              <w:divBdr>
                <w:top w:val="none" w:sz="0" w:space="0" w:color="auto"/>
                <w:left w:val="none" w:sz="0" w:space="0" w:color="auto"/>
                <w:bottom w:val="none" w:sz="0" w:space="0" w:color="auto"/>
                <w:right w:val="none" w:sz="0" w:space="0" w:color="auto"/>
              </w:divBdr>
            </w:div>
            <w:div w:id="1066685383">
              <w:marLeft w:val="0"/>
              <w:marRight w:val="0"/>
              <w:marTop w:val="0"/>
              <w:marBottom w:val="0"/>
              <w:divBdr>
                <w:top w:val="none" w:sz="0" w:space="0" w:color="auto"/>
                <w:left w:val="none" w:sz="0" w:space="0" w:color="auto"/>
                <w:bottom w:val="none" w:sz="0" w:space="0" w:color="auto"/>
                <w:right w:val="none" w:sz="0" w:space="0" w:color="auto"/>
              </w:divBdr>
            </w:div>
            <w:div w:id="699207002">
              <w:marLeft w:val="0"/>
              <w:marRight w:val="0"/>
              <w:marTop w:val="0"/>
              <w:marBottom w:val="0"/>
              <w:divBdr>
                <w:top w:val="none" w:sz="0" w:space="0" w:color="auto"/>
                <w:left w:val="none" w:sz="0" w:space="0" w:color="auto"/>
                <w:bottom w:val="none" w:sz="0" w:space="0" w:color="auto"/>
                <w:right w:val="none" w:sz="0" w:space="0" w:color="auto"/>
              </w:divBdr>
            </w:div>
            <w:div w:id="1396782617">
              <w:marLeft w:val="0"/>
              <w:marRight w:val="0"/>
              <w:marTop w:val="0"/>
              <w:marBottom w:val="0"/>
              <w:divBdr>
                <w:top w:val="none" w:sz="0" w:space="0" w:color="auto"/>
                <w:left w:val="none" w:sz="0" w:space="0" w:color="auto"/>
                <w:bottom w:val="none" w:sz="0" w:space="0" w:color="auto"/>
                <w:right w:val="none" w:sz="0" w:space="0" w:color="auto"/>
              </w:divBdr>
              <w:divsChild>
                <w:div w:id="622002225">
                  <w:marLeft w:val="0"/>
                  <w:marRight w:val="0"/>
                  <w:marTop w:val="0"/>
                  <w:marBottom w:val="0"/>
                  <w:divBdr>
                    <w:top w:val="none" w:sz="0" w:space="0" w:color="auto"/>
                    <w:left w:val="none" w:sz="0" w:space="0" w:color="auto"/>
                    <w:bottom w:val="none" w:sz="0" w:space="0" w:color="auto"/>
                    <w:right w:val="none" w:sz="0" w:space="0" w:color="auto"/>
                  </w:divBdr>
                  <w:divsChild>
                    <w:div w:id="1188836679">
                      <w:marLeft w:val="0"/>
                      <w:marRight w:val="0"/>
                      <w:marTop w:val="0"/>
                      <w:marBottom w:val="0"/>
                      <w:divBdr>
                        <w:top w:val="none" w:sz="0" w:space="0" w:color="auto"/>
                        <w:left w:val="none" w:sz="0" w:space="0" w:color="auto"/>
                        <w:bottom w:val="none" w:sz="0" w:space="0" w:color="auto"/>
                        <w:right w:val="none" w:sz="0" w:space="0" w:color="auto"/>
                      </w:divBdr>
                    </w:div>
                    <w:div w:id="1181119103">
                      <w:marLeft w:val="0"/>
                      <w:marRight w:val="0"/>
                      <w:marTop w:val="0"/>
                      <w:marBottom w:val="0"/>
                      <w:divBdr>
                        <w:top w:val="none" w:sz="0" w:space="0" w:color="auto"/>
                        <w:left w:val="none" w:sz="0" w:space="0" w:color="auto"/>
                        <w:bottom w:val="none" w:sz="0" w:space="0" w:color="auto"/>
                        <w:right w:val="none" w:sz="0" w:space="0" w:color="auto"/>
                      </w:divBdr>
                      <w:divsChild>
                        <w:div w:id="198635329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jgregory</dc:creator>
  <cp:lastModifiedBy>jgregory</cp:lastModifiedBy>
  <cp:revision>11</cp:revision>
  <cp:lastPrinted>2011-09-22T17:45:00Z</cp:lastPrinted>
  <dcterms:created xsi:type="dcterms:W3CDTF">2011-09-13T20:28:00Z</dcterms:created>
  <dcterms:modified xsi:type="dcterms:W3CDTF">2011-09-22T17:45:00Z</dcterms:modified>
</cp:coreProperties>
</file>