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A0" w:rsidRPr="00ED239D" w:rsidRDefault="00ED239D">
      <w:pPr>
        <w:rPr>
          <w:rFonts w:ascii="Univers" w:hAnsi="Univers" w:cs="Arial"/>
          <w:b/>
        </w:rPr>
      </w:pPr>
      <w:r w:rsidRPr="00ED239D">
        <w:rPr>
          <w:rFonts w:ascii="Univers" w:hAnsi="Univers" w:cs="Arial"/>
          <w:b/>
        </w:rPr>
        <w:t xml:space="preserve">B.  </w:t>
      </w:r>
      <w:r w:rsidR="000266A0" w:rsidRPr="00ED239D">
        <w:rPr>
          <w:rFonts w:ascii="Univers" w:hAnsi="Univers" w:cs="Arial"/>
          <w:b/>
        </w:rPr>
        <w:t>SUPPORTING STATEMENT</w:t>
      </w:r>
      <w:r w:rsidRPr="00ED239D">
        <w:rPr>
          <w:rFonts w:ascii="Univers" w:hAnsi="Univers" w:cs="Arial"/>
          <w:b/>
        </w:rPr>
        <w:t xml:space="preserve"> FOR BE FOOD SAFE CAMPAIGN SURVEY</w:t>
      </w:r>
      <w:r w:rsidR="007D5D30">
        <w:rPr>
          <w:rFonts w:ascii="Univers" w:hAnsi="Univers" w:cs="Arial"/>
          <w:b/>
        </w:rPr>
        <w:t xml:space="preserve"> (English Survey)</w:t>
      </w:r>
    </w:p>
    <w:p w:rsidR="000266A0" w:rsidRDefault="000266A0" w:rsidP="000266A0">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Univers" w:hAnsi="Univers" w:cs="Arial"/>
        </w:rPr>
      </w:pP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b/>
        </w:rPr>
      </w:pPr>
      <w:r>
        <w:rPr>
          <w:b/>
        </w:rPr>
        <w:t>1.  Describe (including a numerical estimate) the potential respondent universe and any sam</w:t>
      </w:r>
      <w:r>
        <w:rPr>
          <w:b/>
        </w:rPr>
        <w:softHyphen/>
        <w:t>pling or other respondent selection method to be used.  Data on the number of entities (e.g., establishments, State and local government units, households, or persons) in the universe covered by the collection and in the corre</w:t>
      </w:r>
      <w:r>
        <w:rPr>
          <w:b/>
        </w:rPr>
        <w:softHyphen/>
        <w:t>sponding sample are to be provided in tabular form for the uni</w:t>
      </w:r>
      <w:r>
        <w:rPr>
          <w:b/>
        </w:rPr>
        <w:softHyphen/>
        <w:t>verse as a whole and for each of the strata in the proposed sample. Indicate expected response rates for the collection as a whole. If the collection had been conducted previously, include the actual response rate achieved during the last collection.</w:t>
      </w:r>
    </w:p>
    <w:p w:rsidR="00525356" w:rsidRDefault="00525356" w:rsidP="00E874CE">
      <w:pPr>
        <w:pStyle w:val="P1-StandPara"/>
        <w:ind w:firstLine="0"/>
        <w:jc w:val="left"/>
        <w:rPr>
          <w:sz w:val="22"/>
          <w:szCs w:val="22"/>
        </w:rPr>
      </w:pPr>
    </w:p>
    <w:p w:rsidR="00915B1A" w:rsidRDefault="00400FFF" w:rsidP="00292DAE">
      <w:pPr>
        <w:spacing w:line="480" w:lineRule="auto"/>
        <w:ind w:firstLine="720"/>
        <w:rPr>
          <w:sz w:val="22"/>
          <w:szCs w:val="22"/>
        </w:rPr>
      </w:pPr>
      <w:r w:rsidRPr="00E80F7F">
        <w:rPr>
          <w:sz w:val="22"/>
          <w:szCs w:val="22"/>
        </w:rPr>
        <w:t>The population of interest for th</w:t>
      </w:r>
      <w:r w:rsidR="00B1734A" w:rsidRPr="00E80F7F">
        <w:rPr>
          <w:sz w:val="22"/>
          <w:szCs w:val="22"/>
        </w:rPr>
        <w:t xml:space="preserve">is information collection is </w:t>
      </w:r>
      <w:r w:rsidR="005F6596">
        <w:rPr>
          <w:sz w:val="22"/>
          <w:szCs w:val="22"/>
        </w:rPr>
        <w:t xml:space="preserve">parents </w:t>
      </w:r>
      <w:r w:rsidR="00B1734A" w:rsidRPr="00E80F7F">
        <w:rPr>
          <w:sz w:val="22"/>
          <w:szCs w:val="22"/>
        </w:rPr>
        <w:t xml:space="preserve">between the ages of </w:t>
      </w:r>
      <w:r w:rsidR="005F6596">
        <w:rPr>
          <w:sz w:val="22"/>
          <w:szCs w:val="22"/>
        </w:rPr>
        <w:t>20</w:t>
      </w:r>
      <w:r w:rsidR="00B1734A" w:rsidRPr="00E80F7F">
        <w:rPr>
          <w:sz w:val="22"/>
          <w:szCs w:val="22"/>
        </w:rPr>
        <w:t xml:space="preserve"> and 4</w:t>
      </w:r>
      <w:r w:rsidR="005F6596">
        <w:rPr>
          <w:sz w:val="22"/>
          <w:szCs w:val="22"/>
        </w:rPr>
        <w:t>0</w:t>
      </w:r>
      <w:r w:rsidR="00B1734A" w:rsidRPr="00E80F7F">
        <w:rPr>
          <w:sz w:val="22"/>
          <w:szCs w:val="22"/>
        </w:rPr>
        <w:t xml:space="preserve">, who are caregivers for children </w:t>
      </w:r>
      <w:r w:rsidR="005F6596">
        <w:rPr>
          <w:sz w:val="22"/>
          <w:szCs w:val="22"/>
        </w:rPr>
        <w:t>between the ages of 4 and 12</w:t>
      </w:r>
      <w:r w:rsidR="00B1734A" w:rsidRPr="00E80F7F">
        <w:rPr>
          <w:sz w:val="22"/>
          <w:szCs w:val="22"/>
        </w:rPr>
        <w:t>.</w:t>
      </w:r>
      <w:r w:rsidR="00A32054">
        <w:rPr>
          <w:sz w:val="22"/>
          <w:szCs w:val="22"/>
        </w:rPr>
        <w:t xml:space="preserve"> Based on a 20% incidence of this target in the general US population (308,745,538 US Census 2010), the universe of English-speaking respondents is estimated at </w:t>
      </w:r>
      <w:r w:rsidR="00A32054" w:rsidRPr="00A32054">
        <w:rPr>
          <w:sz w:val="22"/>
          <w:szCs w:val="22"/>
        </w:rPr>
        <w:t>61</w:t>
      </w:r>
      <w:r w:rsidR="00A32054">
        <w:rPr>
          <w:sz w:val="22"/>
          <w:szCs w:val="22"/>
        </w:rPr>
        <w:t>,</w:t>
      </w:r>
      <w:r w:rsidR="00A32054" w:rsidRPr="00A32054">
        <w:rPr>
          <w:sz w:val="22"/>
          <w:szCs w:val="22"/>
        </w:rPr>
        <w:t>749</w:t>
      </w:r>
      <w:r w:rsidR="00A32054">
        <w:rPr>
          <w:sz w:val="22"/>
          <w:szCs w:val="22"/>
        </w:rPr>
        <w:t>,</w:t>
      </w:r>
      <w:r w:rsidR="00A32054" w:rsidRPr="00A32054">
        <w:rPr>
          <w:sz w:val="22"/>
          <w:szCs w:val="22"/>
        </w:rPr>
        <w:t>107</w:t>
      </w:r>
      <w:r w:rsidR="00A32054">
        <w:rPr>
          <w:sz w:val="22"/>
          <w:szCs w:val="22"/>
        </w:rPr>
        <w:t>.</w:t>
      </w:r>
      <w:r w:rsidR="00915B1A">
        <w:rPr>
          <w:sz w:val="22"/>
          <w:szCs w:val="22"/>
        </w:rPr>
        <w:t xml:space="preserve"> </w:t>
      </w:r>
      <w:r w:rsidR="00915B1A" w:rsidRPr="0051188A">
        <w:rPr>
          <w:sz w:val="22"/>
          <w:szCs w:val="22"/>
        </w:rPr>
        <w:t>Recruitment quotas will include gender, age, and race/ethnicity as appropriate</w:t>
      </w:r>
      <w:r w:rsidR="00A32054">
        <w:rPr>
          <w:sz w:val="22"/>
          <w:szCs w:val="22"/>
        </w:rPr>
        <w:t xml:space="preserve"> to mirror census estimates</w:t>
      </w:r>
      <w:r w:rsidR="00915B1A">
        <w:rPr>
          <w:sz w:val="22"/>
          <w:szCs w:val="22"/>
        </w:rPr>
        <w:t xml:space="preserve">. </w:t>
      </w:r>
      <w:r w:rsidR="00915B1A" w:rsidRPr="0051188A">
        <w:rPr>
          <w:sz w:val="22"/>
          <w:szCs w:val="22"/>
        </w:rPr>
        <w:t>In addition, samples will reflect var</w:t>
      </w:r>
      <w:r w:rsidR="00915B1A">
        <w:rPr>
          <w:sz w:val="22"/>
          <w:szCs w:val="22"/>
        </w:rPr>
        <w:t>iety in geographic density (e.g.</w:t>
      </w:r>
      <w:r w:rsidR="00915B1A" w:rsidRPr="0051188A">
        <w:rPr>
          <w:sz w:val="22"/>
          <w:szCs w:val="22"/>
        </w:rPr>
        <w:t xml:space="preserve"> urban, suburban, rural), and region of the country</w:t>
      </w:r>
      <w:r w:rsidR="00915B1A">
        <w:rPr>
          <w:sz w:val="22"/>
          <w:szCs w:val="22"/>
        </w:rPr>
        <w:t xml:space="preserve">. </w:t>
      </w:r>
    </w:p>
    <w:p w:rsidR="00915B1A" w:rsidRPr="00840B36" w:rsidRDefault="00597872" w:rsidP="00915B1A">
      <w:pPr>
        <w:spacing w:line="480" w:lineRule="auto"/>
        <w:ind w:firstLine="720"/>
        <w:rPr>
          <w:sz w:val="18"/>
          <w:szCs w:val="18"/>
        </w:rPr>
      </w:pPr>
      <w:r>
        <w:rPr>
          <w:sz w:val="22"/>
          <w:szCs w:val="22"/>
        </w:rPr>
        <w:t>Six</w:t>
      </w:r>
      <w:r w:rsidR="00915B1A">
        <w:rPr>
          <w:sz w:val="22"/>
          <w:szCs w:val="22"/>
        </w:rPr>
        <w:t xml:space="preserve"> hundred </w:t>
      </w:r>
      <w:r w:rsidR="00A32054">
        <w:rPr>
          <w:sz w:val="22"/>
          <w:szCs w:val="22"/>
        </w:rPr>
        <w:t xml:space="preserve">English-speaking </w:t>
      </w:r>
      <w:r w:rsidR="00915B1A">
        <w:rPr>
          <w:sz w:val="22"/>
          <w:szCs w:val="22"/>
        </w:rPr>
        <w:t>(</w:t>
      </w:r>
      <w:r>
        <w:rPr>
          <w:sz w:val="22"/>
          <w:szCs w:val="22"/>
        </w:rPr>
        <w:t>6</w:t>
      </w:r>
      <w:r w:rsidR="00915B1A">
        <w:rPr>
          <w:sz w:val="22"/>
          <w:szCs w:val="22"/>
        </w:rPr>
        <w:t xml:space="preserve">00) parents </w:t>
      </w:r>
      <w:r w:rsidR="00915B1A" w:rsidRPr="0051188A">
        <w:rPr>
          <w:sz w:val="22"/>
          <w:szCs w:val="22"/>
        </w:rPr>
        <w:t xml:space="preserve">will be recruited </w:t>
      </w:r>
      <w:r>
        <w:rPr>
          <w:sz w:val="22"/>
          <w:szCs w:val="22"/>
        </w:rPr>
        <w:t xml:space="preserve">over the course of two weeks </w:t>
      </w:r>
      <w:r w:rsidR="00915B1A" w:rsidRPr="0051188A">
        <w:rPr>
          <w:sz w:val="22"/>
          <w:szCs w:val="22"/>
        </w:rPr>
        <w:t>(racial quotas will reflect most recent census figures)</w:t>
      </w:r>
      <w:r w:rsidR="00915B1A">
        <w:rPr>
          <w:sz w:val="22"/>
          <w:szCs w:val="22"/>
        </w:rPr>
        <w:t xml:space="preserve">. </w:t>
      </w:r>
      <w:r w:rsidR="006D2F32" w:rsidRPr="0051188A">
        <w:rPr>
          <w:sz w:val="22"/>
          <w:szCs w:val="22"/>
        </w:rPr>
        <w:t xml:space="preserve">Subjects will be </w:t>
      </w:r>
      <w:r w:rsidR="006D2F32">
        <w:rPr>
          <w:sz w:val="22"/>
          <w:szCs w:val="22"/>
        </w:rPr>
        <w:t xml:space="preserve">contacted via random digit dial of land-line telephone numbers – cell phone respondents will not be included. </w:t>
      </w:r>
      <w:r w:rsidR="00915B1A" w:rsidRPr="0051188A">
        <w:rPr>
          <w:sz w:val="22"/>
          <w:szCs w:val="22"/>
        </w:rPr>
        <w:t xml:space="preserve">Based on past experience, we expect a response rate among age-appropriate </w:t>
      </w:r>
      <w:r w:rsidR="00915B1A">
        <w:rPr>
          <w:sz w:val="22"/>
          <w:szCs w:val="22"/>
        </w:rPr>
        <w:t xml:space="preserve">respondents </w:t>
      </w:r>
      <w:r w:rsidR="00915B1A" w:rsidRPr="0051188A">
        <w:rPr>
          <w:sz w:val="22"/>
          <w:szCs w:val="22"/>
        </w:rPr>
        <w:t xml:space="preserve">of </w:t>
      </w:r>
      <w:r>
        <w:rPr>
          <w:sz w:val="22"/>
          <w:szCs w:val="22"/>
        </w:rPr>
        <w:t>20</w:t>
      </w:r>
      <w:r w:rsidR="00915B1A" w:rsidRPr="0051188A">
        <w:rPr>
          <w:sz w:val="22"/>
          <w:szCs w:val="22"/>
        </w:rPr>
        <w:t>%</w:t>
      </w:r>
      <w:r w:rsidR="00915B1A">
        <w:rPr>
          <w:sz w:val="22"/>
          <w:szCs w:val="22"/>
        </w:rPr>
        <w:t xml:space="preserve">. </w:t>
      </w:r>
      <w:r w:rsidR="006D2F32">
        <w:rPr>
          <w:sz w:val="22"/>
          <w:szCs w:val="22"/>
        </w:rPr>
        <w:t xml:space="preserve">Please refer to section 2 for more detail regarding response rates, cell-phone respondents, and non-response bias. </w:t>
      </w:r>
      <w:r w:rsidR="00915B1A">
        <w:rPr>
          <w:sz w:val="22"/>
          <w:szCs w:val="22"/>
        </w:rPr>
        <w:t>The number of non-respondents who will be contacted, but do not qualify will be approx</w:t>
      </w:r>
      <w:r>
        <w:rPr>
          <w:sz w:val="22"/>
          <w:szCs w:val="22"/>
        </w:rPr>
        <w:t>imately 3,000</w:t>
      </w:r>
      <w:r w:rsidR="00915B1A">
        <w:rPr>
          <w:sz w:val="22"/>
          <w:szCs w:val="22"/>
        </w:rPr>
        <w:t>.</w:t>
      </w:r>
    </w:p>
    <w:p w:rsidR="00E2721A" w:rsidRPr="00E80F7F" w:rsidRDefault="00E2721A" w:rsidP="00400FFF">
      <w:pPr>
        <w:pStyle w:val="P1-StandPara"/>
        <w:ind w:firstLine="0"/>
        <w:jc w:val="left"/>
        <w:rPr>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1895"/>
        <w:gridCol w:w="1862"/>
        <w:gridCol w:w="1881"/>
        <w:gridCol w:w="1755"/>
      </w:tblGrid>
      <w:tr w:rsidR="00D24F8A" w:rsidRPr="00E80F7F" w:rsidTr="00D24F8A">
        <w:trPr>
          <w:trHeight w:val="1160"/>
          <w:jc w:val="center"/>
        </w:trPr>
        <w:tc>
          <w:tcPr>
            <w:tcW w:w="2183" w:type="dxa"/>
            <w:vAlign w:val="center"/>
          </w:tcPr>
          <w:p w:rsidR="00D24F8A" w:rsidRPr="00E80F7F" w:rsidRDefault="00D24F8A" w:rsidP="00E2721A">
            <w:pPr>
              <w:pStyle w:val="SP-SglSpPara"/>
              <w:keepNext/>
              <w:keepLines/>
              <w:ind w:firstLine="0"/>
              <w:jc w:val="left"/>
              <w:rPr>
                <w:b/>
                <w:sz w:val="22"/>
                <w:szCs w:val="22"/>
              </w:rPr>
            </w:pPr>
            <w:r w:rsidRPr="00E80F7F">
              <w:rPr>
                <w:b/>
                <w:sz w:val="22"/>
                <w:szCs w:val="22"/>
              </w:rPr>
              <w:t>Respondent Type</w:t>
            </w:r>
          </w:p>
        </w:tc>
        <w:tc>
          <w:tcPr>
            <w:tcW w:w="1895" w:type="dxa"/>
            <w:vAlign w:val="center"/>
          </w:tcPr>
          <w:p w:rsidR="00D24F8A" w:rsidRPr="00E80F7F" w:rsidRDefault="00D24F8A" w:rsidP="00E2721A">
            <w:pPr>
              <w:pStyle w:val="SP-SglSpPara"/>
              <w:keepNext/>
              <w:keepLines/>
              <w:ind w:firstLine="0"/>
              <w:jc w:val="center"/>
              <w:rPr>
                <w:b/>
                <w:sz w:val="22"/>
                <w:szCs w:val="22"/>
              </w:rPr>
            </w:pPr>
            <w:r w:rsidRPr="00E80F7F">
              <w:rPr>
                <w:b/>
                <w:sz w:val="22"/>
                <w:szCs w:val="22"/>
              </w:rPr>
              <w:t>Universe of Eligible Respondents</w:t>
            </w:r>
          </w:p>
        </w:tc>
        <w:tc>
          <w:tcPr>
            <w:tcW w:w="1862" w:type="dxa"/>
            <w:vAlign w:val="center"/>
          </w:tcPr>
          <w:p w:rsidR="00D24F8A" w:rsidRPr="00E80F7F" w:rsidRDefault="00D24F8A" w:rsidP="00E2721A">
            <w:pPr>
              <w:pStyle w:val="SP-SglSpPara"/>
              <w:ind w:firstLine="0"/>
              <w:jc w:val="left"/>
              <w:rPr>
                <w:b/>
                <w:sz w:val="22"/>
                <w:szCs w:val="22"/>
              </w:rPr>
            </w:pPr>
            <w:r w:rsidRPr="00E80F7F">
              <w:rPr>
                <w:b/>
                <w:sz w:val="22"/>
                <w:szCs w:val="22"/>
              </w:rPr>
              <w:t>Estimated Total Number of Respondents</w:t>
            </w:r>
          </w:p>
        </w:tc>
        <w:tc>
          <w:tcPr>
            <w:tcW w:w="1881" w:type="dxa"/>
            <w:vAlign w:val="center"/>
          </w:tcPr>
          <w:p w:rsidR="00D24F8A" w:rsidRPr="00E80F7F" w:rsidRDefault="00D24F8A" w:rsidP="00E2721A">
            <w:pPr>
              <w:pStyle w:val="SP-SglSpPara"/>
              <w:keepNext/>
              <w:keepLines/>
              <w:ind w:firstLine="0"/>
              <w:jc w:val="left"/>
              <w:rPr>
                <w:b/>
                <w:sz w:val="22"/>
                <w:szCs w:val="22"/>
              </w:rPr>
            </w:pPr>
            <w:r w:rsidRPr="00E80F7F">
              <w:rPr>
                <w:b/>
                <w:sz w:val="22"/>
                <w:szCs w:val="22"/>
              </w:rPr>
              <w:t>Estimated Total Number of Non-Respondents</w:t>
            </w:r>
          </w:p>
        </w:tc>
        <w:tc>
          <w:tcPr>
            <w:tcW w:w="1755" w:type="dxa"/>
          </w:tcPr>
          <w:p w:rsidR="00D24F8A" w:rsidRDefault="00D24F8A" w:rsidP="00E2721A">
            <w:pPr>
              <w:pStyle w:val="SP-SglSpPara"/>
              <w:keepNext/>
              <w:keepLines/>
              <w:ind w:firstLine="0"/>
              <w:jc w:val="left"/>
              <w:rPr>
                <w:b/>
                <w:sz w:val="22"/>
                <w:szCs w:val="22"/>
              </w:rPr>
            </w:pPr>
          </w:p>
          <w:p w:rsidR="00D24F8A" w:rsidRDefault="00D24F8A" w:rsidP="00E2721A">
            <w:pPr>
              <w:pStyle w:val="SP-SglSpPara"/>
              <w:keepNext/>
              <w:keepLines/>
              <w:ind w:firstLine="0"/>
              <w:jc w:val="left"/>
              <w:rPr>
                <w:b/>
                <w:sz w:val="22"/>
                <w:szCs w:val="22"/>
              </w:rPr>
            </w:pPr>
          </w:p>
          <w:p w:rsidR="00D24F8A" w:rsidRPr="00E80F7F" w:rsidRDefault="00D24F8A" w:rsidP="00D24F8A">
            <w:pPr>
              <w:pStyle w:val="SP-SglSpPara"/>
              <w:keepNext/>
              <w:keepLines/>
              <w:ind w:firstLine="0"/>
              <w:jc w:val="center"/>
              <w:rPr>
                <w:b/>
                <w:sz w:val="22"/>
                <w:szCs w:val="22"/>
              </w:rPr>
            </w:pPr>
            <w:r>
              <w:rPr>
                <w:b/>
                <w:sz w:val="22"/>
                <w:szCs w:val="22"/>
              </w:rPr>
              <w:t>Total</w:t>
            </w:r>
          </w:p>
        </w:tc>
      </w:tr>
      <w:tr w:rsidR="00D24F8A" w:rsidRPr="00E80F7F" w:rsidTr="00D24F8A">
        <w:trPr>
          <w:trHeight w:val="336"/>
          <w:jc w:val="center"/>
        </w:trPr>
        <w:tc>
          <w:tcPr>
            <w:tcW w:w="2183" w:type="dxa"/>
            <w:vAlign w:val="center"/>
          </w:tcPr>
          <w:p w:rsidR="00D24F8A" w:rsidRPr="00E80F7F" w:rsidRDefault="00FB11AE" w:rsidP="00E2721A">
            <w:pPr>
              <w:rPr>
                <w:sz w:val="22"/>
                <w:szCs w:val="22"/>
              </w:rPr>
            </w:pPr>
            <w:r>
              <w:rPr>
                <w:sz w:val="22"/>
                <w:szCs w:val="22"/>
              </w:rPr>
              <w:t>Benchmark Survey</w:t>
            </w:r>
          </w:p>
        </w:tc>
        <w:tc>
          <w:tcPr>
            <w:tcW w:w="1895" w:type="dxa"/>
            <w:vAlign w:val="center"/>
          </w:tcPr>
          <w:p w:rsidR="00D24F8A" w:rsidRPr="00E80F7F" w:rsidRDefault="00A32054" w:rsidP="00E2721A">
            <w:pPr>
              <w:ind w:right="384"/>
              <w:jc w:val="center"/>
              <w:rPr>
                <w:sz w:val="22"/>
                <w:szCs w:val="22"/>
              </w:rPr>
            </w:pPr>
            <w:r w:rsidRPr="00A32054">
              <w:rPr>
                <w:sz w:val="22"/>
                <w:szCs w:val="22"/>
              </w:rPr>
              <w:t>61</w:t>
            </w:r>
            <w:r>
              <w:rPr>
                <w:sz w:val="22"/>
                <w:szCs w:val="22"/>
              </w:rPr>
              <w:t>,</w:t>
            </w:r>
            <w:r w:rsidRPr="00A32054">
              <w:rPr>
                <w:sz w:val="22"/>
                <w:szCs w:val="22"/>
              </w:rPr>
              <w:t>749</w:t>
            </w:r>
            <w:r>
              <w:rPr>
                <w:sz w:val="22"/>
                <w:szCs w:val="22"/>
              </w:rPr>
              <w:t>,</w:t>
            </w:r>
            <w:r w:rsidRPr="00A32054">
              <w:rPr>
                <w:sz w:val="22"/>
                <w:szCs w:val="22"/>
              </w:rPr>
              <w:t>107</w:t>
            </w:r>
          </w:p>
        </w:tc>
        <w:tc>
          <w:tcPr>
            <w:tcW w:w="1862" w:type="dxa"/>
            <w:vAlign w:val="center"/>
          </w:tcPr>
          <w:p w:rsidR="00D24F8A" w:rsidRPr="00E80F7F" w:rsidRDefault="006D2F32" w:rsidP="00BE285C">
            <w:pPr>
              <w:ind w:right="384"/>
              <w:jc w:val="right"/>
              <w:rPr>
                <w:sz w:val="22"/>
                <w:szCs w:val="22"/>
              </w:rPr>
            </w:pPr>
            <w:r>
              <w:rPr>
                <w:sz w:val="22"/>
                <w:szCs w:val="22"/>
              </w:rPr>
              <w:t>6</w:t>
            </w:r>
            <w:r w:rsidR="00915B1A">
              <w:rPr>
                <w:sz w:val="22"/>
                <w:szCs w:val="22"/>
              </w:rPr>
              <w:t>00</w:t>
            </w:r>
          </w:p>
        </w:tc>
        <w:tc>
          <w:tcPr>
            <w:tcW w:w="1881" w:type="dxa"/>
            <w:vAlign w:val="center"/>
          </w:tcPr>
          <w:p w:rsidR="00D24F8A" w:rsidRPr="00E80F7F" w:rsidRDefault="00597872" w:rsidP="00BE285C">
            <w:pPr>
              <w:ind w:right="384"/>
              <w:jc w:val="right"/>
              <w:rPr>
                <w:sz w:val="22"/>
                <w:szCs w:val="22"/>
              </w:rPr>
            </w:pPr>
            <w:r>
              <w:rPr>
                <w:sz w:val="22"/>
                <w:szCs w:val="22"/>
              </w:rPr>
              <w:t>3000</w:t>
            </w:r>
          </w:p>
        </w:tc>
        <w:tc>
          <w:tcPr>
            <w:tcW w:w="1755" w:type="dxa"/>
          </w:tcPr>
          <w:p w:rsidR="00D24F8A" w:rsidRPr="00E80F7F" w:rsidDel="00525356" w:rsidRDefault="006D2F32" w:rsidP="00BE285C">
            <w:pPr>
              <w:ind w:right="384"/>
              <w:jc w:val="right"/>
              <w:rPr>
                <w:sz w:val="22"/>
                <w:szCs w:val="22"/>
              </w:rPr>
            </w:pPr>
            <w:r>
              <w:rPr>
                <w:sz w:val="22"/>
                <w:szCs w:val="22"/>
              </w:rPr>
              <w:t>3,6</w:t>
            </w:r>
            <w:r w:rsidR="00597872">
              <w:rPr>
                <w:sz w:val="22"/>
                <w:szCs w:val="22"/>
              </w:rPr>
              <w:t>00</w:t>
            </w:r>
          </w:p>
        </w:tc>
      </w:tr>
      <w:tr w:rsidR="006D2F32" w:rsidRPr="00E80F7F" w:rsidTr="00D24F8A">
        <w:trPr>
          <w:trHeight w:val="331"/>
          <w:jc w:val="center"/>
        </w:trPr>
        <w:tc>
          <w:tcPr>
            <w:tcW w:w="2183" w:type="dxa"/>
            <w:tcBorders>
              <w:top w:val="single" w:sz="12" w:space="0" w:color="auto"/>
              <w:bottom w:val="single" w:sz="12" w:space="0" w:color="auto"/>
            </w:tcBorders>
            <w:vAlign w:val="center"/>
          </w:tcPr>
          <w:p w:rsidR="006D2F32" w:rsidRPr="00E80F7F" w:rsidRDefault="006D2F32" w:rsidP="00E2721A">
            <w:pPr>
              <w:rPr>
                <w:b/>
                <w:sz w:val="22"/>
                <w:szCs w:val="22"/>
              </w:rPr>
            </w:pPr>
            <w:r w:rsidRPr="00E80F7F">
              <w:rPr>
                <w:b/>
                <w:sz w:val="22"/>
                <w:szCs w:val="22"/>
              </w:rPr>
              <w:t>TOTAL</w:t>
            </w:r>
          </w:p>
        </w:tc>
        <w:tc>
          <w:tcPr>
            <w:tcW w:w="1895" w:type="dxa"/>
            <w:tcBorders>
              <w:top w:val="single" w:sz="12" w:space="0" w:color="auto"/>
              <w:bottom w:val="single" w:sz="12" w:space="0" w:color="auto"/>
            </w:tcBorders>
            <w:vAlign w:val="center"/>
          </w:tcPr>
          <w:p w:rsidR="006D2F32" w:rsidRPr="00E80F7F" w:rsidRDefault="006D2F32" w:rsidP="00E2721A">
            <w:pPr>
              <w:ind w:right="384"/>
              <w:jc w:val="center"/>
              <w:rPr>
                <w:b/>
                <w:sz w:val="22"/>
                <w:szCs w:val="22"/>
              </w:rPr>
            </w:pPr>
            <w:r w:rsidRPr="00A32054">
              <w:rPr>
                <w:sz w:val="22"/>
                <w:szCs w:val="22"/>
              </w:rPr>
              <w:t>61</w:t>
            </w:r>
            <w:r>
              <w:rPr>
                <w:sz w:val="22"/>
                <w:szCs w:val="22"/>
              </w:rPr>
              <w:t>,</w:t>
            </w:r>
            <w:r w:rsidRPr="00A32054">
              <w:rPr>
                <w:sz w:val="22"/>
                <w:szCs w:val="22"/>
              </w:rPr>
              <w:t>749</w:t>
            </w:r>
            <w:r>
              <w:rPr>
                <w:sz w:val="22"/>
                <w:szCs w:val="22"/>
              </w:rPr>
              <w:t>,</w:t>
            </w:r>
            <w:r w:rsidRPr="00A32054">
              <w:rPr>
                <w:sz w:val="22"/>
                <w:szCs w:val="22"/>
              </w:rPr>
              <w:t>107</w:t>
            </w:r>
          </w:p>
        </w:tc>
        <w:tc>
          <w:tcPr>
            <w:tcW w:w="1862" w:type="dxa"/>
            <w:tcBorders>
              <w:top w:val="single" w:sz="12" w:space="0" w:color="auto"/>
              <w:bottom w:val="single" w:sz="12" w:space="0" w:color="auto"/>
            </w:tcBorders>
            <w:vAlign w:val="center"/>
          </w:tcPr>
          <w:p w:rsidR="006D2F32" w:rsidRPr="00E80F7F" w:rsidRDefault="006D2F32" w:rsidP="00224D96">
            <w:pPr>
              <w:ind w:right="384"/>
              <w:jc w:val="right"/>
              <w:rPr>
                <w:sz w:val="22"/>
                <w:szCs w:val="22"/>
              </w:rPr>
            </w:pPr>
            <w:r>
              <w:rPr>
                <w:sz w:val="22"/>
                <w:szCs w:val="22"/>
              </w:rPr>
              <w:t>600</w:t>
            </w:r>
          </w:p>
        </w:tc>
        <w:tc>
          <w:tcPr>
            <w:tcW w:w="1881" w:type="dxa"/>
            <w:tcBorders>
              <w:top w:val="single" w:sz="12" w:space="0" w:color="auto"/>
              <w:bottom w:val="single" w:sz="12" w:space="0" w:color="auto"/>
            </w:tcBorders>
            <w:vAlign w:val="center"/>
          </w:tcPr>
          <w:p w:rsidR="006D2F32" w:rsidRPr="00E80F7F" w:rsidRDefault="006D2F32" w:rsidP="00224D96">
            <w:pPr>
              <w:ind w:right="384"/>
              <w:jc w:val="right"/>
              <w:rPr>
                <w:sz w:val="22"/>
                <w:szCs w:val="22"/>
              </w:rPr>
            </w:pPr>
            <w:r>
              <w:rPr>
                <w:sz w:val="22"/>
                <w:szCs w:val="22"/>
              </w:rPr>
              <w:t>3000</w:t>
            </w:r>
          </w:p>
        </w:tc>
        <w:tc>
          <w:tcPr>
            <w:tcW w:w="1755" w:type="dxa"/>
            <w:tcBorders>
              <w:top w:val="single" w:sz="12" w:space="0" w:color="auto"/>
              <w:bottom w:val="single" w:sz="12" w:space="0" w:color="auto"/>
            </w:tcBorders>
          </w:tcPr>
          <w:p w:rsidR="006D2F32" w:rsidRPr="00E80F7F" w:rsidDel="00525356" w:rsidRDefault="006D2F32" w:rsidP="00224D96">
            <w:pPr>
              <w:ind w:right="384"/>
              <w:jc w:val="right"/>
              <w:rPr>
                <w:sz w:val="22"/>
                <w:szCs w:val="22"/>
              </w:rPr>
            </w:pPr>
            <w:r>
              <w:rPr>
                <w:sz w:val="22"/>
                <w:szCs w:val="22"/>
              </w:rPr>
              <w:t>3,600</w:t>
            </w:r>
          </w:p>
        </w:tc>
      </w:tr>
    </w:tbl>
    <w:p w:rsidR="00400FFF" w:rsidRPr="00E80F7F" w:rsidRDefault="00400FFF"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4219CB" w:rsidRDefault="004219CB"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b/>
        </w:rPr>
      </w:pPr>
    </w:p>
    <w:p w:rsidR="00CE581D" w:rsidRPr="00E80F7F"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b/>
        </w:rPr>
      </w:pPr>
      <w:r w:rsidRPr="00E80F7F">
        <w:rPr>
          <w:b/>
        </w:rPr>
        <w:lastRenderedPageBreak/>
        <w:t>2.</w:t>
      </w:r>
      <w:r w:rsidRPr="00E80F7F">
        <w:rPr>
          <w:b/>
        </w:rPr>
        <w:tab/>
        <w:t>Describe the procedures for the collection of information including:</w:t>
      </w:r>
    </w:p>
    <w:p w:rsidR="00234BAE" w:rsidRDefault="00234BAE" w:rsidP="00CE581D">
      <w:pPr>
        <w:pStyle w:val="Level1"/>
        <w:numPr>
          <w:ilvl w:val="0"/>
          <w:numId w:val="2"/>
        </w:numPr>
        <w:tabs>
          <w:tab w:val="clear" w:pos="1008"/>
          <w:tab w:val="left" w:pos="0"/>
          <w:tab w:val="left" w:pos="288"/>
          <w:tab w:val="num"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r>
        <w:rPr>
          <w:b/>
        </w:rPr>
        <w:t>Sample size determination</w:t>
      </w:r>
    </w:p>
    <w:p w:rsidR="00234BAE" w:rsidRDefault="00412A9E" w:rsidP="00412A9E">
      <w:pPr>
        <w:spacing w:after="100" w:afterAutospacing="1"/>
        <w:ind w:left="270"/>
        <w:rPr>
          <w:bCs/>
          <w:snapToGrid w:val="0"/>
          <w:szCs w:val="20"/>
        </w:rPr>
      </w:pPr>
      <w:r>
        <w:rPr>
          <w:bCs/>
          <w:snapToGrid w:val="0"/>
          <w:szCs w:val="20"/>
        </w:rPr>
        <w:t>For this study</w:t>
      </w:r>
      <w:r w:rsidR="00374267">
        <w:rPr>
          <w:bCs/>
          <w:snapToGrid w:val="0"/>
          <w:szCs w:val="20"/>
        </w:rPr>
        <w:t>,</w:t>
      </w:r>
      <w:r>
        <w:rPr>
          <w:bCs/>
          <w:snapToGrid w:val="0"/>
          <w:szCs w:val="20"/>
        </w:rPr>
        <w:t xml:space="preserve"> a </w:t>
      </w:r>
      <w:r w:rsidR="009C789B" w:rsidRPr="009C789B">
        <w:rPr>
          <w:bCs/>
          <w:snapToGrid w:val="0"/>
          <w:szCs w:val="20"/>
        </w:rPr>
        <w:t xml:space="preserve">power analysis </w:t>
      </w:r>
      <w:r>
        <w:rPr>
          <w:bCs/>
          <w:snapToGrid w:val="0"/>
          <w:szCs w:val="20"/>
        </w:rPr>
        <w:t>was conducted along with</w:t>
      </w:r>
      <w:r w:rsidR="009C789B" w:rsidRPr="009C789B">
        <w:rPr>
          <w:bCs/>
          <w:snapToGrid w:val="0"/>
          <w:szCs w:val="20"/>
        </w:rPr>
        <w:t xml:space="preserve"> </w:t>
      </w:r>
      <w:r>
        <w:rPr>
          <w:bCs/>
          <w:snapToGrid w:val="0"/>
          <w:szCs w:val="20"/>
        </w:rPr>
        <w:t>a resulting sample size estimate</w:t>
      </w:r>
      <w:r w:rsidR="009C789B" w:rsidRPr="009C789B">
        <w:rPr>
          <w:bCs/>
          <w:snapToGrid w:val="0"/>
          <w:szCs w:val="20"/>
        </w:rPr>
        <w:t xml:space="preserve"> </w:t>
      </w:r>
      <w:r>
        <w:rPr>
          <w:bCs/>
          <w:snapToGrid w:val="0"/>
          <w:szCs w:val="20"/>
        </w:rPr>
        <w:t>a</w:t>
      </w:r>
      <w:r w:rsidR="009C789B" w:rsidRPr="009C789B">
        <w:rPr>
          <w:bCs/>
          <w:snapToGrid w:val="0"/>
          <w:szCs w:val="20"/>
        </w:rPr>
        <w:t xml:space="preserve">s an important aspect </w:t>
      </w:r>
      <w:r>
        <w:rPr>
          <w:bCs/>
          <w:snapToGrid w:val="0"/>
          <w:szCs w:val="20"/>
        </w:rPr>
        <w:t xml:space="preserve">to the </w:t>
      </w:r>
      <w:r w:rsidR="00B54A75">
        <w:rPr>
          <w:bCs/>
          <w:snapToGrid w:val="0"/>
          <w:szCs w:val="20"/>
        </w:rPr>
        <w:t>study</w:t>
      </w:r>
      <w:r>
        <w:rPr>
          <w:bCs/>
          <w:snapToGrid w:val="0"/>
          <w:szCs w:val="20"/>
        </w:rPr>
        <w:t xml:space="preserve"> design.  W</w:t>
      </w:r>
      <w:r w:rsidR="009C789B" w:rsidRPr="009C789B">
        <w:rPr>
          <w:bCs/>
          <w:snapToGrid w:val="0"/>
          <w:szCs w:val="20"/>
        </w:rPr>
        <w:t xml:space="preserve">ithout these calculations, </w:t>
      </w:r>
      <w:r>
        <w:rPr>
          <w:bCs/>
          <w:snapToGrid w:val="0"/>
          <w:szCs w:val="20"/>
        </w:rPr>
        <w:t xml:space="preserve">a </w:t>
      </w:r>
      <w:r w:rsidR="009C789B" w:rsidRPr="009C789B">
        <w:rPr>
          <w:bCs/>
          <w:snapToGrid w:val="0"/>
          <w:szCs w:val="20"/>
        </w:rPr>
        <w:t xml:space="preserve">sample size may be too high or too low. If </w:t>
      </w:r>
      <w:r w:rsidR="00B54A75">
        <w:rPr>
          <w:bCs/>
          <w:snapToGrid w:val="0"/>
          <w:szCs w:val="20"/>
        </w:rPr>
        <w:t xml:space="preserve">a </w:t>
      </w:r>
      <w:r w:rsidR="009C789B" w:rsidRPr="009C789B">
        <w:rPr>
          <w:bCs/>
          <w:snapToGrid w:val="0"/>
          <w:szCs w:val="20"/>
        </w:rPr>
        <w:t xml:space="preserve">sample size is too low, the </w:t>
      </w:r>
      <w:r w:rsidR="00B54A75">
        <w:rPr>
          <w:bCs/>
          <w:snapToGrid w:val="0"/>
          <w:szCs w:val="20"/>
        </w:rPr>
        <w:t>study</w:t>
      </w:r>
      <w:r w:rsidR="009C789B" w:rsidRPr="009C789B">
        <w:rPr>
          <w:bCs/>
          <w:snapToGrid w:val="0"/>
          <w:szCs w:val="20"/>
        </w:rPr>
        <w:t xml:space="preserve"> will lack the precision to provide reliable answers to the questions it is investigating. If sample size is too large, time and resources will be wasted, often for minimal gain.</w:t>
      </w:r>
    </w:p>
    <w:p w:rsidR="00412A9E" w:rsidRDefault="00412A9E" w:rsidP="00412A9E">
      <w:pPr>
        <w:spacing w:after="100" w:afterAutospacing="1"/>
        <w:ind w:left="270"/>
        <w:rPr>
          <w:bCs/>
          <w:snapToGrid w:val="0"/>
          <w:szCs w:val="20"/>
        </w:rPr>
      </w:pPr>
      <w:r>
        <w:rPr>
          <w:bCs/>
          <w:snapToGrid w:val="0"/>
          <w:szCs w:val="20"/>
        </w:rPr>
        <w:t>Therefore it is recommended that N=600 is the optimal size given the constraints.  It provides the following:</w:t>
      </w:r>
    </w:p>
    <w:p w:rsidR="009C789B" w:rsidRDefault="00412A9E" w:rsidP="009C789B">
      <w:pPr>
        <w:pStyle w:val="ListParagraph"/>
        <w:numPr>
          <w:ilvl w:val="0"/>
          <w:numId w:val="25"/>
        </w:numPr>
        <w:spacing w:after="100" w:afterAutospacing="1"/>
        <w:rPr>
          <w:bCs/>
          <w:snapToGrid w:val="0"/>
          <w:szCs w:val="20"/>
        </w:rPr>
      </w:pPr>
      <w:r>
        <w:rPr>
          <w:bCs/>
          <w:snapToGrid w:val="0"/>
          <w:szCs w:val="20"/>
        </w:rPr>
        <w:t>The power is equal to or greater than .929 at a 7% actual difference associated with changes in population response (please see figure 1 below)</w:t>
      </w:r>
    </w:p>
    <w:p w:rsidR="009C789B" w:rsidRDefault="00412A9E" w:rsidP="009C789B">
      <w:pPr>
        <w:pStyle w:val="ListParagraph"/>
        <w:numPr>
          <w:ilvl w:val="0"/>
          <w:numId w:val="25"/>
        </w:numPr>
        <w:spacing w:after="100" w:afterAutospacing="1"/>
        <w:rPr>
          <w:bCs/>
          <w:snapToGrid w:val="0"/>
          <w:szCs w:val="20"/>
        </w:rPr>
      </w:pPr>
      <w:r>
        <w:rPr>
          <w:bCs/>
          <w:snapToGrid w:val="0"/>
          <w:szCs w:val="20"/>
        </w:rPr>
        <w:t xml:space="preserve">Yields a 4% </w:t>
      </w:r>
      <w:r w:rsidR="00F84FDB">
        <w:rPr>
          <w:bCs/>
          <w:snapToGrid w:val="0"/>
          <w:szCs w:val="20"/>
        </w:rPr>
        <w:t>margin of error (please see figure 2 below)</w:t>
      </w:r>
    </w:p>
    <w:p w:rsidR="009C789B" w:rsidRPr="009C789B" w:rsidRDefault="00F84FDB" w:rsidP="009C789B">
      <w:pPr>
        <w:pStyle w:val="ListParagraph"/>
        <w:spacing w:after="240"/>
        <w:ind w:left="270"/>
        <w:rPr>
          <w:bCs/>
        </w:rPr>
      </w:pPr>
      <w:r>
        <w:rPr>
          <w:bCs/>
          <w:snapToGrid w:val="0"/>
          <w:szCs w:val="20"/>
        </w:rPr>
        <w:t>Figure</w:t>
      </w:r>
      <w:r w:rsidR="00405F71">
        <w:rPr>
          <w:bCs/>
          <w:snapToGrid w:val="0"/>
          <w:szCs w:val="20"/>
        </w:rPr>
        <w:t>s</w:t>
      </w:r>
      <w:r>
        <w:rPr>
          <w:bCs/>
          <w:snapToGrid w:val="0"/>
          <w:szCs w:val="20"/>
        </w:rPr>
        <w:t xml:space="preserve"> 1</w:t>
      </w:r>
      <w:r w:rsidR="00405F71">
        <w:rPr>
          <w:bCs/>
          <w:snapToGrid w:val="0"/>
          <w:szCs w:val="20"/>
        </w:rPr>
        <w:t xml:space="preserve"> &amp; 2</w:t>
      </w:r>
      <w:r w:rsidR="0005043F">
        <w:rPr>
          <w:bCs/>
          <w:noProof/>
          <w:snapToGrid w:val="0"/>
          <w:szCs w:val="20"/>
        </w:rPr>
        <w:drawing>
          <wp:inline distT="0" distB="0" distL="0" distR="0">
            <wp:extent cx="5486400" cy="257175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5043F">
        <w:rPr>
          <w:noProof/>
        </w:rPr>
        <w:drawing>
          <wp:inline distT="0" distB="0" distL="0" distR="0">
            <wp:extent cx="5486400" cy="25717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789B" w:rsidRDefault="009C789B" w:rsidP="009C789B">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p>
    <w:p w:rsidR="00CE581D" w:rsidRDefault="00CE581D" w:rsidP="00CE581D">
      <w:pPr>
        <w:pStyle w:val="Level1"/>
        <w:numPr>
          <w:ilvl w:val="0"/>
          <w:numId w:val="2"/>
        </w:numPr>
        <w:tabs>
          <w:tab w:val="clear" w:pos="1008"/>
          <w:tab w:val="left" w:pos="0"/>
          <w:tab w:val="left" w:pos="288"/>
          <w:tab w:val="num"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r w:rsidRPr="00E80F7F">
        <w:rPr>
          <w:b/>
        </w:rPr>
        <w:lastRenderedPageBreak/>
        <w:t>Statistical methodology for stra</w:t>
      </w:r>
      <w:r w:rsidR="007D5D30">
        <w:rPr>
          <w:b/>
        </w:rPr>
        <w:t>tification and sample selection</w:t>
      </w:r>
    </w:p>
    <w:p w:rsidR="00A32054" w:rsidRPr="00A32054" w:rsidRDefault="00A32054" w:rsidP="007D5D30">
      <w:pPr>
        <w:pStyle w:val="Level1"/>
        <w:numPr>
          <w:ilvl w:val="0"/>
          <w:numId w:val="0"/>
        </w:numPr>
        <w:spacing w:after="79"/>
        <w:ind w:left="270"/>
        <w:outlineLvl w:val="9"/>
      </w:pPr>
      <w:r w:rsidRPr="00A32054">
        <w:t>To address representation issues and potential sample error, we recommended the following three-stage RDD (random-digit-dialing) CATI approach for the USDA Food Safety Tracking Study:</w:t>
      </w:r>
    </w:p>
    <w:p w:rsidR="00A32054" w:rsidRPr="00A32054" w:rsidRDefault="00A32054" w:rsidP="007D5D30">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720"/>
      </w:pPr>
    </w:p>
    <w:p w:rsidR="00A32054" w:rsidRPr="00A32054" w:rsidRDefault="00A32054" w:rsidP="007D5D30">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288"/>
      </w:pPr>
      <w:r w:rsidRPr="0057738B">
        <w:rPr>
          <w:i/>
        </w:rPr>
        <w:t>Geographic Stratification</w:t>
      </w:r>
      <w:r w:rsidR="007D5D30" w:rsidRPr="0057738B">
        <w:rPr>
          <w:i/>
        </w:rPr>
        <w:t>:</w:t>
      </w:r>
      <w:r w:rsidR="007D5D30">
        <w:t xml:space="preserve"> </w:t>
      </w:r>
      <w:r w:rsidRPr="00A32054">
        <w:t xml:space="preserve">A sample frame will be developed using a stratified random sampling procedure that will proportionately divide the U.S. population into sampling units of geographic subpopulations (strata).  These strata will be defined by standard U.S. Census Divisional Mapping, where the U.S. is divided into nine (9) divisions that can be benchmarked for population parameters.  </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1:  New England</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2:  Middle Atlantic</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3:  East North Central</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4:  West North Central</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5:  South Atlantic</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6:  East South Central</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7:  West South Central</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8:  Mountain</w:t>
      </w:r>
    </w:p>
    <w:p w:rsidR="00A32054" w:rsidRPr="00A32054" w:rsidRDefault="00A32054" w:rsidP="00A32054">
      <w:pPr>
        <w:pStyle w:val="Level1"/>
        <w:numPr>
          <w:ilvl w:val="0"/>
          <w:numId w:val="21"/>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sidRPr="00A32054">
        <w:t>Div 9:  Pacific</w:t>
      </w:r>
    </w:p>
    <w:p w:rsidR="00A32054" w:rsidRPr="00A32054" w:rsidRDefault="00A32054" w:rsidP="007D5D30">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1080"/>
      </w:pPr>
    </w:p>
    <w:p w:rsidR="00A32054" w:rsidRPr="00A32054" w:rsidRDefault="00A32054" w:rsidP="007D5D30">
      <w:pPr>
        <w:pStyle w:val="NoSpacing"/>
        <w:ind w:left="270"/>
      </w:pPr>
      <w:r w:rsidRPr="00A32054">
        <w:t>Samples are first systematically stratified to each ZIP code in the survey area in pr</w:t>
      </w:r>
      <w:r w:rsidR="007D5D30">
        <w:t xml:space="preserve">oportion to </w:t>
      </w:r>
      <w:r w:rsidRPr="00A32054">
        <w:t>the sampling frame selected.  After a U.S. Census geographic Division area has been defined as a combination of ZIP codes, the sum of the estimated telephone households or requested frame value is calculated and divided by the desired sample size to produce a sampling interval and determine the amount of sample to be allocated to each Census Division in the frame.</w:t>
      </w:r>
    </w:p>
    <w:p w:rsidR="007D5D30" w:rsidRDefault="007D5D30" w:rsidP="007D5D30">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474" w:hanging="186"/>
      </w:pPr>
    </w:p>
    <w:p w:rsidR="00A32054" w:rsidRDefault="00A32054" w:rsidP="007D5D30">
      <w:pPr>
        <w:pStyle w:val="NoSpacing"/>
        <w:ind w:left="270"/>
      </w:pPr>
      <w:r w:rsidRPr="00A32054">
        <w:t>The ZIP codes are ordered by state and county. A random number between zero and one is generated and multiplied by the sampling interval to calculate a random starting point between one and the sampling interval.  A cumulative count of elements is calculated.  At the point at which the accumulation reaches the random starting point, a specific ZIP code is selected and the next sampling point is one interval away.  Accumulation continues in this fashion until the entire sample frame has been apportioned.</w:t>
      </w:r>
    </w:p>
    <w:p w:rsidR="006D2F32" w:rsidRDefault="006D2F32" w:rsidP="007D5D30">
      <w:pPr>
        <w:pStyle w:val="NoSpacing"/>
        <w:ind w:left="270"/>
      </w:pPr>
    </w:p>
    <w:p w:rsidR="00A32054" w:rsidRDefault="006D2F32" w:rsidP="004219CB">
      <w:pPr>
        <w:pStyle w:val="Level1"/>
        <w:numPr>
          <w:ilvl w:val="0"/>
          <w:numId w:val="0"/>
        </w:numP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270" w:firstLine="18"/>
      </w:pPr>
      <w:r>
        <w:t xml:space="preserve">Following the survey, the Ad Council will compare </w:t>
      </w:r>
      <w:r w:rsidR="004219CB">
        <w:t xml:space="preserve">responses from subgroups within </w:t>
      </w:r>
      <w:r>
        <w:t>the sample to note any significant differences at the 90-95% confidence levels. In order to qualify for this analysis, each subgroup must have at least 80 respondents. Such analysis will be conducted for any categories that meet that sample size – most likely age, gender, income, employment status, educational status. The geographic d</w:t>
      </w:r>
      <w:r w:rsidR="00EF0631">
        <w:t>i</w:t>
      </w:r>
      <w:r>
        <w:t>visions listed above are unlikely to be large enough to qualify, and therefore inferences will not be made based on geography.</w:t>
      </w:r>
    </w:p>
    <w:p w:rsidR="006D2F32" w:rsidRPr="00A32054" w:rsidRDefault="006D2F32" w:rsidP="006D2F32">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474" w:hanging="186"/>
      </w:pPr>
    </w:p>
    <w:p w:rsidR="00A32054" w:rsidRPr="00A32054" w:rsidRDefault="00A32054" w:rsidP="007D5D30">
      <w:pPr>
        <w:pStyle w:val="NoSpacing"/>
        <w:ind w:left="270"/>
      </w:pPr>
      <w:r w:rsidRPr="0057738B">
        <w:rPr>
          <w:i/>
          <w:iCs/>
        </w:rPr>
        <w:lastRenderedPageBreak/>
        <w:t>Random-digit-dialing, combining EPSEM (Equal Probability Selection Method):</w:t>
      </w:r>
      <w:r w:rsidRPr="00A32054">
        <w:t xml:space="preserve"> The Random-digit-dialing data collection technique will provide representative sampling across all strata.  Fielding efficiencies are gained with business number removal and pre-screening for disconnected numbers.  Further, by combining EPSEM, we will ensure that every possible telephone number </w:t>
      </w:r>
      <w:r w:rsidR="00FE0FAD" w:rsidRPr="00A32054">
        <w:t>in working geographic strata</w:t>
      </w:r>
      <w:r w:rsidRPr="00A32054">
        <w:t xml:space="preserve"> has an equal probability of selection.</w:t>
      </w:r>
    </w:p>
    <w:p w:rsidR="00A32054" w:rsidRPr="00A32054" w:rsidRDefault="00A32054" w:rsidP="007D5D30">
      <w:pPr>
        <w:pStyle w:val="NoSpacing"/>
        <w:ind w:left="270"/>
      </w:pPr>
    </w:p>
    <w:p w:rsidR="00A32054" w:rsidRPr="00A32054" w:rsidRDefault="00A32054" w:rsidP="007D5D30">
      <w:pPr>
        <w:pStyle w:val="NoSpacing"/>
        <w:ind w:left="270"/>
      </w:pPr>
      <w:r w:rsidRPr="0057738B">
        <w:rPr>
          <w:i/>
          <w:iCs/>
        </w:rPr>
        <w:t>Screeners and Quotas:</w:t>
      </w:r>
      <w:r w:rsidRPr="00A32054">
        <w:t xml:space="preserve"> These are part of the original study design per the RFP, and will be used for specific targeting objectives (i.e. gender, age, children in HH, cook meals, and race/ethnicity) as a function of specific demographic/behavioral quota definitions.  Thus, redistributing the burden associated with sample error to geographic representation.</w:t>
      </w:r>
    </w:p>
    <w:p w:rsidR="00A32054" w:rsidRPr="00E80F7F" w:rsidRDefault="00A32054" w:rsidP="00A32054">
      <w:pPr>
        <w:pStyle w:val="Level1"/>
        <w:numPr>
          <w:ilvl w:val="0"/>
          <w:numId w:val="0"/>
        </w:numPr>
        <w:tabs>
          <w:tab w:val="left" w:pos="0"/>
          <w:tab w:val="left" w:pos="288"/>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outlineLvl w:val="9"/>
        <w:rPr>
          <w:b/>
        </w:rPr>
      </w:pPr>
    </w:p>
    <w:p w:rsidR="00CE581D" w:rsidRDefault="00CE581D" w:rsidP="00CE581D">
      <w:pPr>
        <w:pStyle w:val="Level1"/>
        <w:numPr>
          <w:ilvl w:val="0"/>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r w:rsidRPr="00E80F7F">
        <w:rPr>
          <w:b/>
        </w:rPr>
        <w:t>Estimation procedure,</w:t>
      </w:r>
    </w:p>
    <w:p w:rsidR="007D5D30" w:rsidRPr="0057738B" w:rsidRDefault="0057738B" w:rsidP="0057738B">
      <w:pPr>
        <w:pStyle w:val="NoSpacing"/>
        <w:ind w:left="270"/>
        <w:rPr>
          <w:iCs/>
        </w:rPr>
      </w:pPr>
      <w:r w:rsidRPr="0057738B">
        <w:rPr>
          <w:iCs/>
        </w:rPr>
        <w:t>As part of the sampling procedure, demographic and behavioral screeners/quotas will be used; therefore, the primary sample statistic for estimation error defaults to geographic representation.  We feel this is mitigated through the use of geographic stratification prior to sampling (please see above). </w:t>
      </w:r>
    </w:p>
    <w:p w:rsidR="007D5D30" w:rsidRPr="00E80F7F" w:rsidRDefault="007D5D30" w:rsidP="007D5D30">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474" w:hanging="186"/>
        <w:outlineLvl w:val="9"/>
        <w:rPr>
          <w:b/>
        </w:rPr>
      </w:pPr>
    </w:p>
    <w:p w:rsidR="00CE581D" w:rsidRDefault="00CE581D" w:rsidP="00CE581D">
      <w:pPr>
        <w:pStyle w:val="Level1"/>
        <w:numPr>
          <w:ilvl w:val="0"/>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r w:rsidRPr="00E80F7F">
        <w:rPr>
          <w:b/>
        </w:rPr>
        <w:t>Degree of accuracy needed for the pur</w:t>
      </w:r>
      <w:r w:rsidRPr="00E80F7F">
        <w:rPr>
          <w:b/>
        </w:rPr>
        <w:softHyphen/>
        <w:t>pose described in the justification,</w:t>
      </w:r>
    </w:p>
    <w:p w:rsidR="00FB11AE" w:rsidRPr="004517CC" w:rsidRDefault="00FB11AE" w:rsidP="00FB11AE">
      <w:pPr>
        <w:pStyle w:val="NoSpacing"/>
        <w:ind w:left="270"/>
        <w:rPr>
          <w:iCs/>
        </w:rPr>
      </w:pPr>
      <w:r>
        <w:rPr>
          <w:iCs/>
        </w:rPr>
        <w:t xml:space="preserve">Since </w:t>
      </w:r>
      <w:r w:rsidRPr="004517CC">
        <w:rPr>
          <w:iCs/>
        </w:rPr>
        <w:t>the goal is the longitudinal tracking of effects within specific cohort groups then a 90-95% confidence interval is recommended.</w:t>
      </w:r>
    </w:p>
    <w:p w:rsidR="0057738B" w:rsidRPr="0057738B" w:rsidRDefault="00FB11AE" w:rsidP="00FB11AE">
      <w:pPr>
        <w:tabs>
          <w:tab w:val="left" w:pos="1185"/>
        </w:tabs>
        <w:ind w:left="270"/>
        <w:rPr>
          <w:color w:val="595959"/>
        </w:rPr>
      </w:pPr>
      <w:r>
        <w:rPr>
          <w:color w:val="595959"/>
        </w:rPr>
        <w:tab/>
      </w:r>
    </w:p>
    <w:p w:rsidR="00CE581D" w:rsidRPr="00E80F7F" w:rsidRDefault="00CE581D" w:rsidP="00CE581D">
      <w:pPr>
        <w:pStyle w:val="Level1"/>
        <w:numPr>
          <w:ilvl w:val="0"/>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rPr>
          <w:b/>
        </w:rPr>
      </w:pPr>
      <w:r w:rsidRPr="00E80F7F">
        <w:rPr>
          <w:b/>
        </w:rPr>
        <w:t>Unusual problems requiring specialized sampling procedures, and</w:t>
      </w:r>
    </w:p>
    <w:p w:rsidR="0057738B" w:rsidRPr="0057738B" w:rsidRDefault="0057738B" w:rsidP="0057738B">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270"/>
        <w:outlineLvl w:val="9"/>
      </w:pPr>
      <w:r>
        <w:t>None anticipated</w:t>
      </w:r>
    </w:p>
    <w:p w:rsidR="00FB11AE" w:rsidRPr="00FB11AE" w:rsidRDefault="00FB11AE" w:rsidP="00FB11AE">
      <w:pPr>
        <w:tabs>
          <w:tab w:val="left" w:pos="1185"/>
        </w:tabs>
        <w:ind w:left="270"/>
      </w:pPr>
    </w:p>
    <w:p w:rsidR="00CE581D" w:rsidRPr="0057738B" w:rsidRDefault="00CE581D" w:rsidP="00CE581D">
      <w:pPr>
        <w:pStyle w:val="Level1"/>
        <w:numPr>
          <w:ilvl w:val="0"/>
          <w:numId w:val="2"/>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630"/>
        <w:outlineLvl w:val="9"/>
      </w:pPr>
      <w:r w:rsidRPr="00E80F7F">
        <w:rPr>
          <w:b/>
        </w:rPr>
        <w:t>Any use of periodic (less frequent than annual) data collection cycles to reduce burden.</w:t>
      </w:r>
    </w:p>
    <w:p w:rsidR="0057738B" w:rsidRDefault="0057738B" w:rsidP="0057738B">
      <w:pPr>
        <w:pStyle w:val="Level1"/>
        <w:numPr>
          <w:ilvl w:val="0"/>
          <w:numId w:val="0"/>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ind w:left="270"/>
        <w:outlineLvl w:val="9"/>
      </w:pPr>
      <w:r>
        <w:t>In order to track shifts in attitudes, perceptions, and awareness, benchmark and post-wave surveys are needed. This submission covers the benchmark survey only.</w:t>
      </w:r>
    </w:p>
    <w:p w:rsidR="0057738B" w:rsidRDefault="0057738B"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b/>
        </w:rPr>
      </w:pP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Pr>
          <w:b/>
        </w:rPr>
        <w:t>3.</w:t>
      </w:r>
      <w:r>
        <w:rPr>
          <w:b/>
        </w:rPr>
        <w:tab/>
        <w:t>Describe methods to maximize response rates and to deal with issues of non-response. The accuracy and reliability of information collected must be shown to be adequate for intended uses. For collections based on sam</w:t>
      </w:r>
      <w:r>
        <w:rPr>
          <w:b/>
        </w:rPr>
        <w:softHyphen/>
        <w:t>pling, a special justification must be provid</w:t>
      </w:r>
      <w:r>
        <w:rPr>
          <w:b/>
        </w:rPr>
        <w:softHyphen/>
        <w:t>ed for any collection that will not yield "reli</w:t>
      </w:r>
      <w:r>
        <w:rPr>
          <w:b/>
        </w:rPr>
        <w:softHyphen/>
        <w:t>able" data that can be generalized to the universe studied.</w:t>
      </w: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57738B" w:rsidRPr="0057738B" w:rsidRDefault="00292DAE"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Pr>
          <w:color w:val="000000"/>
        </w:rPr>
        <w:t xml:space="preserve">We will partner </w:t>
      </w:r>
      <w:r w:rsidR="0057738B">
        <w:rPr>
          <w:color w:val="000000"/>
        </w:rPr>
        <w:t>with an industry leading</w:t>
      </w:r>
      <w:r w:rsidR="0057738B" w:rsidRPr="0057738B">
        <w:rPr>
          <w:color w:val="000000"/>
        </w:rPr>
        <w:t xml:space="preserve"> global phone data base </w:t>
      </w:r>
      <w:r w:rsidR="0057738B">
        <w:rPr>
          <w:color w:val="000000"/>
        </w:rPr>
        <w:t>vendor</w:t>
      </w:r>
      <w:r w:rsidR="0057738B" w:rsidRPr="0057738B">
        <w:rPr>
          <w:color w:val="000000"/>
        </w:rPr>
        <w:t xml:space="preserve"> (Survey Sampling International "SSI").  SSI starts with a database of all directory-listed households in the USA. Using area code and exchange data regularly obtained from Telcordia and additional databases, this file of directory-listed telephone numbers is subjected to an extensive cleaning and validation process to ensure that all exchanges are currently valid, assigned to the correct area code, and fall within an appropriate set of ZIP Codes.</w:t>
      </w: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Non-response Issues:</w:t>
      </w:r>
      <w:r w:rsidRPr="0057738B">
        <w:rPr>
          <w:color w:val="000000"/>
        </w:rPr>
        <w:t>  These can be divided into four categories:</w:t>
      </w:r>
    </w:p>
    <w:p w:rsidR="0057738B" w:rsidRPr="0057738B" w:rsidRDefault="0057738B" w:rsidP="0057738B">
      <w:pPr>
        <w:numPr>
          <w:ilvl w:val="0"/>
          <w:numId w:val="2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color w:val="000000"/>
        </w:rPr>
        <w:t>Contact Rate</w:t>
      </w:r>
    </w:p>
    <w:p w:rsidR="0057738B" w:rsidRPr="0057738B" w:rsidRDefault="0057738B" w:rsidP="0057738B">
      <w:pPr>
        <w:numPr>
          <w:ilvl w:val="0"/>
          <w:numId w:val="2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color w:val="000000"/>
        </w:rPr>
        <w:t>Cooperation Rate</w:t>
      </w:r>
    </w:p>
    <w:p w:rsidR="0057738B" w:rsidRPr="0057738B" w:rsidRDefault="0057738B" w:rsidP="0057738B">
      <w:pPr>
        <w:numPr>
          <w:ilvl w:val="0"/>
          <w:numId w:val="2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color w:val="000000"/>
        </w:rPr>
        <w:t>Early Terminates</w:t>
      </w:r>
    </w:p>
    <w:p w:rsidR="0057738B" w:rsidRPr="0057738B" w:rsidRDefault="0057738B" w:rsidP="0057738B">
      <w:pPr>
        <w:numPr>
          <w:ilvl w:val="0"/>
          <w:numId w:val="23"/>
        </w:num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color w:val="000000"/>
        </w:rPr>
        <w:t>Non-Response Bias</w:t>
      </w: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Contact Rate:</w:t>
      </w:r>
      <w:r w:rsidRPr="0057738B">
        <w:rPr>
          <w:color w:val="000000"/>
        </w:rPr>
        <w:t>  No Answers, Answering Machines, and Busy Signals.  We attempt an average of 10 call-backs to ensure adequate representation.</w:t>
      </w:r>
    </w:p>
    <w:p w:rsid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i/>
          <w:iCs/>
          <w:color w:val="000000"/>
        </w:rPr>
      </w:pP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Cooperation Rate:</w:t>
      </w:r>
      <w:r w:rsidRPr="0057738B">
        <w:rPr>
          <w:color w:val="000000"/>
        </w:rPr>
        <w:t>  Immediate refusals - both hard/soft.  We implement a best practice training guide for our interview staff to recognize the nature of the refusal and use the correct level of rebuttals.</w:t>
      </w: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Early Terminates:</w:t>
      </w:r>
      <w:r w:rsidRPr="0057738B">
        <w:rPr>
          <w:color w:val="000000"/>
        </w:rPr>
        <w:t>  These are analyzed closely during the fielding of any study, to determine causes and any necessary modifications needed for the survey instrument and/or sample frame.</w:t>
      </w: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p>
    <w:p w:rsidR="0057738B" w:rsidRPr="0057738B" w:rsidRDefault="0057738B" w:rsidP="0057738B">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Non-Response Bias:</w:t>
      </w:r>
      <w:r w:rsidRPr="0057738B">
        <w:rPr>
          <w:color w:val="000000"/>
        </w:rPr>
        <w:t>  Since it’s quite difficult and often impractical to design a survey to impact the difference between the observed and non-respondent answers, we focus our attention on reducing the non-response rate in order to reduce bias.  The first (and possibly most important) step in reducing non-response bias is to create a properly designed survey. The design of the survey can have a large impact on whether a respondent chooses to partake in the survey, and to what extent they complete the survey. Having a personable yet professional introduction, interesting survey content, short survey length, clear and concise wording, practical and appealing incentives, placing multiple follow-up calls on non-respondents, and being mindful of the time, day, or season that the survey is fielded all can impact the non-response rate.</w:t>
      </w:r>
    </w:p>
    <w:p w:rsidR="007F7027" w:rsidRDefault="007F7027"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1721AD" w:rsidRDefault="001721A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Pr>
          <w:i/>
          <w:iCs/>
          <w:color w:val="000000"/>
        </w:rPr>
        <w:t>Non-Coverage (cell phone only households - CPO</w:t>
      </w:r>
      <w:r w:rsidR="000E75AD">
        <w:rPr>
          <w:i/>
          <w:iCs/>
          <w:color w:val="000000"/>
        </w:rPr>
        <w:t xml:space="preserve"> vs. landline</w:t>
      </w:r>
      <w:r>
        <w:rPr>
          <w:i/>
          <w:iCs/>
          <w:color w:val="000000"/>
        </w:rPr>
        <w:t>)</w:t>
      </w:r>
      <w:r w:rsidRPr="0057738B">
        <w:rPr>
          <w:i/>
          <w:iCs/>
          <w:color w:val="000000"/>
        </w:rPr>
        <w:t>:</w:t>
      </w:r>
      <w:r w:rsidRPr="0057738B">
        <w:rPr>
          <w:color w:val="000000"/>
        </w:rPr>
        <w:t xml:space="preserve">  </w:t>
      </w:r>
      <w:r>
        <w:rPr>
          <w:color w:val="000000"/>
        </w:rPr>
        <w:t xml:space="preserve">In this study conventional landlines (phone exchanges) will be the primary and </w:t>
      </w:r>
      <w:r w:rsidR="009C789B" w:rsidRPr="009C789B">
        <w:rPr>
          <w:color w:val="000000"/>
          <w:u w:val="single"/>
        </w:rPr>
        <w:t>only</w:t>
      </w:r>
      <w:r>
        <w:rPr>
          <w:color w:val="000000"/>
        </w:rPr>
        <w:t xml:space="preserve"> source of data collection.  The n</w:t>
      </w:r>
      <w:r w:rsidRPr="001721AD">
        <w:rPr>
          <w:color w:val="000000"/>
        </w:rPr>
        <w:t>on</w:t>
      </w:r>
      <w:r>
        <w:rPr>
          <w:color w:val="000000"/>
        </w:rPr>
        <w:t>-</w:t>
      </w:r>
      <w:r w:rsidRPr="001721AD">
        <w:rPr>
          <w:color w:val="000000"/>
        </w:rPr>
        <w:t xml:space="preserve">coverage problem currently </w:t>
      </w:r>
      <w:r>
        <w:rPr>
          <w:color w:val="000000"/>
        </w:rPr>
        <w:t xml:space="preserve">associated with this method, while </w:t>
      </w:r>
      <w:r w:rsidRPr="001721AD">
        <w:rPr>
          <w:color w:val="000000"/>
        </w:rPr>
        <w:t xml:space="preserve">not damaging </w:t>
      </w:r>
      <w:r>
        <w:rPr>
          <w:color w:val="000000"/>
        </w:rPr>
        <w:t xml:space="preserve">for </w:t>
      </w:r>
      <w:r w:rsidRPr="001721AD">
        <w:rPr>
          <w:color w:val="000000"/>
        </w:rPr>
        <w:t xml:space="preserve">estimates for the entire population, we find </w:t>
      </w:r>
      <w:r w:rsidR="00385AB0">
        <w:rPr>
          <w:color w:val="000000"/>
        </w:rPr>
        <w:t xml:space="preserve">well documented </w:t>
      </w:r>
      <w:r w:rsidRPr="001721AD">
        <w:rPr>
          <w:color w:val="000000"/>
        </w:rPr>
        <w:t xml:space="preserve">evidence that it </w:t>
      </w:r>
      <w:r w:rsidR="009C789B" w:rsidRPr="009C789B">
        <w:rPr>
          <w:color w:val="000000"/>
          <w:u w:val="single"/>
        </w:rPr>
        <w:t>does</w:t>
      </w:r>
      <w:r w:rsidRPr="001721AD">
        <w:rPr>
          <w:color w:val="000000"/>
        </w:rPr>
        <w:t xml:space="preserve"> create biased estimates on certain variables for young adults, 25</w:t>
      </w:r>
      <w:r>
        <w:rPr>
          <w:color w:val="000000"/>
        </w:rPr>
        <w:t>-30</w:t>
      </w:r>
      <w:r w:rsidRPr="001721AD">
        <w:rPr>
          <w:color w:val="000000"/>
        </w:rPr>
        <w:t xml:space="preserve"> percent of whom are cell-only according to the most </w:t>
      </w:r>
      <w:r w:rsidR="000E75AD">
        <w:rPr>
          <w:color w:val="000000"/>
        </w:rPr>
        <w:t xml:space="preserve">recent </w:t>
      </w:r>
      <w:r>
        <w:rPr>
          <w:color w:val="000000"/>
        </w:rPr>
        <w:t>Pew Research Center and government</w:t>
      </w:r>
      <w:r w:rsidRPr="001721AD">
        <w:rPr>
          <w:color w:val="000000"/>
        </w:rPr>
        <w:t xml:space="preserve"> estimate</w:t>
      </w:r>
      <w:r>
        <w:rPr>
          <w:color w:val="000000"/>
        </w:rPr>
        <w:t>s</w:t>
      </w:r>
      <w:r w:rsidRPr="001721AD">
        <w:rPr>
          <w:color w:val="000000"/>
        </w:rPr>
        <w:t>.</w:t>
      </w:r>
      <w:r w:rsidR="000E75AD">
        <w:rPr>
          <w:color w:val="000000"/>
        </w:rPr>
        <w:t xml:space="preserve">  As CPO</w:t>
      </w:r>
      <w:r w:rsidR="000E75AD" w:rsidRPr="000E75AD">
        <w:rPr>
          <w:color w:val="000000"/>
        </w:rPr>
        <w:t xml:space="preserve"> </w:t>
      </w:r>
      <w:r w:rsidR="000E75AD">
        <w:rPr>
          <w:color w:val="000000"/>
        </w:rPr>
        <w:t>households have</w:t>
      </w:r>
      <w:r w:rsidR="000E75AD" w:rsidRPr="000E75AD">
        <w:rPr>
          <w:color w:val="000000"/>
        </w:rPr>
        <w:t xml:space="preserve"> grown, telephone surveys that rely on landline samples have experienced a decline in the pe</w:t>
      </w:r>
      <w:r w:rsidR="000E75AD">
        <w:rPr>
          <w:color w:val="000000"/>
        </w:rPr>
        <w:t xml:space="preserve">rcentage of younger respondents.  </w:t>
      </w:r>
      <w:r w:rsidR="005545A5">
        <w:rPr>
          <w:color w:val="000000"/>
        </w:rPr>
        <w:t>O</w:t>
      </w:r>
      <w:r w:rsidR="000E75AD" w:rsidRPr="000E75AD">
        <w:rPr>
          <w:color w:val="000000"/>
        </w:rPr>
        <w:t xml:space="preserve">ver the past five years, </w:t>
      </w:r>
      <w:r w:rsidR="005545A5">
        <w:rPr>
          <w:color w:val="000000"/>
        </w:rPr>
        <w:t xml:space="preserve">according to the Pew Research Center, </w:t>
      </w:r>
      <w:r w:rsidR="000E75AD" w:rsidRPr="000E75AD">
        <w:rPr>
          <w:color w:val="000000"/>
        </w:rPr>
        <w:t xml:space="preserve">the average percentage of respondents aged 18–34 years in unweighted </w:t>
      </w:r>
      <w:r w:rsidR="006D40FA">
        <w:rPr>
          <w:color w:val="000000"/>
        </w:rPr>
        <w:t xml:space="preserve">landline </w:t>
      </w:r>
      <w:r w:rsidR="000E75AD" w:rsidRPr="000E75AD">
        <w:rPr>
          <w:color w:val="000000"/>
        </w:rPr>
        <w:t xml:space="preserve">samples declined from </w:t>
      </w:r>
      <w:r w:rsidR="005545A5">
        <w:rPr>
          <w:color w:val="000000"/>
        </w:rPr>
        <w:t>21</w:t>
      </w:r>
      <w:r w:rsidR="000E75AD" w:rsidRPr="000E75AD">
        <w:rPr>
          <w:color w:val="000000"/>
        </w:rPr>
        <w:t xml:space="preserve"> percent in 200</w:t>
      </w:r>
      <w:r w:rsidR="005545A5">
        <w:rPr>
          <w:color w:val="000000"/>
        </w:rPr>
        <w:t>5</w:t>
      </w:r>
      <w:r w:rsidR="000E75AD" w:rsidRPr="000E75AD">
        <w:rPr>
          <w:color w:val="000000"/>
        </w:rPr>
        <w:t xml:space="preserve"> to </w:t>
      </w:r>
      <w:r w:rsidR="005545A5">
        <w:rPr>
          <w:color w:val="000000"/>
        </w:rPr>
        <w:t>20</w:t>
      </w:r>
      <w:r w:rsidR="000E75AD" w:rsidRPr="000E75AD">
        <w:rPr>
          <w:color w:val="000000"/>
        </w:rPr>
        <w:t xml:space="preserve"> percent in surveys conducted in 200</w:t>
      </w:r>
      <w:r w:rsidR="005545A5">
        <w:rPr>
          <w:color w:val="000000"/>
        </w:rPr>
        <w:t>6</w:t>
      </w:r>
      <w:r w:rsidR="000E75AD" w:rsidRPr="000E75AD">
        <w:rPr>
          <w:color w:val="000000"/>
        </w:rPr>
        <w:t xml:space="preserve">, </w:t>
      </w:r>
      <w:r w:rsidR="005545A5">
        <w:rPr>
          <w:color w:val="000000"/>
        </w:rPr>
        <w:t>19</w:t>
      </w:r>
      <w:r w:rsidR="000E75AD" w:rsidRPr="000E75AD">
        <w:rPr>
          <w:color w:val="000000"/>
        </w:rPr>
        <w:t xml:space="preserve"> percent in 200</w:t>
      </w:r>
      <w:r w:rsidR="005545A5">
        <w:rPr>
          <w:color w:val="000000"/>
        </w:rPr>
        <w:t>7</w:t>
      </w:r>
      <w:r w:rsidR="000E75AD" w:rsidRPr="000E75AD">
        <w:rPr>
          <w:color w:val="000000"/>
        </w:rPr>
        <w:t xml:space="preserve">, and </w:t>
      </w:r>
      <w:r w:rsidR="005545A5">
        <w:rPr>
          <w:color w:val="000000"/>
        </w:rPr>
        <w:t>17</w:t>
      </w:r>
      <w:r w:rsidR="000E75AD" w:rsidRPr="000E75AD">
        <w:rPr>
          <w:color w:val="000000"/>
        </w:rPr>
        <w:t xml:space="preserve"> percent thus far in 20</w:t>
      </w:r>
      <w:r w:rsidR="005545A5">
        <w:rPr>
          <w:color w:val="000000"/>
        </w:rPr>
        <w:t xml:space="preserve">10.  </w:t>
      </w:r>
      <w:r w:rsidR="000E75AD" w:rsidRPr="000E75AD">
        <w:rPr>
          <w:color w:val="000000"/>
        </w:rPr>
        <w:t xml:space="preserve">This decline is consistent with the fact that the </w:t>
      </w:r>
      <w:r w:rsidR="005545A5">
        <w:rPr>
          <w:color w:val="000000"/>
        </w:rPr>
        <w:t>CPO household</w:t>
      </w:r>
      <w:r w:rsidR="000E75AD" w:rsidRPr="000E75AD">
        <w:rPr>
          <w:color w:val="000000"/>
        </w:rPr>
        <w:t xml:space="preserve"> population is heavily tilted toward young people.</w:t>
      </w:r>
      <w:r w:rsidR="00311D12">
        <w:rPr>
          <w:color w:val="000000"/>
        </w:rPr>
        <w:t xml:space="preserve">  </w:t>
      </w:r>
      <w:r w:rsidR="00385AB0">
        <w:rPr>
          <w:color w:val="000000"/>
        </w:rPr>
        <w:t xml:space="preserve">Since this is a well documented trend, we have confidence that the survey screeners and quotas associated with age (in this case </w:t>
      </w:r>
      <w:r w:rsidR="00385AB0">
        <w:rPr>
          <w:color w:val="000000"/>
        </w:rPr>
        <w:lastRenderedPageBreak/>
        <w:t>we will only interview subjects that fall between 20-40 yrs of age) will alleviate most of, if not all of the bias relative to skewing the mean age higher in the overall sample.</w:t>
      </w:r>
    </w:p>
    <w:p w:rsidR="001721AD" w:rsidRDefault="001721A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1721AD" w:rsidRDefault="002665C4"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color w:val="000000"/>
        </w:rPr>
      </w:pPr>
      <w:r w:rsidRPr="0057738B">
        <w:rPr>
          <w:i/>
          <w:iCs/>
          <w:color w:val="000000"/>
        </w:rPr>
        <w:t>Non-Response Bias</w:t>
      </w:r>
      <w:r>
        <w:rPr>
          <w:i/>
          <w:iCs/>
          <w:color w:val="000000"/>
        </w:rPr>
        <w:t xml:space="preserve"> Questions</w:t>
      </w:r>
      <w:r w:rsidRPr="0057738B">
        <w:rPr>
          <w:i/>
          <w:iCs/>
          <w:color w:val="000000"/>
        </w:rPr>
        <w:t>:</w:t>
      </w:r>
      <w:r w:rsidRPr="0057738B">
        <w:rPr>
          <w:color w:val="000000"/>
        </w:rPr>
        <w:t xml:space="preserve">  </w:t>
      </w:r>
      <w:r>
        <w:rPr>
          <w:color w:val="000000"/>
        </w:rPr>
        <w:t xml:space="preserve">The survey will include </w:t>
      </w:r>
      <w:r w:rsidR="0027648C">
        <w:rPr>
          <w:color w:val="000000"/>
        </w:rPr>
        <w:t xml:space="preserve">a number of voluntary </w:t>
      </w:r>
      <w:r>
        <w:rPr>
          <w:color w:val="000000"/>
        </w:rPr>
        <w:t>demographics (i.e. employment status</w:t>
      </w:r>
      <w:r w:rsidR="0027648C">
        <w:rPr>
          <w:color w:val="000000"/>
        </w:rPr>
        <w:t>, race/ethnicity, income</w:t>
      </w:r>
      <w:r>
        <w:rPr>
          <w:color w:val="000000"/>
        </w:rPr>
        <w:t xml:space="preserve"> etc.) that will serve as test statistics when compared to the latest </w:t>
      </w:r>
      <w:r w:rsidR="00374267">
        <w:rPr>
          <w:color w:val="000000"/>
        </w:rPr>
        <w:t>U.S. C</w:t>
      </w:r>
      <w:r>
        <w:rPr>
          <w:color w:val="000000"/>
        </w:rPr>
        <w:t xml:space="preserve">ensus "Community Survey."  </w:t>
      </w:r>
      <w:r w:rsidR="0027648C">
        <w:rPr>
          <w:color w:val="000000"/>
        </w:rPr>
        <w:t>Using a percentage of total basis for each of the demographic test statistics, t</w:t>
      </w:r>
      <w:r>
        <w:rPr>
          <w:color w:val="000000"/>
        </w:rPr>
        <w:t xml:space="preserve">his will allow for </w:t>
      </w:r>
      <w:r w:rsidR="0027648C">
        <w:rPr>
          <w:color w:val="000000"/>
        </w:rPr>
        <w:t>a</w:t>
      </w:r>
      <w:r w:rsidR="00374267">
        <w:rPr>
          <w:color w:val="000000"/>
        </w:rPr>
        <w:t>n easy</w:t>
      </w:r>
      <w:r w:rsidR="0027648C">
        <w:rPr>
          <w:color w:val="000000"/>
        </w:rPr>
        <w:t xml:space="preserve"> check when fielding to verify representation.  Additionally, this may serve to inform a </w:t>
      </w:r>
      <w:r w:rsidR="00374267">
        <w:rPr>
          <w:color w:val="000000"/>
        </w:rPr>
        <w:t xml:space="preserve">potential </w:t>
      </w:r>
      <w:r w:rsidR="0027648C">
        <w:rPr>
          <w:color w:val="000000"/>
        </w:rPr>
        <w:t xml:space="preserve">data weighting scheme to reconcile any </w:t>
      </w:r>
      <w:r w:rsidR="00374267">
        <w:rPr>
          <w:color w:val="000000"/>
        </w:rPr>
        <w:t xml:space="preserve">observable </w:t>
      </w:r>
      <w:r w:rsidR="0027648C">
        <w:rPr>
          <w:color w:val="000000"/>
        </w:rPr>
        <w:t>discrepancies on an overall U.S. National basis.</w:t>
      </w:r>
    </w:p>
    <w:p w:rsidR="002665C4" w:rsidRDefault="002665C4"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FC5DF8" w:rsidRDefault="00CE581D" w:rsidP="001F5FC3">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Pr>
          <w:b/>
        </w:rPr>
        <w:t>4.</w:t>
      </w:r>
      <w:r>
        <w:rPr>
          <w:b/>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Pr>
          <w:b/>
        </w:rPr>
        <w:softHyphen/>
        <w:t>ly or in combination with the main collection of information</w:t>
      </w:r>
      <w:r>
        <w:t>.</w:t>
      </w:r>
    </w:p>
    <w:p w:rsidR="004219CB" w:rsidRDefault="004219CB" w:rsidP="001F5FC3">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FC5DF8" w:rsidRDefault="00FC5DF8" w:rsidP="00B44835">
      <w:pPr>
        <w:pStyle w:val="BodyTextIndent"/>
        <w:shd w:val="clear" w:color="auto" w:fill="FFFFFF"/>
        <w:ind w:left="0"/>
        <w:rPr>
          <w:rFonts w:ascii="Times New Roman" w:hAnsi="Times New Roman"/>
          <w:sz w:val="24"/>
        </w:rPr>
      </w:pPr>
      <w:r>
        <w:rPr>
          <w:rFonts w:ascii="Times New Roman" w:hAnsi="Times New Roman"/>
          <w:sz w:val="24"/>
        </w:rPr>
        <w:t>Cayenne Global will perform a "soft launch" prior to formal CATI field</w:t>
      </w:r>
      <w:r w:rsidR="00374267">
        <w:rPr>
          <w:rFonts w:ascii="Times New Roman" w:hAnsi="Times New Roman"/>
          <w:sz w:val="24"/>
        </w:rPr>
        <w:t xml:space="preserve"> operations</w:t>
      </w:r>
      <w:r>
        <w:rPr>
          <w:rFonts w:ascii="Times New Roman" w:hAnsi="Times New Roman"/>
          <w:sz w:val="24"/>
        </w:rPr>
        <w:t xml:space="preserve"> to ensure proper questionnaire flow, length of interview, and programming logic/data capture.  These "test" interviews will be facilitated by our quality assurance/control team using test subjects in and around the business premises to include a minimum of 10 interviews.  These test interviews will </w:t>
      </w:r>
      <w:r w:rsidR="00FC3575" w:rsidRPr="00FC3575">
        <w:rPr>
          <w:rFonts w:ascii="Times New Roman" w:hAnsi="Times New Roman"/>
          <w:sz w:val="24"/>
          <w:u w:val="single"/>
        </w:rPr>
        <w:t>not</w:t>
      </w:r>
      <w:r>
        <w:rPr>
          <w:rFonts w:ascii="Times New Roman" w:hAnsi="Times New Roman"/>
          <w:sz w:val="24"/>
        </w:rPr>
        <w:t xml:space="preserve"> be included </w:t>
      </w:r>
      <w:r w:rsidR="00A82305">
        <w:rPr>
          <w:rFonts w:ascii="Times New Roman" w:hAnsi="Times New Roman"/>
          <w:sz w:val="24"/>
        </w:rPr>
        <w:t>in</w:t>
      </w:r>
      <w:r>
        <w:rPr>
          <w:rFonts w:ascii="Times New Roman" w:hAnsi="Times New Roman"/>
          <w:sz w:val="24"/>
        </w:rPr>
        <w:t xml:space="preserve"> part</w:t>
      </w:r>
      <w:r w:rsidR="00A82305">
        <w:rPr>
          <w:rFonts w:ascii="Times New Roman" w:hAnsi="Times New Roman"/>
          <w:sz w:val="24"/>
        </w:rPr>
        <w:t>/</w:t>
      </w:r>
      <w:r>
        <w:rPr>
          <w:rFonts w:ascii="Times New Roman" w:hAnsi="Times New Roman"/>
          <w:sz w:val="24"/>
        </w:rPr>
        <w:t xml:space="preserve">whole </w:t>
      </w:r>
      <w:r w:rsidR="00A82305">
        <w:rPr>
          <w:rFonts w:ascii="Times New Roman" w:hAnsi="Times New Roman"/>
          <w:sz w:val="24"/>
        </w:rPr>
        <w:t>as part of the base of N=600.</w:t>
      </w:r>
      <w:r w:rsidR="00FB5AA3">
        <w:rPr>
          <w:rFonts w:ascii="Times New Roman" w:hAnsi="Times New Roman"/>
          <w:sz w:val="24"/>
        </w:rPr>
        <w:t xml:space="preserve">  Furthermore, interviewer feedback throughout the duration of field operations will provide a constant source for any potential corrective actions.</w:t>
      </w:r>
    </w:p>
    <w:p w:rsidR="00B44835" w:rsidRDefault="00B44835" w:rsidP="00B44835">
      <w:pPr>
        <w:pStyle w:val="BodyTextIndent"/>
        <w:shd w:val="clear" w:color="auto" w:fill="FFFFFF"/>
        <w:ind w:left="0"/>
        <w:rPr>
          <w:b/>
        </w:rPr>
      </w:pP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rPr>
          <w:b/>
        </w:rPr>
        <w:t>5.</w:t>
      </w:r>
      <w:r>
        <w:rPr>
          <w:b/>
        </w:rPr>
        <w:tab/>
        <w:t>Provide the name and telephone number of individuals consulted on statistical aspects of the design and the name of the agency unit, contractor(s), grantee(s), or other person(s) who will actually collect and/or analyze the information for the agency.</w:t>
      </w: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p>
    <w:p w:rsidR="00CE581D" w:rsidRDefault="00CE581D" w:rsidP="00CE581D">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pPr>
      <w:r>
        <w:t xml:space="preserve">Include all individuals who have contributed to or commented on the survey, sample frame, statistical methods or other aspects of the collection.  </w:t>
      </w:r>
    </w:p>
    <w:p w:rsidR="00CE581D" w:rsidRDefault="00CE581D" w:rsidP="000266A0">
      <w:pPr>
        <w:tabs>
          <w:tab w:val="left" w:pos="0"/>
          <w:tab w:val="left" w:pos="288"/>
          <w:tab w:val="left" w:pos="474"/>
          <w:tab w:val="left" w:pos="6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9"/>
        <w:rPr>
          <w:rFonts w:ascii="Univers" w:hAnsi="Univers" w:cs="Arial"/>
        </w:rPr>
      </w:pPr>
    </w:p>
    <w:p w:rsidR="00FB1E32" w:rsidRPr="00E80F7F" w:rsidRDefault="00FB1E32" w:rsidP="00FB1E32">
      <w:pPr>
        <w:shd w:val="clear" w:color="auto" w:fill="FFFFFF"/>
        <w:tabs>
          <w:tab w:val="left" w:pos="-720"/>
          <w:tab w:val="num" w:pos="0"/>
        </w:tabs>
        <w:suppressAutoHyphens/>
      </w:pPr>
      <w:r w:rsidRPr="00E80F7F">
        <w:t>The infor</w:t>
      </w:r>
      <w:r w:rsidR="00FC7FFC" w:rsidRPr="00E80F7F">
        <w:t>mation collection will be conducted</w:t>
      </w:r>
      <w:r w:rsidRPr="00E80F7F">
        <w:t xml:space="preserve"> by a contractor:</w:t>
      </w:r>
    </w:p>
    <w:p w:rsidR="00FB1E32" w:rsidRPr="00E80F7F" w:rsidRDefault="00FB1E32" w:rsidP="00FB1E32">
      <w:pPr>
        <w:shd w:val="clear" w:color="auto" w:fill="FFFFFF"/>
        <w:tabs>
          <w:tab w:val="left" w:pos="-720"/>
          <w:tab w:val="num" w:pos="0"/>
        </w:tabs>
        <w:suppressAutoHyphens/>
      </w:pPr>
    </w:p>
    <w:p w:rsidR="00FB1E32" w:rsidRDefault="0057738B" w:rsidP="00FB1E32">
      <w:pPr>
        <w:shd w:val="clear" w:color="auto" w:fill="FFFFFF"/>
        <w:tabs>
          <w:tab w:val="left" w:pos="-720"/>
          <w:tab w:val="num" w:pos="0"/>
        </w:tabs>
        <w:suppressAutoHyphens/>
      </w:pPr>
      <w:r>
        <w:t>Kevin Smith</w:t>
      </w:r>
    </w:p>
    <w:p w:rsidR="0057738B" w:rsidRPr="0057738B" w:rsidRDefault="0057738B" w:rsidP="0057738B">
      <w:pPr>
        <w:shd w:val="clear" w:color="auto" w:fill="FFFFFF"/>
        <w:tabs>
          <w:tab w:val="left" w:pos="-720"/>
          <w:tab w:val="num" w:pos="0"/>
        </w:tabs>
        <w:suppressAutoHyphens/>
      </w:pPr>
      <w:r w:rsidRPr="0057738B">
        <w:t>Managing Partner</w:t>
      </w:r>
    </w:p>
    <w:p w:rsidR="0057738B" w:rsidRPr="0057738B" w:rsidRDefault="0057738B" w:rsidP="0057738B">
      <w:pPr>
        <w:shd w:val="clear" w:color="auto" w:fill="FFFFFF"/>
        <w:tabs>
          <w:tab w:val="left" w:pos="-720"/>
          <w:tab w:val="num" w:pos="0"/>
        </w:tabs>
        <w:suppressAutoHyphens/>
        <w:rPr>
          <w:lang w:val="es-ES_tradnl"/>
        </w:rPr>
      </w:pPr>
      <w:r w:rsidRPr="0057738B">
        <w:rPr>
          <w:lang w:val="es-ES_tradnl"/>
        </w:rPr>
        <w:t>Cayenne Global, LLC</w:t>
      </w:r>
    </w:p>
    <w:p w:rsidR="0057738B" w:rsidRPr="0057738B" w:rsidRDefault="0057738B" w:rsidP="0057738B">
      <w:pPr>
        <w:shd w:val="clear" w:color="auto" w:fill="FFFFFF"/>
        <w:tabs>
          <w:tab w:val="left" w:pos="-720"/>
          <w:tab w:val="num" w:pos="0"/>
        </w:tabs>
        <w:suppressAutoHyphens/>
        <w:rPr>
          <w:lang w:val="es-ES_tradnl"/>
        </w:rPr>
      </w:pPr>
      <w:r w:rsidRPr="0057738B">
        <w:rPr>
          <w:lang w:val="es-ES_tradnl"/>
        </w:rPr>
        <w:t>San Francisco,  CA  94517</w:t>
      </w:r>
    </w:p>
    <w:p w:rsidR="00422E2C" w:rsidRDefault="00422E2C" w:rsidP="00FB1E32">
      <w:pPr>
        <w:shd w:val="clear" w:color="auto" w:fill="FFFFFF"/>
        <w:tabs>
          <w:tab w:val="left" w:pos="-720"/>
          <w:tab w:val="num" w:pos="0"/>
        </w:tabs>
        <w:suppressAutoHyphens/>
      </w:pPr>
    </w:p>
    <w:p w:rsidR="00422E2C" w:rsidRPr="00E80F7F" w:rsidRDefault="0057738B" w:rsidP="00FB1E32">
      <w:pPr>
        <w:shd w:val="clear" w:color="auto" w:fill="FFFFFF"/>
        <w:tabs>
          <w:tab w:val="left" w:pos="-720"/>
          <w:tab w:val="num" w:pos="0"/>
        </w:tabs>
        <w:suppressAutoHyphens/>
      </w:pPr>
      <w:r w:rsidRPr="0057738B">
        <w:rPr>
          <w:lang w:val="de-DE"/>
        </w:rPr>
        <w:t>925-672-2256</w:t>
      </w:r>
      <w:r w:rsidRPr="0057738B">
        <w:t xml:space="preserve"> </w:t>
      </w:r>
      <w:r w:rsidR="00422E2C">
        <w:t>(voice)</w:t>
      </w:r>
    </w:p>
    <w:p w:rsidR="00750E7F" w:rsidRDefault="009047C3" w:rsidP="00FB1E32">
      <w:pPr>
        <w:shd w:val="clear" w:color="auto" w:fill="FFFFFF"/>
        <w:tabs>
          <w:tab w:val="left" w:pos="-720"/>
          <w:tab w:val="num" w:pos="0"/>
        </w:tabs>
        <w:suppressAutoHyphens/>
      </w:pPr>
      <w:hyperlink r:id="rId10" w:history="1">
        <w:r w:rsidR="0057738B" w:rsidRPr="0057738B">
          <w:rPr>
            <w:rStyle w:val="Hyperlink"/>
            <w:lang w:val="de-DE"/>
          </w:rPr>
          <w:t>ksmith@</w:t>
        </w:r>
        <w:r w:rsidR="008731D7">
          <w:rPr>
            <w:rStyle w:val="Hyperlink"/>
            <w:lang w:val="de-DE"/>
          </w:rPr>
          <w:t>c</w:t>
        </w:r>
        <w:r w:rsidR="008731D7" w:rsidRPr="0057738B">
          <w:rPr>
            <w:rStyle w:val="Hyperlink"/>
            <w:lang w:val="de-DE"/>
          </w:rPr>
          <w:t>ayenneglobal</w:t>
        </w:r>
        <w:r w:rsidR="0057738B" w:rsidRPr="0057738B">
          <w:rPr>
            <w:rStyle w:val="Hyperlink"/>
            <w:lang w:val="de-DE"/>
          </w:rPr>
          <w:t>.com</w:t>
        </w:r>
      </w:hyperlink>
    </w:p>
    <w:p w:rsidR="0057738B" w:rsidRDefault="0057738B" w:rsidP="00FB1E32">
      <w:pPr>
        <w:shd w:val="clear" w:color="auto" w:fill="FFFFFF"/>
        <w:tabs>
          <w:tab w:val="left" w:pos="-720"/>
          <w:tab w:val="num" w:pos="0"/>
        </w:tabs>
        <w:suppressAutoHyphens/>
      </w:pPr>
    </w:p>
    <w:p w:rsidR="00422E2C" w:rsidRPr="00E80F7F" w:rsidRDefault="00422E2C" w:rsidP="00FB1E32">
      <w:pPr>
        <w:shd w:val="clear" w:color="auto" w:fill="FFFFFF"/>
        <w:tabs>
          <w:tab w:val="left" w:pos="-720"/>
          <w:tab w:val="num" w:pos="0"/>
        </w:tabs>
        <w:suppressAutoHyphens/>
      </w:pPr>
    </w:p>
    <w:p w:rsidR="00FB1E32" w:rsidRPr="00E80F7F" w:rsidRDefault="00FB1E32" w:rsidP="00FB1E32">
      <w:pPr>
        <w:pStyle w:val="a"/>
        <w:widowControl/>
        <w:tabs>
          <w:tab w:val="left" w:pos="-1080"/>
          <w:tab w:val="left" w:pos="-72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left="0"/>
        <w:rPr>
          <w:snapToGrid/>
        </w:rPr>
      </w:pPr>
      <w:r w:rsidRPr="00E80F7F">
        <w:rPr>
          <w:snapToGrid/>
        </w:rPr>
        <w:t xml:space="preserve">The </w:t>
      </w:r>
      <w:r w:rsidR="00F10FBA">
        <w:rPr>
          <w:snapToGrid/>
        </w:rPr>
        <w:t>following individuals contributed to the study design, screener, and questionnaire</w:t>
      </w:r>
      <w:r w:rsidRPr="00E80F7F">
        <w:rPr>
          <w:snapToGrid/>
        </w:rPr>
        <w:t xml:space="preserve">: </w:t>
      </w:r>
    </w:p>
    <w:p w:rsidR="00FB1E32" w:rsidRPr="00E80F7F" w:rsidRDefault="00FB1E32" w:rsidP="00FB1E32">
      <w:pPr>
        <w:tabs>
          <w:tab w:val="left" w:pos="-1080"/>
          <w:tab w:val="left" w:pos="-720"/>
          <w:tab w:val="left" w:pos="0"/>
          <w:tab w:val="left" w:pos="72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ind w:firstLine="720"/>
      </w:pPr>
      <w:r w:rsidRPr="00E80F7F">
        <w:t xml:space="preserve"> </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Nirmal Deshpande</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Research Manager</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The Advertising Council</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815 Second Avenue, 9</w:t>
      </w:r>
      <w:r w:rsidRPr="00F10FBA">
        <w:rPr>
          <w:vertAlign w:val="superscript"/>
        </w:rPr>
        <w:t>th</w:t>
      </w:r>
      <w:r>
        <w:t xml:space="preserve"> Floor</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New York, NY 10017</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212-984-1937</w:t>
      </w:r>
    </w:p>
    <w:p w:rsidR="00FB1E32" w:rsidRPr="00E80F7F" w:rsidRDefault="00F10FBA"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pPr>
      <w:r>
        <w:t>ndeshpande@adcouncil.org</w:t>
      </w:r>
    </w:p>
    <w:p w:rsidR="00FC7FFC" w:rsidRPr="00E80F7F" w:rsidRDefault="00FC7FFC" w:rsidP="00FB1E32">
      <w:pPr>
        <w:tabs>
          <w:tab w:val="left" w:pos="-1080"/>
          <w:tab w:val="left" w:pos="-720"/>
          <w:tab w:val="left" w:pos="0"/>
          <w:tab w:val="left" w:pos="1440"/>
          <w:tab w:val="left" w:pos="2160"/>
          <w:tab w:val="left" w:pos="2454"/>
          <w:tab w:val="left" w:pos="2700"/>
          <w:tab w:val="left" w:pos="4320"/>
          <w:tab w:val="left" w:pos="5040"/>
          <w:tab w:val="left" w:pos="5760"/>
          <w:tab w:val="left" w:pos="6480"/>
          <w:tab w:val="left" w:pos="7200"/>
          <w:tab w:val="left" w:pos="7920"/>
          <w:tab w:val="left" w:pos="8640"/>
          <w:tab w:val="left" w:pos="9360"/>
        </w:tabs>
        <w:spacing w:line="227" w:lineRule="auto"/>
        <w:rPr>
          <w:rStyle w:val="Hypertext"/>
        </w:rPr>
      </w:pPr>
    </w:p>
    <w:sectPr w:rsidR="00FC7FFC" w:rsidRPr="00E80F7F" w:rsidSect="00405F71">
      <w:footerReference w:type="default" r:id="rId11"/>
      <w:pgSz w:w="12240" w:h="15840"/>
      <w:pgMar w:top="1152"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43F" w:rsidRDefault="0005043F" w:rsidP="00FB1E32">
      <w:r>
        <w:separator/>
      </w:r>
    </w:p>
  </w:endnote>
  <w:endnote w:type="continuationSeparator" w:id="0">
    <w:p w:rsidR="0005043F" w:rsidRDefault="0005043F" w:rsidP="00FB1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altName w:val="Arial"/>
    <w:panose1 w:val="020B0603020202030204"/>
    <w:charset w:val="EE"/>
    <w:family w:val="swiss"/>
    <w:pitch w:val="variable"/>
    <w:sig w:usb0="00000005" w:usb1="00000000" w:usb2="00000000" w:usb3="00000000" w:csb0="00000002"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30" w:rsidRDefault="007D5D30">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sidR="009047C3">
      <w:rPr>
        <w:rStyle w:val="PageNumber"/>
        <w:sz w:val="16"/>
      </w:rPr>
      <w:fldChar w:fldCharType="begin"/>
    </w:r>
    <w:r>
      <w:rPr>
        <w:rStyle w:val="PageNumber"/>
        <w:sz w:val="16"/>
      </w:rPr>
      <w:instrText xml:space="preserve"> PAGE </w:instrText>
    </w:r>
    <w:r w:rsidR="009047C3">
      <w:rPr>
        <w:rStyle w:val="PageNumber"/>
        <w:sz w:val="16"/>
      </w:rPr>
      <w:fldChar w:fldCharType="separate"/>
    </w:r>
    <w:r w:rsidR="004219CB">
      <w:rPr>
        <w:rStyle w:val="PageNumber"/>
        <w:noProof/>
        <w:sz w:val="16"/>
      </w:rPr>
      <w:t>1</w:t>
    </w:r>
    <w:r w:rsidR="009047C3">
      <w:rPr>
        <w:rStyle w:val="PageNumber"/>
        <w:sz w:val="16"/>
      </w:rPr>
      <w:fldChar w:fldCharType="end"/>
    </w:r>
  </w:p>
  <w:p w:rsidR="007D5D30" w:rsidRDefault="007D5D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43F" w:rsidRDefault="0005043F" w:rsidP="00FB1E32">
      <w:r>
        <w:separator/>
      </w:r>
    </w:p>
  </w:footnote>
  <w:footnote w:type="continuationSeparator" w:id="0">
    <w:p w:rsidR="0005043F" w:rsidRDefault="0005043F" w:rsidP="00FB1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C5E2830"/>
    <w:multiLevelType w:val="hybridMultilevel"/>
    <w:tmpl w:val="EFD0B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C453D"/>
    <w:multiLevelType w:val="hybridMultilevel"/>
    <w:tmpl w:val="FA7AAA90"/>
    <w:lvl w:ilvl="0" w:tplc="CE845AF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AA44A8"/>
    <w:multiLevelType w:val="hybridMultilevel"/>
    <w:tmpl w:val="EE7E0EA6"/>
    <w:lvl w:ilvl="0" w:tplc="BF965D4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C118DD"/>
    <w:multiLevelType w:val="hybridMultilevel"/>
    <w:tmpl w:val="B030B0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12C72F0"/>
    <w:multiLevelType w:val="hybridMultilevel"/>
    <w:tmpl w:val="40E884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185365"/>
    <w:multiLevelType w:val="hybridMultilevel"/>
    <w:tmpl w:val="85A8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24963E1E"/>
    <w:multiLevelType w:val="hybridMultilevel"/>
    <w:tmpl w:val="9A3A26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0">
    <w:nsid w:val="31D32A47"/>
    <w:multiLevelType w:val="hybridMultilevel"/>
    <w:tmpl w:val="06343634"/>
    <w:lvl w:ilvl="0" w:tplc="04090005">
      <w:start w:val="1"/>
      <w:numFmt w:val="bullet"/>
      <w:lvlText w:val=""/>
      <w:lvlJc w:val="left"/>
      <w:pPr>
        <w:tabs>
          <w:tab w:val="num" w:pos="1008"/>
        </w:tabs>
        <w:ind w:left="1008"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2">
    <w:nsid w:val="3A9A7606"/>
    <w:multiLevelType w:val="hybridMultilevel"/>
    <w:tmpl w:val="4D4A908C"/>
    <w:lvl w:ilvl="0" w:tplc="204443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F6EC1"/>
    <w:multiLevelType w:val="hybridMultilevel"/>
    <w:tmpl w:val="3146A88E"/>
    <w:lvl w:ilvl="0" w:tplc="B99E62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453F7"/>
    <w:multiLevelType w:val="hybridMultilevel"/>
    <w:tmpl w:val="E48A103E"/>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4D566F7"/>
    <w:multiLevelType w:val="hybridMultilevel"/>
    <w:tmpl w:val="1E12EE72"/>
    <w:lvl w:ilvl="0" w:tplc="000E971E">
      <w:start w:val="1"/>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6">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7">
    <w:nsid w:val="4D3416A6"/>
    <w:multiLevelType w:val="hybridMultilevel"/>
    <w:tmpl w:val="0F62A9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9">
    <w:nsid w:val="5BA04FD6"/>
    <w:multiLevelType w:val="hybridMultilevel"/>
    <w:tmpl w:val="E48A103E"/>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3B72656"/>
    <w:multiLevelType w:val="hybridMultilevel"/>
    <w:tmpl w:val="E48A103E"/>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6C252464"/>
    <w:multiLevelType w:val="hybridMultilevel"/>
    <w:tmpl w:val="7EDA0AAE"/>
    <w:lvl w:ilvl="0" w:tplc="04090001">
      <w:start w:val="1"/>
      <w:numFmt w:val="bullet"/>
      <w:lvlText w:val=""/>
      <w:lvlJc w:val="left"/>
      <w:pPr>
        <w:tabs>
          <w:tab w:val="num" w:pos="720"/>
        </w:tabs>
        <w:ind w:left="720" w:hanging="360"/>
      </w:pPr>
      <w:rPr>
        <w:rFonts w:ascii="Symbol" w:hAnsi="Symbol" w:hint="default"/>
      </w:rPr>
    </w:lvl>
    <w:lvl w:ilvl="1" w:tplc="CE845AF0">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3">
    <w:nsid w:val="7DC41315"/>
    <w:multiLevelType w:val="hybridMultilevel"/>
    <w:tmpl w:val="96B2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3"/>
  </w:num>
  <w:num w:numId="4">
    <w:abstractNumId w:val="15"/>
  </w:num>
  <w:num w:numId="5">
    <w:abstractNumId w:val="18"/>
  </w:num>
  <w:num w:numId="6">
    <w:abstractNumId w:val="9"/>
  </w:num>
  <w:num w:numId="7">
    <w:abstractNumId w:val="22"/>
  </w:num>
  <w:num w:numId="8">
    <w:abstractNumId w:val="7"/>
  </w:num>
  <w:num w:numId="9">
    <w:abstractNumId w:val="16"/>
  </w:num>
  <w:num w:numId="10">
    <w:abstractNumId w:val="11"/>
  </w:num>
  <w:num w:numId="11">
    <w:abstractNumId w:val="5"/>
  </w:num>
  <w:num w:numId="12">
    <w:abstractNumId w:val="21"/>
  </w:num>
  <w:num w:numId="13">
    <w:abstractNumId w:val="2"/>
  </w:num>
  <w:num w:numId="14">
    <w:abstractNumId w:val="23"/>
  </w:num>
  <w:num w:numId="15">
    <w:abstractNumId w:val="6"/>
  </w:num>
  <w:num w:numId="16">
    <w:abstractNumId w:val="1"/>
  </w:num>
  <w:num w:numId="17">
    <w:abstractNumId w:val="4"/>
  </w:num>
  <w:num w:numId="1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hdrShapeDefaults>
    <o:shapedefaults v:ext="edit" spidmax="30722"/>
  </w:hdrShapeDefaults>
  <w:footnotePr>
    <w:footnote w:id="-1"/>
    <w:footnote w:id="0"/>
  </w:footnotePr>
  <w:endnotePr>
    <w:endnote w:id="-1"/>
    <w:endnote w:id="0"/>
  </w:endnotePr>
  <w:compat/>
  <w:rsids>
    <w:rsidRoot w:val="000266A0"/>
    <w:rsid w:val="000266A0"/>
    <w:rsid w:val="0005043F"/>
    <w:rsid w:val="00063E45"/>
    <w:rsid w:val="000971F8"/>
    <w:rsid w:val="00097ECF"/>
    <w:rsid w:val="000D3337"/>
    <w:rsid w:val="000E0EA0"/>
    <w:rsid w:val="000E75AD"/>
    <w:rsid w:val="000F59BC"/>
    <w:rsid w:val="00101BBB"/>
    <w:rsid w:val="00123710"/>
    <w:rsid w:val="0013599C"/>
    <w:rsid w:val="00143025"/>
    <w:rsid w:val="001721AD"/>
    <w:rsid w:val="001C3173"/>
    <w:rsid w:val="001F5FC3"/>
    <w:rsid w:val="00234BAE"/>
    <w:rsid w:val="002555B4"/>
    <w:rsid w:val="002665C4"/>
    <w:rsid w:val="0027648C"/>
    <w:rsid w:val="002815FA"/>
    <w:rsid w:val="00291D7E"/>
    <w:rsid w:val="00292DAE"/>
    <w:rsid w:val="002A6C50"/>
    <w:rsid w:val="002C3328"/>
    <w:rsid w:val="00311D12"/>
    <w:rsid w:val="003171C1"/>
    <w:rsid w:val="0034635C"/>
    <w:rsid w:val="003515C0"/>
    <w:rsid w:val="00366725"/>
    <w:rsid w:val="00374267"/>
    <w:rsid w:val="00385AB0"/>
    <w:rsid w:val="00390870"/>
    <w:rsid w:val="003E7EA8"/>
    <w:rsid w:val="00400FFF"/>
    <w:rsid w:val="00405F71"/>
    <w:rsid w:val="00412A9E"/>
    <w:rsid w:val="004130C3"/>
    <w:rsid w:val="00413403"/>
    <w:rsid w:val="004219CB"/>
    <w:rsid w:val="00422E2C"/>
    <w:rsid w:val="00453A30"/>
    <w:rsid w:val="00474EA5"/>
    <w:rsid w:val="00477DED"/>
    <w:rsid w:val="005005B7"/>
    <w:rsid w:val="00525356"/>
    <w:rsid w:val="00531641"/>
    <w:rsid w:val="005466CF"/>
    <w:rsid w:val="005545A5"/>
    <w:rsid w:val="0057738B"/>
    <w:rsid w:val="005835CC"/>
    <w:rsid w:val="00597872"/>
    <w:rsid w:val="005A63B4"/>
    <w:rsid w:val="005C5D52"/>
    <w:rsid w:val="005D5148"/>
    <w:rsid w:val="005F08E1"/>
    <w:rsid w:val="005F5330"/>
    <w:rsid w:val="005F6596"/>
    <w:rsid w:val="00634460"/>
    <w:rsid w:val="006404B9"/>
    <w:rsid w:val="00652CA4"/>
    <w:rsid w:val="006D2F32"/>
    <w:rsid w:val="006D40FA"/>
    <w:rsid w:val="00701458"/>
    <w:rsid w:val="00714227"/>
    <w:rsid w:val="00715715"/>
    <w:rsid w:val="00750E7F"/>
    <w:rsid w:val="007557F1"/>
    <w:rsid w:val="007B5C65"/>
    <w:rsid w:val="007B5F76"/>
    <w:rsid w:val="007B6413"/>
    <w:rsid w:val="007C1D76"/>
    <w:rsid w:val="007D5D30"/>
    <w:rsid w:val="007F7027"/>
    <w:rsid w:val="008731D7"/>
    <w:rsid w:val="0087629F"/>
    <w:rsid w:val="00880325"/>
    <w:rsid w:val="00883868"/>
    <w:rsid w:val="008B4D6F"/>
    <w:rsid w:val="008C0A78"/>
    <w:rsid w:val="00901356"/>
    <w:rsid w:val="009047C3"/>
    <w:rsid w:val="00915B1A"/>
    <w:rsid w:val="00960549"/>
    <w:rsid w:val="00966FB5"/>
    <w:rsid w:val="00975578"/>
    <w:rsid w:val="00982B19"/>
    <w:rsid w:val="009966C2"/>
    <w:rsid w:val="00996AAD"/>
    <w:rsid w:val="009C789B"/>
    <w:rsid w:val="009E5809"/>
    <w:rsid w:val="00A14B2C"/>
    <w:rsid w:val="00A32054"/>
    <w:rsid w:val="00A61A12"/>
    <w:rsid w:val="00A82305"/>
    <w:rsid w:val="00A82363"/>
    <w:rsid w:val="00AA7BDE"/>
    <w:rsid w:val="00B1734A"/>
    <w:rsid w:val="00B44835"/>
    <w:rsid w:val="00B54A75"/>
    <w:rsid w:val="00B83719"/>
    <w:rsid w:val="00B9502A"/>
    <w:rsid w:val="00BA6E0C"/>
    <w:rsid w:val="00BE285C"/>
    <w:rsid w:val="00C648D1"/>
    <w:rsid w:val="00C9030F"/>
    <w:rsid w:val="00CE581D"/>
    <w:rsid w:val="00CF55E7"/>
    <w:rsid w:val="00D24F8A"/>
    <w:rsid w:val="00D45244"/>
    <w:rsid w:val="00D6351A"/>
    <w:rsid w:val="00D87328"/>
    <w:rsid w:val="00DD3350"/>
    <w:rsid w:val="00E2721A"/>
    <w:rsid w:val="00E80F7F"/>
    <w:rsid w:val="00E82E4D"/>
    <w:rsid w:val="00E874CE"/>
    <w:rsid w:val="00EA65B7"/>
    <w:rsid w:val="00EB322D"/>
    <w:rsid w:val="00ED239D"/>
    <w:rsid w:val="00EF0631"/>
    <w:rsid w:val="00F10FBA"/>
    <w:rsid w:val="00F11180"/>
    <w:rsid w:val="00F30165"/>
    <w:rsid w:val="00F84FDB"/>
    <w:rsid w:val="00F85115"/>
    <w:rsid w:val="00FA2EA2"/>
    <w:rsid w:val="00FA4556"/>
    <w:rsid w:val="00FB11AE"/>
    <w:rsid w:val="00FB1E32"/>
    <w:rsid w:val="00FB5AA3"/>
    <w:rsid w:val="00FB7031"/>
    <w:rsid w:val="00FB7288"/>
    <w:rsid w:val="00FC3575"/>
    <w:rsid w:val="00FC5DF8"/>
    <w:rsid w:val="00FC7FFC"/>
    <w:rsid w:val="00FD0F41"/>
    <w:rsid w:val="00FE0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A78"/>
    <w:rPr>
      <w:sz w:val="24"/>
      <w:szCs w:val="24"/>
    </w:rPr>
  </w:style>
  <w:style w:type="paragraph" w:styleId="Heading1">
    <w:name w:val="heading 1"/>
    <w:aliases w:val="H1-Sec.Head"/>
    <w:basedOn w:val="Normal"/>
    <w:next w:val="P1-StandPara"/>
    <w:link w:val="Heading1Char"/>
    <w:qFormat/>
    <w:rsid w:val="00FB1E32"/>
    <w:pPr>
      <w:keepNext/>
      <w:tabs>
        <w:tab w:val="left" w:pos="1152"/>
      </w:tabs>
      <w:spacing w:after="360" w:line="360" w:lineRule="atLeast"/>
      <w:ind w:left="576" w:hanging="576"/>
      <w:jc w:val="both"/>
      <w:outlineLvl w:val="0"/>
    </w:pPr>
    <w:rPr>
      <w:szCs w:val="20"/>
    </w:rPr>
  </w:style>
  <w:style w:type="paragraph" w:styleId="Heading3">
    <w:name w:val="heading 3"/>
    <w:basedOn w:val="Normal"/>
    <w:next w:val="Normal"/>
    <w:link w:val="Heading3Char"/>
    <w:qFormat/>
    <w:rsid w:val="00FB1E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266A0"/>
    <w:pPr>
      <w:widowControl w:val="0"/>
      <w:numPr>
        <w:numId w:val="1"/>
      </w:numPr>
      <w:outlineLvl w:val="0"/>
    </w:pPr>
    <w:rPr>
      <w:snapToGrid w:val="0"/>
      <w:szCs w:val="20"/>
    </w:rPr>
  </w:style>
  <w:style w:type="paragraph" w:styleId="Footer">
    <w:name w:val="footer"/>
    <w:basedOn w:val="Normal"/>
    <w:rsid w:val="00CE581D"/>
    <w:pPr>
      <w:widowControl w:val="0"/>
      <w:tabs>
        <w:tab w:val="center" w:pos="4320"/>
        <w:tab w:val="right" w:pos="8640"/>
      </w:tabs>
    </w:pPr>
    <w:rPr>
      <w:snapToGrid w:val="0"/>
      <w:szCs w:val="20"/>
    </w:rPr>
  </w:style>
  <w:style w:type="character" w:styleId="PageNumber">
    <w:name w:val="page number"/>
    <w:basedOn w:val="DefaultParagraphFont"/>
    <w:rsid w:val="00CE581D"/>
  </w:style>
  <w:style w:type="character" w:customStyle="1" w:styleId="Heading1Char">
    <w:name w:val="Heading 1 Char"/>
    <w:aliases w:val="H1-Sec.Head Char"/>
    <w:basedOn w:val="DefaultParagraphFont"/>
    <w:link w:val="Heading1"/>
    <w:rsid w:val="00FB1E32"/>
    <w:rPr>
      <w:sz w:val="24"/>
    </w:rPr>
  </w:style>
  <w:style w:type="paragraph" w:customStyle="1" w:styleId="P1-StandPara">
    <w:name w:val="P1-Stand Para"/>
    <w:rsid w:val="00FB1E32"/>
    <w:pPr>
      <w:spacing w:line="360" w:lineRule="atLeast"/>
      <w:ind w:firstLine="1152"/>
      <w:jc w:val="both"/>
    </w:pPr>
    <w:rPr>
      <w:sz w:val="24"/>
    </w:rPr>
  </w:style>
  <w:style w:type="paragraph" w:customStyle="1" w:styleId="C1-CtrBoldHd">
    <w:name w:val="C1-Ctr BoldHd"/>
    <w:rsid w:val="00FB1E32"/>
    <w:pPr>
      <w:keepNext/>
      <w:spacing w:after="720" w:line="240" w:lineRule="atLeast"/>
      <w:jc w:val="center"/>
    </w:pPr>
    <w:rPr>
      <w:b/>
      <w:caps/>
      <w:sz w:val="24"/>
    </w:rPr>
  </w:style>
  <w:style w:type="paragraph" w:styleId="FootnoteText">
    <w:name w:val="footnote text"/>
    <w:aliases w:val="F1"/>
    <w:link w:val="FootnoteTextChar"/>
    <w:rsid w:val="00FB1E32"/>
    <w:pPr>
      <w:tabs>
        <w:tab w:val="left" w:pos="120"/>
      </w:tabs>
      <w:spacing w:before="120" w:line="200" w:lineRule="atLeast"/>
      <w:ind w:left="115" w:hanging="115"/>
      <w:jc w:val="both"/>
    </w:pPr>
    <w:rPr>
      <w:sz w:val="18"/>
    </w:rPr>
  </w:style>
  <w:style w:type="character" w:customStyle="1" w:styleId="FootnoteTextChar">
    <w:name w:val="Footnote Text Char"/>
    <w:aliases w:val="F1 Char"/>
    <w:basedOn w:val="DefaultParagraphFont"/>
    <w:link w:val="FootnoteText"/>
    <w:rsid w:val="00FB1E32"/>
    <w:rPr>
      <w:sz w:val="18"/>
      <w:lang w:val="en-US" w:eastAsia="en-US" w:bidi="ar-SA"/>
    </w:rPr>
  </w:style>
  <w:style w:type="paragraph" w:customStyle="1" w:styleId="SP-SglSpPara">
    <w:name w:val="SP-Sgl Sp Para"/>
    <w:rsid w:val="00FB1E32"/>
    <w:pPr>
      <w:tabs>
        <w:tab w:val="left" w:pos="576"/>
      </w:tabs>
      <w:spacing w:line="240" w:lineRule="atLeast"/>
      <w:ind w:firstLine="576"/>
      <w:jc w:val="both"/>
    </w:pPr>
    <w:rPr>
      <w:sz w:val="24"/>
    </w:rPr>
  </w:style>
  <w:style w:type="paragraph" w:customStyle="1" w:styleId="TT-TableTitle">
    <w:name w:val="TT-Table Title"/>
    <w:rsid w:val="00FB1E32"/>
    <w:pPr>
      <w:tabs>
        <w:tab w:val="left" w:pos="1152"/>
      </w:tabs>
      <w:spacing w:line="240" w:lineRule="atLeast"/>
      <w:ind w:left="1152" w:hanging="1152"/>
    </w:pPr>
    <w:rPr>
      <w:sz w:val="24"/>
    </w:rPr>
  </w:style>
  <w:style w:type="character" w:styleId="FootnoteReference">
    <w:name w:val="footnote reference"/>
    <w:rsid w:val="00FB1E32"/>
  </w:style>
  <w:style w:type="character" w:customStyle="1" w:styleId="Heading3Char">
    <w:name w:val="Heading 3 Char"/>
    <w:basedOn w:val="DefaultParagraphFont"/>
    <w:link w:val="Heading3"/>
    <w:rsid w:val="00FB1E32"/>
    <w:rPr>
      <w:rFonts w:ascii="Arial" w:hAnsi="Arial" w:cs="Arial"/>
      <w:b/>
      <w:bCs/>
      <w:sz w:val="26"/>
      <w:szCs w:val="26"/>
    </w:rPr>
  </w:style>
  <w:style w:type="character" w:styleId="Hyperlink">
    <w:name w:val="Hyperlink"/>
    <w:basedOn w:val="DefaultParagraphFont"/>
    <w:rsid w:val="00FB1E32"/>
    <w:rPr>
      <w:color w:val="0000FF"/>
      <w:u w:val="single"/>
    </w:rPr>
  </w:style>
  <w:style w:type="paragraph" w:customStyle="1" w:styleId="a">
    <w:name w:val="_"/>
    <w:rsid w:val="00FB1E32"/>
    <w:pPr>
      <w:widowControl w:val="0"/>
      <w:ind w:left="720"/>
    </w:pPr>
    <w:rPr>
      <w:snapToGrid w:val="0"/>
      <w:sz w:val="24"/>
    </w:rPr>
  </w:style>
  <w:style w:type="paragraph" w:styleId="BodyTextIndent">
    <w:name w:val="Body Text Indent"/>
    <w:basedOn w:val="Normal"/>
    <w:link w:val="BodyTextIndentChar"/>
    <w:rsid w:val="00FB1E32"/>
    <w:pPr>
      <w:spacing w:after="120"/>
      <w:ind w:left="360"/>
    </w:pPr>
    <w:rPr>
      <w:rFonts w:ascii="Courier New" w:hAnsi="Courier New"/>
      <w:sz w:val="20"/>
      <w:szCs w:val="20"/>
    </w:rPr>
  </w:style>
  <w:style w:type="character" w:customStyle="1" w:styleId="BodyTextIndentChar">
    <w:name w:val="Body Text Indent Char"/>
    <w:basedOn w:val="DefaultParagraphFont"/>
    <w:link w:val="BodyTextIndent"/>
    <w:rsid w:val="00FB1E32"/>
    <w:rPr>
      <w:rFonts w:ascii="Courier New" w:hAnsi="Courier New"/>
    </w:rPr>
  </w:style>
  <w:style w:type="character" w:customStyle="1" w:styleId="Hypertext">
    <w:name w:val="Hypertext"/>
    <w:rsid w:val="00FB1E32"/>
    <w:rPr>
      <w:color w:val="0000FF"/>
      <w:u w:val="single"/>
    </w:rPr>
  </w:style>
  <w:style w:type="paragraph" w:styleId="BodyTextIndent2">
    <w:name w:val="Body Text Indent 2"/>
    <w:basedOn w:val="Normal"/>
    <w:link w:val="BodyTextIndent2Char"/>
    <w:rsid w:val="00FB1E32"/>
    <w:pPr>
      <w:spacing w:after="120" w:line="480" w:lineRule="auto"/>
      <w:ind w:left="360"/>
    </w:pPr>
    <w:rPr>
      <w:rFonts w:ascii="Courier New" w:hAnsi="Courier New"/>
      <w:sz w:val="20"/>
      <w:szCs w:val="20"/>
    </w:rPr>
  </w:style>
  <w:style w:type="character" w:customStyle="1" w:styleId="BodyTextIndent2Char">
    <w:name w:val="Body Text Indent 2 Char"/>
    <w:basedOn w:val="DefaultParagraphFont"/>
    <w:link w:val="BodyTextIndent2"/>
    <w:rsid w:val="00FB1E32"/>
    <w:rPr>
      <w:rFonts w:ascii="Courier New" w:hAnsi="Courier New"/>
    </w:rPr>
  </w:style>
  <w:style w:type="character" w:styleId="CommentReference">
    <w:name w:val="annotation reference"/>
    <w:basedOn w:val="DefaultParagraphFont"/>
    <w:rsid w:val="007F7027"/>
    <w:rPr>
      <w:sz w:val="16"/>
      <w:szCs w:val="16"/>
    </w:rPr>
  </w:style>
  <w:style w:type="paragraph" w:styleId="CommentText">
    <w:name w:val="annotation text"/>
    <w:basedOn w:val="Normal"/>
    <w:link w:val="CommentTextChar"/>
    <w:rsid w:val="007F7027"/>
    <w:rPr>
      <w:sz w:val="20"/>
      <w:szCs w:val="20"/>
    </w:rPr>
  </w:style>
  <w:style w:type="character" w:customStyle="1" w:styleId="CommentTextChar">
    <w:name w:val="Comment Text Char"/>
    <w:basedOn w:val="DefaultParagraphFont"/>
    <w:link w:val="CommentText"/>
    <w:rsid w:val="007F7027"/>
  </w:style>
  <w:style w:type="paragraph" w:styleId="CommentSubject">
    <w:name w:val="annotation subject"/>
    <w:basedOn w:val="CommentText"/>
    <w:next w:val="CommentText"/>
    <w:link w:val="CommentSubjectChar"/>
    <w:rsid w:val="007F7027"/>
    <w:rPr>
      <w:b/>
      <w:bCs/>
    </w:rPr>
  </w:style>
  <w:style w:type="character" w:customStyle="1" w:styleId="CommentSubjectChar">
    <w:name w:val="Comment Subject Char"/>
    <w:basedOn w:val="CommentTextChar"/>
    <w:link w:val="CommentSubject"/>
    <w:rsid w:val="007F7027"/>
    <w:rPr>
      <w:b/>
      <w:bCs/>
    </w:rPr>
  </w:style>
  <w:style w:type="paragraph" w:styleId="BalloonText">
    <w:name w:val="Balloon Text"/>
    <w:basedOn w:val="Normal"/>
    <w:link w:val="BalloonTextChar"/>
    <w:rsid w:val="007F7027"/>
    <w:rPr>
      <w:rFonts w:ascii="Tahoma" w:hAnsi="Tahoma" w:cs="Tahoma"/>
      <w:sz w:val="16"/>
      <w:szCs w:val="16"/>
    </w:rPr>
  </w:style>
  <w:style w:type="character" w:customStyle="1" w:styleId="BalloonTextChar">
    <w:name w:val="Balloon Text Char"/>
    <w:basedOn w:val="DefaultParagraphFont"/>
    <w:link w:val="BalloonText"/>
    <w:rsid w:val="007F7027"/>
    <w:rPr>
      <w:rFonts w:ascii="Tahoma" w:hAnsi="Tahoma" w:cs="Tahoma"/>
      <w:sz w:val="16"/>
      <w:szCs w:val="16"/>
    </w:rPr>
  </w:style>
  <w:style w:type="paragraph" w:styleId="Header">
    <w:name w:val="header"/>
    <w:basedOn w:val="Normal"/>
    <w:link w:val="HeaderChar"/>
    <w:rsid w:val="007F7027"/>
    <w:pPr>
      <w:tabs>
        <w:tab w:val="center" w:pos="4320"/>
        <w:tab w:val="right" w:pos="8640"/>
      </w:tabs>
      <w:spacing w:line="480" w:lineRule="auto"/>
    </w:pPr>
    <w:rPr>
      <w:rFonts w:ascii="CG Times (W1)" w:hAnsi="CG Times (W1)"/>
      <w:sz w:val="22"/>
      <w:szCs w:val="20"/>
    </w:rPr>
  </w:style>
  <w:style w:type="character" w:customStyle="1" w:styleId="HeaderChar">
    <w:name w:val="Header Char"/>
    <w:basedOn w:val="DefaultParagraphFont"/>
    <w:link w:val="Header"/>
    <w:rsid w:val="007F7027"/>
    <w:rPr>
      <w:rFonts w:ascii="CG Times (W1)" w:hAnsi="CG Times (W1)"/>
      <w:sz w:val="22"/>
    </w:rPr>
  </w:style>
  <w:style w:type="character" w:customStyle="1" w:styleId="2ndminor">
    <w:name w:val="2ndminor"/>
    <w:rsid w:val="007F7027"/>
    <w:rPr>
      <w:rFonts w:ascii="Times New Roman" w:hAnsi="Times New Roman"/>
      <w:color w:val="000000"/>
      <w:sz w:val="20"/>
    </w:rPr>
  </w:style>
  <w:style w:type="paragraph" w:styleId="Revision">
    <w:name w:val="Revision"/>
    <w:hidden/>
    <w:uiPriority w:val="99"/>
    <w:semiHidden/>
    <w:rsid w:val="005F6596"/>
    <w:rPr>
      <w:sz w:val="24"/>
      <w:szCs w:val="24"/>
    </w:rPr>
  </w:style>
  <w:style w:type="paragraph" w:styleId="ListParagraph">
    <w:name w:val="List Paragraph"/>
    <w:basedOn w:val="Normal"/>
    <w:uiPriority w:val="34"/>
    <w:qFormat/>
    <w:rsid w:val="00880325"/>
    <w:pPr>
      <w:ind w:left="720"/>
    </w:pPr>
    <w:rPr>
      <w:rFonts w:eastAsia="Calibri"/>
    </w:rPr>
  </w:style>
  <w:style w:type="paragraph" w:styleId="NoSpacing">
    <w:name w:val="No Spacing"/>
    <w:uiPriority w:val="1"/>
    <w:qFormat/>
    <w:rsid w:val="007D5D30"/>
    <w:rPr>
      <w:sz w:val="24"/>
      <w:szCs w:val="24"/>
    </w:rPr>
  </w:style>
</w:styles>
</file>

<file path=word/webSettings.xml><?xml version="1.0" encoding="utf-8"?>
<w:webSettings xmlns:r="http://schemas.openxmlformats.org/officeDocument/2006/relationships" xmlns:w="http://schemas.openxmlformats.org/wordprocessingml/2006/main">
  <w:divs>
    <w:div w:id="391543401">
      <w:bodyDiv w:val="1"/>
      <w:marLeft w:val="0"/>
      <w:marRight w:val="0"/>
      <w:marTop w:val="0"/>
      <w:marBottom w:val="0"/>
      <w:divBdr>
        <w:top w:val="none" w:sz="0" w:space="0" w:color="auto"/>
        <w:left w:val="none" w:sz="0" w:space="0" w:color="auto"/>
        <w:bottom w:val="none" w:sz="0" w:space="0" w:color="auto"/>
        <w:right w:val="none" w:sz="0" w:space="0" w:color="auto"/>
      </w:divBdr>
      <w:divsChild>
        <w:div w:id="1917476584">
          <w:marLeft w:val="0"/>
          <w:marRight w:val="0"/>
          <w:marTop w:val="100"/>
          <w:marBottom w:val="100"/>
          <w:divBdr>
            <w:top w:val="none" w:sz="0" w:space="0" w:color="auto"/>
            <w:left w:val="none" w:sz="0" w:space="0" w:color="auto"/>
            <w:bottom w:val="none" w:sz="0" w:space="0" w:color="auto"/>
            <w:right w:val="none" w:sz="0" w:space="0" w:color="auto"/>
          </w:divBdr>
          <w:divsChild>
            <w:div w:id="68310115">
              <w:marLeft w:val="0"/>
              <w:marRight w:val="0"/>
              <w:marTop w:val="0"/>
              <w:marBottom w:val="0"/>
              <w:divBdr>
                <w:top w:val="none" w:sz="0" w:space="0" w:color="auto"/>
                <w:left w:val="none" w:sz="0" w:space="0" w:color="auto"/>
                <w:bottom w:val="none" w:sz="0" w:space="0" w:color="auto"/>
                <w:right w:val="none" w:sz="0" w:space="0" w:color="auto"/>
              </w:divBdr>
              <w:divsChild>
                <w:div w:id="15761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7284">
      <w:bodyDiv w:val="1"/>
      <w:marLeft w:val="0"/>
      <w:marRight w:val="0"/>
      <w:marTop w:val="0"/>
      <w:marBottom w:val="0"/>
      <w:divBdr>
        <w:top w:val="none" w:sz="0" w:space="0" w:color="auto"/>
        <w:left w:val="none" w:sz="0" w:space="0" w:color="auto"/>
        <w:bottom w:val="none" w:sz="0" w:space="0" w:color="auto"/>
        <w:right w:val="none" w:sz="0" w:space="0" w:color="auto"/>
      </w:divBdr>
    </w:div>
    <w:div w:id="476071228">
      <w:bodyDiv w:val="1"/>
      <w:marLeft w:val="0"/>
      <w:marRight w:val="0"/>
      <w:marTop w:val="0"/>
      <w:marBottom w:val="0"/>
      <w:divBdr>
        <w:top w:val="none" w:sz="0" w:space="0" w:color="auto"/>
        <w:left w:val="none" w:sz="0" w:space="0" w:color="auto"/>
        <w:bottom w:val="none" w:sz="0" w:space="0" w:color="auto"/>
        <w:right w:val="none" w:sz="0" w:space="0" w:color="auto"/>
      </w:divBdr>
    </w:div>
    <w:div w:id="882904593">
      <w:bodyDiv w:val="1"/>
      <w:marLeft w:val="0"/>
      <w:marRight w:val="0"/>
      <w:marTop w:val="0"/>
      <w:marBottom w:val="0"/>
      <w:divBdr>
        <w:top w:val="none" w:sz="0" w:space="0" w:color="auto"/>
        <w:left w:val="none" w:sz="0" w:space="0" w:color="auto"/>
        <w:bottom w:val="none" w:sz="0" w:space="0" w:color="auto"/>
        <w:right w:val="none" w:sz="0" w:space="0" w:color="auto"/>
      </w:divBdr>
    </w:div>
    <w:div w:id="983973764">
      <w:bodyDiv w:val="1"/>
      <w:marLeft w:val="0"/>
      <w:marRight w:val="0"/>
      <w:marTop w:val="0"/>
      <w:marBottom w:val="0"/>
      <w:divBdr>
        <w:top w:val="none" w:sz="0" w:space="0" w:color="auto"/>
        <w:left w:val="none" w:sz="0" w:space="0" w:color="auto"/>
        <w:bottom w:val="none" w:sz="0" w:space="0" w:color="auto"/>
        <w:right w:val="none" w:sz="0" w:space="0" w:color="auto"/>
      </w:divBdr>
    </w:div>
    <w:div w:id="1240359834">
      <w:bodyDiv w:val="1"/>
      <w:marLeft w:val="0"/>
      <w:marRight w:val="0"/>
      <w:marTop w:val="0"/>
      <w:marBottom w:val="0"/>
      <w:divBdr>
        <w:top w:val="none" w:sz="0" w:space="0" w:color="auto"/>
        <w:left w:val="none" w:sz="0" w:space="0" w:color="auto"/>
        <w:bottom w:val="none" w:sz="0" w:space="0" w:color="auto"/>
        <w:right w:val="none" w:sz="0" w:space="0" w:color="auto"/>
      </w:divBdr>
    </w:div>
    <w:div w:id="1275136000">
      <w:bodyDiv w:val="1"/>
      <w:marLeft w:val="0"/>
      <w:marRight w:val="0"/>
      <w:marTop w:val="0"/>
      <w:marBottom w:val="0"/>
      <w:divBdr>
        <w:top w:val="none" w:sz="0" w:space="0" w:color="auto"/>
        <w:left w:val="none" w:sz="0" w:space="0" w:color="auto"/>
        <w:bottom w:val="none" w:sz="0" w:space="0" w:color="auto"/>
        <w:right w:val="none" w:sz="0" w:space="0" w:color="auto"/>
      </w:divBdr>
    </w:div>
    <w:div w:id="1278215538">
      <w:bodyDiv w:val="1"/>
      <w:marLeft w:val="0"/>
      <w:marRight w:val="0"/>
      <w:marTop w:val="0"/>
      <w:marBottom w:val="0"/>
      <w:divBdr>
        <w:top w:val="none" w:sz="0" w:space="0" w:color="auto"/>
        <w:left w:val="none" w:sz="0" w:space="0" w:color="auto"/>
        <w:bottom w:val="none" w:sz="0" w:space="0" w:color="auto"/>
        <w:right w:val="none" w:sz="0" w:space="0" w:color="auto"/>
      </w:divBdr>
    </w:div>
    <w:div w:id="1384452356">
      <w:bodyDiv w:val="1"/>
      <w:marLeft w:val="0"/>
      <w:marRight w:val="0"/>
      <w:marTop w:val="0"/>
      <w:marBottom w:val="0"/>
      <w:divBdr>
        <w:top w:val="none" w:sz="0" w:space="0" w:color="auto"/>
        <w:left w:val="none" w:sz="0" w:space="0" w:color="auto"/>
        <w:bottom w:val="none" w:sz="0" w:space="0" w:color="auto"/>
        <w:right w:val="none" w:sz="0" w:space="0" w:color="auto"/>
      </w:divBdr>
      <w:divsChild>
        <w:div w:id="723721977">
          <w:marLeft w:val="0"/>
          <w:marRight w:val="0"/>
          <w:marTop w:val="0"/>
          <w:marBottom w:val="0"/>
          <w:divBdr>
            <w:top w:val="none" w:sz="0" w:space="0" w:color="auto"/>
            <w:left w:val="none" w:sz="0" w:space="0" w:color="auto"/>
            <w:bottom w:val="none" w:sz="0" w:space="0" w:color="auto"/>
            <w:right w:val="none" w:sz="0" w:space="0" w:color="auto"/>
          </w:divBdr>
          <w:divsChild>
            <w:div w:id="906107974">
              <w:marLeft w:val="0"/>
              <w:marRight w:val="0"/>
              <w:marTop w:val="0"/>
              <w:marBottom w:val="0"/>
              <w:divBdr>
                <w:top w:val="none" w:sz="0" w:space="0" w:color="auto"/>
                <w:left w:val="none" w:sz="0" w:space="0" w:color="auto"/>
                <w:bottom w:val="none" w:sz="0" w:space="0" w:color="auto"/>
                <w:right w:val="none" w:sz="0" w:space="0" w:color="auto"/>
              </w:divBdr>
              <w:divsChild>
                <w:div w:id="1164710778">
                  <w:marLeft w:val="0"/>
                  <w:marRight w:val="0"/>
                  <w:marTop w:val="0"/>
                  <w:marBottom w:val="0"/>
                  <w:divBdr>
                    <w:top w:val="none" w:sz="0" w:space="0" w:color="auto"/>
                    <w:left w:val="none" w:sz="0" w:space="0" w:color="auto"/>
                    <w:bottom w:val="none" w:sz="0" w:space="0" w:color="auto"/>
                    <w:right w:val="none" w:sz="0" w:space="0" w:color="auto"/>
                  </w:divBdr>
                  <w:divsChild>
                    <w:div w:id="1689405603">
                      <w:marLeft w:val="0"/>
                      <w:marRight w:val="0"/>
                      <w:marTop w:val="0"/>
                      <w:marBottom w:val="0"/>
                      <w:divBdr>
                        <w:top w:val="none" w:sz="0" w:space="0" w:color="auto"/>
                        <w:left w:val="none" w:sz="0" w:space="0" w:color="auto"/>
                        <w:bottom w:val="none" w:sz="0" w:space="0" w:color="auto"/>
                        <w:right w:val="none" w:sz="0" w:space="0" w:color="auto"/>
                      </w:divBdr>
                      <w:divsChild>
                        <w:div w:id="34429160">
                          <w:marLeft w:val="0"/>
                          <w:marRight w:val="0"/>
                          <w:marTop w:val="0"/>
                          <w:marBottom w:val="0"/>
                          <w:divBdr>
                            <w:top w:val="none" w:sz="0" w:space="0" w:color="auto"/>
                            <w:left w:val="none" w:sz="0" w:space="0" w:color="auto"/>
                            <w:bottom w:val="none" w:sz="0" w:space="0" w:color="auto"/>
                            <w:right w:val="none" w:sz="0" w:space="0" w:color="auto"/>
                          </w:divBdr>
                          <w:divsChild>
                            <w:div w:id="1658267981">
                              <w:marLeft w:val="0"/>
                              <w:marRight w:val="0"/>
                              <w:marTop w:val="0"/>
                              <w:marBottom w:val="0"/>
                              <w:divBdr>
                                <w:top w:val="none" w:sz="0" w:space="0" w:color="auto"/>
                                <w:left w:val="none" w:sz="0" w:space="0" w:color="auto"/>
                                <w:bottom w:val="none" w:sz="0" w:space="0" w:color="auto"/>
                                <w:right w:val="none" w:sz="0" w:space="0" w:color="auto"/>
                              </w:divBdr>
                              <w:divsChild>
                                <w:div w:id="1263490140">
                                  <w:marLeft w:val="0"/>
                                  <w:marRight w:val="0"/>
                                  <w:marTop w:val="0"/>
                                  <w:marBottom w:val="0"/>
                                  <w:divBdr>
                                    <w:top w:val="none" w:sz="0" w:space="0" w:color="auto"/>
                                    <w:left w:val="none" w:sz="0" w:space="0" w:color="auto"/>
                                    <w:bottom w:val="none" w:sz="0" w:space="0" w:color="auto"/>
                                    <w:right w:val="none" w:sz="0" w:space="0" w:color="auto"/>
                                  </w:divBdr>
                                  <w:divsChild>
                                    <w:div w:id="3393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895446">
      <w:bodyDiv w:val="1"/>
      <w:marLeft w:val="0"/>
      <w:marRight w:val="0"/>
      <w:marTop w:val="0"/>
      <w:marBottom w:val="0"/>
      <w:divBdr>
        <w:top w:val="none" w:sz="0" w:space="0" w:color="auto"/>
        <w:left w:val="none" w:sz="0" w:space="0" w:color="auto"/>
        <w:bottom w:val="none" w:sz="0" w:space="0" w:color="auto"/>
        <w:right w:val="none" w:sz="0" w:space="0" w:color="auto"/>
      </w:divBdr>
    </w:div>
    <w:div w:id="1430350876">
      <w:bodyDiv w:val="1"/>
      <w:marLeft w:val="0"/>
      <w:marRight w:val="0"/>
      <w:marTop w:val="0"/>
      <w:marBottom w:val="0"/>
      <w:divBdr>
        <w:top w:val="none" w:sz="0" w:space="0" w:color="auto"/>
        <w:left w:val="none" w:sz="0" w:space="0" w:color="auto"/>
        <w:bottom w:val="none" w:sz="0" w:space="0" w:color="auto"/>
        <w:right w:val="none" w:sz="0" w:space="0" w:color="auto"/>
      </w:divBdr>
      <w:divsChild>
        <w:div w:id="1261992317">
          <w:marLeft w:val="0"/>
          <w:marRight w:val="0"/>
          <w:marTop w:val="0"/>
          <w:marBottom w:val="0"/>
          <w:divBdr>
            <w:top w:val="none" w:sz="0" w:space="0" w:color="auto"/>
            <w:left w:val="none" w:sz="0" w:space="0" w:color="auto"/>
            <w:bottom w:val="none" w:sz="0" w:space="0" w:color="auto"/>
            <w:right w:val="none" w:sz="0" w:space="0" w:color="auto"/>
          </w:divBdr>
          <w:divsChild>
            <w:div w:id="1356540816">
              <w:marLeft w:val="0"/>
              <w:marRight w:val="0"/>
              <w:marTop w:val="0"/>
              <w:marBottom w:val="0"/>
              <w:divBdr>
                <w:top w:val="none" w:sz="0" w:space="0" w:color="auto"/>
                <w:left w:val="none" w:sz="0" w:space="0" w:color="auto"/>
                <w:bottom w:val="none" w:sz="0" w:space="0" w:color="auto"/>
                <w:right w:val="none" w:sz="0" w:space="0" w:color="auto"/>
              </w:divBdr>
              <w:divsChild>
                <w:div w:id="253629480">
                  <w:marLeft w:val="0"/>
                  <w:marRight w:val="0"/>
                  <w:marTop w:val="0"/>
                  <w:marBottom w:val="0"/>
                  <w:divBdr>
                    <w:top w:val="none" w:sz="0" w:space="0" w:color="auto"/>
                    <w:left w:val="none" w:sz="0" w:space="0" w:color="auto"/>
                    <w:bottom w:val="none" w:sz="0" w:space="0" w:color="auto"/>
                    <w:right w:val="none" w:sz="0" w:space="0" w:color="auto"/>
                  </w:divBdr>
                  <w:divsChild>
                    <w:div w:id="632322937">
                      <w:marLeft w:val="0"/>
                      <w:marRight w:val="0"/>
                      <w:marTop w:val="0"/>
                      <w:marBottom w:val="0"/>
                      <w:divBdr>
                        <w:top w:val="none" w:sz="0" w:space="0" w:color="auto"/>
                        <w:left w:val="none" w:sz="0" w:space="0" w:color="auto"/>
                        <w:bottom w:val="none" w:sz="0" w:space="0" w:color="auto"/>
                        <w:right w:val="none" w:sz="0" w:space="0" w:color="auto"/>
                      </w:divBdr>
                      <w:divsChild>
                        <w:div w:id="176777935">
                          <w:marLeft w:val="0"/>
                          <w:marRight w:val="0"/>
                          <w:marTop w:val="0"/>
                          <w:marBottom w:val="0"/>
                          <w:divBdr>
                            <w:top w:val="none" w:sz="0" w:space="0" w:color="auto"/>
                            <w:left w:val="none" w:sz="0" w:space="0" w:color="auto"/>
                            <w:bottom w:val="none" w:sz="0" w:space="0" w:color="auto"/>
                            <w:right w:val="none" w:sz="0" w:space="0" w:color="auto"/>
                          </w:divBdr>
                          <w:divsChild>
                            <w:div w:id="357780015">
                              <w:marLeft w:val="0"/>
                              <w:marRight w:val="0"/>
                              <w:marTop w:val="0"/>
                              <w:marBottom w:val="0"/>
                              <w:divBdr>
                                <w:top w:val="none" w:sz="0" w:space="0" w:color="auto"/>
                                <w:left w:val="none" w:sz="0" w:space="0" w:color="auto"/>
                                <w:bottom w:val="none" w:sz="0" w:space="0" w:color="auto"/>
                                <w:right w:val="none" w:sz="0" w:space="0" w:color="auto"/>
                              </w:divBdr>
                              <w:divsChild>
                                <w:div w:id="1131045">
                                  <w:marLeft w:val="0"/>
                                  <w:marRight w:val="0"/>
                                  <w:marTop w:val="0"/>
                                  <w:marBottom w:val="0"/>
                                  <w:divBdr>
                                    <w:top w:val="none" w:sz="0" w:space="0" w:color="auto"/>
                                    <w:left w:val="none" w:sz="0" w:space="0" w:color="auto"/>
                                    <w:bottom w:val="none" w:sz="0" w:space="0" w:color="auto"/>
                                    <w:right w:val="none" w:sz="0" w:space="0" w:color="auto"/>
                                  </w:divBdr>
                                  <w:divsChild>
                                    <w:div w:id="670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504483">
      <w:bodyDiv w:val="1"/>
      <w:marLeft w:val="0"/>
      <w:marRight w:val="0"/>
      <w:marTop w:val="0"/>
      <w:marBottom w:val="0"/>
      <w:divBdr>
        <w:top w:val="none" w:sz="0" w:space="0" w:color="auto"/>
        <w:left w:val="none" w:sz="0" w:space="0" w:color="auto"/>
        <w:bottom w:val="none" w:sz="0" w:space="0" w:color="auto"/>
        <w:right w:val="none" w:sz="0" w:space="0" w:color="auto"/>
      </w:divBdr>
    </w:div>
    <w:div w:id="1682317328">
      <w:bodyDiv w:val="1"/>
      <w:marLeft w:val="0"/>
      <w:marRight w:val="0"/>
      <w:marTop w:val="0"/>
      <w:marBottom w:val="0"/>
      <w:divBdr>
        <w:top w:val="none" w:sz="0" w:space="0" w:color="auto"/>
        <w:left w:val="none" w:sz="0" w:space="0" w:color="auto"/>
        <w:bottom w:val="none" w:sz="0" w:space="0" w:color="auto"/>
        <w:right w:val="none" w:sz="0" w:space="0" w:color="auto"/>
      </w:divBdr>
    </w:div>
    <w:div w:id="1944340624">
      <w:bodyDiv w:val="1"/>
      <w:marLeft w:val="0"/>
      <w:marRight w:val="0"/>
      <w:marTop w:val="0"/>
      <w:marBottom w:val="0"/>
      <w:divBdr>
        <w:top w:val="none" w:sz="0" w:space="0" w:color="auto"/>
        <w:left w:val="none" w:sz="0" w:space="0" w:color="auto"/>
        <w:bottom w:val="none" w:sz="0" w:space="0" w:color="auto"/>
        <w:right w:val="none" w:sz="0" w:space="0" w:color="auto"/>
      </w:divBdr>
    </w:div>
    <w:div w:id="20284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smith@Cayenneglobal.com" TargetMode="Externa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evin\AppData\Local\Microsoft\Windows\Temporary%20Internet%20Files\Content.Outlook\VYXCXR6F\Power%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evin\AppData\Local\Microsoft\Windows\Temporary%20Internet%20Files\Content.Outlook\VYXCXR6F\Power%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Minimum Power Curve for Various Sample Sizes</a:t>
            </a:r>
          </a:p>
        </c:rich>
      </c:tx>
    </c:title>
    <c:plotArea>
      <c:layout>
        <c:manualLayout>
          <c:layoutTarget val="inner"/>
          <c:xMode val="edge"/>
          <c:yMode val="edge"/>
          <c:x val="9.7650606174228452E-2"/>
          <c:y val="0.1298690094293769"/>
          <c:w val="0.88052399700037531"/>
          <c:h val="0.58843722659667552"/>
        </c:manualLayout>
      </c:layout>
      <c:lineChart>
        <c:grouping val="standard"/>
        <c:ser>
          <c:idx val="0"/>
          <c:order val="0"/>
          <c:tx>
            <c:strRef>
              <c:f>Sheet1!$J$9</c:f>
              <c:strCache>
                <c:ptCount val="1"/>
                <c:pt idx="0">
                  <c:v>100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Sheet1!$J$10:$J$19</c:f>
              <c:numCache>
                <c:formatCode>0.0%</c:formatCode>
                <c:ptCount val="10"/>
                <c:pt idx="0">
                  <c:v>0.27420248789296242</c:v>
                </c:pt>
                <c:pt idx="1">
                  <c:v>0.34452230289380598</c:v>
                </c:pt>
                <c:pt idx="2">
                  <c:v>0.42068087406760607</c:v>
                </c:pt>
                <c:pt idx="3">
                  <c:v>0.49993938229287194</c:v>
                </c:pt>
                <c:pt idx="4">
                  <c:v>0.57920029114016369</c:v>
                </c:pt>
                <c:pt idx="5">
                  <c:v>0.65536578271346368</c:v>
                </c:pt>
                <c:pt idx="6">
                  <c:v>0.72569624777680064</c:v>
                </c:pt>
                <c:pt idx="7">
                  <c:v>0.78810058125151949</c:v>
                </c:pt>
                <c:pt idx="8">
                  <c:v>0.84130797677724356</c:v>
                </c:pt>
                <c:pt idx="9">
                  <c:v>0.88490082128245751</c:v>
                </c:pt>
              </c:numCache>
            </c:numRef>
          </c:val>
        </c:ser>
        <c:ser>
          <c:idx val="1"/>
          <c:order val="1"/>
          <c:tx>
            <c:strRef>
              <c:f>Sheet1!$K$9</c:f>
              <c:strCache>
                <c:ptCount val="1"/>
                <c:pt idx="0">
                  <c:v>200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Sheet1!$K$10:$K$19</c:f>
              <c:numCache>
                <c:formatCode>0.0%</c:formatCode>
                <c:ptCount val="10"/>
                <c:pt idx="0">
                  <c:v>0.19801215076028883</c:v>
                </c:pt>
                <c:pt idx="1">
                  <c:v>0.28573077571141847</c:v>
                </c:pt>
                <c:pt idx="2">
                  <c:v>0.38856634289407188</c:v>
                </c:pt>
                <c:pt idx="3">
                  <c:v>0.49991427361678886</c:v>
                </c:pt>
                <c:pt idx="4">
                  <c:v>0.61126892709853464</c:v>
                </c:pt>
                <c:pt idx="5">
                  <c:v>0.71412312187821259</c:v>
                </c:pt>
                <c:pt idx="6">
                  <c:v>0.80186823070287572</c:v>
                </c:pt>
                <c:pt idx="7">
                  <c:v>0.87100527398625771</c:v>
                </c:pt>
                <c:pt idx="8">
                  <c:v>0.92131885470850361</c:v>
                </c:pt>
                <c:pt idx="9">
                  <c:v>0.95513667445112871</c:v>
                </c:pt>
              </c:numCache>
            </c:numRef>
          </c:val>
        </c:ser>
        <c:ser>
          <c:idx val="2"/>
          <c:order val="2"/>
          <c:tx>
            <c:strRef>
              <c:f>Sheet1!$L$9</c:f>
              <c:strCache>
                <c:ptCount val="1"/>
                <c:pt idx="0">
                  <c:v>300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Sheet1!$L$10:$L$19</c:f>
              <c:numCache>
                <c:formatCode>0.0%</c:formatCode>
                <c:ptCount val="10"/>
                <c:pt idx="0">
                  <c:v>0.1492876019069567</c:v>
                </c:pt>
                <c:pt idx="1">
                  <c:v>0.24412857546247121</c:v>
                </c:pt>
                <c:pt idx="2">
                  <c:v>0.36441837064203786</c:v>
                </c:pt>
                <c:pt idx="3">
                  <c:v>0.49989500705222301</c:v>
                </c:pt>
                <c:pt idx="4">
                  <c:v>0.63538387208870351</c:v>
                </c:pt>
                <c:pt idx="5">
                  <c:v>0.75570624378073914</c:v>
                </c:pt>
                <c:pt idx="6">
                  <c:v>0.85059002917786009</c:v>
                </c:pt>
                <c:pt idx="7">
                  <c:v>0.91703146144480263</c:v>
                </c:pt>
                <c:pt idx="8">
                  <c:v>0.95834430923467961</c:v>
                </c:pt>
                <c:pt idx="9">
                  <c:v>0.98115442724900914</c:v>
                </c:pt>
              </c:numCache>
            </c:numRef>
          </c:val>
        </c:ser>
        <c:ser>
          <c:idx val="3"/>
          <c:order val="3"/>
          <c:tx>
            <c:strRef>
              <c:f>Sheet1!$M$9</c:f>
              <c:strCache>
                <c:ptCount val="1"/>
                <c:pt idx="0">
                  <c:v>400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Sheet1!$M$10:$M$20</c:f>
              <c:numCache>
                <c:formatCode>0.0%</c:formatCode>
                <c:ptCount val="11"/>
                <c:pt idx="0">
                  <c:v>0.11501066936958725</c:v>
                </c:pt>
                <c:pt idx="1">
                  <c:v>0.21176737430547782</c:v>
                </c:pt>
                <c:pt idx="2">
                  <c:v>0.34446635080001048</c:v>
                </c:pt>
                <c:pt idx="3">
                  <c:v>0.49987876458714298</c:v>
                </c:pt>
                <c:pt idx="4">
                  <c:v>0.65530982041669938</c:v>
                </c:pt>
                <c:pt idx="5">
                  <c:v>0.7880565557361755</c:v>
                </c:pt>
                <c:pt idx="6">
                  <c:v>0.8848713074063761</c:v>
                </c:pt>
                <c:pt idx="7">
                  <c:v>0.94516699213733457</c:v>
                </c:pt>
                <c:pt idx="8">
                  <c:v>0.97723345563578512</c:v>
                </c:pt>
                <c:pt idx="9">
                  <c:v>0.99179565607188114</c:v>
                </c:pt>
              </c:numCache>
            </c:numRef>
          </c:val>
        </c:ser>
        <c:ser>
          <c:idx val="4"/>
          <c:order val="4"/>
          <c:tx>
            <c:strRef>
              <c:f>Sheet1!$N$9</c:f>
              <c:strCache>
                <c:ptCount val="1"/>
                <c:pt idx="0">
                  <c:v>500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Sheet1!$N$10:$N$19</c:f>
              <c:numCache>
                <c:formatCode>0.0%</c:formatCode>
                <c:ptCount val="10"/>
                <c:pt idx="0">
                  <c:v>8.9801151386641104E-2</c:v>
                </c:pt>
                <c:pt idx="1">
                  <c:v>0.18545583982600325</c:v>
                </c:pt>
                <c:pt idx="2">
                  <c:v>0.32723778585678032</c:v>
                </c:pt>
                <c:pt idx="3">
                  <c:v>0.49986445468830631</c:v>
                </c:pt>
                <c:pt idx="4">
                  <c:v>0.67251692120255557</c:v>
                </c:pt>
                <c:pt idx="5">
                  <c:v>0.81436244269205049</c:v>
                </c:pt>
                <c:pt idx="6">
                  <c:v>0.91008863138703244</c:v>
                </c:pt>
                <c:pt idx="7">
                  <c:v>0.96315349049535171</c:v>
                </c:pt>
                <c:pt idx="8">
                  <c:v>0.98731521019700186</c:v>
                </c:pt>
                <c:pt idx="9">
                  <c:v>0.9963511156629995</c:v>
                </c:pt>
              </c:numCache>
            </c:numRef>
          </c:val>
        </c:ser>
        <c:ser>
          <c:idx val="5"/>
          <c:order val="5"/>
          <c:tx>
            <c:strRef>
              <c:f>Sheet1!$O$9</c:f>
              <c:strCache>
                <c:ptCount val="1"/>
                <c:pt idx="0">
                  <c:v>600</c:v>
                </c:pt>
              </c:strCache>
            </c:strRef>
          </c:tx>
          <c:marker>
            <c:symbol val="none"/>
          </c:marker>
          <c:dLbls>
            <c:dLbl>
              <c:idx val="5"/>
              <c:delete val="1"/>
            </c:dLbl>
            <c:dLbl>
              <c:idx val="6"/>
              <c:spPr/>
              <c:txPr>
                <a:bodyPr/>
                <a:lstStyle/>
                <a:p>
                  <a:pPr>
                    <a:defRPr sz="1400" b="1"/>
                  </a:pPr>
                  <a:endParaRPr lang="en-US"/>
                </a:p>
              </c:txPr>
            </c:dLbl>
            <c:dLbl>
              <c:idx val="7"/>
              <c:delete val="1"/>
            </c:dLbl>
            <c:dLbl>
              <c:idx val="9"/>
              <c:delete val="1"/>
            </c:dLbl>
            <c:txPr>
              <a:bodyPr/>
              <a:lstStyle/>
              <a:p>
                <a:pPr>
                  <a:defRPr sz="1100" b="1"/>
                </a:pPr>
                <a:endParaRPr lang="en-US"/>
              </a:p>
            </c:txPr>
            <c:dLblPos val="ctr"/>
            <c:showVal val="1"/>
            <c:showSerName val="1"/>
          </c:dLbls>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Sheet1!$O$10:$O$19</c:f>
              <c:numCache>
                <c:formatCode>0.0%</c:formatCode>
                <c:ptCount val="10"/>
                <c:pt idx="0">
                  <c:v>7.0771934960845218E-2</c:v>
                </c:pt>
                <c:pt idx="1">
                  <c:v>0.16350157717239538</c:v>
                </c:pt>
                <c:pt idx="2">
                  <c:v>0.31197137727003316</c:v>
                </c:pt>
                <c:pt idx="3">
                  <c:v>0.49985151755101381</c:v>
                </c:pt>
                <c:pt idx="4">
                  <c:v>0.68776523849151028</c:v>
                </c:pt>
                <c:pt idx="5">
                  <c:v>0.83631466587671655</c:v>
                </c:pt>
                <c:pt idx="6">
                  <c:v>0.92912721708350221</c:v>
                </c:pt>
                <c:pt idx="7">
                  <c:v>0.97495646287458915</c:v>
                </c:pt>
                <c:pt idx="8">
                  <c:v>0.99283966490563536</c:v>
                </c:pt>
                <c:pt idx="9">
                  <c:v>0.99835371696817565</c:v>
                </c:pt>
              </c:numCache>
            </c:numRef>
          </c:val>
        </c:ser>
        <c:ser>
          <c:idx val="6"/>
          <c:order val="6"/>
          <c:tx>
            <c:strRef>
              <c:f>Sheet1!$P$9</c:f>
              <c:strCache>
                <c:ptCount val="1"/>
                <c:pt idx="0">
                  <c:v>750</c:v>
                </c:pt>
              </c:strCache>
            </c:strRef>
          </c:tx>
          <c:marker>
            <c:symbol val="none"/>
          </c:marker>
          <c:cat>
            <c:numRef>
              <c:f>Sheet1!$I$10:$I$19</c:f>
              <c:numCache>
                <c:formatCode>0%</c:formatCode>
                <c:ptCount val="10"/>
                <c:pt idx="0">
                  <c:v>1.0000000000000012E-2</c:v>
                </c:pt>
                <c:pt idx="1">
                  <c:v>2.0000000000000025E-2</c:v>
                </c:pt>
                <c:pt idx="2">
                  <c:v>3.0000000000000016E-2</c:v>
                </c:pt>
                <c:pt idx="3">
                  <c:v>4.0000000000000049E-2</c:v>
                </c:pt>
                <c:pt idx="4">
                  <c:v>5.0000000000000031E-2</c:v>
                </c:pt>
                <c:pt idx="5">
                  <c:v>6.0000000000000081E-2</c:v>
                </c:pt>
                <c:pt idx="6">
                  <c:v>7.0000000000000034E-2</c:v>
                </c:pt>
                <c:pt idx="7">
                  <c:v>8.0000000000000099E-2</c:v>
                </c:pt>
                <c:pt idx="8">
                  <c:v>9.0000000000000066E-2</c:v>
                </c:pt>
                <c:pt idx="9">
                  <c:v>0.1</c:v>
                </c:pt>
              </c:numCache>
            </c:numRef>
          </c:cat>
          <c:val>
            <c:numRef>
              <c:f>Sheet1!$P$10:$P$19</c:f>
              <c:numCache>
                <c:formatCode>0.0%</c:formatCode>
                <c:ptCount val="10"/>
                <c:pt idx="0">
                  <c:v>5.0131101873863826E-2</c:v>
                </c:pt>
                <c:pt idx="1">
                  <c:v>0.13656975255346046</c:v>
                </c:pt>
                <c:pt idx="2">
                  <c:v>0.29179834189256132</c:v>
                </c:pt>
                <c:pt idx="3">
                  <c:v>0.49983399157625924</c:v>
                </c:pt>
                <c:pt idx="4">
                  <c:v>0.70791588855602905</c:v>
                </c:pt>
                <c:pt idx="5">
                  <c:v>0.86324803273095185</c:v>
                </c:pt>
                <c:pt idx="6">
                  <c:v>0.94978282598534858</c:v>
                </c:pt>
                <c:pt idx="7">
                  <c:v>0.98575506473042951</c:v>
                </c:pt>
                <c:pt idx="8">
                  <c:v>0.99691114397039049</c:v>
                </c:pt>
                <c:pt idx="9">
                  <c:v>0.99949174922305206</c:v>
                </c:pt>
              </c:numCache>
            </c:numRef>
          </c:val>
        </c:ser>
        <c:ser>
          <c:idx val="7"/>
          <c:order val="7"/>
          <c:tx>
            <c:strRef>
              <c:f>Sheet1!$Q$9</c:f>
              <c:strCache>
                <c:ptCount val="1"/>
                <c:pt idx="0">
                  <c:v>1000</c:v>
                </c:pt>
              </c:strCache>
            </c:strRef>
          </c:tx>
          <c:marker>
            <c:symbol val="none"/>
          </c:marker>
          <c:val>
            <c:numRef>
              <c:f>Sheet1!$Q$10:$Q$19</c:f>
              <c:numCache>
                <c:formatCode>0.0%</c:formatCode>
                <c:ptCount val="10"/>
                <c:pt idx="0">
                  <c:v>2.8858113854897349E-2</c:v>
                </c:pt>
                <c:pt idx="1">
                  <c:v>0.10286549965991608</c:v>
                </c:pt>
                <c:pt idx="2">
                  <c:v>0.26338770976728137</c:v>
                </c:pt>
                <c:pt idx="3">
                  <c:v>0.49980830998557546</c:v>
                </c:pt>
                <c:pt idx="4">
                  <c:v>0.73629840520815282</c:v>
                </c:pt>
                <c:pt idx="5">
                  <c:v>0.89696223657825203</c:v>
                </c:pt>
                <c:pt idx="6">
                  <c:v>0.97107851384378951</c:v>
                </c:pt>
                <c:pt idx="7">
                  <c:v>0.99428616334855746</c:v>
                </c:pt>
                <c:pt idx="8">
                  <c:v>0.99921600629207852</c:v>
                </c:pt>
                <c:pt idx="9">
                  <c:v>0.99992595560123632</c:v>
                </c:pt>
              </c:numCache>
            </c:numRef>
          </c:val>
        </c:ser>
        <c:marker val="1"/>
        <c:axId val="87986560"/>
        <c:axId val="87988864"/>
      </c:lineChart>
      <c:catAx>
        <c:axId val="87986560"/>
        <c:scaling>
          <c:orientation val="minMax"/>
        </c:scaling>
        <c:axPos val="b"/>
        <c:title>
          <c:tx>
            <c:rich>
              <a:bodyPr/>
              <a:lstStyle/>
              <a:p>
                <a:pPr>
                  <a:defRPr/>
                </a:pPr>
                <a:r>
                  <a:rPr lang="en-US"/>
                  <a:t>Actual Difference</a:t>
                </a:r>
              </a:p>
            </c:rich>
          </c:tx>
          <c:layout>
            <c:manualLayout>
              <c:xMode val="edge"/>
              <c:yMode val="edge"/>
              <c:x val="0.44022924868766422"/>
              <c:y val="0.82238444152814261"/>
            </c:manualLayout>
          </c:layout>
        </c:title>
        <c:numFmt formatCode="0%" sourceLinked="1"/>
        <c:tickLblPos val="nextTo"/>
        <c:crossAx val="87988864"/>
        <c:crosses val="autoZero"/>
        <c:auto val="1"/>
        <c:lblAlgn val="ctr"/>
        <c:lblOffset val="100"/>
      </c:catAx>
      <c:valAx>
        <c:axId val="87988864"/>
        <c:scaling>
          <c:orientation val="minMax"/>
          <c:max val="1"/>
          <c:min val="0"/>
        </c:scaling>
        <c:axPos val="l"/>
        <c:title>
          <c:tx>
            <c:rich>
              <a:bodyPr rot="-5400000" vert="horz"/>
              <a:lstStyle/>
              <a:p>
                <a:pPr>
                  <a:defRPr/>
                </a:pPr>
                <a:r>
                  <a:rPr lang="en-US"/>
                  <a:t>Power</a:t>
                </a:r>
              </a:p>
            </c:rich>
          </c:tx>
        </c:title>
        <c:numFmt formatCode="0.00" sourceLinked="0"/>
        <c:tickLblPos val="nextTo"/>
        <c:crossAx val="8798656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Margin of Error by Observed Proportion for Various Confidence Levels (N=600)</a:t>
            </a:r>
          </a:p>
        </c:rich>
      </c:tx>
    </c:title>
    <c:plotArea>
      <c:layout>
        <c:manualLayout>
          <c:layoutTarget val="inner"/>
          <c:xMode val="edge"/>
          <c:yMode val="edge"/>
          <c:x val="0.10289363243657071"/>
          <c:y val="0.17792366579177601"/>
          <c:w val="0.87528092191601048"/>
          <c:h val="0.5306550743657058"/>
        </c:manualLayout>
      </c:layout>
      <c:lineChart>
        <c:grouping val="standard"/>
        <c:ser>
          <c:idx val="1"/>
          <c:order val="0"/>
          <c:tx>
            <c:strRef>
              <c:f>Sheet1!$A$6</c:f>
              <c:strCache>
                <c:ptCount val="1"/>
                <c:pt idx="0">
                  <c:v>95%</c:v>
                </c:pt>
              </c:strCache>
            </c:strRef>
          </c:tx>
          <c:marker>
            <c:symbol val="none"/>
          </c:marker>
          <c:cat>
            <c:numRef>
              <c:f>Sheet1!$B$5:$F$5</c:f>
              <c:numCache>
                <c:formatCode>General</c:formatCode>
                <c:ptCount val="5"/>
                <c:pt idx="0">
                  <c:v>0.5</c:v>
                </c:pt>
                <c:pt idx="1">
                  <c:v>0.60000000000000064</c:v>
                </c:pt>
                <c:pt idx="2">
                  <c:v>0.70000000000000062</c:v>
                </c:pt>
                <c:pt idx="3">
                  <c:v>0.8</c:v>
                </c:pt>
                <c:pt idx="4">
                  <c:v>0.9</c:v>
                </c:pt>
              </c:numCache>
            </c:numRef>
          </c:cat>
          <c:val>
            <c:numRef>
              <c:f>Sheet1!$B$6:$F$6</c:f>
              <c:numCache>
                <c:formatCode>0.0%</c:formatCode>
                <c:ptCount val="5"/>
                <c:pt idx="0">
                  <c:v>4.0007597302960912E-2</c:v>
                </c:pt>
                <c:pt idx="1">
                  <c:v>3.919927969080108E-2</c:v>
                </c:pt>
                <c:pt idx="2">
                  <c:v>3.6667568602825953E-2</c:v>
                </c:pt>
                <c:pt idx="3">
                  <c:v>3.2006077842368773E-2</c:v>
                </c:pt>
                <c:pt idx="4">
                  <c:v>2.400455838177655E-2</c:v>
                </c:pt>
              </c:numCache>
            </c:numRef>
          </c:val>
        </c:ser>
        <c:ser>
          <c:idx val="0"/>
          <c:order val="1"/>
          <c:tx>
            <c:strRef>
              <c:f>Sheet1!$A$7</c:f>
              <c:strCache>
                <c:ptCount val="1"/>
                <c:pt idx="0">
                  <c:v>90%</c:v>
                </c:pt>
              </c:strCache>
            </c:strRef>
          </c:tx>
          <c:marker>
            <c:symbol val="none"/>
          </c:marker>
          <c:cat>
            <c:numRef>
              <c:f>Sheet1!$B$5:$F$5</c:f>
              <c:numCache>
                <c:formatCode>General</c:formatCode>
                <c:ptCount val="5"/>
                <c:pt idx="0">
                  <c:v>0.5</c:v>
                </c:pt>
                <c:pt idx="1">
                  <c:v>0.60000000000000064</c:v>
                </c:pt>
                <c:pt idx="2">
                  <c:v>0.70000000000000062</c:v>
                </c:pt>
                <c:pt idx="3">
                  <c:v>0.8</c:v>
                </c:pt>
                <c:pt idx="4">
                  <c:v>0.9</c:v>
                </c:pt>
              </c:numCache>
            </c:numRef>
          </c:cat>
          <c:val>
            <c:numRef>
              <c:f>Sheet1!$B$7:$F$7</c:f>
              <c:numCache>
                <c:formatCode>0.0%</c:formatCode>
                <c:ptCount val="5"/>
                <c:pt idx="0">
                  <c:v>3.3575434063311149E-2</c:v>
                </c:pt>
                <c:pt idx="1">
                  <c:v>3.2897072539029522E-2</c:v>
                </c:pt>
                <c:pt idx="2">
                  <c:v>3.0772393617224485E-2</c:v>
                </c:pt>
                <c:pt idx="3">
                  <c:v>2.6860347250648949E-2</c:v>
                </c:pt>
                <c:pt idx="4">
                  <c:v>2.014526043798669E-2</c:v>
                </c:pt>
              </c:numCache>
            </c:numRef>
          </c:val>
        </c:ser>
        <c:ser>
          <c:idx val="2"/>
          <c:order val="2"/>
          <c:tx>
            <c:strRef>
              <c:f>Sheet1!$A$8</c:f>
              <c:strCache>
                <c:ptCount val="1"/>
                <c:pt idx="0">
                  <c:v>85%</c:v>
                </c:pt>
              </c:strCache>
            </c:strRef>
          </c:tx>
          <c:marker>
            <c:symbol val="none"/>
          </c:marker>
          <c:cat>
            <c:numRef>
              <c:f>Sheet1!$B$5:$F$5</c:f>
              <c:numCache>
                <c:formatCode>General</c:formatCode>
                <c:ptCount val="5"/>
                <c:pt idx="0">
                  <c:v>0.5</c:v>
                </c:pt>
                <c:pt idx="1">
                  <c:v>0.60000000000000064</c:v>
                </c:pt>
                <c:pt idx="2">
                  <c:v>0.70000000000000062</c:v>
                </c:pt>
                <c:pt idx="3">
                  <c:v>0.8</c:v>
                </c:pt>
                <c:pt idx="4">
                  <c:v>0.9</c:v>
                </c:pt>
              </c:numCache>
            </c:numRef>
          </c:cat>
          <c:val>
            <c:numRef>
              <c:f>Sheet1!$B$8:$F$8</c:f>
              <c:numCache>
                <c:formatCode>0.0%</c:formatCode>
                <c:ptCount val="5"/>
                <c:pt idx="0">
                  <c:v>2.9384313103977752E-2</c:v>
                </c:pt>
                <c:pt idx="1">
                  <c:v>2.8790629418769156E-2</c:v>
                </c:pt>
                <c:pt idx="2">
                  <c:v>2.693116780865222E-2</c:v>
                </c:pt>
                <c:pt idx="3">
                  <c:v>2.3507450483182195E-2</c:v>
                </c:pt>
                <c:pt idx="4">
                  <c:v>1.7630587862386644E-2</c:v>
                </c:pt>
              </c:numCache>
            </c:numRef>
          </c:val>
        </c:ser>
        <c:ser>
          <c:idx val="3"/>
          <c:order val="3"/>
          <c:tx>
            <c:strRef>
              <c:f>Sheet1!$A$9</c:f>
              <c:strCache>
                <c:ptCount val="1"/>
                <c:pt idx="0">
                  <c:v>80%</c:v>
                </c:pt>
              </c:strCache>
            </c:strRef>
          </c:tx>
          <c:marker>
            <c:symbol val="none"/>
          </c:marker>
          <c:cat>
            <c:numRef>
              <c:f>Sheet1!$B$5:$F$5</c:f>
              <c:numCache>
                <c:formatCode>General</c:formatCode>
                <c:ptCount val="5"/>
                <c:pt idx="0">
                  <c:v>0.5</c:v>
                </c:pt>
                <c:pt idx="1">
                  <c:v>0.60000000000000064</c:v>
                </c:pt>
                <c:pt idx="2">
                  <c:v>0.70000000000000062</c:v>
                </c:pt>
                <c:pt idx="3">
                  <c:v>0.8</c:v>
                </c:pt>
                <c:pt idx="4">
                  <c:v>0.9</c:v>
                </c:pt>
              </c:numCache>
            </c:numRef>
          </c:cat>
          <c:val>
            <c:numRef>
              <c:f>Sheet1!$B$9:$F$9</c:f>
              <c:numCache>
                <c:formatCode>0.0%</c:formatCode>
                <c:ptCount val="5"/>
                <c:pt idx="0">
                  <c:v>2.6159561788743568E-2</c:v>
                </c:pt>
                <c:pt idx="1">
                  <c:v>2.5631031310892009E-2</c:v>
                </c:pt>
                <c:pt idx="2">
                  <c:v>2.3975634408758332E-2</c:v>
                </c:pt>
                <c:pt idx="3">
                  <c:v>2.0927649430994809E-2</c:v>
                </c:pt>
                <c:pt idx="4">
                  <c:v>1.5695737073246112E-2</c:v>
                </c:pt>
              </c:numCache>
            </c:numRef>
          </c:val>
        </c:ser>
        <c:marker val="1"/>
        <c:axId val="88234240"/>
        <c:axId val="88249472"/>
      </c:lineChart>
      <c:catAx>
        <c:axId val="88234240"/>
        <c:scaling>
          <c:orientation val="minMax"/>
        </c:scaling>
        <c:axPos val="b"/>
        <c:title>
          <c:tx>
            <c:rich>
              <a:bodyPr/>
              <a:lstStyle/>
              <a:p>
                <a:pPr>
                  <a:defRPr/>
                </a:pPr>
                <a:r>
                  <a:rPr lang="en-US"/>
                  <a:t>Observed Proportion</a:t>
                </a:r>
              </a:p>
            </c:rich>
          </c:tx>
        </c:title>
        <c:numFmt formatCode="General" sourceLinked="1"/>
        <c:tickLblPos val="nextTo"/>
        <c:crossAx val="88249472"/>
        <c:crosses val="autoZero"/>
        <c:auto val="1"/>
        <c:lblAlgn val="ctr"/>
        <c:lblOffset val="100"/>
      </c:catAx>
      <c:valAx>
        <c:axId val="88249472"/>
        <c:scaling>
          <c:orientation val="minMax"/>
        </c:scaling>
        <c:axPos val="l"/>
        <c:title>
          <c:tx>
            <c:rich>
              <a:bodyPr rot="-5400000" vert="horz"/>
              <a:lstStyle/>
              <a:p>
                <a:pPr>
                  <a:defRPr/>
                </a:pPr>
                <a:r>
                  <a:rPr lang="en-US"/>
                  <a:t>Margin of Error</a:t>
                </a:r>
              </a:p>
            </c:rich>
          </c:tx>
        </c:title>
        <c:numFmt formatCode="0.0%" sourceLinked="1"/>
        <c:tickLblPos val="nextTo"/>
        <c:crossAx val="88234240"/>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D9C6C-77CC-4BAD-8E20-D6762CE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2011-06-21T17:28:00Z</dcterms:created>
  <dcterms:modified xsi:type="dcterms:W3CDTF">2011-06-23T17:50:00Z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