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12" w:rsidRPr="008C7633" w:rsidRDefault="00EE006A" w:rsidP="00001DFA">
      <w:pPr>
        <w:pStyle w:val="Level1"/>
        <w:autoSpaceDE/>
        <w:autoSpaceDN/>
        <w:adjustRightInd/>
        <w:ind w:left="0"/>
        <w:rPr>
          <w:b/>
          <w:sz w:val="22"/>
          <w:szCs w:val="22"/>
          <w:u w:val="single"/>
        </w:rPr>
      </w:pPr>
      <w:r w:rsidRPr="00001DFA">
        <w:rPr>
          <w:b/>
          <w:sz w:val="28"/>
          <w:szCs w:val="28"/>
          <w:u w:val="single"/>
        </w:rPr>
        <w:t xml:space="preserve">OMB </w:t>
      </w:r>
      <w:r w:rsidR="00397D0F" w:rsidRPr="00001DFA">
        <w:rPr>
          <w:b/>
          <w:sz w:val="28"/>
          <w:szCs w:val="28"/>
          <w:u w:val="single"/>
        </w:rPr>
        <w:t>Non-substantive Change Request</w:t>
      </w:r>
    </w:p>
    <w:p w:rsidR="007E289C" w:rsidRPr="008C7633" w:rsidRDefault="00D24982" w:rsidP="00397D0F">
      <w:pPr>
        <w:pStyle w:val="Level1"/>
        <w:autoSpaceDE/>
        <w:autoSpaceDN/>
        <w:adjustRightInd/>
        <w:ind w:left="0"/>
        <w:rPr>
          <w:sz w:val="22"/>
          <w:szCs w:val="22"/>
        </w:rPr>
      </w:pPr>
      <w:r w:rsidRPr="008C7633">
        <w:rPr>
          <w:b/>
          <w:sz w:val="22"/>
          <w:szCs w:val="22"/>
        </w:rPr>
        <w:t>Department:</w:t>
      </w:r>
      <w:r w:rsidRPr="008C7633">
        <w:rPr>
          <w:sz w:val="22"/>
          <w:szCs w:val="22"/>
        </w:rPr>
        <w:t xml:space="preserve"> </w:t>
      </w:r>
      <w:r w:rsidR="007E289C" w:rsidRPr="008C7633">
        <w:rPr>
          <w:sz w:val="22"/>
          <w:szCs w:val="22"/>
        </w:rPr>
        <w:t>Commerce</w:t>
      </w:r>
    </w:p>
    <w:p w:rsidR="00397D0F" w:rsidRPr="008C7633" w:rsidRDefault="00D24982" w:rsidP="00397D0F">
      <w:pPr>
        <w:pStyle w:val="Level1"/>
        <w:autoSpaceDE/>
        <w:autoSpaceDN/>
        <w:adjustRightInd/>
        <w:ind w:left="0"/>
        <w:rPr>
          <w:sz w:val="22"/>
          <w:szCs w:val="22"/>
        </w:rPr>
      </w:pPr>
      <w:r w:rsidRPr="008C7633">
        <w:rPr>
          <w:b/>
          <w:sz w:val="22"/>
          <w:szCs w:val="22"/>
        </w:rPr>
        <w:t>Agency:</w:t>
      </w:r>
      <w:r w:rsidRPr="008C7633">
        <w:rPr>
          <w:sz w:val="22"/>
          <w:szCs w:val="22"/>
        </w:rPr>
        <w:t xml:space="preserve"> </w:t>
      </w:r>
      <w:r w:rsidR="009A7712" w:rsidRPr="008C7633">
        <w:rPr>
          <w:sz w:val="22"/>
          <w:szCs w:val="22"/>
        </w:rPr>
        <w:t xml:space="preserve">U.S. Census Bureau </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ICR</w:t>
      </w:r>
      <w:r w:rsidR="00D24982" w:rsidRPr="008C7633">
        <w:rPr>
          <w:rFonts w:eastAsia="Calibri"/>
          <w:b/>
          <w:sz w:val="22"/>
          <w:szCs w:val="22"/>
        </w:rPr>
        <w:t xml:space="preserve"> Reference Number</w:t>
      </w:r>
      <w:r w:rsidRPr="008C7633">
        <w:rPr>
          <w:rFonts w:eastAsia="Calibri"/>
          <w:b/>
          <w:sz w:val="22"/>
          <w:szCs w:val="22"/>
        </w:rPr>
        <w:t>:</w:t>
      </w:r>
      <w:r w:rsidRPr="008C7633">
        <w:rPr>
          <w:rFonts w:eastAsia="Calibri"/>
          <w:sz w:val="22"/>
          <w:szCs w:val="22"/>
        </w:rPr>
        <w:t xml:space="preserve"> 200910-0607-001</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T</w:t>
      </w:r>
      <w:r w:rsidR="00D24982" w:rsidRPr="008C7633">
        <w:rPr>
          <w:rFonts w:eastAsia="Calibri"/>
          <w:b/>
          <w:sz w:val="22"/>
          <w:szCs w:val="22"/>
        </w:rPr>
        <w:t>itle</w:t>
      </w:r>
      <w:r w:rsidRPr="008C7633">
        <w:rPr>
          <w:rFonts w:eastAsia="Calibri"/>
          <w:b/>
          <w:sz w:val="22"/>
          <w:szCs w:val="22"/>
        </w:rPr>
        <w:t>:</w:t>
      </w:r>
      <w:r w:rsidRPr="008C7633">
        <w:rPr>
          <w:rFonts w:eastAsia="Calibri"/>
          <w:sz w:val="22"/>
          <w:szCs w:val="22"/>
        </w:rPr>
        <w:t xml:space="preserve"> American Community Survey Methods Panel Tests</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OMB</w:t>
      </w:r>
      <w:r w:rsidR="00D24982" w:rsidRPr="008C7633">
        <w:rPr>
          <w:rFonts w:eastAsia="Calibri"/>
          <w:b/>
          <w:sz w:val="22"/>
          <w:szCs w:val="22"/>
        </w:rPr>
        <w:t xml:space="preserve"> Control Number</w:t>
      </w:r>
      <w:r w:rsidRPr="008C7633">
        <w:rPr>
          <w:rFonts w:eastAsia="Calibri"/>
          <w:b/>
          <w:sz w:val="22"/>
          <w:szCs w:val="22"/>
        </w:rPr>
        <w:t>:</w:t>
      </w:r>
      <w:r w:rsidRPr="008C7633">
        <w:rPr>
          <w:rFonts w:eastAsia="Calibri"/>
          <w:sz w:val="22"/>
          <w:szCs w:val="22"/>
        </w:rPr>
        <w:t xml:space="preserve"> 0607-0936</w:t>
      </w:r>
    </w:p>
    <w:p w:rsidR="00397D0F" w:rsidRPr="008C7633" w:rsidRDefault="00D24982" w:rsidP="00397D0F">
      <w:pPr>
        <w:autoSpaceDE w:val="0"/>
        <w:autoSpaceDN w:val="0"/>
        <w:adjustRightInd w:val="0"/>
        <w:rPr>
          <w:rFonts w:eastAsia="Calibri"/>
          <w:sz w:val="22"/>
          <w:szCs w:val="22"/>
        </w:rPr>
      </w:pPr>
      <w:r w:rsidRPr="008C7633">
        <w:rPr>
          <w:rFonts w:eastAsia="Calibri"/>
          <w:b/>
          <w:sz w:val="22"/>
          <w:szCs w:val="22"/>
        </w:rPr>
        <w:t>Expiration Date</w:t>
      </w:r>
      <w:r w:rsidR="00397D0F" w:rsidRPr="008C7633">
        <w:rPr>
          <w:rFonts w:eastAsia="Calibri"/>
          <w:b/>
          <w:sz w:val="22"/>
          <w:szCs w:val="22"/>
        </w:rPr>
        <w:t>:</w:t>
      </w:r>
      <w:r w:rsidR="00397D0F" w:rsidRPr="008C7633">
        <w:rPr>
          <w:rFonts w:eastAsia="Calibri"/>
          <w:sz w:val="22"/>
          <w:szCs w:val="22"/>
        </w:rPr>
        <w:t xml:space="preserve"> 12/31/2012</w:t>
      </w:r>
    </w:p>
    <w:p w:rsidR="00EE006A" w:rsidRPr="008C7633" w:rsidRDefault="00EE006A" w:rsidP="00EE006A">
      <w:pPr>
        <w:pStyle w:val="Level1"/>
        <w:autoSpaceDE/>
        <w:autoSpaceDN/>
        <w:adjustRightInd/>
        <w:ind w:left="0"/>
        <w:rPr>
          <w:b/>
          <w:sz w:val="22"/>
          <w:szCs w:val="22"/>
        </w:rPr>
      </w:pPr>
    </w:p>
    <w:p w:rsidR="00B226A0" w:rsidRPr="008C7633" w:rsidRDefault="00EE006A" w:rsidP="00EE006A">
      <w:pPr>
        <w:pStyle w:val="Level1"/>
        <w:autoSpaceDE/>
        <w:autoSpaceDN/>
        <w:adjustRightInd/>
        <w:ind w:left="0"/>
        <w:rPr>
          <w:b/>
          <w:sz w:val="22"/>
          <w:szCs w:val="22"/>
        </w:rPr>
      </w:pPr>
      <w:r w:rsidRPr="008C7633">
        <w:rPr>
          <w:b/>
          <w:sz w:val="22"/>
          <w:szCs w:val="22"/>
        </w:rPr>
        <w:t xml:space="preserve">I. </w:t>
      </w:r>
      <w:r w:rsidR="00B226A0" w:rsidRPr="008C7633">
        <w:rPr>
          <w:b/>
          <w:sz w:val="22"/>
          <w:szCs w:val="22"/>
        </w:rPr>
        <w:t xml:space="preserve">Revised Timeframe </w:t>
      </w:r>
      <w:r w:rsidR="00E41DCF" w:rsidRPr="008C7633">
        <w:rPr>
          <w:b/>
          <w:sz w:val="22"/>
          <w:szCs w:val="22"/>
        </w:rPr>
        <w:t xml:space="preserve">and Burden </w:t>
      </w:r>
      <w:r w:rsidR="00B83D16">
        <w:rPr>
          <w:b/>
          <w:sz w:val="22"/>
          <w:szCs w:val="22"/>
        </w:rPr>
        <w:t>H</w:t>
      </w:r>
      <w:r w:rsidR="00E41DCF" w:rsidRPr="008C7633">
        <w:rPr>
          <w:b/>
          <w:sz w:val="22"/>
          <w:szCs w:val="22"/>
        </w:rPr>
        <w:t xml:space="preserve">ours </w:t>
      </w:r>
      <w:r w:rsidR="00B226A0" w:rsidRPr="008C7633">
        <w:rPr>
          <w:b/>
          <w:sz w:val="22"/>
          <w:szCs w:val="22"/>
        </w:rPr>
        <w:t xml:space="preserve">for the Content </w:t>
      </w:r>
      <w:proofErr w:type="spellStart"/>
      <w:r w:rsidR="00B226A0" w:rsidRPr="008C7633">
        <w:rPr>
          <w:b/>
          <w:sz w:val="22"/>
          <w:szCs w:val="22"/>
        </w:rPr>
        <w:t>Reinterview</w:t>
      </w:r>
      <w:proofErr w:type="spellEnd"/>
      <w:r w:rsidR="00B226A0" w:rsidRPr="008C7633">
        <w:rPr>
          <w:b/>
          <w:sz w:val="22"/>
          <w:szCs w:val="22"/>
        </w:rPr>
        <w:t xml:space="preserve"> Study</w:t>
      </w:r>
    </w:p>
    <w:p w:rsidR="00640129" w:rsidRPr="008C7633" w:rsidRDefault="00975AB3" w:rsidP="00001DFA">
      <w:pPr>
        <w:spacing w:after="240"/>
        <w:rPr>
          <w:sz w:val="22"/>
          <w:szCs w:val="22"/>
        </w:rPr>
      </w:pPr>
      <w:r w:rsidRPr="008C7633">
        <w:rPr>
          <w:sz w:val="22"/>
          <w:szCs w:val="22"/>
        </w:rPr>
        <w:t xml:space="preserve">For the </w:t>
      </w:r>
      <w:r w:rsidR="00640129" w:rsidRPr="008C7633">
        <w:rPr>
          <w:sz w:val="22"/>
          <w:szCs w:val="22"/>
        </w:rPr>
        <w:t xml:space="preserve">ACS Content </w:t>
      </w:r>
      <w:proofErr w:type="spellStart"/>
      <w:r w:rsidR="00640129" w:rsidRPr="008C7633">
        <w:rPr>
          <w:sz w:val="22"/>
          <w:szCs w:val="22"/>
        </w:rPr>
        <w:t>Reinterview</w:t>
      </w:r>
      <w:proofErr w:type="spellEnd"/>
      <w:r w:rsidR="00640129" w:rsidRPr="008C7633">
        <w:rPr>
          <w:sz w:val="22"/>
          <w:szCs w:val="22"/>
        </w:rPr>
        <w:t xml:space="preserve"> Study, the estimated completion time </w:t>
      </w:r>
      <w:r w:rsidRPr="008C7633">
        <w:rPr>
          <w:sz w:val="22"/>
          <w:szCs w:val="22"/>
        </w:rPr>
        <w:t xml:space="preserve">for an average household </w:t>
      </w:r>
      <w:r w:rsidR="00640129" w:rsidRPr="008C7633">
        <w:rPr>
          <w:sz w:val="22"/>
          <w:szCs w:val="22"/>
        </w:rPr>
        <w:t xml:space="preserve">is 20 minutes per </w:t>
      </w:r>
      <w:proofErr w:type="spellStart"/>
      <w:r w:rsidR="00640129" w:rsidRPr="008C7633">
        <w:rPr>
          <w:sz w:val="22"/>
          <w:szCs w:val="22"/>
        </w:rPr>
        <w:t>reinterview</w:t>
      </w:r>
      <w:proofErr w:type="spellEnd"/>
      <w:r w:rsidR="00640129" w:rsidRPr="008C7633">
        <w:rPr>
          <w:sz w:val="22"/>
          <w:szCs w:val="22"/>
        </w:rPr>
        <w:t xml:space="preserve"> and the yearly sample is 72,000. </w:t>
      </w:r>
      <w:r w:rsidR="00332E90">
        <w:rPr>
          <w:sz w:val="22"/>
          <w:szCs w:val="22"/>
        </w:rPr>
        <w:t xml:space="preserve"> </w:t>
      </w:r>
      <w:r w:rsidR="00640129" w:rsidRPr="008C7633">
        <w:rPr>
          <w:sz w:val="22"/>
          <w:szCs w:val="22"/>
        </w:rPr>
        <w:t xml:space="preserve">Originally </w:t>
      </w:r>
      <w:r w:rsidR="00E41DCF" w:rsidRPr="008C7633">
        <w:rPr>
          <w:sz w:val="22"/>
          <w:szCs w:val="22"/>
        </w:rPr>
        <w:t xml:space="preserve">the burden was estimated assuming the program would run for </w:t>
      </w:r>
      <w:r w:rsidR="00640129" w:rsidRPr="008C7633">
        <w:rPr>
          <w:sz w:val="22"/>
          <w:szCs w:val="22"/>
        </w:rPr>
        <w:t>3 years</w:t>
      </w:r>
      <w:r w:rsidR="00E41DCF" w:rsidRPr="008C7633">
        <w:rPr>
          <w:sz w:val="22"/>
          <w:szCs w:val="22"/>
        </w:rPr>
        <w:t xml:space="preserve">; however, </w:t>
      </w:r>
      <w:r w:rsidR="006959EC" w:rsidRPr="008C7633">
        <w:rPr>
          <w:sz w:val="22"/>
          <w:szCs w:val="22"/>
        </w:rPr>
        <w:t xml:space="preserve">this study </w:t>
      </w:r>
      <w:r w:rsidR="00E41DCF" w:rsidRPr="008C7633">
        <w:rPr>
          <w:sz w:val="22"/>
          <w:szCs w:val="22"/>
        </w:rPr>
        <w:t xml:space="preserve">will only be in the field for </w:t>
      </w:r>
      <w:r w:rsidR="00965642" w:rsidRPr="008C7633">
        <w:rPr>
          <w:sz w:val="22"/>
          <w:szCs w:val="22"/>
        </w:rPr>
        <w:t>1</w:t>
      </w:r>
      <w:r w:rsidR="00640129" w:rsidRPr="008C7633">
        <w:rPr>
          <w:sz w:val="22"/>
          <w:szCs w:val="22"/>
        </w:rPr>
        <w:t xml:space="preserve"> year. </w:t>
      </w:r>
      <w:r w:rsidR="00332E90">
        <w:rPr>
          <w:sz w:val="22"/>
          <w:szCs w:val="22"/>
        </w:rPr>
        <w:t xml:space="preserve"> </w:t>
      </w:r>
      <w:r w:rsidR="00640129" w:rsidRPr="008C7633">
        <w:rPr>
          <w:sz w:val="22"/>
          <w:szCs w:val="22"/>
        </w:rPr>
        <w:t xml:space="preserve">The burden for </w:t>
      </w:r>
      <w:r w:rsidR="00316E5D" w:rsidRPr="008C7633">
        <w:rPr>
          <w:sz w:val="22"/>
          <w:szCs w:val="22"/>
        </w:rPr>
        <w:t xml:space="preserve">3 years of this study was originally estimated at </w:t>
      </w:r>
      <w:r w:rsidR="006959EC" w:rsidRPr="008C7633">
        <w:rPr>
          <w:sz w:val="22"/>
          <w:szCs w:val="22"/>
        </w:rPr>
        <w:t>72</w:t>
      </w:r>
      <w:r w:rsidRPr="008C7633">
        <w:rPr>
          <w:sz w:val="22"/>
          <w:szCs w:val="22"/>
        </w:rPr>
        <w:t xml:space="preserve">,000 hours and the </w:t>
      </w:r>
      <w:r w:rsidR="006959EC" w:rsidRPr="008C7633">
        <w:rPr>
          <w:sz w:val="22"/>
          <w:szCs w:val="22"/>
        </w:rPr>
        <w:t xml:space="preserve">removal of </w:t>
      </w:r>
      <w:r w:rsidR="00965642" w:rsidRPr="008C7633">
        <w:rPr>
          <w:sz w:val="22"/>
          <w:szCs w:val="22"/>
        </w:rPr>
        <w:t>2</w:t>
      </w:r>
      <w:r w:rsidR="006959EC" w:rsidRPr="008C7633">
        <w:rPr>
          <w:sz w:val="22"/>
          <w:szCs w:val="22"/>
        </w:rPr>
        <w:t xml:space="preserve"> years of the study </w:t>
      </w:r>
      <w:r w:rsidRPr="008C7633">
        <w:rPr>
          <w:sz w:val="22"/>
          <w:szCs w:val="22"/>
        </w:rPr>
        <w:t xml:space="preserve">will </w:t>
      </w:r>
      <w:r w:rsidR="006959EC" w:rsidRPr="008C7633">
        <w:rPr>
          <w:sz w:val="22"/>
          <w:szCs w:val="22"/>
        </w:rPr>
        <w:t xml:space="preserve">produce a 48,000 </w:t>
      </w:r>
      <w:r w:rsidR="00965642" w:rsidRPr="008C7633">
        <w:rPr>
          <w:sz w:val="22"/>
          <w:szCs w:val="22"/>
        </w:rPr>
        <w:t>hour reduction to respondent burden</w:t>
      </w:r>
      <w:r w:rsidR="006959EC" w:rsidRPr="008C7633">
        <w:rPr>
          <w:sz w:val="22"/>
          <w:szCs w:val="22"/>
        </w:rPr>
        <w:t xml:space="preserve">. </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8"/>
        <w:gridCol w:w="3083"/>
        <w:gridCol w:w="2679"/>
      </w:tblGrid>
      <w:tr w:rsidR="0073729F" w:rsidRPr="008C7633" w:rsidTr="00B72B2D">
        <w:tc>
          <w:tcPr>
            <w:tcW w:w="2788" w:type="dxa"/>
            <w:shd w:val="clear" w:color="auto" w:fill="D9D9D9"/>
          </w:tcPr>
          <w:p w:rsidR="0073729F" w:rsidRPr="008C7633" w:rsidRDefault="003629D7" w:rsidP="0073729F">
            <w:pPr>
              <w:rPr>
                <w:sz w:val="22"/>
                <w:szCs w:val="22"/>
              </w:rPr>
            </w:pPr>
            <w:r w:rsidRPr="008C7633">
              <w:rPr>
                <w:sz w:val="22"/>
                <w:szCs w:val="22"/>
              </w:rPr>
              <w:t>Status</w:t>
            </w:r>
          </w:p>
        </w:tc>
        <w:tc>
          <w:tcPr>
            <w:tcW w:w="3083" w:type="dxa"/>
            <w:shd w:val="clear" w:color="auto" w:fill="D9D9D9"/>
          </w:tcPr>
          <w:p w:rsidR="0073729F" w:rsidRPr="008C7633" w:rsidRDefault="00E41DCF" w:rsidP="00DA1832">
            <w:pPr>
              <w:jc w:val="center"/>
              <w:rPr>
                <w:sz w:val="22"/>
                <w:szCs w:val="22"/>
              </w:rPr>
            </w:pPr>
            <w:r w:rsidRPr="008C7633">
              <w:rPr>
                <w:sz w:val="22"/>
                <w:szCs w:val="22"/>
              </w:rPr>
              <w:t>Cases</w:t>
            </w:r>
          </w:p>
        </w:tc>
        <w:tc>
          <w:tcPr>
            <w:tcW w:w="2679" w:type="dxa"/>
            <w:shd w:val="clear" w:color="auto" w:fill="D9D9D9"/>
          </w:tcPr>
          <w:p w:rsidR="0073729F" w:rsidRPr="008C7633" w:rsidRDefault="0073729F" w:rsidP="00DA1832">
            <w:pPr>
              <w:jc w:val="center"/>
              <w:rPr>
                <w:sz w:val="22"/>
                <w:szCs w:val="22"/>
              </w:rPr>
            </w:pPr>
            <w:r w:rsidRPr="008C7633">
              <w:rPr>
                <w:sz w:val="22"/>
                <w:szCs w:val="22"/>
              </w:rPr>
              <w:t>Burden Hours</w:t>
            </w:r>
          </w:p>
        </w:tc>
      </w:tr>
      <w:tr w:rsidR="0073729F" w:rsidRPr="008C7633" w:rsidTr="00DA1832">
        <w:tc>
          <w:tcPr>
            <w:tcW w:w="2788" w:type="dxa"/>
          </w:tcPr>
          <w:p w:rsidR="0073729F" w:rsidRPr="008C7633" w:rsidRDefault="0073729F" w:rsidP="0073729F">
            <w:pPr>
              <w:rPr>
                <w:sz w:val="22"/>
                <w:szCs w:val="22"/>
              </w:rPr>
            </w:pPr>
            <w:r w:rsidRPr="008C7633">
              <w:rPr>
                <w:sz w:val="22"/>
                <w:szCs w:val="22"/>
              </w:rPr>
              <w:t>Approved Burden</w:t>
            </w:r>
          </w:p>
        </w:tc>
        <w:tc>
          <w:tcPr>
            <w:tcW w:w="3083" w:type="dxa"/>
          </w:tcPr>
          <w:p w:rsidR="0073729F" w:rsidRPr="008C7633" w:rsidRDefault="006959EC" w:rsidP="00DA1832">
            <w:pPr>
              <w:jc w:val="center"/>
              <w:rPr>
                <w:sz w:val="22"/>
                <w:szCs w:val="22"/>
              </w:rPr>
            </w:pPr>
            <w:r w:rsidRPr="008C7633">
              <w:rPr>
                <w:sz w:val="22"/>
                <w:szCs w:val="22"/>
              </w:rPr>
              <w:t>216,000</w:t>
            </w:r>
          </w:p>
        </w:tc>
        <w:tc>
          <w:tcPr>
            <w:tcW w:w="2679" w:type="dxa"/>
          </w:tcPr>
          <w:p w:rsidR="0073729F" w:rsidRPr="008C7633" w:rsidRDefault="006959EC" w:rsidP="00DA1832">
            <w:pPr>
              <w:jc w:val="center"/>
              <w:rPr>
                <w:sz w:val="22"/>
                <w:szCs w:val="22"/>
              </w:rPr>
            </w:pPr>
            <w:r w:rsidRPr="008C7633">
              <w:rPr>
                <w:sz w:val="22"/>
                <w:szCs w:val="22"/>
              </w:rPr>
              <w:t>72,000</w:t>
            </w:r>
          </w:p>
        </w:tc>
      </w:tr>
      <w:tr w:rsidR="0073729F" w:rsidRPr="008C7633" w:rsidTr="00DA1832">
        <w:tc>
          <w:tcPr>
            <w:tcW w:w="2788" w:type="dxa"/>
          </w:tcPr>
          <w:p w:rsidR="0073729F" w:rsidRPr="008C7633" w:rsidRDefault="0073729F" w:rsidP="0073729F">
            <w:pPr>
              <w:rPr>
                <w:sz w:val="22"/>
                <w:szCs w:val="22"/>
              </w:rPr>
            </w:pPr>
            <w:r w:rsidRPr="008C7633">
              <w:rPr>
                <w:sz w:val="22"/>
                <w:szCs w:val="22"/>
              </w:rPr>
              <w:t>Revised Burden</w:t>
            </w:r>
          </w:p>
        </w:tc>
        <w:tc>
          <w:tcPr>
            <w:tcW w:w="3083" w:type="dxa"/>
          </w:tcPr>
          <w:p w:rsidR="0073729F" w:rsidRPr="008C7633" w:rsidRDefault="006959EC" w:rsidP="00DA1832">
            <w:pPr>
              <w:jc w:val="center"/>
              <w:rPr>
                <w:sz w:val="22"/>
                <w:szCs w:val="22"/>
              </w:rPr>
            </w:pPr>
            <w:r w:rsidRPr="008C7633">
              <w:rPr>
                <w:sz w:val="22"/>
                <w:szCs w:val="22"/>
              </w:rPr>
              <w:t>72,000</w:t>
            </w:r>
          </w:p>
        </w:tc>
        <w:tc>
          <w:tcPr>
            <w:tcW w:w="2679" w:type="dxa"/>
          </w:tcPr>
          <w:p w:rsidR="0073729F" w:rsidRPr="008C7633" w:rsidRDefault="006959EC" w:rsidP="00DA1832">
            <w:pPr>
              <w:jc w:val="center"/>
              <w:rPr>
                <w:sz w:val="22"/>
                <w:szCs w:val="22"/>
              </w:rPr>
            </w:pPr>
            <w:r w:rsidRPr="008C7633">
              <w:rPr>
                <w:sz w:val="22"/>
                <w:szCs w:val="22"/>
              </w:rPr>
              <w:t>24,000</w:t>
            </w:r>
          </w:p>
        </w:tc>
      </w:tr>
      <w:tr w:rsidR="0073729F" w:rsidRPr="008C7633" w:rsidTr="00DA1832">
        <w:tc>
          <w:tcPr>
            <w:tcW w:w="2788" w:type="dxa"/>
          </w:tcPr>
          <w:p w:rsidR="0073729F" w:rsidRPr="008C7633" w:rsidRDefault="006959EC" w:rsidP="006959EC">
            <w:pPr>
              <w:rPr>
                <w:sz w:val="22"/>
                <w:szCs w:val="22"/>
              </w:rPr>
            </w:pPr>
            <w:r w:rsidRPr="008C7633">
              <w:rPr>
                <w:sz w:val="22"/>
                <w:szCs w:val="22"/>
              </w:rPr>
              <w:t>Reduction in Burden</w:t>
            </w:r>
          </w:p>
        </w:tc>
        <w:tc>
          <w:tcPr>
            <w:tcW w:w="3083" w:type="dxa"/>
          </w:tcPr>
          <w:p w:rsidR="0073729F" w:rsidRPr="008C7633" w:rsidRDefault="006959EC" w:rsidP="00DA1832">
            <w:pPr>
              <w:jc w:val="center"/>
              <w:rPr>
                <w:sz w:val="22"/>
                <w:szCs w:val="22"/>
              </w:rPr>
            </w:pPr>
            <w:r w:rsidRPr="008C7633">
              <w:rPr>
                <w:sz w:val="22"/>
                <w:szCs w:val="22"/>
              </w:rPr>
              <w:t>(144,000)</w:t>
            </w:r>
          </w:p>
        </w:tc>
        <w:tc>
          <w:tcPr>
            <w:tcW w:w="2679" w:type="dxa"/>
          </w:tcPr>
          <w:p w:rsidR="0073729F" w:rsidRPr="008C7633" w:rsidRDefault="006959EC" w:rsidP="00DA1832">
            <w:pPr>
              <w:jc w:val="center"/>
              <w:rPr>
                <w:sz w:val="22"/>
                <w:szCs w:val="22"/>
              </w:rPr>
            </w:pPr>
            <w:r w:rsidRPr="008C7633">
              <w:rPr>
                <w:sz w:val="22"/>
                <w:szCs w:val="22"/>
              </w:rPr>
              <w:t>(48,000)</w:t>
            </w:r>
          </w:p>
        </w:tc>
      </w:tr>
    </w:tbl>
    <w:p w:rsidR="00B226A0" w:rsidRPr="008C7633" w:rsidRDefault="00EE006A" w:rsidP="00001DFA">
      <w:pPr>
        <w:pStyle w:val="Level1"/>
        <w:autoSpaceDE/>
        <w:autoSpaceDN/>
        <w:adjustRightInd/>
        <w:spacing w:before="240"/>
        <w:ind w:left="0"/>
        <w:rPr>
          <w:b/>
          <w:sz w:val="22"/>
          <w:szCs w:val="22"/>
        </w:rPr>
      </w:pPr>
      <w:r w:rsidRPr="008C7633">
        <w:rPr>
          <w:b/>
          <w:sz w:val="22"/>
          <w:szCs w:val="22"/>
        </w:rPr>
        <w:t xml:space="preserve">II. </w:t>
      </w:r>
      <w:r w:rsidR="00B226A0" w:rsidRPr="008C7633">
        <w:rPr>
          <w:b/>
          <w:sz w:val="22"/>
          <w:szCs w:val="22"/>
        </w:rPr>
        <w:t>Revised PRCS Sample Size for Internet Mode Test</w:t>
      </w:r>
    </w:p>
    <w:p w:rsidR="00CE4237" w:rsidRPr="008C7633" w:rsidRDefault="00D24982" w:rsidP="00D24982">
      <w:pPr>
        <w:rPr>
          <w:sz w:val="22"/>
          <w:szCs w:val="22"/>
        </w:rPr>
      </w:pPr>
      <w:r w:rsidRPr="008C7633">
        <w:rPr>
          <w:sz w:val="22"/>
          <w:szCs w:val="22"/>
        </w:rPr>
        <w:t xml:space="preserve">The initial projections were that the sample size for Puerto Rico would be 2,000 residential addresses (1,000 addresses each in two panels).  Looking back at the high mail undeliverable rate in the PRCS coupled with the need to detect a meaningful difference on a fairly low mail response rate in Puerto Rico, we propose increasing the sample size to 7,400 addresses to increase our ability to detect a smaller difference between panels.  </w:t>
      </w:r>
      <w:r w:rsidR="00CE4237" w:rsidRPr="008C7633">
        <w:rPr>
          <w:sz w:val="22"/>
          <w:szCs w:val="22"/>
        </w:rPr>
        <w:t>The Internet Mode Test will consi</w:t>
      </w:r>
      <w:r w:rsidR="00D24176" w:rsidRPr="008C7633">
        <w:rPr>
          <w:sz w:val="22"/>
          <w:szCs w:val="22"/>
        </w:rPr>
        <w:t xml:space="preserve">st of a national sample </w:t>
      </w:r>
      <w:bookmarkStart w:id="0" w:name="OLE_LINK1"/>
      <w:r w:rsidR="00BF1BBA" w:rsidRPr="008C7633">
        <w:rPr>
          <w:sz w:val="22"/>
          <w:szCs w:val="22"/>
        </w:rPr>
        <w:t xml:space="preserve">of </w:t>
      </w:r>
      <w:r w:rsidR="00CE4237" w:rsidRPr="008C7633">
        <w:rPr>
          <w:sz w:val="22"/>
          <w:szCs w:val="22"/>
        </w:rPr>
        <w:t>residential addresses in</w:t>
      </w:r>
      <w:bookmarkEnd w:id="0"/>
      <w:r w:rsidR="00CE4237" w:rsidRPr="008C7633">
        <w:rPr>
          <w:sz w:val="22"/>
          <w:szCs w:val="22"/>
        </w:rPr>
        <w:t xml:space="preserve"> </w:t>
      </w:r>
      <w:r w:rsidR="007E262E" w:rsidRPr="008C7633">
        <w:rPr>
          <w:sz w:val="22"/>
          <w:szCs w:val="22"/>
        </w:rPr>
        <w:t>Puerto Rico</w:t>
      </w:r>
      <w:r w:rsidR="00D24176" w:rsidRPr="008C7633">
        <w:rPr>
          <w:sz w:val="22"/>
          <w:szCs w:val="22"/>
        </w:rPr>
        <w:t xml:space="preserve"> (3,7</w:t>
      </w:r>
      <w:r w:rsidR="00CE4237" w:rsidRPr="008C7633">
        <w:rPr>
          <w:sz w:val="22"/>
          <w:szCs w:val="22"/>
        </w:rPr>
        <w:t xml:space="preserve">00 addresses </w:t>
      </w:r>
      <w:r w:rsidR="00D24176" w:rsidRPr="008C7633">
        <w:rPr>
          <w:sz w:val="22"/>
          <w:szCs w:val="22"/>
        </w:rPr>
        <w:t xml:space="preserve">in </w:t>
      </w:r>
      <w:r w:rsidR="003D1F8A" w:rsidRPr="008C7633">
        <w:rPr>
          <w:sz w:val="22"/>
          <w:szCs w:val="22"/>
        </w:rPr>
        <w:t xml:space="preserve">each panel) with </w:t>
      </w:r>
      <w:r w:rsidR="007E262E" w:rsidRPr="008C7633">
        <w:rPr>
          <w:sz w:val="22"/>
          <w:szCs w:val="22"/>
        </w:rPr>
        <w:t>two</w:t>
      </w:r>
      <w:r w:rsidR="00CE4237" w:rsidRPr="008C7633">
        <w:rPr>
          <w:sz w:val="22"/>
          <w:szCs w:val="22"/>
        </w:rPr>
        <w:t xml:space="preserve"> experimental treatments with different Internet notification strategies: </w:t>
      </w:r>
    </w:p>
    <w:p w:rsidR="00B226A0" w:rsidRPr="008C7633" w:rsidRDefault="00CE4237" w:rsidP="00B226A0">
      <w:pPr>
        <w:pStyle w:val="Level1"/>
        <w:numPr>
          <w:ilvl w:val="0"/>
          <w:numId w:val="1"/>
        </w:numPr>
        <w:tabs>
          <w:tab w:val="clear" w:pos="720"/>
          <w:tab w:val="num" w:pos="540"/>
        </w:tabs>
        <w:autoSpaceDE/>
        <w:autoSpaceDN/>
        <w:adjustRightInd/>
        <w:ind w:left="540" w:hanging="180"/>
        <w:rPr>
          <w:sz w:val="22"/>
          <w:szCs w:val="22"/>
        </w:rPr>
      </w:pPr>
      <w:r w:rsidRPr="008C7633">
        <w:rPr>
          <w:sz w:val="22"/>
          <w:szCs w:val="22"/>
        </w:rPr>
        <w:t xml:space="preserve">Not Prominent Offer - The Internet option will appear only on the questionnaire in a non-prominent place. </w:t>
      </w:r>
    </w:p>
    <w:p w:rsidR="00CE4237" w:rsidRPr="008C7633" w:rsidRDefault="00CE4237" w:rsidP="00B226A0">
      <w:pPr>
        <w:pStyle w:val="Level1"/>
        <w:numPr>
          <w:ilvl w:val="0"/>
          <w:numId w:val="1"/>
        </w:numPr>
        <w:tabs>
          <w:tab w:val="clear" w:pos="720"/>
          <w:tab w:val="num" w:pos="540"/>
        </w:tabs>
        <w:autoSpaceDE/>
        <w:autoSpaceDN/>
        <w:adjustRightInd/>
        <w:spacing w:after="100" w:afterAutospacing="1"/>
        <w:ind w:left="540" w:hanging="180"/>
        <w:rPr>
          <w:sz w:val="22"/>
          <w:szCs w:val="22"/>
        </w:rPr>
      </w:pPr>
      <w:r w:rsidRPr="008C7633">
        <w:rPr>
          <w:sz w:val="22"/>
          <w:szCs w:val="22"/>
        </w:rPr>
        <w:t>Prominent Offer (Choice) - Households will be gi</w:t>
      </w:r>
      <w:r w:rsidR="007E262E" w:rsidRPr="008C7633">
        <w:rPr>
          <w:sz w:val="22"/>
          <w:szCs w:val="22"/>
        </w:rPr>
        <w:t>ven a choice of completing the PR</w:t>
      </w:r>
      <w:r w:rsidRPr="008C7633">
        <w:rPr>
          <w:sz w:val="22"/>
          <w:szCs w:val="22"/>
        </w:rPr>
        <w:t xml:space="preserve">CS on paper or the Internet.  The Internet option will appear in the mail materials and be prominently displayed on the questionnaire. </w:t>
      </w:r>
    </w:p>
    <w:p w:rsidR="003706E6" w:rsidRPr="008C7633" w:rsidRDefault="00CE4237" w:rsidP="009A7712">
      <w:pPr>
        <w:rPr>
          <w:sz w:val="22"/>
          <w:szCs w:val="22"/>
        </w:rPr>
      </w:pPr>
      <w:r w:rsidRPr="008C7633">
        <w:rPr>
          <w:sz w:val="22"/>
          <w:szCs w:val="22"/>
        </w:rPr>
        <w:t xml:space="preserve">The control </w:t>
      </w:r>
      <w:r w:rsidR="00117443" w:rsidRPr="008C7633">
        <w:rPr>
          <w:sz w:val="22"/>
          <w:szCs w:val="22"/>
        </w:rPr>
        <w:t xml:space="preserve">panel </w:t>
      </w:r>
      <w:r w:rsidRPr="008C7633">
        <w:rPr>
          <w:sz w:val="22"/>
          <w:szCs w:val="22"/>
        </w:rPr>
        <w:t>for th</w:t>
      </w:r>
      <w:r w:rsidR="00D24176" w:rsidRPr="008C7633">
        <w:rPr>
          <w:sz w:val="22"/>
          <w:szCs w:val="22"/>
        </w:rPr>
        <w:t>is test will consist of 3</w:t>
      </w:r>
      <w:r w:rsidR="007E262E" w:rsidRPr="008C7633">
        <w:rPr>
          <w:sz w:val="22"/>
          <w:szCs w:val="22"/>
        </w:rPr>
        <w:t>,</w:t>
      </w:r>
      <w:r w:rsidR="00262B3C" w:rsidRPr="008C7633">
        <w:rPr>
          <w:sz w:val="22"/>
          <w:szCs w:val="22"/>
        </w:rPr>
        <w:t>0</w:t>
      </w:r>
      <w:r w:rsidR="007E262E" w:rsidRPr="008C7633">
        <w:rPr>
          <w:sz w:val="22"/>
          <w:szCs w:val="22"/>
        </w:rPr>
        <w:t>00 PR</w:t>
      </w:r>
      <w:r w:rsidR="00D24176" w:rsidRPr="008C7633">
        <w:rPr>
          <w:sz w:val="22"/>
          <w:szCs w:val="22"/>
        </w:rPr>
        <w:t xml:space="preserve">CS production cases. </w:t>
      </w:r>
      <w:r w:rsidR="00332E90">
        <w:rPr>
          <w:sz w:val="22"/>
          <w:szCs w:val="22"/>
        </w:rPr>
        <w:t xml:space="preserve"> </w:t>
      </w:r>
      <w:r w:rsidR="00D24176" w:rsidRPr="008C7633">
        <w:rPr>
          <w:sz w:val="22"/>
          <w:szCs w:val="22"/>
        </w:rPr>
        <w:t>The 7,4</w:t>
      </w:r>
      <w:r w:rsidRPr="008C7633">
        <w:rPr>
          <w:sz w:val="22"/>
          <w:szCs w:val="22"/>
        </w:rPr>
        <w:t xml:space="preserve">00 sample size </w:t>
      </w:r>
      <w:r w:rsidR="00117443" w:rsidRPr="008C7633">
        <w:rPr>
          <w:sz w:val="22"/>
          <w:szCs w:val="22"/>
        </w:rPr>
        <w:t xml:space="preserve">(3,700 cases per panel) </w:t>
      </w:r>
      <w:r w:rsidR="00B226A0" w:rsidRPr="008C7633">
        <w:rPr>
          <w:sz w:val="22"/>
          <w:szCs w:val="22"/>
        </w:rPr>
        <w:t xml:space="preserve">will </w:t>
      </w:r>
      <w:r w:rsidRPr="008C7633">
        <w:rPr>
          <w:sz w:val="22"/>
          <w:szCs w:val="22"/>
        </w:rPr>
        <w:t>provide us with enough statistical power (.80) t</w:t>
      </w:r>
      <w:r w:rsidR="00D24176" w:rsidRPr="008C7633">
        <w:rPr>
          <w:sz w:val="22"/>
          <w:szCs w:val="22"/>
        </w:rPr>
        <w:t xml:space="preserve">o detect a </w:t>
      </w:r>
      <w:r w:rsidR="0073729F" w:rsidRPr="008C7633">
        <w:rPr>
          <w:sz w:val="22"/>
          <w:szCs w:val="22"/>
        </w:rPr>
        <w:t>d</w:t>
      </w:r>
      <w:r w:rsidR="00D24176" w:rsidRPr="008C7633">
        <w:rPr>
          <w:sz w:val="22"/>
          <w:szCs w:val="22"/>
        </w:rPr>
        <w:t>ifference of about 3</w:t>
      </w:r>
      <w:r w:rsidRPr="008C7633">
        <w:rPr>
          <w:sz w:val="22"/>
          <w:szCs w:val="22"/>
        </w:rPr>
        <w:t xml:space="preserve"> percentage points in the overall response rates between the panels.</w:t>
      </w:r>
    </w:p>
    <w:p w:rsidR="006E3672" w:rsidRPr="008C7633" w:rsidRDefault="006E3672" w:rsidP="009A7712">
      <w:pPr>
        <w:rPr>
          <w:sz w:val="22"/>
          <w:szCs w:val="22"/>
        </w:rPr>
      </w:pPr>
    </w:p>
    <w:p w:rsidR="006E3672" w:rsidRPr="008C7633" w:rsidRDefault="006E3672" w:rsidP="009A7712">
      <w:pPr>
        <w:rPr>
          <w:sz w:val="22"/>
          <w:szCs w:val="22"/>
        </w:rPr>
      </w:pPr>
      <w:r w:rsidRPr="008C7633">
        <w:rPr>
          <w:sz w:val="22"/>
          <w:szCs w:val="22"/>
        </w:rPr>
        <w:t xml:space="preserve">For an average household, the estimated time to complete the PRCS form is 38 minutes, including the time for reviewing the instructions and answers. </w:t>
      </w:r>
      <w:r w:rsidR="00332E90">
        <w:rPr>
          <w:sz w:val="22"/>
          <w:szCs w:val="22"/>
        </w:rPr>
        <w:t xml:space="preserve"> </w:t>
      </w:r>
      <w:r w:rsidR="003D1F8A" w:rsidRPr="008C7633">
        <w:rPr>
          <w:sz w:val="22"/>
          <w:szCs w:val="22"/>
        </w:rPr>
        <w:t xml:space="preserve">The revised burden hours for a sample size with 7,400 residential addresses in Puerto Rico are </w:t>
      </w:r>
      <w:r w:rsidRPr="008C7633">
        <w:rPr>
          <w:sz w:val="22"/>
          <w:szCs w:val="22"/>
        </w:rPr>
        <w:t>4</w:t>
      </w:r>
      <w:r w:rsidR="003D1F8A" w:rsidRPr="008C7633">
        <w:rPr>
          <w:sz w:val="22"/>
          <w:szCs w:val="22"/>
        </w:rPr>
        <w:t>,</w:t>
      </w:r>
      <w:r w:rsidRPr="008C7633">
        <w:rPr>
          <w:sz w:val="22"/>
          <w:szCs w:val="22"/>
        </w:rPr>
        <w:t>687 hours</w:t>
      </w:r>
      <w:r w:rsidR="00B42171" w:rsidRPr="008C7633">
        <w:rPr>
          <w:sz w:val="22"/>
          <w:szCs w:val="22"/>
        </w:rPr>
        <w:t xml:space="preserve"> </w:t>
      </w:r>
      <w:r w:rsidR="0073729F" w:rsidRPr="008C7633">
        <w:rPr>
          <w:sz w:val="22"/>
          <w:szCs w:val="22"/>
        </w:rPr>
        <w:t xml:space="preserve">producing </w:t>
      </w:r>
      <w:r w:rsidR="00B42171" w:rsidRPr="008C7633">
        <w:rPr>
          <w:sz w:val="22"/>
          <w:szCs w:val="22"/>
        </w:rPr>
        <w:t xml:space="preserve">an increase </w:t>
      </w:r>
      <w:r w:rsidR="0073729F" w:rsidRPr="008C7633">
        <w:rPr>
          <w:sz w:val="22"/>
          <w:szCs w:val="22"/>
        </w:rPr>
        <w:t xml:space="preserve">of </w:t>
      </w:r>
      <w:r w:rsidR="00B42171" w:rsidRPr="008C7633">
        <w:rPr>
          <w:sz w:val="22"/>
          <w:szCs w:val="22"/>
        </w:rPr>
        <w:t>3,520</w:t>
      </w:r>
      <w:r w:rsidR="0073729F" w:rsidRPr="008C7633">
        <w:rPr>
          <w:sz w:val="22"/>
          <w:szCs w:val="22"/>
        </w:rPr>
        <w:t xml:space="preserve"> burden hours</w:t>
      </w:r>
      <w:r w:rsidR="00B42171" w:rsidRPr="008C7633">
        <w:rPr>
          <w:sz w:val="22"/>
          <w:szCs w:val="22"/>
        </w:rPr>
        <w:t>.</w:t>
      </w:r>
      <w:r w:rsidR="003D1F8A" w:rsidRPr="008C7633">
        <w:rPr>
          <w:sz w:val="22"/>
          <w:szCs w:val="22"/>
        </w:rPr>
        <w:t xml:space="preserve"> </w:t>
      </w:r>
    </w:p>
    <w:p w:rsidR="00B42171" w:rsidRPr="008C7633" w:rsidRDefault="00B42171" w:rsidP="009A7712">
      <w:pPr>
        <w:rPr>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8"/>
        <w:gridCol w:w="3083"/>
        <w:gridCol w:w="2679"/>
      </w:tblGrid>
      <w:tr w:rsidR="00B42171" w:rsidRPr="008C7633" w:rsidTr="00B72B2D">
        <w:tc>
          <w:tcPr>
            <w:tcW w:w="2788" w:type="dxa"/>
            <w:shd w:val="clear" w:color="auto" w:fill="D9D9D9"/>
          </w:tcPr>
          <w:p w:rsidR="00B42171" w:rsidRPr="008C7633" w:rsidRDefault="003629D7" w:rsidP="007F3633">
            <w:pPr>
              <w:rPr>
                <w:sz w:val="22"/>
                <w:szCs w:val="22"/>
              </w:rPr>
            </w:pPr>
            <w:r w:rsidRPr="008C7633">
              <w:rPr>
                <w:sz w:val="22"/>
                <w:szCs w:val="22"/>
              </w:rPr>
              <w:t>Status</w:t>
            </w:r>
          </w:p>
        </w:tc>
        <w:tc>
          <w:tcPr>
            <w:tcW w:w="3083" w:type="dxa"/>
            <w:shd w:val="clear" w:color="auto" w:fill="D9D9D9"/>
          </w:tcPr>
          <w:p w:rsidR="00B42171" w:rsidRPr="008C7633" w:rsidRDefault="00E41DCF" w:rsidP="00DA1832">
            <w:pPr>
              <w:jc w:val="center"/>
              <w:rPr>
                <w:sz w:val="22"/>
                <w:szCs w:val="22"/>
              </w:rPr>
            </w:pPr>
            <w:r w:rsidRPr="008C7633">
              <w:rPr>
                <w:sz w:val="22"/>
                <w:szCs w:val="22"/>
              </w:rPr>
              <w:t>Addresses</w:t>
            </w:r>
          </w:p>
        </w:tc>
        <w:tc>
          <w:tcPr>
            <w:tcW w:w="2679" w:type="dxa"/>
            <w:shd w:val="clear" w:color="auto" w:fill="D9D9D9"/>
          </w:tcPr>
          <w:p w:rsidR="00B42171" w:rsidRPr="008C7633" w:rsidRDefault="00B42171" w:rsidP="00DA1832">
            <w:pPr>
              <w:jc w:val="center"/>
              <w:rPr>
                <w:sz w:val="22"/>
                <w:szCs w:val="22"/>
              </w:rPr>
            </w:pPr>
            <w:r w:rsidRPr="008C7633">
              <w:rPr>
                <w:sz w:val="22"/>
                <w:szCs w:val="22"/>
              </w:rPr>
              <w:t>Burden Hours</w:t>
            </w:r>
          </w:p>
        </w:tc>
      </w:tr>
      <w:tr w:rsidR="00B42171" w:rsidRPr="008C7633" w:rsidTr="00DA1832">
        <w:tc>
          <w:tcPr>
            <w:tcW w:w="2788" w:type="dxa"/>
          </w:tcPr>
          <w:p w:rsidR="00B42171" w:rsidRPr="008C7633" w:rsidRDefault="00B42171" w:rsidP="007F3633">
            <w:pPr>
              <w:rPr>
                <w:sz w:val="22"/>
                <w:szCs w:val="22"/>
              </w:rPr>
            </w:pPr>
            <w:r w:rsidRPr="008C7633">
              <w:rPr>
                <w:sz w:val="22"/>
                <w:szCs w:val="22"/>
              </w:rPr>
              <w:t>Approved Burden</w:t>
            </w:r>
          </w:p>
        </w:tc>
        <w:tc>
          <w:tcPr>
            <w:tcW w:w="3083" w:type="dxa"/>
          </w:tcPr>
          <w:p w:rsidR="00B42171" w:rsidRPr="008C7633" w:rsidRDefault="00B42171" w:rsidP="00DA1832">
            <w:pPr>
              <w:jc w:val="center"/>
              <w:rPr>
                <w:sz w:val="22"/>
                <w:szCs w:val="22"/>
              </w:rPr>
            </w:pPr>
            <w:r w:rsidRPr="008C7633">
              <w:rPr>
                <w:sz w:val="22"/>
                <w:szCs w:val="22"/>
              </w:rPr>
              <w:t>2,000</w:t>
            </w:r>
          </w:p>
        </w:tc>
        <w:tc>
          <w:tcPr>
            <w:tcW w:w="2679" w:type="dxa"/>
          </w:tcPr>
          <w:p w:rsidR="00B42171" w:rsidRPr="008C7633" w:rsidRDefault="00B42171" w:rsidP="00DA1832">
            <w:pPr>
              <w:jc w:val="center"/>
              <w:rPr>
                <w:sz w:val="22"/>
                <w:szCs w:val="22"/>
              </w:rPr>
            </w:pPr>
            <w:r w:rsidRPr="008C7633">
              <w:rPr>
                <w:sz w:val="22"/>
                <w:szCs w:val="22"/>
              </w:rPr>
              <w:t>1,</w:t>
            </w:r>
            <w:r w:rsidR="00E41DCF" w:rsidRPr="008C7633">
              <w:rPr>
                <w:sz w:val="22"/>
                <w:szCs w:val="22"/>
              </w:rPr>
              <w:t>2</w:t>
            </w:r>
            <w:r w:rsidRPr="008C7633">
              <w:rPr>
                <w:sz w:val="22"/>
                <w:szCs w:val="22"/>
              </w:rPr>
              <w:t>67</w:t>
            </w:r>
          </w:p>
        </w:tc>
      </w:tr>
      <w:tr w:rsidR="00B42171" w:rsidRPr="008C7633" w:rsidTr="00DA1832">
        <w:tc>
          <w:tcPr>
            <w:tcW w:w="2788" w:type="dxa"/>
          </w:tcPr>
          <w:p w:rsidR="00B42171" w:rsidRPr="008C7633" w:rsidRDefault="00B42171" w:rsidP="007F3633">
            <w:pPr>
              <w:rPr>
                <w:sz w:val="22"/>
                <w:szCs w:val="22"/>
              </w:rPr>
            </w:pPr>
            <w:r w:rsidRPr="008C7633">
              <w:rPr>
                <w:sz w:val="22"/>
                <w:szCs w:val="22"/>
              </w:rPr>
              <w:t>Revised Burden</w:t>
            </w:r>
          </w:p>
        </w:tc>
        <w:tc>
          <w:tcPr>
            <w:tcW w:w="3083" w:type="dxa"/>
          </w:tcPr>
          <w:p w:rsidR="00B42171" w:rsidRPr="008C7633" w:rsidRDefault="00B42171" w:rsidP="00DA1832">
            <w:pPr>
              <w:jc w:val="center"/>
              <w:rPr>
                <w:sz w:val="22"/>
                <w:szCs w:val="22"/>
              </w:rPr>
            </w:pPr>
            <w:r w:rsidRPr="008C7633">
              <w:rPr>
                <w:sz w:val="22"/>
                <w:szCs w:val="22"/>
              </w:rPr>
              <w:t>7,400</w:t>
            </w:r>
          </w:p>
        </w:tc>
        <w:tc>
          <w:tcPr>
            <w:tcW w:w="2679" w:type="dxa"/>
          </w:tcPr>
          <w:p w:rsidR="00B42171" w:rsidRPr="008C7633" w:rsidRDefault="00B42171" w:rsidP="00DA1832">
            <w:pPr>
              <w:jc w:val="center"/>
              <w:rPr>
                <w:sz w:val="22"/>
                <w:szCs w:val="22"/>
              </w:rPr>
            </w:pPr>
            <w:r w:rsidRPr="008C7633">
              <w:rPr>
                <w:sz w:val="22"/>
                <w:szCs w:val="22"/>
              </w:rPr>
              <w:t>4,687</w:t>
            </w:r>
          </w:p>
        </w:tc>
      </w:tr>
      <w:tr w:rsidR="00B42171" w:rsidRPr="008C7633" w:rsidTr="00DA1832">
        <w:tc>
          <w:tcPr>
            <w:tcW w:w="2788" w:type="dxa"/>
          </w:tcPr>
          <w:p w:rsidR="00B42171" w:rsidRPr="008C7633" w:rsidRDefault="006959EC" w:rsidP="006959EC">
            <w:pPr>
              <w:rPr>
                <w:sz w:val="22"/>
                <w:szCs w:val="22"/>
              </w:rPr>
            </w:pPr>
            <w:r w:rsidRPr="008C7633">
              <w:rPr>
                <w:sz w:val="22"/>
                <w:szCs w:val="22"/>
              </w:rPr>
              <w:t>Increase in Burden</w:t>
            </w:r>
          </w:p>
        </w:tc>
        <w:tc>
          <w:tcPr>
            <w:tcW w:w="3083" w:type="dxa"/>
          </w:tcPr>
          <w:p w:rsidR="00B42171" w:rsidRPr="008C7633" w:rsidRDefault="00B42171" w:rsidP="00DA1832">
            <w:pPr>
              <w:jc w:val="center"/>
              <w:rPr>
                <w:sz w:val="22"/>
                <w:szCs w:val="22"/>
              </w:rPr>
            </w:pPr>
            <w:r w:rsidRPr="008C7633">
              <w:rPr>
                <w:sz w:val="22"/>
                <w:szCs w:val="22"/>
              </w:rPr>
              <w:t>5,400</w:t>
            </w:r>
          </w:p>
        </w:tc>
        <w:tc>
          <w:tcPr>
            <w:tcW w:w="2679" w:type="dxa"/>
          </w:tcPr>
          <w:p w:rsidR="00B42171" w:rsidRPr="008C7633" w:rsidRDefault="00B83D16" w:rsidP="00DA1832">
            <w:pPr>
              <w:jc w:val="center"/>
              <w:rPr>
                <w:sz w:val="22"/>
                <w:szCs w:val="22"/>
              </w:rPr>
            </w:pPr>
            <w:r>
              <w:rPr>
                <w:sz w:val="22"/>
                <w:szCs w:val="22"/>
              </w:rPr>
              <w:t>3,</w:t>
            </w:r>
            <w:r w:rsidR="00E41DCF" w:rsidRPr="008C7633">
              <w:rPr>
                <w:sz w:val="22"/>
                <w:szCs w:val="22"/>
              </w:rPr>
              <w:t>4</w:t>
            </w:r>
            <w:r w:rsidR="00B42171" w:rsidRPr="008C7633">
              <w:rPr>
                <w:sz w:val="22"/>
                <w:szCs w:val="22"/>
              </w:rPr>
              <w:t>20</w:t>
            </w:r>
          </w:p>
        </w:tc>
      </w:tr>
    </w:tbl>
    <w:p w:rsidR="00640129" w:rsidRPr="008C7633" w:rsidRDefault="00640129" w:rsidP="009A650E">
      <w:pPr>
        <w:rPr>
          <w:sz w:val="22"/>
          <w:szCs w:val="22"/>
        </w:rPr>
      </w:pPr>
    </w:p>
    <w:p w:rsidR="009A650E" w:rsidRPr="008C7633" w:rsidRDefault="00EE006A" w:rsidP="009A650E">
      <w:pPr>
        <w:rPr>
          <w:b/>
          <w:sz w:val="22"/>
          <w:szCs w:val="22"/>
        </w:rPr>
      </w:pPr>
      <w:r w:rsidRPr="008C7633">
        <w:rPr>
          <w:b/>
          <w:sz w:val="22"/>
          <w:szCs w:val="22"/>
        </w:rPr>
        <w:t xml:space="preserve">III. </w:t>
      </w:r>
      <w:r w:rsidR="009A650E" w:rsidRPr="008C7633">
        <w:rPr>
          <w:b/>
          <w:sz w:val="22"/>
          <w:szCs w:val="22"/>
        </w:rPr>
        <w:t>Additional Information on the 2011 ACS Internet Test</w:t>
      </w:r>
      <w:r w:rsidR="00E41DCF" w:rsidRPr="008C7633">
        <w:rPr>
          <w:b/>
          <w:sz w:val="22"/>
          <w:szCs w:val="22"/>
        </w:rPr>
        <w:t xml:space="preserve"> Follow-up Interview</w:t>
      </w:r>
    </w:p>
    <w:p w:rsidR="00E41DCF" w:rsidRPr="008C7633" w:rsidRDefault="00405FAB" w:rsidP="00E41DCF">
      <w:pPr>
        <w:autoSpaceDE w:val="0"/>
        <w:autoSpaceDN w:val="0"/>
        <w:adjustRightInd w:val="0"/>
        <w:rPr>
          <w:rFonts w:eastAsia="Calibri"/>
          <w:color w:val="000000"/>
          <w:sz w:val="22"/>
          <w:szCs w:val="22"/>
        </w:rPr>
      </w:pPr>
      <w:r w:rsidRPr="008C7633">
        <w:rPr>
          <w:rFonts w:eastAsia="Calibri"/>
          <w:color w:val="000000"/>
          <w:sz w:val="22"/>
          <w:szCs w:val="22"/>
        </w:rPr>
        <w:t xml:space="preserve">The clearance package submitted to OMB alluded to a </w:t>
      </w:r>
      <w:proofErr w:type="spellStart"/>
      <w:r w:rsidRPr="008C7633">
        <w:rPr>
          <w:rFonts w:eastAsia="Calibri"/>
          <w:color w:val="000000"/>
          <w:sz w:val="22"/>
          <w:szCs w:val="22"/>
        </w:rPr>
        <w:t>reinterview</w:t>
      </w:r>
      <w:proofErr w:type="spellEnd"/>
      <w:r w:rsidRPr="008C7633">
        <w:rPr>
          <w:rFonts w:eastAsia="Calibri"/>
          <w:color w:val="000000"/>
          <w:sz w:val="22"/>
          <w:szCs w:val="22"/>
        </w:rPr>
        <w:t xml:space="preserve"> for the Internet Test, but Census did not have a design at the time the clearance went through. We now have designed this </w:t>
      </w:r>
      <w:r w:rsidR="00B83D16">
        <w:rPr>
          <w:rFonts w:eastAsia="Calibri"/>
          <w:color w:val="000000"/>
          <w:sz w:val="22"/>
          <w:szCs w:val="22"/>
        </w:rPr>
        <w:t>interview</w:t>
      </w:r>
      <w:r w:rsidR="00E41DCF" w:rsidRPr="008C7633">
        <w:rPr>
          <w:rFonts w:eastAsia="Calibri"/>
          <w:color w:val="000000"/>
          <w:sz w:val="22"/>
          <w:szCs w:val="22"/>
        </w:rPr>
        <w:t>.</w:t>
      </w:r>
      <w:r w:rsidRPr="008C7633">
        <w:rPr>
          <w:rFonts w:eastAsia="Calibri"/>
          <w:color w:val="000000"/>
          <w:sz w:val="22"/>
          <w:szCs w:val="22"/>
        </w:rPr>
        <w:t xml:space="preserve"> </w:t>
      </w:r>
      <w:r w:rsidR="00E41DCF" w:rsidRPr="008C7633">
        <w:rPr>
          <w:rFonts w:eastAsia="Calibri"/>
          <w:color w:val="000000"/>
          <w:sz w:val="22"/>
          <w:szCs w:val="22"/>
        </w:rPr>
        <w:t xml:space="preserve"> The follow-up interview will be conducted by CATI, and will include a sample of mail respondents, Internet respondents and </w:t>
      </w:r>
      <w:proofErr w:type="spellStart"/>
      <w:r w:rsidR="00E41DCF" w:rsidRPr="008C7633">
        <w:rPr>
          <w:rFonts w:eastAsia="Calibri"/>
          <w:color w:val="000000"/>
          <w:sz w:val="22"/>
          <w:szCs w:val="22"/>
        </w:rPr>
        <w:t>nonrespondents</w:t>
      </w:r>
      <w:proofErr w:type="spellEnd"/>
      <w:r w:rsidR="00E41DCF" w:rsidRPr="008C7633">
        <w:rPr>
          <w:rFonts w:eastAsia="Calibri"/>
          <w:color w:val="000000"/>
          <w:sz w:val="22"/>
          <w:szCs w:val="22"/>
        </w:rPr>
        <w:t xml:space="preserve">.  </w:t>
      </w:r>
      <w:r w:rsidR="00E41DCF" w:rsidRPr="008C7633">
        <w:rPr>
          <w:sz w:val="22"/>
          <w:szCs w:val="22"/>
        </w:rPr>
        <w:t xml:space="preserve">For Internet and mail responding households, the original respondent must be interviewed.  </w:t>
      </w:r>
    </w:p>
    <w:p w:rsidR="00E41DCF" w:rsidRPr="008C7633" w:rsidRDefault="00E41DCF" w:rsidP="00E41DCF">
      <w:pPr>
        <w:autoSpaceDE w:val="0"/>
        <w:autoSpaceDN w:val="0"/>
        <w:adjustRightInd w:val="0"/>
        <w:rPr>
          <w:rFonts w:eastAsia="Calibri"/>
          <w:color w:val="000000"/>
          <w:sz w:val="22"/>
          <w:szCs w:val="22"/>
        </w:rPr>
      </w:pPr>
    </w:p>
    <w:p w:rsidR="00E41DCF" w:rsidRPr="008C7633" w:rsidRDefault="00E41DCF" w:rsidP="00E41DCF">
      <w:pPr>
        <w:autoSpaceDE w:val="0"/>
        <w:autoSpaceDN w:val="0"/>
        <w:adjustRightInd w:val="0"/>
        <w:rPr>
          <w:sz w:val="22"/>
          <w:szCs w:val="22"/>
        </w:rPr>
      </w:pPr>
      <w:r w:rsidRPr="008C7633">
        <w:rPr>
          <w:sz w:val="22"/>
          <w:szCs w:val="22"/>
        </w:rPr>
        <w:t xml:space="preserve">There are two components to the Internet Follow-up Interview.  </w:t>
      </w:r>
    </w:p>
    <w:p w:rsidR="00E41DCF" w:rsidRPr="008C7633" w:rsidRDefault="00E41DCF" w:rsidP="00E41DCF">
      <w:pPr>
        <w:numPr>
          <w:ilvl w:val="0"/>
          <w:numId w:val="5"/>
        </w:numPr>
        <w:autoSpaceDE w:val="0"/>
        <w:autoSpaceDN w:val="0"/>
        <w:adjustRightInd w:val="0"/>
        <w:rPr>
          <w:sz w:val="22"/>
          <w:szCs w:val="22"/>
        </w:rPr>
      </w:pPr>
      <w:r w:rsidRPr="008C7633">
        <w:rPr>
          <w:b/>
          <w:bCs/>
          <w:sz w:val="22"/>
          <w:szCs w:val="22"/>
        </w:rPr>
        <w:lastRenderedPageBreak/>
        <w:t>Attitudes and Behavior Study (ABS)</w:t>
      </w:r>
      <w:r w:rsidRPr="008C7633">
        <w:rPr>
          <w:sz w:val="22"/>
          <w:szCs w:val="22"/>
        </w:rPr>
        <w:t xml:space="preserve"> - these questions ask about Internet use/non-use, privacy concerns, and effectiveness of mailing materials.  Note these questions will vary slightly across the three respondent groups: Internet respondents, mail res</w:t>
      </w:r>
      <w:r w:rsidR="00F5689F" w:rsidRPr="008C7633">
        <w:rPr>
          <w:sz w:val="22"/>
          <w:szCs w:val="22"/>
        </w:rPr>
        <w:t xml:space="preserve">pondents, and </w:t>
      </w:r>
      <w:proofErr w:type="spellStart"/>
      <w:r w:rsidR="00F5689F" w:rsidRPr="008C7633">
        <w:rPr>
          <w:sz w:val="22"/>
          <w:szCs w:val="22"/>
        </w:rPr>
        <w:t>nonrespondents</w:t>
      </w:r>
      <w:proofErr w:type="spellEnd"/>
      <w:r w:rsidR="00F5689F" w:rsidRPr="008C7633">
        <w:rPr>
          <w:sz w:val="22"/>
          <w:szCs w:val="22"/>
        </w:rPr>
        <w:t xml:space="preserve">. </w:t>
      </w:r>
      <w:r w:rsidR="0088676D">
        <w:rPr>
          <w:sz w:val="22"/>
          <w:szCs w:val="22"/>
        </w:rPr>
        <w:t xml:space="preserve"> </w:t>
      </w:r>
      <w:r w:rsidR="00F5689F" w:rsidRPr="008C7633">
        <w:rPr>
          <w:sz w:val="22"/>
          <w:szCs w:val="22"/>
        </w:rPr>
        <w:t>(S</w:t>
      </w:r>
      <w:r w:rsidRPr="008C7633">
        <w:rPr>
          <w:sz w:val="22"/>
          <w:szCs w:val="22"/>
        </w:rPr>
        <w:t xml:space="preserve">ee Attachment </w:t>
      </w:r>
      <w:r w:rsidR="00A55C11" w:rsidRPr="008C7633">
        <w:rPr>
          <w:sz w:val="22"/>
          <w:szCs w:val="22"/>
        </w:rPr>
        <w:t>A</w:t>
      </w:r>
      <w:r w:rsidRPr="008C7633">
        <w:rPr>
          <w:sz w:val="22"/>
          <w:szCs w:val="22"/>
        </w:rPr>
        <w:t xml:space="preserve"> for the questions</w:t>
      </w:r>
      <w:r w:rsidR="00F5689F" w:rsidRPr="008C7633">
        <w:rPr>
          <w:sz w:val="22"/>
          <w:szCs w:val="22"/>
        </w:rPr>
        <w:t>.</w:t>
      </w:r>
      <w:r w:rsidRPr="008C7633">
        <w:rPr>
          <w:sz w:val="22"/>
          <w:szCs w:val="22"/>
        </w:rPr>
        <w:t xml:space="preserve">)  </w:t>
      </w:r>
    </w:p>
    <w:p w:rsidR="00E41DCF" w:rsidRPr="008C7633" w:rsidRDefault="00E41DCF" w:rsidP="00E41DCF">
      <w:pPr>
        <w:numPr>
          <w:ilvl w:val="0"/>
          <w:numId w:val="5"/>
        </w:numPr>
        <w:autoSpaceDE w:val="0"/>
        <w:autoSpaceDN w:val="0"/>
        <w:adjustRightInd w:val="0"/>
        <w:rPr>
          <w:b/>
          <w:sz w:val="22"/>
          <w:szCs w:val="22"/>
        </w:rPr>
      </w:pPr>
      <w:r w:rsidRPr="008C7633">
        <w:rPr>
          <w:b/>
          <w:bCs/>
          <w:sz w:val="22"/>
          <w:szCs w:val="22"/>
        </w:rPr>
        <w:t xml:space="preserve">Content </w:t>
      </w:r>
      <w:proofErr w:type="spellStart"/>
      <w:r w:rsidRPr="008C7633">
        <w:rPr>
          <w:b/>
          <w:bCs/>
          <w:sz w:val="22"/>
          <w:szCs w:val="22"/>
        </w:rPr>
        <w:t>Reinterview</w:t>
      </w:r>
      <w:proofErr w:type="spellEnd"/>
      <w:r w:rsidRPr="008C7633">
        <w:rPr>
          <w:sz w:val="22"/>
          <w:szCs w:val="22"/>
        </w:rPr>
        <w:t xml:space="preserve"> </w:t>
      </w:r>
      <w:r w:rsidRPr="008C7633">
        <w:rPr>
          <w:b/>
          <w:bCs/>
          <w:sz w:val="22"/>
          <w:szCs w:val="22"/>
        </w:rPr>
        <w:t>Assessment</w:t>
      </w:r>
      <w:r w:rsidRPr="008C7633">
        <w:rPr>
          <w:sz w:val="22"/>
          <w:szCs w:val="22"/>
        </w:rPr>
        <w:t xml:space="preserve"> </w:t>
      </w:r>
      <w:r w:rsidRPr="008C7633">
        <w:rPr>
          <w:b/>
          <w:bCs/>
          <w:sz w:val="22"/>
          <w:szCs w:val="22"/>
        </w:rPr>
        <w:t>(CRA)</w:t>
      </w:r>
      <w:r w:rsidRPr="008C7633">
        <w:rPr>
          <w:sz w:val="22"/>
          <w:szCs w:val="22"/>
        </w:rPr>
        <w:t xml:space="preserve"> - a subset of 14 ACS questions shown in the table in Attachment A will be re-asked using ACS production CATI wording to look at consistency of responses.  The questions were selected to represent </w:t>
      </w:r>
      <w:r w:rsidR="00B83D16">
        <w:rPr>
          <w:sz w:val="22"/>
          <w:szCs w:val="22"/>
        </w:rPr>
        <w:t xml:space="preserve">various </w:t>
      </w:r>
      <w:r w:rsidRPr="008C7633">
        <w:rPr>
          <w:sz w:val="22"/>
          <w:szCs w:val="22"/>
        </w:rPr>
        <w:t>Internet question format type</w:t>
      </w:r>
      <w:r w:rsidR="00B83D16">
        <w:rPr>
          <w:sz w:val="22"/>
          <w:szCs w:val="22"/>
        </w:rPr>
        <w:t>s</w:t>
      </w:r>
      <w:r w:rsidRPr="008C7633">
        <w:rPr>
          <w:sz w:val="22"/>
          <w:szCs w:val="22"/>
        </w:rPr>
        <w:t xml:space="preserve">.  Additionally, questions were chosen that would be less likely to have recall bias and time specific responses </w:t>
      </w:r>
      <w:r w:rsidR="00F5689F" w:rsidRPr="008C7633">
        <w:rPr>
          <w:sz w:val="22"/>
          <w:szCs w:val="22"/>
        </w:rPr>
        <w:t xml:space="preserve">such as </w:t>
      </w:r>
      <w:r w:rsidRPr="008C7633">
        <w:rPr>
          <w:sz w:val="22"/>
          <w:szCs w:val="22"/>
        </w:rPr>
        <w:t>“during the past week</w:t>
      </w:r>
      <w:r w:rsidR="0088676D">
        <w:rPr>
          <w:sz w:val="22"/>
          <w:szCs w:val="22"/>
        </w:rPr>
        <w:t>.</w:t>
      </w:r>
      <w:r w:rsidRPr="008C7633">
        <w:rPr>
          <w:sz w:val="22"/>
          <w:szCs w:val="22"/>
        </w:rPr>
        <w:t>”</w:t>
      </w:r>
      <w:r w:rsidR="0088676D">
        <w:rPr>
          <w:sz w:val="22"/>
          <w:szCs w:val="22"/>
        </w:rPr>
        <w:t xml:space="preserve">  </w:t>
      </w:r>
      <w:r w:rsidR="00F5689F" w:rsidRPr="008C7633">
        <w:rPr>
          <w:sz w:val="22"/>
          <w:szCs w:val="22"/>
        </w:rPr>
        <w:t>(See Attachment B for a list of the questions.)</w:t>
      </w:r>
    </w:p>
    <w:p w:rsidR="00AB35DA" w:rsidRPr="008C7633" w:rsidRDefault="00AB35DA" w:rsidP="00AB35DA">
      <w:pPr>
        <w:autoSpaceDE w:val="0"/>
        <w:autoSpaceDN w:val="0"/>
        <w:adjustRightInd w:val="0"/>
        <w:ind w:left="720"/>
        <w:rPr>
          <w:b/>
          <w:sz w:val="22"/>
          <w:szCs w:val="22"/>
        </w:rPr>
      </w:pPr>
    </w:p>
    <w:p w:rsidR="008B2C05" w:rsidRPr="008C7633" w:rsidRDefault="008B2C05" w:rsidP="00D2363C">
      <w:pPr>
        <w:pStyle w:val="ListParagraph"/>
        <w:autoSpaceDE w:val="0"/>
        <w:autoSpaceDN w:val="0"/>
        <w:adjustRightInd w:val="0"/>
        <w:ind w:left="0"/>
        <w:rPr>
          <w:bCs/>
          <w:sz w:val="22"/>
          <w:szCs w:val="22"/>
        </w:rPr>
      </w:pPr>
      <w:r w:rsidRPr="008C7633">
        <w:rPr>
          <w:sz w:val="22"/>
          <w:szCs w:val="22"/>
        </w:rPr>
        <w:t xml:space="preserve">The ABS questions will be asked first.  Note that only a sample of Internet and mail respondents will get this portion of the interview while this is the only part of the follow-up interview that </w:t>
      </w:r>
      <w:proofErr w:type="spellStart"/>
      <w:r w:rsidRPr="008C7633">
        <w:rPr>
          <w:sz w:val="22"/>
          <w:szCs w:val="22"/>
        </w:rPr>
        <w:t>nonrespondents</w:t>
      </w:r>
      <w:proofErr w:type="spellEnd"/>
      <w:r w:rsidRPr="008C7633">
        <w:rPr>
          <w:sz w:val="22"/>
          <w:szCs w:val="22"/>
        </w:rPr>
        <w:t xml:space="preserve"> get.   CRA questions will be asked of Internet and mail responding households only for which the original interview was classified as a sufficient partial or a completed interview.  CRA person level questions will be asked about all household members from the original interview roster. </w:t>
      </w:r>
    </w:p>
    <w:p w:rsidR="00001DFA" w:rsidRPr="008C7633" w:rsidRDefault="00001DFA" w:rsidP="008B2C05">
      <w:pPr>
        <w:pStyle w:val="Heading1"/>
        <w:rPr>
          <w:b w:val="0"/>
          <w:sz w:val="22"/>
          <w:szCs w:val="22"/>
        </w:rPr>
      </w:pPr>
    </w:p>
    <w:p w:rsidR="008B2C05" w:rsidRPr="008C7633" w:rsidRDefault="008B2C05" w:rsidP="008B2C05">
      <w:pPr>
        <w:pStyle w:val="Heading1"/>
        <w:rPr>
          <w:b w:val="0"/>
          <w:bCs/>
          <w:sz w:val="22"/>
          <w:szCs w:val="22"/>
        </w:rPr>
      </w:pPr>
      <w:r w:rsidRPr="008C7633">
        <w:rPr>
          <w:b w:val="0"/>
          <w:sz w:val="22"/>
          <w:szCs w:val="22"/>
        </w:rPr>
        <w:t xml:space="preserve">For the CRA, we will compare gross difference rates for Internet and mail respondents.  </w:t>
      </w:r>
      <w:r w:rsidRPr="008C7633">
        <w:rPr>
          <w:b w:val="0"/>
          <w:bCs/>
          <w:sz w:val="22"/>
          <w:szCs w:val="22"/>
        </w:rPr>
        <w:t>The gross difference rate measures the p</w:t>
      </w:r>
      <w:r w:rsidRPr="008C7633">
        <w:rPr>
          <w:b w:val="0"/>
          <w:sz w:val="22"/>
          <w:szCs w:val="22"/>
        </w:rPr>
        <w:t xml:space="preserve">ercentage of inconsistent responses between the original interview and the </w:t>
      </w:r>
      <w:proofErr w:type="spellStart"/>
      <w:r w:rsidRPr="008C7633">
        <w:rPr>
          <w:b w:val="0"/>
          <w:sz w:val="22"/>
          <w:szCs w:val="22"/>
        </w:rPr>
        <w:t>reinterview</w:t>
      </w:r>
      <w:proofErr w:type="spellEnd"/>
      <w:r w:rsidRPr="008C7633">
        <w:rPr>
          <w:b w:val="0"/>
          <w:sz w:val="22"/>
          <w:szCs w:val="22"/>
        </w:rPr>
        <w:t xml:space="preserve">.  </w:t>
      </w:r>
      <w:r w:rsidRPr="008C7633">
        <w:rPr>
          <w:b w:val="0"/>
          <w:bCs/>
          <w:sz w:val="22"/>
          <w:szCs w:val="22"/>
        </w:rPr>
        <w:t xml:space="preserve">Using an 80% power analysis, we determined that we need to sample 6,000 households with phone numbers for each mode in order to detect a difference in gross difference rates of 4.0 percentage points or higher between modes </w:t>
      </w:r>
      <w:r w:rsidRPr="008C7633">
        <w:rPr>
          <w:b w:val="0"/>
          <w:sz w:val="22"/>
          <w:szCs w:val="22"/>
        </w:rPr>
        <w:t>using a significance level of α = 0.10.  This sample size was determined a</w:t>
      </w:r>
      <w:r w:rsidRPr="008C7633">
        <w:rPr>
          <w:b w:val="0"/>
          <w:bCs/>
          <w:sz w:val="22"/>
          <w:szCs w:val="22"/>
        </w:rPr>
        <w:t xml:space="preserve">ssuming an 85% response rate to the </w:t>
      </w:r>
      <w:proofErr w:type="spellStart"/>
      <w:r w:rsidRPr="008C7633">
        <w:rPr>
          <w:b w:val="0"/>
          <w:bCs/>
          <w:sz w:val="22"/>
          <w:szCs w:val="22"/>
        </w:rPr>
        <w:t>reinterview</w:t>
      </w:r>
      <w:proofErr w:type="spellEnd"/>
      <w:r w:rsidRPr="008C7633">
        <w:rPr>
          <w:b w:val="0"/>
          <w:bCs/>
          <w:sz w:val="22"/>
          <w:szCs w:val="22"/>
        </w:rPr>
        <w:t xml:space="preserve"> and an 85% success rate interviewing the same respondent. </w:t>
      </w:r>
    </w:p>
    <w:p w:rsidR="00A657EE" w:rsidRPr="008C7633" w:rsidRDefault="00A657EE" w:rsidP="00A657EE">
      <w:pPr>
        <w:rPr>
          <w:sz w:val="22"/>
          <w:szCs w:val="22"/>
        </w:rPr>
      </w:pPr>
    </w:p>
    <w:p w:rsidR="008B2C05" w:rsidRPr="008C7633" w:rsidRDefault="008B2C05" w:rsidP="008B2C05">
      <w:pPr>
        <w:rPr>
          <w:sz w:val="22"/>
          <w:szCs w:val="22"/>
        </w:rPr>
      </w:pPr>
      <w:r w:rsidRPr="008C7633">
        <w:rPr>
          <w:sz w:val="22"/>
          <w:szCs w:val="22"/>
        </w:rPr>
        <w:t xml:space="preserve">The ABS analysis is a qualitative analysis that </w:t>
      </w:r>
      <w:r w:rsidR="000C5ECE" w:rsidRPr="008C7633">
        <w:rPr>
          <w:sz w:val="22"/>
          <w:szCs w:val="22"/>
        </w:rPr>
        <w:t>needs minimal</w:t>
      </w:r>
      <w:r w:rsidRPr="008C7633">
        <w:rPr>
          <w:sz w:val="22"/>
          <w:szCs w:val="22"/>
        </w:rPr>
        <w:t xml:space="preserve"> sample to make conclusions.  The sample</w:t>
      </w:r>
      <w:r w:rsidR="00332E90">
        <w:rPr>
          <w:sz w:val="22"/>
          <w:szCs w:val="22"/>
        </w:rPr>
        <w:t xml:space="preserve"> </w:t>
      </w:r>
      <w:r w:rsidRPr="008C7633">
        <w:rPr>
          <w:sz w:val="22"/>
          <w:szCs w:val="22"/>
        </w:rPr>
        <w:t>size</w:t>
      </w:r>
      <w:r w:rsidR="00332E90">
        <w:rPr>
          <w:sz w:val="22"/>
          <w:szCs w:val="22"/>
        </w:rPr>
        <w:t>s</w:t>
      </w:r>
      <w:r w:rsidRPr="008C7633">
        <w:rPr>
          <w:sz w:val="22"/>
          <w:szCs w:val="22"/>
        </w:rPr>
        <w:t xml:space="preserve"> </w:t>
      </w:r>
      <w:r w:rsidR="00B83D16">
        <w:rPr>
          <w:sz w:val="22"/>
          <w:szCs w:val="22"/>
        </w:rPr>
        <w:t>for</w:t>
      </w:r>
      <w:r w:rsidRPr="008C7633">
        <w:rPr>
          <w:sz w:val="22"/>
          <w:szCs w:val="22"/>
        </w:rPr>
        <w:t xml:space="preserve"> re</w:t>
      </w:r>
      <w:r w:rsidR="000C5ECE" w:rsidRPr="008C7633">
        <w:rPr>
          <w:sz w:val="22"/>
          <w:szCs w:val="22"/>
        </w:rPr>
        <w:t>spondent groups are shown below:</w:t>
      </w:r>
      <w:r w:rsidRPr="008C7633">
        <w:rPr>
          <w:sz w:val="22"/>
          <w:szCs w:val="22"/>
        </w:rPr>
        <w:t xml:space="preserve">  </w:t>
      </w:r>
    </w:p>
    <w:p w:rsidR="00001DFA" w:rsidRPr="008C7633" w:rsidRDefault="008B2C05" w:rsidP="00001DFA">
      <w:pPr>
        <w:numPr>
          <w:ilvl w:val="0"/>
          <w:numId w:val="4"/>
        </w:numPr>
        <w:rPr>
          <w:sz w:val="22"/>
          <w:szCs w:val="22"/>
        </w:rPr>
      </w:pPr>
      <w:r w:rsidRPr="008C7633">
        <w:rPr>
          <w:b/>
          <w:bCs/>
          <w:sz w:val="22"/>
          <w:szCs w:val="22"/>
        </w:rPr>
        <w:t xml:space="preserve">Internet respondents:  </w:t>
      </w:r>
      <w:r w:rsidRPr="008C7633">
        <w:rPr>
          <w:color w:val="000000"/>
          <w:sz w:val="22"/>
          <w:szCs w:val="22"/>
        </w:rPr>
        <w:t xml:space="preserve">Since we need 400 </w:t>
      </w:r>
      <w:r w:rsidR="000C5ECE" w:rsidRPr="008C7633">
        <w:rPr>
          <w:color w:val="000000"/>
          <w:sz w:val="22"/>
          <w:szCs w:val="22"/>
        </w:rPr>
        <w:t xml:space="preserve">complete </w:t>
      </w:r>
      <w:r w:rsidRPr="008C7633">
        <w:rPr>
          <w:color w:val="000000"/>
          <w:sz w:val="22"/>
          <w:szCs w:val="22"/>
        </w:rPr>
        <w:t xml:space="preserve">ABS interviews (100 per </w:t>
      </w:r>
      <w:r w:rsidR="000C5ECE" w:rsidRPr="008C7633">
        <w:rPr>
          <w:color w:val="000000"/>
          <w:sz w:val="22"/>
          <w:szCs w:val="22"/>
        </w:rPr>
        <w:t xml:space="preserve">Internet test </w:t>
      </w:r>
      <w:r w:rsidRPr="008C7633">
        <w:rPr>
          <w:color w:val="000000"/>
          <w:sz w:val="22"/>
          <w:szCs w:val="22"/>
        </w:rPr>
        <w:t>panel</w:t>
      </w:r>
      <w:r w:rsidR="00B83D16">
        <w:rPr>
          <w:color w:val="000000"/>
          <w:sz w:val="22"/>
          <w:szCs w:val="22"/>
        </w:rPr>
        <w:t xml:space="preserve"> (i.e., notification strategy)</w:t>
      </w:r>
      <w:r w:rsidRPr="008C7633">
        <w:rPr>
          <w:color w:val="000000"/>
          <w:sz w:val="22"/>
          <w:szCs w:val="22"/>
        </w:rPr>
        <w:t xml:space="preserve"> excluding the control), we will subsample </w:t>
      </w:r>
      <w:r w:rsidRPr="008C7633">
        <w:rPr>
          <w:bCs/>
          <w:color w:val="000000"/>
          <w:sz w:val="22"/>
          <w:szCs w:val="22"/>
        </w:rPr>
        <w:t>550 households</w:t>
      </w:r>
      <w:r w:rsidRPr="008C7633">
        <w:rPr>
          <w:color w:val="000000"/>
          <w:sz w:val="22"/>
          <w:szCs w:val="22"/>
        </w:rPr>
        <w:t xml:space="preserve"> for ABS interview.  </w:t>
      </w:r>
      <w:proofErr w:type="gramStart"/>
      <w:r w:rsidRPr="008C7633">
        <w:rPr>
          <w:color w:val="000000"/>
          <w:sz w:val="22"/>
          <w:szCs w:val="22"/>
        </w:rPr>
        <w:t xml:space="preserve">This </w:t>
      </w:r>
      <w:proofErr w:type="spellStart"/>
      <w:r w:rsidRPr="008C7633">
        <w:rPr>
          <w:color w:val="000000"/>
          <w:sz w:val="22"/>
          <w:szCs w:val="22"/>
        </w:rPr>
        <w:t>subsampling</w:t>
      </w:r>
      <w:proofErr w:type="spellEnd"/>
      <w:r w:rsidRPr="008C7633">
        <w:rPr>
          <w:color w:val="000000"/>
          <w:sz w:val="22"/>
          <w:szCs w:val="22"/>
        </w:rPr>
        <w:t xml:space="preserve"> accounts</w:t>
      </w:r>
      <w:proofErr w:type="gramEnd"/>
      <w:r w:rsidRPr="008C7633">
        <w:rPr>
          <w:color w:val="000000"/>
          <w:sz w:val="22"/>
          <w:szCs w:val="22"/>
        </w:rPr>
        <w:t xml:space="preserve"> for our 85% success rate in our content tests in reaching the same respondent and an 85% response rate</w:t>
      </w:r>
      <w:r w:rsidR="000C5ECE" w:rsidRPr="008C7633">
        <w:rPr>
          <w:color w:val="000000"/>
          <w:sz w:val="22"/>
          <w:szCs w:val="22"/>
        </w:rPr>
        <w:t xml:space="preserve"> (as seen in previous content tests)</w:t>
      </w:r>
      <w:r w:rsidRPr="008C7633">
        <w:rPr>
          <w:color w:val="000000"/>
          <w:sz w:val="22"/>
          <w:szCs w:val="22"/>
        </w:rPr>
        <w:t>.</w:t>
      </w:r>
    </w:p>
    <w:p w:rsidR="008B2C05" w:rsidRPr="008C7633" w:rsidRDefault="008B2C05" w:rsidP="008B2C05">
      <w:pPr>
        <w:numPr>
          <w:ilvl w:val="0"/>
          <w:numId w:val="4"/>
        </w:numPr>
        <w:rPr>
          <w:b/>
          <w:sz w:val="22"/>
          <w:szCs w:val="22"/>
        </w:rPr>
      </w:pPr>
      <w:r w:rsidRPr="008C7633">
        <w:rPr>
          <w:b/>
          <w:bCs/>
          <w:sz w:val="22"/>
          <w:szCs w:val="22"/>
        </w:rPr>
        <w:t>Mail respondents</w:t>
      </w:r>
      <w:r w:rsidRPr="008C7633">
        <w:rPr>
          <w:sz w:val="22"/>
          <w:szCs w:val="22"/>
        </w:rPr>
        <w:t xml:space="preserve">:  Since we need </w:t>
      </w:r>
      <w:r w:rsidRPr="008C7633">
        <w:rPr>
          <w:color w:val="000000"/>
          <w:sz w:val="22"/>
          <w:szCs w:val="22"/>
        </w:rPr>
        <w:t xml:space="preserve">500 complete ABS interviews (100 per panel including control) with the same respondent and based on our success at </w:t>
      </w:r>
      <w:proofErr w:type="spellStart"/>
      <w:r w:rsidRPr="008C7633">
        <w:rPr>
          <w:color w:val="000000"/>
          <w:sz w:val="22"/>
          <w:szCs w:val="22"/>
        </w:rPr>
        <w:t>reinterviewing</w:t>
      </w:r>
      <w:proofErr w:type="spellEnd"/>
      <w:r w:rsidRPr="008C7633">
        <w:rPr>
          <w:color w:val="000000"/>
          <w:sz w:val="22"/>
          <w:szCs w:val="22"/>
        </w:rPr>
        <w:t xml:space="preserve"> these households in past content tests (85% response rate and 85% same respondent rate), we would need </w:t>
      </w:r>
      <w:r w:rsidRPr="008C7633">
        <w:rPr>
          <w:bCs/>
          <w:color w:val="000000"/>
          <w:sz w:val="22"/>
          <w:szCs w:val="22"/>
        </w:rPr>
        <w:t>700 households</w:t>
      </w:r>
      <w:r w:rsidRPr="008C7633">
        <w:rPr>
          <w:color w:val="000000"/>
          <w:sz w:val="22"/>
          <w:szCs w:val="22"/>
        </w:rPr>
        <w:t xml:space="preserve"> to be </w:t>
      </w:r>
      <w:proofErr w:type="spellStart"/>
      <w:r w:rsidRPr="008C7633">
        <w:rPr>
          <w:color w:val="000000"/>
          <w:sz w:val="22"/>
          <w:szCs w:val="22"/>
        </w:rPr>
        <w:t>subsampled</w:t>
      </w:r>
      <w:proofErr w:type="spellEnd"/>
      <w:r w:rsidRPr="008C7633">
        <w:rPr>
          <w:color w:val="000000"/>
          <w:sz w:val="22"/>
          <w:szCs w:val="22"/>
        </w:rPr>
        <w:t xml:space="preserve"> for the ABS interview.</w:t>
      </w:r>
    </w:p>
    <w:p w:rsidR="008B2C05" w:rsidRPr="008C7633" w:rsidRDefault="008B2C05" w:rsidP="008B2C05">
      <w:pPr>
        <w:numPr>
          <w:ilvl w:val="0"/>
          <w:numId w:val="4"/>
        </w:numPr>
        <w:autoSpaceDE w:val="0"/>
        <w:autoSpaceDN w:val="0"/>
        <w:adjustRightInd w:val="0"/>
        <w:rPr>
          <w:sz w:val="22"/>
          <w:szCs w:val="22"/>
        </w:rPr>
      </w:pPr>
      <w:proofErr w:type="spellStart"/>
      <w:r w:rsidRPr="008C7633">
        <w:rPr>
          <w:b/>
          <w:bCs/>
          <w:sz w:val="22"/>
          <w:szCs w:val="22"/>
        </w:rPr>
        <w:t>Nonrespondents</w:t>
      </w:r>
      <w:proofErr w:type="spellEnd"/>
      <w:r w:rsidRPr="008C7633">
        <w:rPr>
          <w:sz w:val="22"/>
          <w:szCs w:val="22"/>
        </w:rPr>
        <w:t xml:space="preserve">:  </w:t>
      </w:r>
      <w:r w:rsidRPr="008C7633">
        <w:rPr>
          <w:color w:val="000000"/>
          <w:sz w:val="22"/>
          <w:szCs w:val="22"/>
        </w:rPr>
        <w:t xml:space="preserve">We need 400 complete interviews (100 per panel excluding the control panel).  Taking into account our estimated telephone look-up success (55%), expected response rate </w:t>
      </w:r>
      <w:r w:rsidR="000C5ECE" w:rsidRPr="008C7633">
        <w:rPr>
          <w:color w:val="000000"/>
          <w:sz w:val="22"/>
          <w:szCs w:val="22"/>
        </w:rPr>
        <w:t xml:space="preserve">for a difficult population </w:t>
      </w:r>
      <w:r w:rsidRPr="008C7633">
        <w:rPr>
          <w:color w:val="000000"/>
          <w:sz w:val="22"/>
          <w:szCs w:val="22"/>
        </w:rPr>
        <w:t>(30%), and doing an adjustment (85%) for reaching the person who typically handles the mail (the person need</w:t>
      </w:r>
      <w:r w:rsidR="000C5ECE" w:rsidRPr="008C7633">
        <w:rPr>
          <w:color w:val="000000"/>
          <w:sz w:val="22"/>
          <w:szCs w:val="22"/>
        </w:rPr>
        <w:t>ed for</w:t>
      </w:r>
      <w:r w:rsidRPr="008C7633">
        <w:rPr>
          <w:color w:val="000000"/>
          <w:sz w:val="22"/>
          <w:szCs w:val="22"/>
        </w:rPr>
        <w:t xml:space="preserve"> t</w:t>
      </w:r>
      <w:r w:rsidR="000C5ECE" w:rsidRPr="008C7633">
        <w:rPr>
          <w:color w:val="000000"/>
          <w:sz w:val="22"/>
          <w:szCs w:val="22"/>
        </w:rPr>
        <w:t>he</w:t>
      </w:r>
      <w:r w:rsidRPr="008C7633">
        <w:rPr>
          <w:color w:val="000000"/>
          <w:sz w:val="22"/>
          <w:szCs w:val="22"/>
        </w:rPr>
        <w:t xml:space="preserve"> interview), we would need roughly </w:t>
      </w:r>
      <w:r w:rsidRPr="008C7633">
        <w:rPr>
          <w:bCs/>
          <w:color w:val="000000"/>
          <w:sz w:val="22"/>
          <w:szCs w:val="22"/>
        </w:rPr>
        <w:t xml:space="preserve">2,900 </w:t>
      </w:r>
      <w:proofErr w:type="spellStart"/>
      <w:r w:rsidR="00FD79E4" w:rsidRPr="008C7633">
        <w:rPr>
          <w:bCs/>
          <w:color w:val="000000"/>
          <w:sz w:val="22"/>
          <w:szCs w:val="22"/>
        </w:rPr>
        <w:t>nonresponding</w:t>
      </w:r>
      <w:proofErr w:type="spellEnd"/>
      <w:r w:rsidR="00FD79E4" w:rsidRPr="008C7633">
        <w:rPr>
          <w:bCs/>
          <w:color w:val="000000"/>
          <w:sz w:val="22"/>
          <w:szCs w:val="22"/>
        </w:rPr>
        <w:t xml:space="preserve"> </w:t>
      </w:r>
      <w:r w:rsidRPr="008C7633">
        <w:rPr>
          <w:bCs/>
          <w:color w:val="000000"/>
          <w:sz w:val="22"/>
          <w:szCs w:val="22"/>
        </w:rPr>
        <w:t>households</w:t>
      </w:r>
      <w:r w:rsidRPr="008C7633">
        <w:rPr>
          <w:color w:val="000000"/>
          <w:sz w:val="22"/>
          <w:szCs w:val="22"/>
        </w:rPr>
        <w:t xml:space="preserve"> sampled.  </w:t>
      </w:r>
    </w:p>
    <w:p w:rsidR="00A657EE" w:rsidRPr="008C7633" w:rsidRDefault="00A657EE" w:rsidP="00A657EE">
      <w:pPr>
        <w:pStyle w:val="ListParagraph"/>
        <w:rPr>
          <w:sz w:val="22"/>
          <w:szCs w:val="22"/>
        </w:rPr>
      </w:pPr>
    </w:p>
    <w:p w:rsidR="005E71C1" w:rsidRPr="008C7633" w:rsidRDefault="008B2C05" w:rsidP="005E71C1">
      <w:pPr>
        <w:autoSpaceDE w:val="0"/>
        <w:autoSpaceDN w:val="0"/>
        <w:adjustRightInd w:val="0"/>
        <w:rPr>
          <w:sz w:val="22"/>
          <w:szCs w:val="22"/>
        </w:rPr>
      </w:pPr>
      <w:r w:rsidRPr="008C7633">
        <w:rPr>
          <w:sz w:val="22"/>
          <w:szCs w:val="22"/>
        </w:rPr>
        <w:t xml:space="preserve">Total sample for </w:t>
      </w:r>
      <w:r w:rsidR="004A225C" w:rsidRPr="008C7633">
        <w:rPr>
          <w:sz w:val="22"/>
          <w:szCs w:val="22"/>
        </w:rPr>
        <w:t>the follow-up i</w:t>
      </w:r>
      <w:r w:rsidRPr="008C7633">
        <w:rPr>
          <w:sz w:val="22"/>
          <w:szCs w:val="22"/>
        </w:rPr>
        <w:t xml:space="preserve">nterview is </w:t>
      </w:r>
      <w:r w:rsidR="004A225C" w:rsidRPr="008C7633">
        <w:rPr>
          <w:sz w:val="22"/>
          <w:szCs w:val="22"/>
        </w:rPr>
        <w:t>14</w:t>
      </w:r>
      <w:r w:rsidRPr="008C7633">
        <w:rPr>
          <w:sz w:val="22"/>
          <w:szCs w:val="22"/>
        </w:rPr>
        <w:t>,</w:t>
      </w:r>
      <w:r w:rsidR="004A225C" w:rsidRPr="008C7633">
        <w:rPr>
          <w:sz w:val="22"/>
          <w:szCs w:val="22"/>
        </w:rPr>
        <w:t>9</w:t>
      </w:r>
      <w:r w:rsidRPr="008C7633">
        <w:rPr>
          <w:sz w:val="22"/>
          <w:szCs w:val="22"/>
        </w:rPr>
        <w:t xml:space="preserve">00 (6,000 for Internet respondents, 6,000 for mail respondents, and 2,900 for </w:t>
      </w:r>
      <w:proofErr w:type="spellStart"/>
      <w:r w:rsidRPr="008C7633">
        <w:rPr>
          <w:sz w:val="22"/>
          <w:szCs w:val="22"/>
        </w:rPr>
        <w:t>nonrespondents</w:t>
      </w:r>
      <w:proofErr w:type="spellEnd"/>
      <w:r w:rsidRPr="008C7633">
        <w:rPr>
          <w:sz w:val="22"/>
          <w:szCs w:val="22"/>
        </w:rPr>
        <w:t>).</w:t>
      </w:r>
      <w:r w:rsidR="004A225C" w:rsidRPr="008C7633">
        <w:rPr>
          <w:sz w:val="22"/>
          <w:szCs w:val="22"/>
        </w:rPr>
        <w:t xml:space="preserve">  </w:t>
      </w:r>
      <w:r w:rsidRPr="008C7633">
        <w:rPr>
          <w:sz w:val="22"/>
          <w:szCs w:val="22"/>
        </w:rPr>
        <w:t>For an average household, the estimated time to comp</w:t>
      </w:r>
      <w:r w:rsidR="004A225C" w:rsidRPr="008C7633">
        <w:rPr>
          <w:sz w:val="22"/>
          <w:szCs w:val="22"/>
        </w:rPr>
        <w:t>lete only one component of the f</w:t>
      </w:r>
      <w:r w:rsidRPr="008C7633">
        <w:rPr>
          <w:sz w:val="22"/>
          <w:szCs w:val="22"/>
        </w:rPr>
        <w:t xml:space="preserve">ollow-up </w:t>
      </w:r>
      <w:r w:rsidR="004A225C" w:rsidRPr="008C7633">
        <w:rPr>
          <w:sz w:val="22"/>
          <w:szCs w:val="22"/>
        </w:rPr>
        <w:t>i</w:t>
      </w:r>
      <w:r w:rsidRPr="008C7633">
        <w:rPr>
          <w:sz w:val="22"/>
          <w:szCs w:val="22"/>
        </w:rPr>
        <w:t>nterview is 10 minutes.  The estimated time to complete both components of the interview is 15 minutes.  Only 1,250 households will be asked both compone</w:t>
      </w:r>
      <w:r w:rsidR="004A225C" w:rsidRPr="008C7633">
        <w:rPr>
          <w:sz w:val="22"/>
          <w:szCs w:val="22"/>
        </w:rPr>
        <w:t>nts for a total burden of 312.5</w:t>
      </w:r>
      <w:r w:rsidRPr="008C7633">
        <w:rPr>
          <w:sz w:val="22"/>
          <w:szCs w:val="22"/>
        </w:rPr>
        <w:t xml:space="preserve"> hours.  The remainder of the sample (13,</w:t>
      </w:r>
      <w:r w:rsidR="004A225C" w:rsidRPr="008C7633">
        <w:rPr>
          <w:sz w:val="22"/>
          <w:szCs w:val="22"/>
        </w:rPr>
        <w:t>6</w:t>
      </w:r>
      <w:r w:rsidRPr="008C7633">
        <w:rPr>
          <w:sz w:val="22"/>
          <w:szCs w:val="22"/>
        </w:rPr>
        <w:t xml:space="preserve">50 households) will only be asked one component </w:t>
      </w:r>
      <w:r w:rsidR="004A225C" w:rsidRPr="008C7633">
        <w:rPr>
          <w:sz w:val="22"/>
          <w:szCs w:val="22"/>
        </w:rPr>
        <w:t>for a total burden of 2,275</w:t>
      </w:r>
      <w:r w:rsidR="005E71C1" w:rsidRPr="008C7633">
        <w:rPr>
          <w:sz w:val="22"/>
          <w:szCs w:val="22"/>
        </w:rPr>
        <w:t xml:space="preserve"> hours.  Follow-up interviews will begin week of March 14, 2011 and continue to April 18, 2011.  </w:t>
      </w:r>
    </w:p>
    <w:p w:rsidR="004A225C" w:rsidRPr="008C7633" w:rsidRDefault="004A225C" w:rsidP="004A225C">
      <w:pPr>
        <w:rPr>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gridCol w:w="2901"/>
        <w:gridCol w:w="2679"/>
      </w:tblGrid>
      <w:tr w:rsidR="004A225C" w:rsidRPr="008C7633" w:rsidTr="00827BB8">
        <w:tc>
          <w:tcPr>
            <w:tcW w:w="2970" w:type="dxa"/>
            <w:shd w:val="clear" w:color="auto" w:fill="D9D9D9"/>
          </w:tcPr>
          <w:p w:rsidR="004A225C" w:rsidRPr="008C7633" w:rsidRDefault="004A225C" w:rsidP="004A225C">
            <w:pPr>
              <w:rPr>
                <w:sz w:val="22"/>
                <w:szCs w:val="22"/>
              </w:rPr>
            </w:pPr>
            <w:r w:rsidRPr="008C7633">
              <w:rPr>
                <w:sz w:val="22"/>
                <w:szCs w:val="22"/>
              </w:rPr>
              <w:t>Group</w:t>
            </w:r>
          </w:p>
        </w:tc>
        <w:tc>
          <w:tcPr>
            <w:tcW w:w="2901" w:type="dxa"/>
            <w:shd w:val="clear" w:color="auto" w:fill="D9D9D9"/>
          </w:tcPr>
          <w:p w:rsidR="004A225C" w:rsidRPr="008C7633" w:rsidRDefault="004A225C" w:rsidP="004A225C">
            <w:pPr>
              <w:jc w:val="center"/>
              <w:rPr>
                <w:sz w:val="22"/>
                <w:szCs w:val="22"/>
              </w:rPr>
            </w:pPr>
            <w:r w:rsidRPr="008C7633">
              <w:rPr>
                <w:sz w:val="22"/>
                <w:szCs w:val="22"/>
              </w:rPr>
              <w:t>Cases</w:t>
            </w:r>
          </w:p>
        </w:tc>
        <w:tc>
          <w:tcPr>
            <w:tcW w:w="2679" w:type="dxa"/>
            <w:shd w:val="clear" w:color="auto" w:fill="D9D9D9"/>
          </w:tcPr>
          <w:p w:rsidR="004A225C" w:rsidRPr="008C7633" w:rsidRDefault="004A225C" w:rsidP="004A225C">
            <w:pPr>
              <w:jc w:val="center"/>
              <w:rPr>
                <w:sz w:val="22"/>
                <w:szCs w:val="22"/>
              </w:rPr>
            </w:pPr>
            <w:r w:rsidRPr="008C7633">
              <w:rPr>
                <w:sz w:val="22"/>
                <w:szCs w:val="22"/>
              </w:rPr>
              <w:t>Burden Hours</w:t>
            </w:r>
          </w:p>
        </w:tc>
      </w:tr>
      <w:tr w:rsidR="004A225C" w:rsidRPr="008C7633" w:rsidTr="00827BB8">
        <w:tc>
          <w:tcPr>
            <w:tcW w:w="2970" w:type="dxa"/>
          </w:tcPr>
          <w:p w:rsidR="004A225C" w:rsidRPr="008C7633" w:rsidRDefault="004A225C" w:rsidP="00827BB8">
            <w:pPr>
              <w:rPr>
                <w:sz w:val="22"/>
                <w:szCs w:val="22"/>
              </w:rPr>
            </w:pPr>
            <w:r w:rsidRPr="008C7633">
              <w:rPr>
                <w:sz w:val="22"/>
                <w:szCs w:val="22"/>
              </w:rPr>
              <w:t xml:space="preserve">Both </w:t>
            </w:r>
            <w:r w:rsidR="00827BB8" w:rsidRPr="008C7633">
              <w:rPr>
                <w:sz w:val="22"/>
                <w:szCs w:val="22"/>
              </w:rPr>
              <w:t>follow-up components</w:t>
            </w:r>
          </w:p>
        </w:tc>
        <w:tc>
          <w:tcPr>
            <w:tcW w:w="2901" w:type="dxa"/>
          </w:tcPr>
          <w:p w:rsidR="004A225C" w:rsidRPr="008C7633" w:rsidRDefault="004A225C" w:rsidP="004A225C">
            <w:pPr>
              <w:jc w:val="center"/>
              <w:rPr>
                <w:sz w:val="22"/>
                <w:szCs w:val="22"/>
              </w:rPr>
            </w:pPr>
            <w:r w:rsidRPr="008C7633">
              <w:rPr>
                <w:sz w:val="22"/>
                <w:szCs w:val="22"/>
              </w:rPr>
              <w:t>1,250</w:t>
            </w:r>
          </w:p>
        </w:tc>
        <w:tc>
          <w:tcPr>
            <w:tcW w:w="2679" w:type="dxa"/>
          </w:tcPr>
          <w:p w:rsidR="004A225C" w:rsidRPr="008C7633" w:rsidRDefault="004A225C" w:rsidP="004A225C">
            <w:pPr>
              <w:jc w:val="center"/>
              <w:rPr>
                <w:sz w:val="22"/>
                <w:szCs w:val="22"/>
              </w:rPr>
            </w:pPr>
            <w:r w:rsidRPr="008C7633">
              <w:rPr>
                <w:sz w:val="22"/>
                <w:szCs w:val="22"/>
              </w:rPr>
              <w:t>312.5</w:t>
            </w:r>
          </w:p>
        </w:tc>
      </w:tr>
      <w:tr w:rsidR="004A225C" w:rsidRPr="008C7633" w:rsidTr="00827BB8">
        <w:tc>
          <w:tcPr>
            <w:tcW w:w="2970" w:type="dxa"/>
          </w:tcPr>
          <w:p w:rsidR="004A225C" w:rsidRPr="008C7633" w:rsidRDefault="00827BB8" w:rsidP="00827BB8">
            <w:pPr>
              <w:rPr>
                <w:sz w:val="22"/>
                <w:szCs w:val="22"/>
              </w:rPr>
            </w:pPr>
            <w:r w:rsidRPr="008C7633">
              <w:rPr>
                <w:sz w:val="22"/>
                <w:szCs w:val="22"/>
              </w:rPr>
              <w:t>Only one component</w:t>
            </w:r>
          </w:p>
        </w:tc>
        <w:tc>
          <w:tcPr>
            <w:tcW w:w="2901" w:type="dxa"/>
          </w:tcPr>
          <w:p w:rsidR="004A225C" w:rsidRPr="008C7633" w:rsidRDefault="00827BB8" w:rsidP="004A225C">
            <w:pPr>
              <w:jc w:val="center"/>
              <w:rPr>
                <w:sz w:val="22"/>
                <w:szCs w:val="22"/>
              </w:rPr>
            </w:pPr>
            <w:r w:rsidRPr="008C7633">
              <w:rPr>
                <w:sz w:val="22"/>
                <w:szCs w:val="22"/>
              </w:rPr>
              <w:t>13,650</w:t>
            </w:r>
          </w:p>
        </w:tc>
        <w:tc>
          <w:tcPr>
            <w:tcW w:w="2679" w:type="dxa"/>
          </w:tcPr>
          <w:p w:rsidR="004A225C" w:rsidRPr="008C7633" w:rsidRDefault="00827BB8" w:rsidP="004A225C">
            <w:pPr>
              <w:jc w:val="center"/>
              <w:rPr>
                <w:sz w:val="22"/>
                <w:szCs w:val="22"/>
              </w:rPr>
            </w:pPr>
            <w:r w:rsidRPr="008C7633">
              <w:rPr>
                <w:sz w:val="22"/>
                <w:szCs w:val="22"/>
              </w:rPr>
              <w:t>2,275</w:t>
            </w:r>
          </w:p>
        </w:tc>
      </w:tr>
      <w:tr w:rsidR="00827BB8" w:rsidRPr="008C7633" w:rsidTr="00827BB8">
        <w:tc>
          <w:tcPr>
            <w:tcW w:w="2970" w:type="dxa"/>
          </w:tcPr>
          <w:p w:rsidR="00827BB8" w:rsidRPr="008C7633" w:rsidRDefault="00827BB8" w:rsidP="00827BB8">
            <w:pPr>
              <w:rPr>
                <w:sz w:val="22"/>
                <w:szCs w:val="22"/>
              </w:rPr>
            </w:pPr>
            <w:r w:rsidRPr="008C7633">
              <w:rPr>
                <w:sz w:val="22"/>
                <w:szCs w:val="22"/>
              </w:rPr>
              <w:t>TOTAL</w:t>
            </w:r>
          </w:p>
        </w:tc>
        <w:tc>
          <w:tcPr>
            <w:tcW w:w="2901" w:type="dxa"/>
          </w:tcPr>
          <w:p w:rsidR="00827BB8" w:rsidRPr="008C7633" w:rsidRDefault="00827BB8" w:rsidP="004A225C">
            <w:pPr>
              <w:jc w:val="center"/>
              <w:rPr>
                <w:sz w:val="22"/>
                <w:szCs w:val="22"/>
              </w:rPr>
            </w:pPr>
          </w:p>
        </w:tc>
        <w:tc>
          <w:tcPr>
            <w:tcW w:w="2679" w:type="dxa"/>
          </w:tcPr>
          <w:p w:rsidR="00827BB8" w:rsidRPr="008C7633" w:rsidRDefault="00827BB8" w:rsidP="004A225C">
            <w:pPr>
              <w:jc w:val="center"/>
              <w:rPr>
                <w:sz w:val="22"/>
                <w:szCs w:val="22"/>
              </w:rPr>
            </w:pPr>
            <w:r w:rsidRPr="008C7633">
              <w:rPr>
                <w:sz w:val="22"/>
                <w:szCs w:val="22"/>
              </w:rPr>
              <w:t>2,587.5</w:t>
            </w:r>
          </w:p>
        </w:tc>
      </w:tr>
    </w:tbl>
    <w:p w:rsidR="004A225C" w:rsidRDefault="004A225C" w:rsidP="004A225C"/>
    <w:p w:rsidR="005E3EDB" w:rsidRDefault="005E3EDB" w:rsidP="00E32ED7"/>
    <w:sectPr w:rsidR="005E3EDB" w:rsidSect="00001DFA">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6"/>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C44D7B"/>
    <w:multiLevelType w:val="hybridMultilevel"/>
    <w:tmpl w:val="67B61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E13AE"/>
    <w:multiLevelType w:val="hybridMultilevel"/>
    <w:tmpl w:val="59F20CC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1A1B45DD"/>
    <w:multiLevelType w:val="hybridMultilevel"/>
    <w:tmpl w:val="31063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4C5470"/>
    <w:multiLevelType w:val="hybridMultilevel"/>
    <w:tmpl w:val="87C294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45A17"/>
    <w:multiLevelType w:val="hybridMultilevel"/>
    <w:tmpl w:val="78DA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B6C6B"/>
    <w:multiLevelType w:val="hybridMultilevel"/>
    <w:tmpl w:val="6EDA06C6"/>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36587"/>
    <w:multiLevelType w:val="hybridMultilevel"/>
    <w:tmpl w:val="BB3C6FE0"/>
    <w:lvl w:ilvl="0" w:tplc="A8F4431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41C030AA"/>
    <w:multiLevelType w:val="hybridMultilevel"/>
    <w:tmpl w:val="AD76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85FB8"/>
    <w:multiLevelType w:val="hybridMultilevel"/>
    <w:tmpl w:val="E35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2021FF"/>
    <w:multiLevelType w:val="hybridMultilevel"/>
    <w:tmpl w:val="9992FEDE"/>
    <w:lvl w:ilvl="0" w:tplc="CD8E5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B4CC5"/>
    <w:multiLevelType w:val="hybridMultilevel"/>
    <w:tmpl w:val="0508765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EE1995"/>
    <w:multiLevelType w:val="hybridMultilevel"/>
    <w:tmpl w:val="58288AE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2"/>
  </w:num>
  <w:num w:numId="5">
    <w:abstractNumId w:val="13"/>
  </w:num>
  <w:num w:numId="6">
    <w:abstractNumId w:val="10"/>
  </w:num>
  <w:num w:numId="7">
    <w:abstractNumId w:val="9"/>
  </w:num>
  <w:num w:numId="8">
    <w:abstractNumId w:val="11"/>
  </w:num>
  <w:num w:numId="9">
    <w:abstractNumId w:val="0"/>
  </w:num>
  <w:num w:numId="10">
    <w:abstractNumId w:val="1"/>
  </w:num>
  <w:num w:numId="11">
    <w:abstractNumId w:val="3"/>
  </w:num>
  <w:num w:numId="12">
    <w:abstractNumId w:val="6"/>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CE4237"/>
    <w:rsid w:val="0000105E"/>
    <w:rsid w:val="000016B4"/>
    <w:rsid w:val="00001C30"/>
    <w:rsid w:val="00001DFA"/>
    <w:rsid w:val="00001F15"/>
    <w:rsid w:val="00002C61"/>
    <w:rsid w:val="00002D85"/>
    <w:rsid w:val="00004927"/>
    <w:rsid w:val="00006822"/>
    <w:rsid w:val="0000760A"/>
    <w:rsid w:val="000126EE"/>
    <w:rsid w:val="00012E19"/>
    <w:rsid w:val="0001692D"/>
    <w:rsid w:val="00017301"/>
    <w:rsid w:val="00020111"/>
    <w:rsid w:val="000203F4"/>
    <w:rsid w:val="0002423D"/>
    <w:rsid w:val="00027466"/>
    <w:rsid w:val="0003241D"/>
    <w:rsid w:val="000330FA"/>
    <w:rsid w:val="00033F1F"/>
    <w:rsid w:val="00034B3F"/>
    <w:rsid w:val="00035B92"/>
    <w:rsid w:val="00040C5A"/>
    <w:rsid w:val="00041F2B"/>
    <w:rsid w:val="00044783"/>
    <w:rsid w:val="00046DFD"/>
    <w:rsid w:val="000478E8"/>
    <w:rsid w:val="00047D3E"/>
    <w:rsid w:val="00050BF0"/>
    <w:rsid w:val="00051DDA"/>
    <w:rsid w:val="00052DAA"/>
    <w:rsid w:val="000533D9"/>
    <w:rsid w:val="000550FB"/>
    <w:rsid w:val="00055AAB"/>
    <w:rsid w:val="00055AB6"/>
    <w:rsid w:val="000562C4"/>
    <w:rsid w:val="00057D20"/>
    <w:rsid w:val="0006067D"/>
    <w:rsid w:val="00060B78"/>
    <w:rsid w:val="00061AFB"/>
    <w:rsid w:val="00061E27"/>
    <w:rsid w:val="0006237A"/>
    <w:rsid w:val="00064A48"/>
    <w:rsid w:val="00064F8A"/>
    <w:rsid w:val="000671ED"/>
    <w:rsid w:val="00067EA2"/>
    <w:rsid w:val="000709C8"/>
    <w:rsid w:val="00073CC4"/>
    <w:rsid w:val="00073E6E"/>
    <w:rsid w:val="00075469"/>
    <w:rsid w:val="00075AAA"/>
    <w:rsid w:val="0007743C"/>
    <w:rsid w:val="00080B1C"/>
    <w:rsid w:val="00081EF3"/>
    <w:rsid w:val="000846A9"/>
    <w:rsid w:val="000849A7"/>
    <w:rsid w:val="00087B5F"/>
    <w:rsid w:val="00090195"/>
    <w:rsid w:val="0009170C"/>
    <w:rsid w:val="00092E15"/>
    <w:rsid w:val="00093DD1"/>
    <w:rsid w:val="000973F1"/>
    <w:rsid w:val="000A15BF"/>
    <w:rsid w:val="000A2911"/>
    <w:rsid w:val="000A3BF6"/>
    <w:rsid w:val="000A4040"/>
    <w:rsid w:val="000A734D"/>
    <w:rsid w:val="000B08D4"/>
    <w:rsid w:val="000B4F83"/>
    <w:rsid w:val="000B55F4"/>
    <w:rsid w:val="000B6151"/>
    <w:rsid w:val="000C1CC3"/>
    <w:rsid w:val="000C1E4C"/>
    <w:rsid w:val="000C2A28"/>
    <w:rsid w:val="000C2C6E"/>
    <w:rsid w:val="000C5B9D"/>
    <w:rsid w:val="000C5ECE"/>
    <w:rsid w:val="000C61AF"/>
    <w:rsid w:val="000C7019"/>
    <w:rsid w:val="000C7565"/>
    <w:rsid w:val="000D03B7"/>
    <w:rsid w:val="000D3CD8"/>
    <w:rsid w:val="000D5A40"/>
    <w:rsid w:val="000D6FE8"/>
    <w:rsid w:val="000D77CF"/>
    <w:rsid w:val="000E06F2"/>
    <w:rsid w:val="000E1942"/>
    <w:rsid w:val="000E22DB"/>
    <w:rsid w:val="000E40BD"/>
    <w:rsid w:val="000E4858"/>
    <w:rsid w:val="000E7F07"/>
    <w:rsid w:val="000F0065"/>
    <w:rsid w:val="000F0928"/>
    <w:rsid w:val="000F203B"/>
    <w:rsid w:val="000F5A49"/>
    <w:rsid w:val="000F5C35"/>
    <w:rsid w:val="000F5D3D"/>
    <w:rsid w:val="000F6DEF"/>
    <w:rsid w:val="000F7379"/>
    <w:rsid w:val="000F7990"/>
    <w:rsid w:val="001005E6"/>
    <w:rsid w:val="00102466"/>
    <w:rsid w:val="00103BBF"/>
    <w:rsid w:val="001048D1"/>
    <w:rsid w:val="00104B86"/>
    <w:rsid w:val="00107BD5"/>
    <w:rsid w:val="00112D12"/>
    <w:rsid w:val="00114844"/>
    <w:rsid w:val="00114859"/>
    <w:rsid w:val="00116490"/>
    <w:rsid w:val="001173D0"/>
    <w:rsid w:val="00117443"/>
    <w:rsid w:val="001252D8"/>
    <w:rsid w:val="00126DFD"/>
    <w:rsid w:val="001329ED"/>
    <w:rsid w:val="00134421"/>
    <w:rsid w:val="00134E2F"/>
    <w:rsid w:val="00141821"/>
    <w:rsid w:val="001437EF"/>
    <w:rsid w:val="00145705"/>
    <w:rsid w:val="001460DE"/>
    <w:rsid w:val="00146FB1"/>
    <w:rsid w:val="00150576"/>
    <w:rsid w:val="0015141C"/>
    <w:rsid w:val="0015679F"/>
    <w:rsid w:val="00157630"/>
    <w:rsid w:val="00160E57"/>
    <w:rsid w:val="0016157A"/>
    <w:rsid w:val="00161ABE"/>
    <w:rsid w:val="0016428D"/>
    <w:rsid w:val="00167E9E"/>
    <w:rsid w:val="00170B50"/>
    <w:rsid w:val="00171F2D"/>
    <w:rsid w:val="00172123"/>
    <w:rsid w:val="00172C82"/>
    <w:rsid w:val="00176879"/>
    <w:rsid w:val="001773E8"/>
    <w:rsid w:val="00180671"/>
    <w:rsid w:val="001826B1"/>
    <w:rsid w:val="001842D4"/>
    <w:rsid w:val="001858D2"/>
    <w:rsid w:val="001A0BBB"/>
    <w:rsid w:val="001A18E7"/>
    <w:rsid w:val="001A1E08"/>
    <w:rsid w:val="001B1850"/>
    <w:rsid w:val="001B2D07"/>
    <w:rsid w:val="001C0A75"/>
    <w:rsid w:val="001C1E73"/>
    <w:rsid w:val="001C2225"/>
    <w:rsid w:val="001C2594"/>
    <w:rsid w:val="001C35BB"/>
    <w:rsid w:val="001C3C99"/>
    <w:rsid w:val="001C43A7"/>
    <w:rsid w:val="001C505E"/>
    <w:rsid w:val="001C5365"/>
    <w:rsid w:val="001C53F8"/>
    <w:rsid w:val="001C7602"/>
    <w:rsid w:val="001D4AAD"/>
    <w:rsid w:val="001D5FA6"/>
    <w:rsid w:val="001E16E5"/>
    <w:rsid w:val="001E1883"/>
    <w:rsid w:val="001E1921"/>
    <w:rsid w:val="001E3F59"/>
    <w:rsid w:val="001E6968"/>
    <w:rsid w:val="001F168D"/>
    <w:rsid w:val="001F2685"/>
    <w:rsid w:val="001F5E14"/>
    <w:rsid w:val="001F63F6"/>
    <w:rsid w:val="001F7DCB"/>
    <w:rsid w:val="00202149"/>
    <w:rsid w:val="00202C7A"/>
    <w:rsid w:val="002031D9"/>
    <w:rsid w:val="002034A5"/>
    <w:rsid w:val="00203714"/>
    <w:rsid w:val="002079C9"/>
    <w:rsid w:val="00207BCA"/>
    <w:rsid w:val="0021015F"/>
    <w:rsid w:val="002115FA"/>
    <w:rsid w:val="00212270"/>
    <w:rsid w:val="00215995"/>
    <w:rsid w:val="00216C0D"/>
    <w:rsid w:val="00220BCB"/>
    <w:rsid w:val="00221511"/>
    <w:rsid w:val="00225070"/>
    <w:rsid w:val="002270B3"/>
    <w:rsid w:val="002322AA"/>
    <w:rsid w:val="0023312C"/>
    <w:rsid w:val="002331D3"/>
    <w:rsid w:val="00235D56"/>
    <w:rsid w:val="00241C4E"/>
    <w:rsid w:val="002420F4"/>
    <w:rsid w:val="00245743"/>
    <w:rsid w:val="002459E3"/>
    <w:rsid w:val="00246E1F"/>
    <w:rsid w:val="00250A02"/>
    <w:rsid w:val="00252C5C"/>
    <w:rsid w:val="0025614B"/>
    <w:rsid w:val="00256C66"/>
    <w:rsid w:val="00256C79"/>
    <w:rsid w:val="0026081F"/>
    <w:rsid w:val="00262B3C"/>
    <w:rsid w:val="002640B6"/>
    <w:rsid w:val="002653B2"/>
    <w:rsid w:val="002676EB"/>
    <w:rsid w:val="00272598"/>
    <w:rsid w:val="00273E32"/>
    <w:rsid w:val="0027492D"/>
    <w:rsid w:val="002749C4"/>
    <w:rsid w:val="00277F7A"/>
    <w:rsid w:val="00280EB2"/>
    <w:rsid w:val="00280ED4"/>
    <w:rsid w:val="00283941"/>
    <w:rsid w:val="00285DDD"/>
    <w:rsid w:val="002905DF"/>
    <w:rsid w:val="00290684"/>
    <w:rsid w:val="0029069C"/>
    <w:rsid w:val="002910E4"/>
    <w:rsid w:val="00291144"/>
    <w:rsid w:val="00293711"/>
    <w:rsid w:val="00294DA4"/>
    <w:rsid w:val="002A01C3"/>
    <w:rsid w:val="002A1574"/>
    <w:rsid w:val="002A2701"/>
    <w:rsid w:val="002A5614"/>
    <w:rsid w:val="002A761D"/>
    <w:rsid w:val="002B170E"/>
    <w:rsid w:val="002B5FE7"/>
    <w:rsid w:val="002B62EB"/>
    <w:rsid w:val="002C0DB4"/>
    <w:rsid w:val="002C0F64"/>
    <w:rsid w:val="002C14BF"/>
    <w:rsid w:val="002C1D86"/>
    <w:rsid w:val="002C413D"/>
    <w:rsid w:val="002C4ACE"/>
    <w:rsid w:val="002C7512"/>
    <w:rsid w:val="002D377C"/>
    <w:rsid w:val="002D6269"/>
    <w:rsid w:val="002E2573"/>
    <w:rsid w:val="002E2F14"/>
    <w:rsid w:val="002E42AD"/>
    <w:rsid w:val="002E4C14"/>
    <w:rsid w:val="002E517C"/>
    <w:rsid w:val="002F23EE"/>
    <w:rsid w:val="002F3C00"/>
    <w:rsid w:val="002F4D60"/>
    <w:rsid w:val="002F5700"/>
    <w:rsid w:val="002F6F92"/>
    <w:rsid w:val="002F7446"/>
    <w:rsid w:val="00302C04"/>
    <w:rsid w:val="003036D6"/>
    <w:rsid w:val="00307138"/>
    <w:rsid w:val="00310D97"/>
    <w:rsid w:val="00316E2A"/>
    <w:rsid w:val="00316E5D"/>
    <w:rsid w:val="003205F5"/>
    <w:rsid w:val="00321218"/>
    <w:rsid w:val="00321E4F"/>
    <w:rsid w:val="0032342B"/>
    <w:rsid w:val="003235FF"/>
    <w:rsid w:val="0032608A"/>
    <w:rsid w:val="00326930"/>
    <w:rsid w:val="00327D41"/>
    <w:rsid w:val="00332E90"/>
    <w:rsid w:val="00341083"/>
    <w:rsid w:val="00345620"/>
    <w:rsid w:val="00346275"/>
    <w:rsid w:val="00347DD8"/>
    <w:rsid w:val="00350140"/>
    <w:rsid w:val="00353585"/>
    <w:rsid w:val="00355253"/>
    <w:rsid w:val="003602BB"/>
    <w:rsid w:val="0036199A"/>
    <w:rsid w:val="003629D7"/>
    <w:rsid w:val="00363AF4"/>
    <w:rsid w:val="0036774A"/>
    <w:rsid w:val="0037001C"/>
    <w:rsid w:val="003706E6"/>
    <w:rsid w:val="00370A5F"/>
    <w:rsid w:val="003770B6"/>
    <w:rsid w:val="00377675"/>
    <w:rsid w:val="00382B45"/>
    <w:rsid w:val="00382B7A"/>
    <w:rsid w:val="00385CEE"/>
    <w:rsid w:val="0039073B"/>
    <w:rsid w:val="00391824"/>
    <w:rsid w:val="00392495"/>
    <w:rsid w:val="00393436"/>
    <w:rsid w:val="003940C5"/>
    <w:rsid w:val="00394E3A"/>
    <w:rsid w:val="00395FA7"/>
    <w:rsid w:val="00396216"/>
    <w:rsid w:val="00397D0F"/>
    <w:rsid w:val="003A1BE1"/>
    <w:rsid w:val="003A27F9"/>
    <w:rsid w:val="003A5F24"/>
    <w:rsid w:val="003A6469"/>
    <w:rsid w:val="003B0BC8"/>
    <w:rsid w:val="003B1A81"/>
    <w:rsid w:val="003B3C4A"/>
    <w:rsid w:val="003B436E"/>
    <w:rsid w:val="003B4A73"/>
    <w:rsid w:val="003B5DB1"/>
    <w:rsid w:val="003C1986"/>
    <w:rsid w:val="003C3B38"/>
    <w:rsid w:val="003C4BDB"/>
    <w:rsid w:val="003C5151"/>
    <w:rsid w:val="003C71C0"/>
    <w:rsid w:val="003D0093"/>
    <w:rsid w:val="003D13A1"/>
    <w:rsid w:val="003D1F8A"/>
    <w:rsid w:val="003D31A4"/>
    <w:rsid w:val="003D6DB2"/>
    <w:rsid w:val="003E4F50"/>
    <w:rsid w:val="003E745F"/>
    <w:rsid w:val="003E7491"/>
    <w:rsid w:val="003E7514"/>
    <w:rsid w:val="003F4AD6"/>
    <w:rsid w:val="003F5C5C"/>
    <w:rsid w:val="003F6049"/>
    <w:rsid w:val="003F6371"/>
    <w:rsid w:val="003F742A"/>
    <w:rsid w:val="00400D62"/>
    <w:rsid w:val="004057A2"/>
    <w:rsid w:val="00405FAB"/>
    <w:rsid w:val="00406000"/>
    <w:rsid w:val="0040642C"/>
    <w:rsid w:val="00407177"/>
    <w:rsid w:val="00410BCC"/>
    <w:rsid w:val="00411F9F"/>
    <w:rsid w:val="004123D7"/>
    <w:rsid w:val="00413607"/>
    <w:rsid w:val="00414355"/>
    <w:rsid w:val="00421306"/>
    <w:rsid w:val="00423ABD"/>
    <w:rsid w:val="00423D8F"/>
    <w:rsid w:val="00425462"/>
    <w:rsid w:val="0043137D"/>
    <w:rsid w:val="0043283D"/>
    <w:rsid w:val="00432A12"/>
    <w:rsid w:val="00432D39"/>
    <w:rsid w:val="00433BBF"/>
    <w:rsid w:val="00440EB4"/>
    <w:rsid w:val="00442E05"/>
    <w:rsid w:val="004435E2"/>
    <w:rsid w:val="004439B0"/>
    <w:rsid w:val="00445517"/>
    <w:rsid w:val="00446091"/>
    <w:rsid w:val="00451F7C"/>
    <w:rsid w:val="0045322F"/>
    <w:rsid w:val="00453A30"/>
    <w:rsid w:val="004608DE"/>
    <w:rsid w:val="00464C11"/>
    <w:rsid w:val="00466C3B"/>
    <w:rsid w:val="00467AFD"/>
    <w:rsid w:val="004722CA"/>
    <w:rsid w:val="00475F08"/>
    <w:rsid w:val="00476C36"/>
    <w:rsid w:val="004862DF"/>
    <w:rsid w:val="00486C44"/>
    <w:rsid w:val="00487537"/>
    <w:rsid w:val="00490DB2"/>
    <w:rsid w:val="004929E5"/>
    <w:rsid w:val="00494734"/>
    <w:rsid w:val="004951C8"/>
    <w:rsid w:val="004A225C"/>
    <w:rsid w:val="004A561C"/>
    <w:rsid w:val="004A687F"/>
    <w:rsid w:val="004B2142"/>
    <w:rsid w:val="004B22C0"/>
    <w:rsid w:val="004B2691"/>
    <w:rsid w:val="004B414F"/>
    <w:rsid w:val="004B4212"/>
    <w:rsid w:val="004B7B25"/>
    <w:rsid w:val="004B7D68"/>
    <w:rsid w:val="004C13E1"/>
    <w:rsid w:val="004C1C30"/>
    <w:rsid w:val="004C24AF"/>
    <w:rsid w:val="004C3FCE"/>
    <w:rsid w:val="004C7424"/>
    <w:rsid w:val="004D1DED"/>
    <w:rsid w:val="004D2386"/>
    <w:rsid w:val="004D2D1D"/>
    <w:rsid w:val="004D2FF6"/>
    <w:rsid w:val="004D4100"/>
    <w:rsid w:val="004D76A5"/>
    <w:rsid w:val="004E0867"/>
    <w:rsid w:val="004E1351"/>
    <w:rsid w:val="004E62E9"/>
    <w:rsid w:val="004E6419"/>
    <w:rsid w:val="004F0B47"/>
    <w:rsid w:val="004F3824"/>
    <w:rsid w:val="004F4F28"/>
    <w:rsid w:val="004F5650"/>
    <w:rsid w:val="004F7D59"/>
    <w:rsid w:val="00500052"/>
    <w:rsid w:val="00503557"/>
    <w:rsid w:val="00505447"/>
    <w:rsid w:val="00507EF8"/>
    <w:rsid w:val="00510C89"/>
    <w:rsid w:val="00510EA2"/>
    <w:rsid w:val="0051665E"/>
    <w:rsid w:val="00517385"/>
    <w:rsid w:val="00520083"/>
    <w:rsid w:val="005212BE"/>
    <w:rsid w:val="005222F2"/>
    <w:rsid w:val="00522C69"/>
    <w:rsid w:val="00525055"/>
    <w:rsid w:val="005253BA"/>
    <w:rsid w:val="00525764"/>
    <w:rsid w:val="005311B0"/>
    <w:rsid w:val="00532B05"/>
    <w:rsid w:val="00534710"/>
    <w:rsid w:val="0053499D"/>
    <w:rsid w:val="00535751"/>
    <w:rsid w:val="005357BC"/>
    <w:rsid w:val="00535A56"/>
    <w:rsid w:val="00537AFD"/>
    <w:rsid w:val="00542F36"/>
    <w:rsid w:val="0054352E"/>
    <w:rsid w:val="00544766"/>
    <w:rsid w:val="005467EA"/>
    <w:rsid w:val="00546D90"/>
    <w:rsid w:val="00547DEF"/>
    <w:rsid w:val="005502A2"/>
    <w:rsid w:val="0055129A"/>
    <w:rsid w:val="005516A0"/>
    <w:rsid w:val="00551E6C"/>
    <w:rsid w:val="00554F53"/>
    <w:rsid w:val="00556F63"/>
    <w:rsid w:val="00560D37"/>
    <w:rsid w:val="0056107F"/>
    <w:rsid w:val="0056252C"/>
    <w:rsid w:val="00570444"/>
    <w:rsid w:val="005770E2"/>
    <w:rsid w:val="00580A82"/>
    <w:rsid w:val="00583575"/>
    <w:rsid w:val="00584017"/>
    <w:rsid w:val="005852E9"/>
    <w:rsid w:val="00585357"/>
    <w:rsid w:val="00586BDA"/>
    <w:rsid w:val="005874C5"/>
    <w:rsid w:val="005875C6"/>
    <w:rsid w:val="005909FD"/>
    <w:rsid w:val="005926FC"/>
    <w:rsid w:val="00593546"/>
    <w:rsid w:val="00593E05"/>
    <w:rsid w:val="00594D9A"/>
    <w:rsid w:val="00594DC9"/>
    <w:rsid w:val="00596967"/>
    <w:rsid w:val="005A2F2B"/>
    <w:rsid w:val="005A47CA"/>
    <w:rsid w:val="005A4D7C"/>
    <w:rsid w:val="005B03E8"/>
    <w:rsid w:val="005B20C2"/>
    <w:rsid w:val="005B3AC0"/>
    <w:rsid w:val="005B3BAB"/>
    <w:rsid w:val="005B4232"/>
    <w:rsid w:val="005B4F03"/>
    <w:rsid w:val="005B6D9F"/>
    <w:rsid w:val="005C0E2B"/>
    <w:rsid w:val="005C0EAA"/>
    <w:rsid w:val="005C2A1D"/>
    <w:rsid w:val="005C5143"/>
    <w:rsid w:val="005C526E"/>
    <w:rsid w:val="005C639C"/>
    <w:rsid w:val="005C7267"/>
    <w:rsid w:val="005D572F"/>
    <w:rsid w:val="005E0E5A"/>
    <w:rsid w:val="005E10EC"/>
    <w:rsid w:val="005E3EDB"/>
    <w:rsid w:val="005E547B"/>
    <w:rsid w:val="005E6DEA"/>
    <w:rsid w:val="005E71C1"/>
    <w:rsid w:val="005E7BBB"/>
    <w:rsid w:val="005F048B"/>
    <w:rsid w:val="005F17B4"/>
    <w:rsid w:val="005F2432"/>
    <w:rsid w:val="005F36C4"/>
    <w:rsid w:val="0060258D"/>
    <w:rsid w:val="006053C0"/>
    <w:rsid w:val="00606386"/>
    <w:rsid w:val="00606BDD"/>
    <w:rsid w:val="006151AF"/>
    <w:rsid w:val="0061686C"/>
    <w:rsid w:val="00620BB0"/>
    <w:rsid w:val="00626484"/>
    <w:rsid w:val="00627B4F"/>
    <w:rsid w:val="00631CC6"/>
    <w:rsid w:val="0063229D"/>
    <w:rsid w:val="006328F1"/>
    <w:rsid w:val="006347C8"/>
    <w:rsid w:val="00635EE6"/>
    <w:rsid w:val="00640129"/>
    <w:rsid w:val="00642093"/>
    <w:rsid w:val="00642D97"/>
    <w:rsid w:val="006443B7"/>
    <w:rsid w:val="00647B0A"/>
    <w:rsid w:val="00650C4A"/>
    <w:rsid w:val="0065304E"/>
    <w:rsid w:val="0065346F"/>
    <w:rsid w:val="00654747"/>
    <w:rsid w:val="00656CC2"/>
    <w:rsid w:val="00656E7F"/>
    <w:rsid w:val="006573C5"/>
    <w:rsid w:val="00660168"/>
    <w:rsid w:val="006601FD"/>
    <w:rsid w:val="00661142"/>
    <w:rsid w:val="006615CD"/>
    <w:rsid w:val="00661DDF"/>
    <w:rsid w:val="0066221D"/>
    <w:rsid w:val="00666839"/>
    <w:rsid w:val="00670230"/>
    <w:rsid w:val="006725D1"/>
    <w:rsid w:val="00672B1C"/>
    <w:rsid w:val="00675044"/>
    <w:rsid w:val="00683103"/>
    <w:rsid w:val="006836BF"/>
    <w:rsid w:val="006858E2"/>
    <w:rsid w:val="006878FC"/>
    <w:rsid w:val="006940BD"/>
    <w:rsid w:val="006959EC"/>
    <w:rsid w:val="00695FA8"/>
    <w:rsid w:val="00697A9D"/>
    <w:rsid w:val="006A24F5"/>
    <w:rsid w:val="006A3C50"/>
    <w:rsid w:val="006A4B47"/>
    <w:rsid w:val="006A5E7C"/>
    <w:rsid w:val="006A6D39"/>
    <w:rsid w:val="006B24C7"/>
    <w:rsid w:val="006B7ADC"/>
    <w:rsid w:val="006C0C7C"/>
    <w:rsid w:val="006C164B"/>
    <w:rsid w:val="006D32F0"/>
    <w:rsid w:val="006E16A1"/>
    <w:rsid w:val="006E2E79"/>
    <w:rsid w:val="006E3672"/>
    <w:rsid w:val="006E3B6F"/>
    <w:rsid w:val="006E3FBE"/>
    <w:rsid w:val="006E64A2"/>
    <w:rsid w:val="006E71EE"/>
    <w:rsid w:val="006F20E8"/>
    <w:rsid w:val="006F299B"/>
    <w:rsid w:val="006F3251"/>
    <w:rsid w:val="007070F3"/>
    <w:rsid w:val="0070728B"/>
    <w:rsid w:val="00707D6F"/>
    <w:rsid w:val="00713C10"/>
    <w:rsid w:val="007159F6"/>
    <w:rsid w:val="00715FF5"/>
    <w:rsid w:val="007161CE"/>
    <w:rsid w:val="00717012"/>
    <w:rsid w:val="00717328"/>
    <w:rsid w:val="00727083"/>
    <w:rsid w:val="007309D1"/>
    <w:rsid w:val="00731AAD"/>
    <w:rsid w:val="007335A4"/>
    <w:rsid w:val="007344B4"/>
    <w:rsid w:val="00734A9E"/>
    <w:rsid w:val="00735FBC"/>
    <w:rsid w:val="0073729F"/>
    <w:rsid w:val="007374C5"/>
    <w:rsid w:val="0074179B"/>
    <w:rsid w:val="0074217C"/>
    <w:rsid w:val="00743722"/>
    <w:rsid w:val="00746CAE"/>
    <w:rsid w:val="007474ED"/>
    <w:rsid w:val="007503AF"/>
    <w:rsid w:val="00752D33"/>
    <w:rsid w:val="00753EB2"/>
    <w:rsid w:val="00757816"/>
    <w:rsid w:val="007629A6"/>
    <w:rsid w:val="0076424F"/>
    <w:rsid w:val="007649AD"/>
    <w:rsid w:val="00767CE3"/>
    <w:rsid w:val="00772BD4"/>
    <w:rsid w:val="00773792"/>
    <w:rsid w:val="00774D09"/>
    <w:rsid w:val="007752A9"/>
    <w:rsid w:val="00776DD3"/>
    <w:rsid w:val="007807FD"/>
    <w:rsid w:val="007811EE"/>
    <w:rsid w:val="00781E47"/>
    <w:rsid w:val="007832CE"/>
    <w:rsid w:val="00786ED4"/>
    <w:rsid w:val="00792AF4"/>
    <w:rsid w:val="007944FA"/>
    <w:rsid w:val="007A1010"/>
    <w:rsid w:val="007A1CF2"/>
    <w:rsid w:val="007A33CE"/>
    <w:rsid w:val="007A6000"/>
    <w:rsid w:val="007A7402"/>
    <w:rsid w:val="007B1245"/>
    <w:rsid w:val="007B22DE"/>
    <w:rsid w:val="007B2EB2"/>
    <w:rsid w:val="007B7137"/>
    <w:rsid w:val="007B7D4D"/>
    <w:rsid w:val="007C0129"/>
    <w:rsid w:val="007C0E27"/>
    <w:rsid w:val="007C11A0"/>
    <w:rsid w:val="007C40F7"/>
    <w:rsid w:val="007C5DBF"/>
    <w:rsid w:val="007D1184"/>
    <w:rsid w:val="007D29E1"/>
    <w:rsid w:val="007D2FBB"/>
    <w:rsid w:val="007D43D0"/>
    <w:rsid w:val="007D61F9"/>
    <w:rsid w:val="007D6399"/>
    <w:rsid w:val="007E0243"/>
    <w:rsid w:val="007E262E"/>
    <w:rsid w:val="007E289C"/>
    <w:rsid w:val="007E354C"/>
    <w:rsid w:val="007E5313"/>
    <w:rsid w:val="007E7931"/>
    <w:rsid w:val="007F1390"/>
    <w:rsid w:val="007F3633"/>
    <w:rsid w:val="007F52DC"/>
    <w:rsid w:val="007F5CAB"/>
    <w:rsid w:val="007F62C6"/>
    <w:rsid w:val="007F78C9"/>
    <w:rsid w:val="007F7D60"/>
    <w:rsid w:val="00800AD8"/>
    <w:rsid w:val="008020F2"/>
    <w:rsid w:val="008039D7"/>
    <w:rsid w:val="00804018"/>
    <w:rsid w:val="00806562"/>
    <w:rsid w:val="008068B6"/>
    <w:rsid w:val="00807C0E"/>
    <w:rsid w:val="00810EF0"/>
    <w:rsid w:val="00812D8F"/>
    <w:rsid w:val="008141BF"/>
    <w:rsid w:val="008147D0"/>
    <w:rsid w:val="00814CD8"/>
    <w:rsid w:val="00814ED0"/>
    <w:rsid w:val="00817DDF"/>
    <w:rsid w:val="0082010C"/>
    <w:rsid w:val="00820216"/>
    <w:rsid w:val="00820E5F"/>
    <w:rsid w:val="008219D0"/>
    <w:rsid w:val="00821BE7"/>
    <w:rsid w:val="008230A1"/>
    <w:rsid w:val="00825893"/>
    <w:rsid w:val="00826F04"/>
    <w:rsid w:val="00827773"/>
    <w:rsid w:val="00827BB8"/>
    <w:rsid w:val="00830219"/>
    <w:rsid w:val="0083285B"/>
    <w:rsid w:val="00833141"/>
    <w:rsid w:val="00841B47"/>
    <w:rsid w:val="00842893"/>
    <w:rsid w:val="00846000"/>
    <w:rsid w:val="008469D1"/>
    <w:rsid w:val="00850777"/>
    <w:rsid w:val="008510A3"/>
    <w:rsid w:val="00852470"/>
    <w:rsid w:val="008540BD"/>
    <w:rsid w:val="008544D2"/>
    <w:rsid w:val="00856366"/>
    <w:rsid w:val="00860506"/>
    <w:rsid w:val="008625A7"/>
    <w:rsid w:val="00862BB5"/>
    <w:rsid w:val="00864AC4"/>
    <w:rsid w:val="008661FF"/>
    <w:rsid w:val="00870035"/>
    <w:rsid w:val="00876030"/>
    <w:rsid w:val="008823B6"/>
    <w:rsid w:val="0088676D"/>
    <w:rsid w:val="008876E8"/>
    <w:rsid w:val="0089042B"/>
    <w:rsid w:val="00890487"/>
    <w:rsid w:val="0089176C"/>
    <w:rsid w:val="0089431E"/>
    <w:rsid w:val="008948AD"/>
    <w:rsid w:val="00894AF7"/>
    <w:rsid w:val="00894B41"/>
    <w:rsid w:val="00894C60"/>
    <w:rsid w:val="00894D13"/>
    <w:rsid w:val="0089587C"/>
    <w:rsid w:val="008978D4"/>
    <w:rsid w:val="008A0476"/>
    <w:rsid w:val="008A125B"/>
    <w:rsid w:val="008A374B"/>
    <w:rsid w:val="008A4D5E"/>
    <w:rsid w:val="008A4DA0"/>
    <w:rsid w:val="008A4E94"/>
    <w:rsid w:val="008A769D"/>
    <w:rsid w:val="008B26E2"/>
    <w:rsid w:val="008B2C05"/>
    <w:rsid w:val="008B461F"/>
    <w:rsid w:val="008B4B57"/>
    <w:rsid w:val="008B6942"/>
    <w:rsid w:val="008C1EF9"/>
    <w:rsid w:val="008C5847"/>
    <w:rsid w:val="008C6819"/>
    <w:rsid w:val="008C7633"/>
    <w:rsid w:val="008C791C"/>
    <w:rsid w:val="008D2E48"/>
    <w:rsid w:val="008D309E"/>
    <w:rsid w:val="008D7867"/>
    <w:rsid w:val="008E1173"/>
    <w:rsid w:val="008E2DB8"/>
    <w:rsid w:val="008E39A2"/>
    <w:rsid w:val="008E487D"/>
    <w:rsid w:val="008E4FE5"/>
    <w:rsid w:val="008E5041"/>
    <w:rsid w:val="008E6111"/>
    <w:rsid w:val="008F1AF5"/>
    <w:rsid w:val="008F243F"/>
    <w:rsid w:val="008F5277"/>
    <w:rsid w:val="008F7FE7"/>
    <w:rsid w:val="009008F1"/>
    <w:rsid w:val="00900CFE"/>
    <w:rsid w:val="00902769"/>
    <w:rsid w:val="00905D6B"/>
    <w:rsid w:val="00905ECE"/>
    <w:rsid w:val="00913213"/>
    <w:rsid w:val="00913B3E"/>
    <w:rsid w:val="00921578"/>
    <w:rsid w:val="00921C18"/>
    <w:rsid w:val="009229ED"/>
    <w:rsid w:val="00922D68"/>
    <w:rsid w:val="009249F4"/>
    <w:rsid w:val="009255A6"/>
    <w:rsid w:val="009258BB"/>
    <w:rsid w:val="00930A0B"/>
    <w:rsid w:val="00931991"/>
    <w:rsid w:val="00935193"/>
    <w:rsid w:val="00936B16"/>
    <w:rsid w:val="00937F14"/>
    <w:rsid w:val="00941C0E"/>
    <w:rsid w:val="00941EBD"/>
    <w:rsid w:val="009424EB"/>
    <w:rsid w:val="00942AF4"/>
    <w:rsid w:val="0094429B"/>
    <w:rsid w:val="009507FF"/>
    <w:rsid w:val="009511B7"/>
    <w:rsid w:val="00951E0D"/>
    <w:rsid w:val="009524A3"/>
    <w:rsid w:val="0095286C"/>
    <w:rsid w:val="0095341A"/>
    <w:rsid w:val="00954A77"/>
    <w:rsid w:val="00954B5B"/>
    <w:rsid w:val="00957B9F"/>
    <w:rsid w:val="009617A0"/>
    <w:rsid w:val="00965642"/>
    <w:rsid w:val="00965D25"/>
    <w:rsid w:val="00966198"/>
    <w:rsid w:val="00966C08"/>
    <w:rsid w:val="009675A3"/>
    <w:rsid w:val="00967B70"/>
    <w:rsid w:val="00967CBD"/>
    <w:rsid w:val="00970F38"/>
    <w:rsid w:val="00971CCD"/>
    <w:rsid w:val="00971FB7"/>
    <w:rsid w:val="009722D3"/>
    <w:rsid w:val="0097253D"/>
    <w:rsid w:val="00974060"/>
    <w:rsid w:val="00975AB3"/>
    <w:rsid w:val="009763C8"/>
    <w:rsid w:val="00976EEA"/>
    <w:rsid w:val="00977C89"/>
    <w:rsid w:val="00980ADD"/>
    <w:rsid w:val="00980ED7"/>
    <w:rsid w:val="0098201D"/>
    <w:rsid w:val="00984EC1"/>
    <w:rsid w:val="00985905"/>
    <w:rsid w:val="009861FE"/>
    <w:rsid w:val="00990DE5"/>
    <w:rsid w:val="009970B3"/>
    <w:rsid w:val="009A0F64"/>
    <w:rsid w:val="009A1B97"/>
    <w:rsid w:val="009A1BE6"/>
    <w:rsid w:val="009A24EE"/>
    <w:rsid w:val="009A42C9"/>
    <w:rsid w:val="009A4992"/>
    <w:rsid w:val="009A650E"/>
    <w:rsid w:val="009A7712"/>
    <w:rsid w:val="009B1DB6"/>
    <w:rsid w:val="009B4955"/>
    <w:rsid w:val="009B6A76"/>
    <w:rsid w:val="009B782D"/>
    <w:rsid w:val="009B7B54"/>
    <w:rsid w:val="009C06E2"/>
    <w:rsid w:val="009C1FCB"/>
    <w:rsid w:val="009C26E7"/>
    <w:rsid w:val="009C7FDC"/>
    <w:rsid w:val="009D3D5E"/>
    <w:rsid w:val="009D4185"/>
    <w:rsid w:val="009D5A61"/>
    <w:rsid w:val="009D742D"/>
    <w:rsid w:val="009F03F5"/>
    <w:rsid w:val="009F2A35"/>
    <w:rsid w:val="009F5EF9"/>
    <w:rsid w:val="00A00471"/>
    <w:rsid w:val="00A10ECB"/>
    <w:rsid w:val="00A130CE"/>
    <w:rsid w:val="00A13CD5"/>
    <w:rsid w:val="00A153D7"/>
    <w:rsid w:val="00A16898"/>
    <w:rsid w:val="00A168B5"/>
    <w:rsid w:val="00A17B3E"/>
    <w:rsid w:val="00A2072B"/>
    <w:rsid w:val="00A22EAE"/>
    <w:rsid w:val="00A25F21"/>
    <w:rsid w:val="00A33FF6"/>
    <w:rsid w:val="00A420F2"/>
    <w:rsid w:val="00A4489B"/>
    <w:rsid w:val="00A4584A"/>
    <w:rsid w:val="00A45FCB"/>
    <w:rsid w:val="00A47019"/>
    <w:rsid w:val="00A50F57"/>
    <w:rsid w:val="00A510B9"/>
    <w:rsid w:val="00A51D99"/>
    <w:rsid w:val="00A523AB"/>
    <w:rsid w:val="00A528F3"/>
    <w:rsid w:val="00A53B65"/>
    <w:rsid w:val="00A55749"/>
    <w:rsid w:val="00A55C11"/>
    <w:rsid w:val="00A638CA"/>
    <w:rsid w:val="00A6542F"/>
    <w:rsid w:val="00A657EE"/>
    <w:rsid w:val="00A65C6F"/>
    <w:rsid w:val="00A661B9"/>
    <w:rsid w:val="00A66C47"/>
    <w:rsid w:val="00A67A3E"/>
    <w:rsid w:val="00A711F2"/>
    <w:rsid w:val="00A714D7"/>
    <w:rsid w:val="00A71F2F"/>
    <w:rsid w:val="00A724E8"/>
    <w:rsid w:val="00A73458"/>
    <w:rsid w:val="00A75050"/>
    <w:rsid w:val="00A77D3C"/>
    <w:rsid w:val="00A77E5F"/>
    <w:rsid w:val="00A81527"/>
    <w:rsid w:val="00A84F96"/>
    <w:rsid w:val="00A8591A"/>
    <w:rsid w:val="00A868F9"/>
    <w:rsid w:val="00A87CD8"/>
    <w:rsid w:val="00A90F36"/>
    <w:rsid w:val="00A911FE"/>
    <w:rsid w:val="00A950F1"/>
    <w:rsid w:val="00A97C70"/>
    <w:rsid w:val="00AA21FB"/>
    <w:rsid w:val="00AA40FD"/>
    <w:rsid w:val="00AB35DA"/>
    <w:rsid w:val="00AB55B0"/>
    <w:rsid w:val="00AB65E2"/>
    <w:rsid w:val="00AB66F9"/>
    <w:rsid w:val="00AB7434"/>
    <w:rsid w:val="00AC20B6"/>
    <w:rsid w:val="00AC2D33"/>
    <w:rsid w:val="00AC36E6"/>
    <w:rsid w:val="00AC3B04"/>
    <w:rsid w:val="00AC6897"/>
    <w:rsid w:val="00AD1990"/>
    <w:rsid w:val="00AD7695"/>
    <w:rsid w:val="00AE1A9B"/>
    <w:rsid w:val="00AE1C1E"/>
    <w:rsid w:val="00AF3EC0"/>
    <w:rsid w:val="00AF7438"/>
    <w:rsid w:val="00B03F01"/>
    <w:rsid w:val="00B05D5E"/>
    <w:rsid w:val="00B118F8"/>
    <w:rsid w:val="00B12824"/>
    <w:rsid w:val="00B131F5"/>
    <w:rsid w:val="00B16F3B"/>
    <w:rsid w:val="00B226A0"/>
    <w:rsid w:val="00B2383A"/>
    <w:rsid w:val="00B24645"/>
    <w:rsid w:val="00B246F3"/>
    <w:rsid w:val="00B26D23"/>
    <w:rsid w:val="00B30BA9"/>
    <w:rsid w:val="00B32840"/>
    <w:rsid w:val="00B341FB"/>
    <w:rsid w:val="00B42171"/>
    <w:rsid w:val="00B4477B"/>
    <w:rsid w:val="00B449A9"/>
    <w:rsid w:val="00B4587C"/>
    <w:rsid w:val="00B46AC9"/>
    <w:rsid w:val="00B549D7"/>
    <w:rsid w:val="00B54AF5"/>
    <w:rsid w:val="00B54CFD"/>
    <w:rsid w:val="00B55715"/>
    <w:rsid w:val="00B55AFD"/>
    <w:rsid w:val="00B55F31"/>
    <w:rsid w:val="00B6208F"/>
    <w:rsid w:val="00B62D19"/>
    <w:rsid w:val="00B6682C"/>
    <w:rsid w:val="00B67764"/>
    <w:rsid w:val="00B715AA"/>
    <w:rsid w:val="00B722FC"/>
    <w:rsid w:val="00B72B2D"/>
    <w:rsid w:val="00B733B6"/>
    <w:rsid w:val="00B746A0"/>
    <w:rsid w:val="00B748E9"/>
    <w:rsid w:val="00B81B45"/>
    <w:rsid w:val="00B83D16"/>
    <w:rsid w:val="00B85A88"/>
    <w:rsid w:val="00B86DEE"/>
    <w:rsid w:val="00B87FE3"/>
    <w:rsid w:val="00B94E39"/>
    <w:rsid w:val="00B96129"/>
    <w:rsid w:val="00B96F77"/>
    <w:rsid w:val="00B97C56"/>
    <w:rsid w:val="00BA051F"/>
    <w:rsid w:val="00BA20F7"/>
    <w:rsid w:val="00BA2E95"/>
    <w:rsid w:val="00BA4E94"/>
    <w:rsid w:val="00BA5D73"/>
    <w:rsid w:val="00BA60AC"/>
    <w:rsid w:val="00BB162D"/>
    <w:rsid w:val="00BB485D"/>
    <w:rsid w:val="00BB4D5E"/>
    <w:rsid w:val="00BB6DDD"/>
    <w:rsid w:val="00BB7DAE"/>
    <w:rsid w:val="00BC1A4C"/>
    <w:rsid w:val="00BC2BDF"/>
    <w:rsid w:val="00BC3A01"/>
    <w:rsid w:val="00BC4868"/>
    <w:rsid w:val="00BC6643"/>
    <w:rsid w:val="00BD034A"/>
    <w:rsid w:val="00BD0D2E"/>
    <w:rsid w:val="00BD3E8B"/>
    <w:rsid w:val="00BD4E05"/>
    <w:rsid w:val="00BD7A77"/>
    <w:rsid w:val="00BD7F75"/>
    <w:rsid w:val="00BF1BBA"/>
    <w:rsid w:val="00BF2BF9"/>
    <w:rsid w:val="00BF4525"/>
    <w:rsid w:val="00BF595D"/>
    <w:rsid w:val="00BF5B47"/>
    <w:rsid w:val="00BF739C"/>
    <w:rsid w:val="00BF766F"/>
    <w:rsid w:val="00C02E8C"/>
    <w:rsid w:val="00C03A90"/>
    <w:rsid w:val="00C04BD5"/>
    <w:rsid w:val="00C061BC"/>
    <w:rsid w:val="00C06765"/>
    <w:rsid w:val="00C06F58"/>
    <w:rsid w:val="00C12120"/>
    <w:rsid w:val="00C1279E"/>
    <w:rsid w:val="00C145EB"/>
    <w:rsid w:val="00C15C68"/>
    <w:rsid w:val="00C20097"/>
    <w:rsid w:val="00C205E4"/>
    <w:rsid w:val="00C20D12"/>
    <w:rsid w:val="00C23DC2"/>
    <w:rsid w:val="00C247B9"/>
    <w:rsid w:val="00C24DD6"/>
    <w:rsid w:val="00C311EE"/>
    <w:rsid w:val="00C31A43"/>
    <w:rsid w:val="00C327DF"/>
    <w:rsid w:val="00C32F4F"/>
    <w:rsid w:val="00C44CAD"/>
    <w:rsid w:val="00C465EF"/>
    <w:rsid w:val="00C505FD"/>
    <w:rsid w:val="00C51D01"/>
    <w:rsid w:val="00C53BAF"/>
    <w:rsid w:val="00C549EF"/>
    <w:rsid w:val="00C54A9B"/>
    <w:rsid w:val="00C56801"/>
    <w:rsid w:val="00C57C09"/>
    <w:rsid w:val="00C60804"/>
    <w:rsid w:val="00C64521"/>
    <w:rsid w:val="00C651FB"/>
    <w:rsid w:val="00C661BE"/>
    <w:rsid w:val="00C72933"/>
    <w:rsid w:val="00C739EB"/>
    <w:rsid w:val="00C74FBC"/>
    <w:rsid w:val="00C76805"/>
    <w:rsid w:val="00C770F2"/>
    <w:rsid w:val="00C77519"/>
    <w:rsid w:val="00C86541"/>
    <w:rsid w:val="00C86C43"/>
    <w:rsid w:val="00C900B6"/>
    <w:rsid w:val="00C96457"/>
    <w:rsid w:val="00CA13A3"/>
    <w:rsid w:val="00CA1E5A"/>
    <w:rsid w:val="00CA2001"/>
    <w:rsid w:val="00CA20ED"/>
    <w:rsid w:val="00CA3439"/>
    <w:rsid w:val="00CA4474"/>
    <w:rsid w:val="00CA5644"/>
    <w:rsid w:val="00CA77BE"/>
    <w:rsid w:val="00CB0DE7"/>
    <w:rsid w:val="00CB1867"/>
    <w:rsid w:val="00CB2F9D"/>
    <w:rsid w:val="00CB44C6"/>
    <w:rsid w:val="00CB5C97"/>
    <w:rsid w:val="00CB6133"/>
    <w:rsid w:val="00CB62D2"/>
    <w:rsid w:val="00CC00BD"/>
    <w:rsid w:val="00CC37F8"/>
    <w:rsid w:val="00CC62E1"/>
    <w:rsid w:val="00CC6BBA"/>
    <w:rsid w:val="00CC6FF2"/>
    <w:rsid w:val="00CD0874"/>
    <w:rsid w:val="00CD1B0F"/>
    <w:rsid w:val="00CD43AD"/>
    <w:rsid w:val="00CD67E1"/>
    <w:rsid w:val="00CD7FF6"/>
    <w:rsid w:val="00CE19AB"/>
    <w:rsid w:val="00CE257F"/>
    <w:rsid w:val="00CE2B1B"/>
    <w:rsid w:val="00CE4237"/>
    <w:rsid w:val="00CE4D89"/>
    <w:rsid w:val="00CE5899"/>
    <w:rsid w:val="00CF2DFF"/>
    <w:rsid w:val="00CF31F7"/>
    <w:rsid w:val="00CF448E"/>
    <w:rsid w:val="00CF4F10"/>
    <w:rsid w:val="00CF5185"/>
    <w:rsid w:val="00CF55E6"/>
    <w:rsid w:val="00CF76FA"/>
    <w:rsid w:val="00D02DB0"/>
    <w:rsid w:val="00D0330E"/>
    <w:rsid w:val="00D0522F"/>
    <w:rsid w:val="00D05A9A"/>
    <w:rsid w:val="00D072F4"/>
    <w:rsid w:val="00D13386"/>
    <w:rsid w:val="00D14208"/>
    <w:rsid w:val="00D14D41"/>
    <w:rsid w:val="00D16A1A"/>
    <w:rsid w:val="00D16D2D"/>
    <w:rsid w:val="00D20A71"/>
    <w:rsid w:val="00D226DF"/>
    <w:rsid w:val="00D2363C"/>
    <w:rsid w:val="00D24176"/>
    <w:rsid w:val="00D24982"/>
    <w:rsid w:val="00D30093"/>
    <w:rsid w:val="00D306F3"/>
    <w:rsid w:val="00D31016"/>
    <w:rsid w:val="00D31D45"/>
    <w:rsid w:val="00D34A2A"/>
    <w:rsid w:val="00D3550B"/>
    <w:rsid w:val="00D369D3"/>
    <w:rsid w:val="00D400AA"/>
    <w:rsid w:val="00D40F61"/>
    <w:rsid w:val="00D41CFD"/>
    <w:rsid w:val="00D445A4"/>
    <w:rsid w:val="00D4543E"/>
    <w:rsid w:val="00D4555C"/>
    <w:rsid w:val="00D465F0"/>
    <w:rsid w:val="00D466D3"/>
    <w:rsid w:val="00D4786E"/>
    <w:rsid w:val="00D52EDD"/>
    <w:rsid w:val="00D53B0B"/>
    <w:rsid w:val="00D55C76"/>
    <w:rsid w:val="00D60044"/>
    <w:rsid w:val="00D601E6"/>
    <w:rsid w:val="00D60938"/>
    <w:rsid w:val="00D64717"/>
    <w:rsid w:val="00D64F22"/>
    <w:rsid w:val="00D653B2"/>
    <w:rsid w:val="00D65746"/>
    <w:rsid w:val="00D662AE"/>
    <w:rsid w:val="00D66E13"/>
    <w:rsid w:val="00D703C4"/>
    <w:rsid w:val="00D719D0"/>
    <w:rsid w:val="00D7515D"/>
    <w:rsid w:val="00D80707"/>
    <w:rsid w:val="00D83B9D"/>
    <w:rsid w:val="00D85F2E"/>
    <w:rsid w:val="00D86D7E"/>
    <w:rsid w:val="00D86DB6"/>
    <w:rsid w:val="00D90BFA"/>
    <w:rsid w:val="00D90FDC"/>
    <w:rsid w:val="00D935FC"/>
    <w:rsid w:val="00DA1832"/>
    <w:rsid w:val="00DA3B45"/>
    <w:rsid w:val="00DA6B1B"/>
    <w:rsid w:val="00DB0138"/>
    <w:rsid w:val="00DB29B5"/>
    <w:rsid w:val="00DB6403"/>
    <w:rsid w:val="00DC1FC3"/>
    <w:rsid w:val="00DC3CE2"/>
    <w:rsid w:val="00DC5884"/>
    <w:rsid w:val="00DC5BB0"/>
    <w:rsid w:val="00DC5E05"/>
    <w:rsid w:val="00DC734E"/>
    <w:rsid w:val="00DD17DE"/>
    <w:rsid w:val="00DD24AD"/>
    <w:rsid w:val="00DD2FAC"/>
    <w:rsid w:val="00DD36BE"/>
    <w:rsid w:val="00DD3A1D"/>
    <w:rsid w:val="00DE0C6E"/>
    <w:rsid w:val="00DE24CD"/>
    <w:rsid w:val="00DE3FF6"/>
    <w:rsid w:val="00DF10B1"/>
    <w:rsid w:val="00DF10B9"/>
    <w:rsid w:val="00DF211A"/>
    <w:rsid w:val="00DF56A3"/>
    <w:rsid w:val="00DF70A9"/>
    <w:rsid w:val="00DF7BBB"/>
    <w:rsid w:val="00E021BA"/>
    <w:rsid w:val="00E029F8"/>
    <w:rsid w:val="00E03267"/>
    <w:rsid w:val="00E04DF3"/>
    <w:rsid w:val="00E114D5"/>
    <w:rsid w:val="00E122ED"/>
    <w:rsid w:val="00E138E9"/>
    <w:rsid w:val="00E145A2"/>
    <w:rsid w:val="00E148B3"/>
    <w:rsid w:val="00E15448"/>
    <w:rsid w:val="00E162C3"/>
    <w:rsid w:val="00E22F35"/>
    <w:rsid w:val="00E24A19"/>
    <w:rsid w:val="00E24CD3"/>
    <w:rsid w:val="00E24E4F"/>
    <w:rsid w:val="00E30036"/>
    <w:rsid w:val="00E32ED7"/>
    <w:rsid w:val="00E33483"/>
    <w:rsid w:val="00E34AF6"/>
    <w:rsid w:val="00E3554B"/>
    <w:rsid w:val="00E36DD9"/>
    <w:rsid w:val="00E41DCF"/>
    <w:rsid w:val="00E52204"/>
    <w:rsid w:val="00E548ED"/>
    <w:rsid w:val="00E561F6"/>
    <w:rsid w:val="00E61FDF"/>
    <w:rsid w:val="00E62D7D"/>
    <w:rsid w:val="00E65061"/>
    <w:rsid w:val="00E65804"/>
    <w:rsid w:val="00E71E03"/>
    <w:rsid w:val="00E74AF2"/>
    <w:rsid w:val="00E7655E"/>
    <w:rsid w:val="00E772EC"/>
    <w:rsid w:val="00E77D8B"/>
    <w:rsid w:val="00E803AB"/>
    <w:rsid w:val="00E80560"/>
    <w:rsid w:val="00E80C4F"/>
    <w:rsid w:val="00E81F45"/>
    <w:rsid w:val="00E829A9"/>
    <w:rsid w:val="00E829DC"/>
    <w:rsid w:val="00E83B42"/>
    <w:rsid w:val="00E8573D"/>
    <w:rsid w:val="00E908D5"/>
    <w:rsid w:val="00E90C42"/>
    <w:rsid w:val="00E929B2"/>
    <w:rsid w:val="00EA04BF"/>
    <w:rsid w:val="00EA1044"/>
    <w:rsid w:val="00EA32DE"/>
    <w:rsid w:val="00EA3F20"/>
    <w:rsid w:val="00EA4192"/>
    <w:rsid w:val="00EA4712"/>
    <w:rsid w:val="00EA544B"/>
    <w:rsid w:val="00EA7D00"/>
    <w:rsid w:val="00EB00D8"/>
    <w:rsid w:val="00EB046A"/>
    <w:rsid w:val="00EB2412"/>
    <w:rsid w:val="00EB4F08"/>
    <w:rsid w:val="00EB6150"/>
    <w:rsid w:val="00EC0BD3"/>
    <w:rsid w:val="00EC2B52"/>
    <w:rsid w:val="00ED0189"/>
    <w:rsid w:val="00ED10BF"/>
    <w:rsid w:val="00ED1117"/>
    <w:rsid w:val="00ED1897"/>
    <w:rsid w:val="00ED1BD6"/>
    <w:rsid w:val="00ED216E"/>
    <w:rsid w:val="00ED3E8C"/>
    <w:rsid w:val="00ED4267"/>
    <w:rsid w:val="00ED4E7E"/>
    <w:rsid w:val="00ED5F02"/>
    <w:rsid w:val="00EE006A"/>
    <w:rsid w:val="00EE013D"/>
    <w:rsid w:val="00EE0844"/>
    <w:rsid w:val="00EE0B83"/>
    <w:rsid w:val="00EE0F60"/>
    <w:rsid w:val="00EE1907"/>
    <w:rsid w:val="00EE3063"/>
    <w:rsid w:val="00EE34F1"/>
    <w:rsid w:val="00EE6EAC"/>
    <w:rsid w:val="00EE7EA7"/>
    <w:rsid w:val="00EF318E"/>
    <w:rsid w:val="00EF44F3"/>
    <w:rsid w:val="00F006DC"/>
    <w:rsid w:val="00F04C89"/>
    <w:rsid w:val="00F12490"/>
    <w:rsid w:val="00F136D4"/>
    <w:rsid w:val="00F139B3"/>
    <w:rsid w:val="00F14C0E"/>
    <w:rsid w:val="00F14F72"/>
    <w:rsid w:val="00F15A78"/>
    <w:rsid w:val="00F15F98"/>
    <w:rsid w:val="00F20C2E"/>
    <w:rsid w:val="00F23562"/>
    <w:rsid w:val="00F24583"/>
    <w:rsid w:val="00F308B6"/>
    <w:rsid w:val="00F3306A"/>
    <w:rsid w:val="00F36705"/>
    <w:rsid w:val="00F40DC6"/>
    <w:rsid w:val="00F413DF"/>
    <w:rsid w:val="00F4318E"/>
    <w:rsid w:val="00F437F5"/>
    <w:rsid w:val="00F43DD1"/>
    <w:rsid w:val="00F4599A"/>
    <w:rsid w:val="00F45A02"/>
    <w:rsid w:val="00F45B40"/>
    <w:rsid w:val="00F45D86"/>
    <w:rsid w:val="00F47609"/>
    <w:rsid w:val="00F502D8"/>
    <w:rsid w:val="00F51B7C"/>
    <w:rsid w:val="00F51CCB"/>
    <w:rsid w:val="00F53305"/>
    <w:rsid w:val="00F54216"/>
    <w:rsid w:val="00F5480B"/>
    <w:rsid w:val="00F54A08"/>
    <w:rsid w:val="00F55B50"/>
    <w:rsid w:val="00F5689F"/>
    <w:rsid w:val="00F57938"/>
    <w:rsid w:val="00F57CF7"/>
    <w:rsid w:val="00F60D73"/>
    <w:rsid w:val="00F66692"/>
    <w:rsid w:val="00F67C95"/>
    <w:rsid w:val="00F71F52"/>
    <w:rsid w:val="00F73632"/>
    <w:rsid w:val="00F75E05"/>
    <w:rsid w:val="00F80092"/>
    <w:rsid w:val="00F81B79"/>
    <w:rsid w:val="00F85083"/>
    <w:rsid w:val="00F86269"/>
    <w:rsid w:val="00F8708A"/>
    <w:rsid w:val="00F9383C"/>
    <w:rsid w:val="00F970E1"/>
    <w:rsid w:val="00FA209E"/>
    <w:rsid w:val="00FA793E"/>
    <w:rsid w:val="00FB3FFD"/>
    <w:rsid w:val="00FB4E9A"/>
    <w:rsid w:val="00FB6A9B"/>
    <w:rsid w:val="00FB78E6"/>
    <w:rsid w:val="00FC3C44"/>
    <w:rsid w:val="00FC4AE0"/>
    <w:rsid w:val="00FC4C3F"/>
    <w:rsid w:val="00FC54C6"/>
    <w:rsid w:val="00FD02DC"/>
    <w:rsid w:val="00FD4BC5"/>
    <w:rsid w:val="00FD53ED"/>
    <w:rsid w:val="00FD64EB"/>
    <w:rsid w:val="00FD6DB9"/>
    <w:rsid w:val="00FD79E4"/>
    <w:rsid w:val="00FE0C07"/>
    <w:rsid w:val="00FE13E2"/>
    <w:rsid w:val="00FE34E9"/>
    <w:rsid w:val="00FE6A9E"/>
    <w:rsid w:val="00FE6C52"/>
    <w:rsid w:val="00FE7F92"/>
    <w:rsid w:val="00FF081E"/>
    <w:rsid w:val="00FF167E"/>
    <w:rsid w:val="00FF2005"/>
    <w:rsid w:val="00FF25DC"/>
    <w:rsid w:val="00FF37C1"/>
    <w:rsid w:val="00FF37CA"/>
    <w:rsid w:val="00FF625A"/>
    <w:rsid w:val="00FF7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37"/>
    <w:rPr>
      <w:rFonts w:ascii="Times New Roman" w:eastAsia="Times New Roman" w:hAnsi="Times New Roman"/>
      <w:sz w:val="24"/>
      <w:szCs w:val="24"/>
    </w:rPr>
  </w:style>
  <w:style w:type="paragraph" w:styleId="Heading1">
    <w:name w:val="heading 1"/>
    <w:basedOn w:val="Normal"/>
    <w:next w:val="Normal"/>
    <w:link w:val="Heading1Char"/>
    <w:qFormat/>
    <w:rsid w:val="005E3EDB"/>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E4237"/>
    <w:pPr>
      <w:autoSpaceDE w:val="0"/>
      <w:autoSpaceDN w:val="0"/>
      <w:adjustRightInd w:val="0"/>
      <w:ind w:left="720"/>
    </w:pPr>
    <w:rPr>
      <w:rFonts w:ascii="Times New Roman" w:eastAsia="Times New Roman" w:hAnsi="Times New Roman"/>
      <w:sz w:val="24"/>
      <w:szCs w:val="24"/>
    </w:rPr>
  </w:style>
  <w:style w:type="paragraph" w:styleId="Title">
    <w:name w:val="Title"/>
    <w:basedOn w:val="Normal"/>
    <w:link w:val="TitleChar"/>
    <w:qFormat/>
    <w:rsid w:val="00CE4237"/>
    <w:pPr>
      <w:jc w:val="center"/>
    </w:pPr>
    <w:rPr>
      <w:b/>
      <w:bCs/>
    </w:rPr>
  </w:style>
  <w:style w:type="character" w:customStyle="1" w:styleId="TitleChar">
    <w:name w:val="Title Char"/>
    <w:basedOn w:val="DefaultParagraphFont"/>
    <w:link w:val="Title"/>
    <w:rsid w:val="00CE423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5E3EDB"/>
    <w:rPr>
      <w:rFonts w:ascii="Times New Roman" w:eastAsia="Times New Roman" w:hAnsi="Times New Roman"/>
      <w:b/>
      <w:sz w:val="24"/>
      <w:szCs w:val="24"/>
    </w:rPr>
  </w:style>
  <w:style w:type="table" w:styleId="TableGrid">
    <w:name w:val="Table Grid"/>
    <w:basedOn w:val="TableNormal"/>
    <w:uiPriority w:val="59"/>
    <w:rsid w:val="00B421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DCF"/>
    <w:rPr>
      <w:rFonts w:ascii="Tahoma" w:hAnsi="Tahoma" w:cs="Tahoma"/>
      <w:sz w:val="16"/>
      <w:szCs w:val="16"/>
    </w:rPr>
  </w:style>
  <w:style w:type="character" w:customStyle="1" w:styleId="BalloonTextChar">
    <w:name w:val="Balloon Text Char"/>
    <w:basedOn w:val="DefaultParagraphFont"/>
    <w:link w:val="BalloonText"/>
    <w:uiPriority w:val="99"/>
    <w:semiHidden/>
    <w:rsid w:val="00E41DCF"/>
    <w:rPr>
      <w:rFonts w:ascii="Tahoma" w:eastAsia="Times New Roman" w:hAnsi="Tahoma" w:cs="Tahoma"/>
      <w:sz w:val="16"/>
      <w:szCs w:val="16"/>
    </w:rPr>
  </w:style>
  <w:style w:type="paragraph" w:styleId="ListParagraph">
    <w:name w:val="List Paragraph"/>
    <w:basedOn w:val="Normal"/>
    <w:uiPriority w:val="34"/>
    <w:qFormat/>
    <w:rsid w:val="00A657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MLR</dc:creator>
  <cp:keywords/>
  <dc:description/>
  <cp:lastModifiedBy>Jennifer Guarino Tancreto</cp:lastModifiedBy>
  <cp:revision>2</cp:revision>
  <cp:lastPrinted>2010-10-14T15:03:00Z</cp:lastPrinted>
  <dcterms:created xsi:type="dcterms:W3CDTF">2010-10-14T15:50:00Z</dcterms:created>
  <dcterms:modified xsi:type="dcterms:W3CDTF">2010-10-14T15:50:00Z</dcterms:modified>
</cp:coreProperties>
</file>