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EF" w:rsidRDefault="007B77EF" w:rsidP="007B77EF">
      <w:pPr>
        <w:pStyle w:val="EndnoteText"/>
        <w:tabs>
          <w:tab w:val="left" w:pos="360"/>
          <w:tab w:val="left" w:pos="720"/>
          <w:tab w:val="left" w:pos="1080"/>
          <w:tab w:val="left" w:pos="4680"/>
          <w:tab w:val="left" w:pos="5940"/>
        </w:tabs>
        <w:rPr>
          <w:sz w:val="24"/>
          <w:szCs w:val="24"/>
        </w:rPr>
      </w:pPr>
    </w:p>
    <w:p w:rsidR="007B77EF" w:rsidRDefault="007B77EF" w:rsidP="007B77EF">
      <w:pPr>
        <w:pStyle w:val="EndnoteText"/>
        <w:tabs>
          <w:tab w:val="left" w:pos="360"/>
          <w:tab w:val="left" w:pos="720"/>
          <w:tab w:val="left" w:pos="1080"/>
          <w:tab w:val="left" w:pos="4680"/>
          <w:tab w:val="left" w:pos="5940"/>
        </w:tabs>
        <w:rPr>
          <w:sz w:val="24"/>
          <w:szCs w:val="24"/>
        </w:rPr>
      </w:pPr>
    </w:p>
    <w:p w:rsidR="007B77EF" w:rsidRPr="0043596B" w:rsidRDefault="007B77EF" w:rsidP="007B77EF">
      <w:pPr>
        <w:jc w:val="center"/>
        <w:rPr>
          <w:i/>
          <w:sz w:val="28"/>
          <w:szCs w:val="28"/>
        </w:rPr>
      </w:pPr>
    </w:p>
    <w:p w:rsidR="007B77EF" w:rsidRPr="00FC633E" w:rsidRDefault="007B77EF" w:rsidP="007B77EF">
      <w:pPr>
        <w:jc w:val="center"/>
        <w:rPr>
          <w:sz w:val="28"/>
          <w:szCs w:val="28"/>
        </w:rPr>
      </w:pPr>
    </w:p>
    <w:p w:rsidR="007B77EF" w:rsidRDefault="007B77EF" w:rsidP="007B77EF">
      <w:pPr>
        <w:jc w:val="center"/>
        <w:rPr>
          <w:b/>
          <w:sz w:val="28"/>
          <w:szCs w:val="28"/>
        </w:rPr>
      </w:pPr>
    </w:p>
    <w:p w:rsidR="007B77EF" w:rsidRDefault="007B77EF" w:rsidP="007B77EF">
      <w:pPr>
        <w:jc w:val="center"/>
        <w:rPr>
          <w:b/>
          <w:sz w:val="28"/>
          <w:szCs w:val="28"/>
        </w:rPr>
      </w:pPr>
    </w:p>
    <w:p w:rsidR="007B77EF" w:rsidRDefault="007B77EF" w:rsidP="007B77EF">
      <w:pPr>
        <w:jc w:val="center"/>
        <w:rPr>
          <w:b/>
          <w:sz w:val="28"/>
          <w:szCs w:val="28"/>
        </w:rPr>
      </w:pPr>
    </w:p>
    <w:p w:rsidR="007B77EF" w:rsidRDefault="007B77EF" w:rsidP="007B77EF">
      <w:pPr>
        <w:jc w:val="center"/>
        <w:rPr>
          <w:b/>
          <w:sz w:val="28"/>
          <w:szCs w:val="28"/>
        </w:rPr>
      </w:pPr>
      <w:r w:rsidRPr="00456179">
        <w:rPr>
          <w:b/>
          <w:sz w:val="28"/>
          <w:szCs w:val="28"/>
        </w:rPr>
        <w:t>SUPPORTING STATEMENT</w:t>
      </w:r>
    </w:p>
    <w:p w:rsidR="007B77EF" w:rsidRDefault="007B77EF" w:rsidP="007B77EF">
      <w:pPr>
        <w:jc w:val="center"/>
        <w:rPr>
          <w:b/>
          <w:sz w:val="28"/>
          <w:szCs w:val="28"/>
        </w:rPr>
      </w:pPr>
    </w:p>
    <w:p w:rsidR="007B77EF" w:rsidRDefault="007B77EF" w:rsidP="007B77EF">
      <w:pPr>
        <w:jc w:val="center"/>
        <w:rPr>
          <w:sz w:val="28"/>
          <w:szCs w:val="28"/>
        </w:rPr>
      </w:pPr>
      <w:r>
        <w:rPr>
          <w:b/>
          <w:sz w:val="28"/>
          <w:szCs w:val="28"/>
        </w:rPr>
        <w:t>Part B</w:t>
      </w: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E679D4" w:rsidRDefault="00E679D4" w:rsidP="00E679D4">
      <w:pPr>
        <w:jc w:val="center"/>
        <w:rPr>
          <w:sz w:val="28"/>
          <w:szCs w:val="28"/>
        </w:rPr>
      </w:pPr>
      <w:r w:rsidRPr="0099374E">
        <w:rPr>
          <w:sz w:val="28"/>
          <w:szCs w:val="28"/>
        </w:rPr>
        <w:t>Health IT Tool Evaluation</w:t>
      </w:r>
      <w:r w:rsidRPr="0099374E" w:rsidDel="0099374E">
        <w:rPr>
          <w:sz w:val="28"/>
          <w:szCs w:val="28"/>
          <w:highlight w:val="cyan"/>
        </w:rPr>
        <w:t xml:space="preserve"> </w:t>
      </w:r>
    </w:p>
    <w:p w:rsidR="00E679D4" w:rsidRPr="00E41110" w:rsidRDefault="00E679D4" w:rsidP="00E679D4">
      <w:pPr>
        <w:jc w:val="center"/>
        <w:rPr>
          <w:sz w:val="28"/>
          <w:szCs w:val="28"/>
        </w:rPr>
      </w:pPr>
    </w:p>
    <w:p w:rsidR="00E679D4" w:rsidRDefault="00E679D4" w:rsidP="00E679D4">
      <w:pPr>
        <w:jc w:val="center"/>
        <w:rPr>
          <w:sz w:val="28"/>
          <w:szCs w:val="28"/>
        </w:rPr>
      </w:pPr>
    </w:p>
    <w:p w:rsidR="00E679D4" w:rsidRDefault="00E679D4" w:rsidP="00E679D4">
      <w:pPr>
        <w:jc w:val="center"/>
        <w:rPr>
          <w:sz w:val="28"/>
          <w:szCs w:val="28"/>
        </w:rPr>
      </w:pPr>
    </w:p>
    <w:p w:rsidR="00E679D4" w:rsidRDefault="00E679D4" w:rsidP="00E679D4">
      <w:pPr>
        <w:jc w:val="center"/>
        <w:rPr>
          <w:sz w:val="28"/>
          <w:szCs w:val="28"/>
        </w:rPr>
      </w:pPr>
    </w:p>
    <w:p w:rsidR="00E679D4" w:rsidRPr="00C4006D" w:rsidRDefault="00E679D4" w:rsidP="00E679D4">
      <w:pPr>
        <w:jc w:val="center"/>
        <w:rPr>
          <w:i/>
          <w:sz w:val="28"/>
          <w:szCs w:val="28"/>
        </w:rPr>
      </w:pPr>
      <w:r w:rsidRPr="00E41110">
        <w:rPr>
          <w:sz w:val="28"/>
          <w:szCs w:val="28"/>
        </w:rPr>
        <w:t>Version:</w:t>
      </w:r>
      <w:r w:rsidRPr="00D31151">
        <w:rPr>
          <w:sz w:val="28"/>
          <w:szCs w:val="28"/>
        </w:rPr>
        <w:t xml:space="preserve"> </w:t>
      </w:r>
      <w:r w:rsidR="00A509B1">
        <w:rPr>
          <w:sz w:val="28"/>
          <w:szCs w:val="28"/>
        </w:rPr>
        <w:t>February 18</w:t>
      </w:r>
      <w:r w:rsidR="002B498A">
        <w:rPr>
          <w:sz w:val="28"/>
          <w:szCs w:val="28"/>
        </w:rPr>
        <w:t>, 2011</w:t>
      </w: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r w:rsidRPr="00677A0B">
        <w:rPr>
          <w:sz w:val="28"/>
          <w:szCs w:val="28"/>
        </w:rPr>
        <w:t xml:space="preserve">Agency </w:t>
      </w:r>
      <w:r w:rsidR="00E679D4">
        <w:rPr>
          <w:sz w:val="28"/>
          <w:szCs w:val="28"/>
        </w:rPr>
        <w:t>for</w:t>
      </w:r>
      <w:r w:rsidR="00E679D4" w:rsidRPr="00677A0B">
        <w:rPr>
          <w:sz w:val="28"/>
          <w:szCs w:val="28"/>
        </w:rPr>
        <w:t xml:space="preserve"> </w:t>
      </w:r>
      <w:r w:rsidRPr="00677A0B">
        <w:rPr>
          <w:sz w:val="28"/>
          <w:szCs w:val="28"/>
        </w:rPr>
        <w:t>Healthcare Research and Quality (AHRQ)</w:t>
      </w:r>
    </w:p>
    <w:p w:rsidR="007B77EF" w:rsidRDefault="007B77EF" w:rsidP="007B77EF">
      <w:pPr>
        <w:rPr>
          <w:sz w:val="28"/>
          <w:szCs w:val="28"/>
        </w:rPr>
      </w:pPr>
    </w:p>
    <w:p w:rsidR="007B77EF" w:rsidRDefault="007B77EF" w:rsidP="007B77EF">
      <w:pPr>
        <w:rPr>
          <w:sz w:val="28"/>
          <w:szCs w:val="28"/>
        </w:rPr>
      </w:pPr>
    </w:p>
    <w:p w:rsidR="007B77EF" w:rsidRDefault="007B77EF" w:rsidP="007B77EF">
      <w:pPr>
        <w:jc w:val="center"/>
      </w:pPr>
      <w:r>
        <w:br w:type="page"/>
      </w:r>
      <w:bookmarkStart w:id="0" w:name="_Toc151782198"/>
      <w:bookmarkStart w:id="1" w:name="_Toc158526234"/>
    </w:p>
    <w:p w:rsidR="007B77EF" w:rsidRDefault="007B77EF" w:rsidP="007B77EF">
      <w:pPr>
        <w:pStyle w:val="TOCHeading"/>
        <w:jc w:val="center"/>
        <w:rPr>
          <w:rFonts w:ascii="Times New Roman" w:hAnsi="Times New Roman"/>
          <w:color w:val="auto"/>
          <w:sz w:val="24"/>
          <w:szCs w:val="24"/>
        </w:rPr>
      </w:pPr>
      <w:r w:rsidRPr="00227821">
        <w:rPr>
          <w:rFonts w:ascii="Times New Roman" w:hAnsi="Times New Roman"/>
          <w:color w:val="auto"/>
          <w:sz w:val="24"/>
          <w:szCs w:val="24"/>
        </w:rPr>
        <w:lastRenderedPageBreak/>
        <w:t>Table of Contents</w:t>
      </w:r>
    </w:p>
    <w:p w:rsidR="007B77EF" w:rsidRPr="00227821" w:rsidRDefault="007B77EF" w:rsidP="007B77EF"/>
    <w:p w:rsidR="006C5D5B" w:rsidRPr="003424A1" w:rsidRDefault="004B537D">
      <w:pPr>
        <w:pStyle w:val="TOC1"/>
        <w:rPr>
          <w:rFonts w:asciiTheme="minorHAnsi" w:eastAsiaTheme="minorEastAsia" w:hAnsiTheme="minorHAnsi" w:cstheme="minorBidi"/>
          <w:i w:val="0"/>
          <w:sz w:val="22"/>
          <w:szCs w:val="22"/>
        </w:rPr>
      </w:pPr>
      <w:r w:rsidRPr="001A103A">
        <w:rPr>
          <w:i w:val="0"/>
        </w:rPr>
        <w:fldChar w:fldCharType="begin"/>
      </w:r>
      <w:r w:rsidR="001A103A" w:rsidRPr="001A103A">
        <w:rPr>
          <w:i w:val="0"/>
        </w:rPr>
        <w:instrText xml:space="preserve"> TOC \o "1-3" \h \z \u </w:instrText>
      </w:r>
      <w:r w:rsidRPr="001A103A">
        <w:rPr>
          <w:i w:val="0"/>
        </w:rPr>
        <w:fldChar w:fldCharType="separate"/>
      </w:r>
      <w:hyperlink w:anchor="_Toc279403627" w:history="1">
        <w:r w:rsidR="001A103A" w:rsidRPr="001A103A">
          <w:rPr>
            <w:rStyle w:val="Hyperlink"/>
            <w:i w:val="0"/>
          </w:rPr>
          <w:t>B. Collections of Information Employing Statistical Methods</w:t>
        </w:r>
        <w:r w:rsidR="001A103A" w:rsidRPr="001A103A">
          <w:rPr>
            <w:i w:val="0"/>
            <w:webHidden/>
          </w:rPr>
          <w:tab/>
        </w:r>
        <w:r w:rsidRPr="001A103A">
          <w:rPr>
            <w:i w:val="0"/>
            <w:webHidden/>
          </w:rPr>
          <w:fldChar w:fldCharType="begin"/>
        </w:r>
        <w:r w:rsidR="001A103A" w:rsidRPr="001A103A">
          <w:rPr>
            <w:i w:val="0"/>
            <w:webHidden/>
          </w:rPr>
          <w:instrText xml:space="preserve"> PAGEREF _Toc279403627 \h </w:instrText>
        </w:r>
        <w:r w:rsidRPr="001A103A">
          <w:rPr>
            <w:i w:val="0"/>
            <w:webHidden/>
          </w:rPr>
        </w:r>
        <w:r w:rsidRPr="001A103A">
          <w:rPr>
            <w:i w:val="0"/>
            <w:webHidden/>
          </w:rPr>
          <w:fldChar w:fldCharType="separate"/>
        </w:r>
        <w:r w:rsidR="00031E71">
          <w:rPr>
            <w:i w:val="0"/>
            <w:webHidden/>
          </w:rPr>
          <w:t>3</w:t>
        </w:r>
        <w:r w:rsidRPr="001A103A">
          <w:rPr>
            <w:i w:val="0"/>
            <w:webHidden/>
          </w:rPr>
          <w:fldChar w:fldCharType="end"/>
        </w:r>
      </w:hyperlink>
    </w:p>
    <w:p w:rsidR="006C5D5B" w:rsidRPr="003424A1" w:rsidRDefault="00A36A8E">
      <w:pPr>
        <w:pStyle w:val="TOC1"/>
        <w:rPr>
          <w:rFonts w:asciiTheme="minorHAnsi" w:eastAsiaTheme="minorEastAsia" w:hAnsiTheme="minorHAnsi" w:cstheme="minorBidi"/>
          <w:i w:val="0"/>
          <w:sz w:val="22"/>
          <w:szCs w:val="22"/>
        </w:rPr>
      </w:pPr>
      <w:r>
        <w:rPr>
          <w:i w:val="0"/>
        </w:rPr>
        <w:t xml:space="preserve">  </w:t>
      </w:r>
      <w:hyperlink w:anchor="_Toc279403628" w:history="1">
        <w:r w:rsidR="001A103A" w:rsidRPr="001A103A">
          <w:rPr>
            <w:rStyle w:val="Hyperlink"/>
            <w:i w:val="0"/>
          </w:rPr>
          <w:t>1. Respondent Universe and Sampling Methods</w:t>
        </w:r>
        <w:r w:rsidR="001A103A" w:rsidRPr="001A103A">
          <w:rPr>
            <w:i w:val="0"/>
            <w:webHidden/>
          </w:rPr>
          <w:tab/>
        </w:r>
        <w:r w:rsidR="004B537D" w:rsidRPr="001A103A">
          <w:rPr>
            <w:i w:val="0"/>
            <w:webHidden/>
          </w:rPr>
          <w:fldChar w:fldCharType="begin"/>
        </w:r>
        <w:r w:rsidR="001A103A" w:rsidRPr="001A103A">
          <w:rPr>
            <w:i w:val="0"/>
            <w:webHidden/>
          </w:rPr>
          <w:instrText xml:space="preserve"> PAGEREF _Toc279403628 \h </w:instrText>
        </w:r>
        <w:r w:rsidR="004B537D" w:rsidRPr="001A103A">
          <w:rPr>
            <w:i w:val="0"/>
            <w:webHidden/>
          </w:rPr>
        </w:r>
        <w:r w:rsidR="004B537D" w:rsidRPr="001A103A">
          <w:rPr>
            <w:i w:val="0"/>
            <w:webHidden/>
          </w:rPr>
          <w:fldChar w:fldCharType="separate"/>
        </w:r>
        <w:r w:rsidR="00031E71">
          <w:rPr>
            <w:i w:val="0"/>
            <w:webHidden/>
          </w:rPr>
          <w:t>3</w:t>
        </w:r>
        <w:r w:rsidR="004B537D" w:rsidRPr="001A103A">
          <w:rPr>
            <w:i w:val="0"/>
            <w:webHidden/>
          </w:rPr>
          <w:fldChar w:fldCharType="end"/>
        </w:r>
      </w:hyperlink>
    </w:p>
    <w:p w:rsidR="006C5D5B" w:rsidRPr="003424A1" w:rsidRDefault="00A36A8E">
      <w:pPr>
        <w:pStyle w:val="TOC1"/>
        <w:rPr>
          <w:rFonts w:asciiTheme="minorHAnsi" w:eastAsiaTheme="minorEastAsia" w:hAnsiTheme="minorHAnsi" w:cstheme="minorBidi"/>
          <w:i w:val="0"/>
          <w:sz w:val="22"/>
          <w:szCs w:val="22"/>
        </w:rPr>
      </w:pPr>
      <w:r>
        <w:rPr>
          <w:i w:val="0"/>
        </w:rPr>
        <w:t xml:space="preserve">  </w:t>
      </w:r>
      <w:hyperlink w:anchor="_Toc279403629" w:history="1">
        <w:r w:rsidR="00A509B1" w:rsidRPr="001A103A">
          <w:rPr>
            <w:rStyle w:val="Hyperlink"/>
            <w:i w:val="0"/>
          </w:rPr>
          <w:t>2. Information Collection Procedures</w:t>
        </w:r>
        <w:r w:rsidR="00A509B1" w:rsidRPr="001A103A">
          <w:rPr>
            <w:i w:val="0"/>
            <w:webHidden/>
          </w:rPr>
          <w:tab/>
        </w:r>
        <w:r w:rsidR="00A509B1">
          <w:rPr>
            <w:i w:val="0"/>
            <w:webHidden/>
          </w:rPr>
          <w:t>4</w:t>
        </w:r>
      </w:hyperlink>
    </w:p>
    <w:p w:rsidR="006C5D5B" w:rsidRPr="003424A1" w:rsidRDefault="00A36A8E">
      <w:pPr>
        <w:pStyle w:val="TOC1"/>
        <w:rPr>
          <w:rFonts w:asciiTheme="minorHAnsi" w:eastAsiaTheme="minorEastAsia" w:hAnsiTheme="minorHAnsi" w:cstheme="minorBidi"/>
          <w:i w:val="0"/>
          <w:sz w:val="22"/>
          <w:szCs w:val="22"/>
        </w:rPr>
      </w:pPr>
      <w:r>
        <w:rPr>
          <w:i w:val="0"/>
        </w:rPr>
        <w:t xml:space="preserve">  </w:t>
      </w:r>
      <w:hyperlink w:anchor="_Toc279403630" w:history="1">
        <w:r w:rsidR="00A509B1" w:rsidRPr="001A103A">
          <w:rPr>
            <w:rStyle w:val="Hyperlink"/>
            <w:i w:val="0"/>
          </w:rPr>
          <w:t>3. Methods to Maximize Response Rates</w:t>
        </w:r>
        <w:r w:rsidR="00A509B1" w:rsidRPr="001A103A">
          <w:rPr>
            <w:i w:val="0"/>
            <w:webHidden/>
          </w:rPr>
          <w:tab/>
        </w:r>
        <w:r w:rsidR="00A509B1">
          <w:rPr>
            <w:i w:val="0"/>
            <w:webHidden/>
          </w:rPr>
          <w:t>5</w:t>
        </w:r>
      </w:hyperlink>
    </w:p>
    <w:p w:rsidR="006C5D5B" w:rsidRPr="003424A1" w:rsidRDefault="00A36A8E">
      <w:pPr>
        <w:pStyle w:val="TOC1"/>
        <w:rPr>
          <w:rFonts w:asciiTheme="minorHAnsi" w:eastAsiaTheme="minorEastAsia" w:hAnsiTheme="minorHAnsi" w:cstheme="minorBidi"/>
          <w:i w:val="0"/>
          <w:sz w:val="22"/>
          <w:szCs w:val="22"/>
        </w:rPr>
      </w:pPr>
      <w:r>
        <w:rPr>
          <w:i w:val="0"/>
        </w:rPr>
        <w:t xml:space="preserve">  </w:t>
      </w:r>
      <w:hyperlink w:anchor="_Toc279403631" w:history="1">
        <w:r w:rsidR="00A509B1" w:rsidRPr="001A103A">
          <w:rPr>
            <w:rStyle w:val="Hyperlink"/>
            <w:i w:val="0"/>
          </w:rPr>
          <w:t>4. Tests of Procedures</w:t>
        </w:r>
        <w:r w:rsidR="00A509B1" w:rsidRPr="001A103A">
          <w:rPr>
            <w:i w:val="0"/>
            <w:webHidden/>
          </w:rPr>
          <w:tab/>
        </w:r>
        <w:r w:rsidR="00A509B1">
          <w:rPr>
            <w:i w:val="0"/>
            <w:webHidden/>
          </w:rPr>
          <w:t>5</w:t>
        </w:r>
      </w:hyperlink>
    </w:p>
    <w:p w:rsidR="006C5D5B" w:rsidRPr="003424A1" w:rsidRDefault="00A36A8E">
      <w:pPr>
        <w:pStyle w:val="TOC1"/>
        <w:rPr>
          <w:rFonts w:asciiTheme="minorHAnsi" w:eastAsiaTheme="minorEastAsia" w:hAnsiTheme="minorHAnsi" w:cstheme="minorBidi"/>
          <w:i w:val="0"/>
          <w:sz w:val="22"/>
          <w:szCs w:val="22"/>
        </w:rPr>
      </w:pPr>
      <w:r>
        <w:rPr>
          <w:i w:val="0"/>
        </w:rPr>
        <w:t xml:space="preserve">  </w:t>
      </w:r>
      <w:hyperlink w:anchor="_Toc279403632" w:history="1">
        <w:r w:rsidR="00A509B1" w:rsidRPr="001A103A">
          <w:rPr>
            <w:rStyle w:val="Hyperlink"/>
            <w:i w:val="0"/>
          </w:rPr>
          <w:t>5. Statistical Consultants</w:t>
        </w:r>
        <w:r w:rsidR="00A509B1" w:rsidRPr="001A103A">
          <w:rPr>
            <w:i w:val="0"/>
            <w:webHidden/>
          </w:rPr>
          <w:tab/>
        </w:r>
        <w:r w:rsidR="00A509B1">
          <w:rPr>
            <w:i w:val="0"/>
            <w:webHidden/>
          </w:rPr>
          <w:t>5</w:t>
        </w:r>
      </w:hyperlink>
    </w:p>
    <w:p w:rsidR="006C5D5B" w:rsidRPr="003424A1" w:rsidRDefault="00A36A8E">
      <w:pPr>
        <w:pStyle w:val="TOC1"/>
        <w:rPr>
          <w:rFonts w:asciiTheme="minorHAnsi" w:eastAsiaTheme="minorEastAsia" w:hAnsiTheme="minorHAnsi" w:cstheme="minorBidi"/>
          <w:i w:val="0"/>
          <w:sz w:val="22"/>
          <w:szCs w:val="22"/>
        </w:rPr>
      </w:pPr>
      <w:r>
        <w:rPr>
          <w:i w:val="0"/>
        </w:rPr>
        <w:t xml:space="preserve">  </w:t>
      </w:r>
    </w:p>
    <w:p w:rsidR="007B77EF" w:rsidRDefault="004B537D">
      <w:r w:rsidRPr="001A103A">
        <w:fldChar w:fldCharType="end"/>
      </w:r>
    </w:p>
    <w:p w:rsidR="007B77EF" w:rsidRDefault="007B77EF" w:rsidP="007B77EF">
      <w:pPr>
        <w:jc w:val="center"/>
      </w:pPr>
    </w:p>
    <w:p w:rsidR="007B77EF" w:rsidRDefault="007B77EF" w:rsidP="007B77EF"/>
    <w:p w:rsidR="007B77EF" w:rsidRDefault="007B77EF" w:rsidP="007B77EF"/>
    <w:p w:rsidR="007B77EF" w:rsidRDefault="007B77EF" w:rsidP="007B77EF"/>
    <w:p w:rsidR="007B77EF" w:rsidRDefault="007B77EF" w:rsidP="007B77EF"/>
    <w:p w:rsidR="007B77EF" w:rsidRDefault="007B77EF" w:rsidP="007B77EF">
      <w:r>
        <w:br w:type="page"/>
      </w:r>
    </w:p>
    <w:p w:rsidR="002E7FDF" w:rsidRDefault="007B77EF" w:rsidP="002E7FDF">
      <w:pPr>
        <w:pStyle w:val="HeadingOMB1"/>
        <w:spacing w:after="0"/>
      </w:pPr>
      <w:bookmarkStart w:id="2" w:name="_Toc279403627"/>
      <w:r w:rsidRPr="007E69DA">
        <w:lastRenderedPageBreak/>
        <w:t>B. Collections of Information Employing Statistical Methods</w:t>
      </w:r>
      <w:bookmarkStart w:id="3" w:name="_Toc151782199"/>
      <w:bookmarkStart w:id="4" w:name="_Toc158526235"/>
      <w:bookmarkEnd w:id="0"/>
      <w:bookmarkEnd w:id="1"/>
      <w:bookmarkEnd w:id="2"/>
    </w:p>
    <w:p w:rsidR="007B77EF" w:rsidRPr="002E7FDF" w:rsidRDefault="007B77EF" w:rsidP="002E7FDF">
      <w:pPr>
        <w:pStyle w:val="HeadingOMB1"/>
        <w:spacing w:after="0"/>
        <w:rPr>
          <w:i/>
        </w:rPr>
      </w:pPr>
      <w:bookmarkStart w:id="5" w:name="_Toc279403628"/>
      <w:r w:rsidRPr="002E7FDF">
        <w:rPr>
          <w:i/>
        </w:rPr>
        <w:t xml:space="preserve">1. Respondent </w:t>
      </w:r>
      <w:r w:rsidR="003A0433" w:rsidRPr="002E7FDF">
        <w:rPr>
          <w:i/>
        </w:rPr>
        <w:t>U</w:t>
      </w:r>
      <w:r w:rsidRPr="002E7FDF">
        <w:rPr>
          <w:i/>
        </w:rPr>
        <w:t xml:space="preserve">niverse and </w:t>
      </w:r>
      <w:r w:rsidR="003A0433" w:rsidRPr="002E7FDF">
        <w:rPr>
          <w:i/>
        </w:rPr>
        <w:t>S</w:t>
      </w:r>
      <w:r w:rsidRPr="002E7FDF">
        <w:rPr>
          <w:i/>
        </w:rPr>
        <w:t xml:space="preserve">ampling </w:t>
      </w:r>
      <w:r w:rsidR="003A0433" w:rsidRPr="002E7FDF">
        <w:rPr>
          <w:i/>
        </w:rPr>
        <w:t>M</w:t>
      </w:r>
      <w:r w:rsidRPr="002E7FDF">
        <w:rPr>
          <w:i/>
        </w:rPr>
        <w:t>ethods</w:t>
      </w:r>
      <w:bookmarkEnd w:id="3"/>
      <w:bookmarkEnd w:id="4"/>
      <w:bookmarkEnd w:id="5"/>
    </w:p>
    <w:p w:rsidR="00497A7B" w:rsidRDefault="00497A7B" w:rsidP="007B77EF"/>
    <w:p w:rsidR="00497A7B" w:rsidRDefault="00497A7B" w:rsidP="007B77EF">
      <w:r>
        <w:t xml:space="preserve">The goal of this study is to evaluate the usability and usefulness of AHRQ’s Health IT Survey Compendium. </w:t>
      </w:r>
      <w:r>
        <w:rPr>
          <w:color w:val="000000"/>
        </w:rPr>
        <w:t>M</w:t>
      </w:r>
      <w:r w:rsidRPr="00446824">
        <w:rPr>
          <w:color w:val="000000"/>
        </w:rPr>
        <w:t>ost users of the Health IT Survey Compendium will be</w:t>
      </w:r>
      <w:r>
        <w:rPr>
          <w:color w:val="000000"/>
        </w:rPr>
        <w:t xml:space="preserve"> both researchers and health IT systems implementers. These researchers will include a mix of </w:t>
      </w:r>
      <w:r w:rsidRPr="00446824">
        <w:rPr>
          <w:color w:val="000000"/>
        </w:rPr>
        <w:t xml:space="preserve">junior staff members </w:t>
      </w:r>
      <w:r>
        <w:rPr>
          <w:color w:val="000000"/>
        </w:rPr>
        <w:t>(such as Research Assistants) as well as senior researchers, such as professors at universities and medical schools</w:t>
      </w:r>
      <w:r w:rsidRPr="00446824">
        <w:rPr>
          <w:color w:val="000000"/>
        </w:rPr>
        <w:t>.</w:t>
      </w:r>
      <w:r>
        <w:rPr>
          <w:color w:val="000000"/>
        </w:rPr>
        <w:t xml:space="preserve">  In addition, </w:t>
      </w:r>
      <w:r>
        <w:t>health IT systems implementers may include Management Analysts and Information Systems Managers who work for health IT systems vendors or firms specializing in assisting provider organizations with adopting systems, and information systems managers based at health care provider organizations.</w:t>
      </w:r>
      <w:r w:rsidRPr="00D56B7E">
        <w:t xml:space="preserve"> </w:t>
      </w:r>
    </w:p>
    <w:p w:rsidR="00497A7B" w:rsidRDefault="00497A7B" w:rsidP="007B77EF"/>
    <w:p w:rsidR="000666F9" w:rsidRDefault="00497A7B" w:rsidP="007B77EF">
      <w:r>
        <w:t>There is no sampling frame available and p</w:t>
      </w:r>
      <w:r w:rsidR="00A76835">
        <w:t>urposive s</w:t>
      </w:r>
      <w:r w:rsidR="00D57666">
        <w:t>ampling methods</w:t>
      </w:r>
      <w:r w:rsidR="00051A0A">
        <w:t xml:space="preserve"> will be used</w:t>
      </w:r>
      <w:r w:rsidR="00A76835">
        <w:t xml:space="preserve"> to select</w:t>
      </w:r>
      <w:r w:rsidR="00D57666">
        <w:t xml:space="preserve"> </w:t>
      </w:r>
      <w:r w:rsidR="00F026DF">
        <w:t xml:space="preserve">users and potential users of the </w:t>
      </w:r>
      <w:r w:rsidR="0097438E">
        <w:t xml:space="preserve">Health IT </w:t>
      </w:r>
      <w:r w:rsidR="00051A0A">
        <w:t xml:space="preserve">Survey </w:t>
      </w:r>
      <w:r w:rsidR="00F026DF">
        <w:t>Compendium to participate in individual interviews, usability testing, and group discussion sessions</w:t>
      </w:r>
      <w:r w:rsidR="00D57666">
        <w:t>.</w:t>
      </w:r>
      <w:r w:rsidR="00E77E67">
        <w:t xml:space="preserve">  </w:t>
      </w:r>
      <w:r w:rsidR="00CC4205" w:rsidRPr="00CC4205">
        <w:t xml:space="preserve"> </w:t>
      </w:r>
      <w:r w:rsidR="00A76835">
        <w:t>T</w:t>
      </w:r>
      <w:r w:rsidR="00CC4205" w:rsidRPr="00AE2194">
        <w:t>herefore study findings cannot be statistically generalized to the respondent universe</w:t>
      </w:r>
      <w:r w:rsidR="00CC4205">
        <w:t xml:space="preserve">.  However, findings will be relevant to inform AHRQ </w:t>
      </w:r>
      <w:r w:rsidR="005F2D14">
        <w:t>about</w:t>
      </w:r>
      <w:r w:rsidR="00CC4205">
        <w:t xml:space="preserve"> information needs of key </w:t>
      </w:r>
      <w:r w:rsidR="004A39E1">
        <w:t>users</w:t>
      </w:r>
      <w:r w:rsidR="00CC4205">
        <w:t xml:space="preserve"> and how well the current </w:t>
      </w:r>
      <w:r w:rsidR="0097438E">
        <w:t xml:space="preserve">Health IT Survey </w:t>
      </w:r>
      <w:r w:rsidR="00CC4205">
        <w:t xml:space="preserve">Compendium meets those needs, thus informing potential strategies for the refinement and development of tools related to health IT evaluation. </w:t>
      </w:r>
      <w:r w:rsidR="00E77E67">
        <w:t>Examples of users (or potential users) include</w:t>
      </w:r>
      <w:r w:rsidR="001F17A3">
        <w:t xml:space="preserve"> </w:t>
      </w:r>
      <w:r w:rsidR="00CC4205">
        <w:t xml:space="preserve">health IT </w:t>
      </w:r>
      <w:r w:rsidR="001F17A3">
        <w:t>researchers (</w:t>
      </w:r>
      <w:r w:rsidR="00C23225">
        <w:t xml:space="preserve">ranging in experience and expertise </w:t>
      </w:r>
      <w:r w:rsidR="001F17A3">
        <w:t>from</w:t>
      </w:r>
      <w:r w:rsidR="00E77E67">
        <w:t xml:space="preserve"> research assistants </w:t>
      </w:r>
      <w:r w:rsidR="001F17A3">
        <w:t xml:space="preserve">to more senior investigators such as </w:t>
      </w:r>
      <w:r w:rsidR="00E77E67">
        <w:t>university professors</w:t>
      </w:r>
      <w:r w:rsidR="001F17A3">
        <w:t>) and health IT implementers (</w:t>
      </w:r>
      <w:r w:rsidR="00C23225">
        <w:t>e.g., clinical champions and IT staff at provider organizations; IT implementation consultants and experts</w:t>
      </w:r>
      <w:r w:rsidR="001F17A3">
        <w:t>)</w:t>
      </w:r>
      <w:r w:rsidR="00E77E67">
        <w:t>.</w:t>
      </w:r>
    </w:p>
    <w:p w:rsidR="00DD717E" w:rsidRDefault="00DD717E" w:rsidP="00DD717E"/>
    <w:p w:rsidR="00965ACD" w:rsidRDefault="00A5428F" w:rsidP="00965ACD">
      <w:r>
        <w:t xml:space="preserve">To recruit study participants </w:t>
      </w:r>
      <w:r w:rsidR="00965ACD">
        <w:t xml:space="preserve">AHRQ’s evaluation contractor will </w:t>
      </w:r>
      <w:r w:rsidR="0004214E">
        <w:t xml:space="preserve">provide </w:t>
      </w:r>
      <w:r w:rsidR="00965ACD">
        <w:t>contacts within</w:t>
      </w:r>
      <w:r w:rsidR="0004214E">
        <w:t xml:space="preserve"> key stakeholder organizations with general information about the study and the recruiting needs for the interviews.</w:t>
      </w:r>
      <w:r w:rsidR="00965ACD">
        <w:t xml:space="preserve"> </w:t>
      </w:r>
      <w:r w:rsidR="0004214E">
        <w:t xml:space="preserve">These organizations include </w:t>
      </w:r>
      <w:r w:rsidR="00965ACD">
        <w:t xml:space="preserve">State Designated Entities (SDEs), </w:t>
      </w:r>
      <w:r w:rsidR="00965ACD" w:rsidRPr="007D4FC2">
        <w:t xml:space="preserve">Health Information Technology </w:t>
      </w:r>
      <w:r w:rsidR="00965ACD">
        <w:t>Regional Extension Centers (RECs), Health Information Exchanges (HIEs) and professional associations [e.g., American Medical Informatics Association (AMIA), the Healthcare Information and Management Systems Society (HIMSS), the Medical Group Management Association (MGMA), the American Academy of Family Physicians (AAFP), the College of Healthcare Information Management Executives (CHIME), and the National Association of Community Health Centers (NACHC)]</w:t>
      </w:r>
      <w:r w:rsidR="0004214E">
        <w:t>.</w:t>
      </w:r>
      <w:r w:rsidR="00965ACD">
        <w:t xml:space="preserve"> </w:t>
      </w:r>
      <w:r w:rsidR="0004214E">
        <w:t xml:space="preserve"> They </w:t>
      </w:r>
      <w:r w:rsidR="00965ACD">
        <w:t>will be asked to disseminate information to individuals who are or have acted in the roles of health IT researchers or implementers. The recruiting information will provide a telephone number for individuals to call if they are interested in participating in the evaluation activity.</w:t>
      </w:r>
    </w:p>
    <w:p w:rsidR="00965ACD" w:rsidRDefault="00965ACD" w:rsidP="00965ACD"/>
    <w:p w:rsidR="007B77EF" w:rsidRPr="007E69DA" w:rsidRDefault="007B77EF" w:rsidP="007B77EF">
      <w:pPr>
        <w:pStyle w:val="HeadingOMB2"/>
      </w:pPr>
      <w:bookmarkStart w:id="6" w:name="_Toc151782200"/>
      <w:bookmarkStart w:id="7" w:name="_Toc158526236"/>
      <w:bookmarkStart w:id="8" w:name="_Toc279403629"/>
      <w:r w:rsidRPr="007E69DA">
        <w:t>2. Information Collection Procedures</w:t>
      </w:r>
      <w:bookmarkEnd w:id="6"/>
      <w:bookmarkEnd w:id="7"/>
      <w:bookmarkEnd w:id="8"/>
    </w:p>
    <w:p w:rsidR="00DD717E" w:rsidRDefault="007B77EF" w:rsidP="00EC54BB">
      <w:proofErr w:type="gramStart"/>
      <w:r w:rsidRPr="00CE3EBB">
        <w:rPr>
          <w:b/>
        </w:rPr>
        <w:t>Recruitment.</w:t>
      </w:r>
      <w:proofErr w:type="gramEnd"/>
      <w:r>
        <w:t xml:space="preserve"> </w:t>
      </w:r>
      <w:r w:rsidR="00C107C0">
        <w:t xml:space="preserve">Materials for recruiting participants are included in Attachments </w:t>
      </w:r>
      <w:r w:rsidR="00A172F1">
        <w:t>F</w:t>
      </w:r>
      <w:r w:rsidR="0007111F">
        <w:t>, G and H</w:t>
      </w:r>
      <w:r w:rsidR="00C107C0">
        <w:t xml:space="preserve"> of this OMB submission package. </w:t>
      </w:r>
      <w:r w:rsidR="00DD717E">
        <w:t>These materials consist of</w:t>
      </w:r>
      <w:r w:rsidR="0007111F">
        <w:t xml:space="preserve"> an</w:t>
      </w:r>
      <w:r w:rsidR="00DD717E">
        <w:t xml:space="preserve"> e</w:t>
      </w:r>
      <w:r w:rsidR="00220059">
        <w:t>-</w:t>
      </w:r>
      <w:r w:rsidR="0007111F">
        <w:t>mail form letter</w:t>
      </w:r>
      <w:r w:rsidR="00DD717E">
        <w:t xml:space="preserve"> and telephone scripts to guide evaluation staff in identifying and recruiting participants for various study methods. </w:t>
      </w:r>
      <w:r w:rsidR="00DD717E" w:rsidRPr="008F7FCB">
        <w:t xml:space="preserve">Attachment </w:t>
      </w:r>
      <w:r w:rsidR="00C04C3D">
        <w:t>F</w:t>
      </w:r>
      <w:r w:rsidR="00DD717E" w:rsidRPr="008F7FCB">
        <w:t xml:space="preserve"> </w:t>
      </w:r>
      <w:r w:rsidR="00DD717E">
        <w:t>is a</w:t>
      </w:r>
      <w:r w:rsidR="00EC54BB">
        <w:t>n email</w:t>
      </w:r>
      <w:r w:rsidR="00DD717E">
        <w:t xml:space="preserve"> form let</w:t>
      </w:r>
      <w:r w:rsidR="00EC54BB">
        <w:t>ter that study recruiters will</w:t>
      </w:r>
      <w:r w:rsidR="00DD717E">
        <w:t xml:space="preserve"> sen</w:t>
      </w:r>
      <w:r w:rsidR="005F2D14">
        <w:t>d</w:t>
      </w:r>
      <w:r w:rsidR="00DD717E">
        <w:t xml:space="preserve"> to contacts within target organizations to solic</w:t>
      </w:r>
      <w:r w:rsidR="00EC54BB">
        <w:t>it candidates for participation.</w:t>
      </w:r>
      <w:r w:rsidR="00DD717E">
        <w:t xml:space="preserve"> </w:t>
      </w:r>
      <w:r w:rsidR="00DD717E">
        <w:lastRenderedPageBreak/>
        <w:t xml:space="preserve">Attachment </w:t>
      </w:r>
      <w:r w:rsidR="00C04C3D">
        <w:t xml:space="preserve">G </w:t>
      </w:r>
      <w:r w:rsidR="00DD717E">
        <w:t xml:space="preserve">is a </w:t>
      </w:r>
      <w:r w:rsidR="00EC54BB">
        <w:t xml:space="preserve">flyer announcing the study generally, and providing contact information for study recruiters. This flyer will be distributed in venues (e.g. conferences) attended by users or potential users of the </w:t>
      </w:r>
      <w:r w:rsidR="0097438E">
        <w:t xml:space="preserve">Health IT Survey </w:t>
      </w:r>
      <w:r w:rsidR="00EC54BB">
        <w:t xml:space="preserve">Compendium. Attachment </w:t>
      </w:r>
      <w:r w:rsidR="00C04C3D">
        <w:t xml:space="preserve">H </w:t>
      </w:r>
      <w:r w:rsidR="00EC54BB">
        <w:t xml:space="preserve">is </w:t>
      </w:r>
      <w:r w:rsidR="00C04C3D">
        <w:t>a scheduling protocol</w:t>
      </w:r>
      <w:r w:rsidR="00EC54BB">
        <w:t>.</w:t>
      </w:r>
    </w:p>
    <w:p w:rsidR="00EC54BB" w:rsidRDefault="00EC54BB" w:rsidP="00EC54BB"/>
    <w:p w:rsidR="007B77EF" w:rsidRDefault="00C107C0" w:rsidP="00C107C0">
      <w:r>
        <w:t xml:space="preserve">AHRQ’s </w:t>
      </w:r>
      <w:r w:rsidR="001F17A3">
        <w:t>evaluation</w:t>
      </w:r>
      <w:r>
        <w:t xml:space="preserve"> contractor will then contact the interested individuals via e-mail or phone </w:t>
      </w:r>
      <w:r w:rsidR="0007111F">
        <w:t>(see Attachment B</w:t>
      </w:r>
      <w:r w:rsidR="00C46C9E">
        <w:t xml:space="preserve">) </w:t>
      </w:r>
      <w:r>
        <w:t>and</w:t>
      </w:r>
      <w:r w:rsidR="00D70F68">
        <w:t xml:space="preserve">, if potential participants’ </w:t>
      </w:r>
      <w:r w:rsidR="00D70F68" w:rsidRPr="00D70F68">
        <w:t xml:space="preserve">background and experience </w:t>
      </w:r>
      <w:r w:rsidR="00D70F68">
        <w:t>is</w:t>
      </w:r>
      <w:r w:rsidR="00D70F68" w:rsidRPr="00D70F68">
        <w:t xml:space="preserve"> appropriate</w:t>
      </w:r>
      <w:r w:rsidR="00D70F68">
        <w:t xml:space="preserve"> and they agree to participate,</w:t>
      </w:r>
      <w:r>
        <w:t xml:space="preserve"> ask them to complete a short demographic screener questionnaire</w:t>
      </w:r>
      <w:r w:rsidR="0007111F">
        <w:t xml:space="preserve"> (also</w:t>
      </w:r>
      <w:r w:rsidR="00C04C3D">
        <w:t xml:space="preserve"> Attachment B)</w:t>
      </w:r>
      <w:r>
        <w:t xml:space="preserve">. They will also be asked to confirm their primary audience segment as either </w:t>
      </w:r>
      <w:r w:rsidR="00503300">
        <w:t xml:space="preserve">health IT </w:t>
      </w:r>
      <w:r>
        <w:t xml:space="preserve">researcher or implementer. The </w:t>
      </w:r>
      <w:r w:rsidR="006E14DF">
        <w:t>evaluation</w:t>
      </w:r>
      <w:r>
        <w:t xml:space="preserve"> contractor will schedule participants for the interviews, </w:t>
      </w:r>
      <w:r w:rsidR="00CC4205">
        <w:t xml:space="preserve">and will try to </w:t>
      </w:r>
      <w:r>
        <w:t>ensur</w:t>
      </w:r>
      <w:r w:rsidR="00CC4205">
        <w:t>e</w:t>
      </w:r>
      <w:r>
        <w:t xml:space="preserve"> demographic variation in the recruited participants.</w:t>
      </w:r>
    </w:p>
    <w:p w:rsidR="007B77EF" w:rsidRDefault="007B77EF" w:rsidP="007B77EF">
      <w:pPr>
        <w:tabs>
          <w:tab w:val="left" w:pos="360"/>
        </w:tabs>
      </w:pPr>
    </w:p>
    <w:p w:rsidR="00965ACD" w:rsidRDefault="00EA16D3" w:rsidP="007B77EF">
      <w:pPr>
        <w:tabs>
          <w:tab w:val="left" w:pos="360"/>
        </w:tabs>
      </w:pPr>
      <w:proofErr w:type="gramStart"/>
      <w:r w:rsidRPr="00EA16D3">
        <w:rPr>
          <w:b/>
        </w:rPr>
        <w:t>Data Collection.</w:t>
      </w:r>
      <w:proofErr w:type="gramEnd"/>
      <w:r w:rsidR="00965ACD">
        <w:t xml:space="preserve"> Data will be collected through one-on-one and group interviews.  These interviews will be performed by an experienced </w:t>
      </w:r>
      <w:r w:rsidR="00D70F68">
        <w:t xml:space="preserve">interviewer or </w:t>
      </w:r>
      <w:r w:rsidR="00965ACD">
        <w:t>moderator.  There will be three types of interviews performed in support of this project:</w:t>
      </w:r>
    </w:p>
    <w:p w:rsidR="00965ACD" w:rsidRDefault="00965ACD" w:rsidP="007B77EF">
      <w:pPr>
        <w:tabs>
          <w:tab w:val="left" w:pos="360"/>
        </w:tabs>
      </w:pPr>
    </w:p>
    <w:p w:rsidR="00EA16D3" w:rsidRDefault="00965ACD" w:rsidP="00EA16D3">
      <w:pPr>
        <w:pStyle w:val="HeadingOMB2"/>
        <w:numPr>
          <w:ilvl w:val="0"/>
          <w:numId w:val="34"/>
        </w:numPr>
        <w:tabs>
          <w:tab w:val="left" w:pos="360"/>
        </w:tabs>
        <w:rPr>
          <w:rFonts w:ascii="Times New Roman" w:hAnsi="Times New Roman"/>
          <w:b w:val="0"/>
          <w:i w:val="0"/>
        </w:rPr>
      </w:pPr>
      <w:r>
        <w:rPr>
          <w:rFonts w:ascii="Times New Roman" w:hAnsi="Times New Roman"/>
          <w:b w:val="0"/>
          <w:i w:val="0"/>
        </w:rPr>
        <w:t xml:space="preserve">Needs assessment interviews will consist of semi-structured </w:t>
      </w:r>
      <w:r w:rsidR="005C6F5C" w:rsidRPr="0080537F">
        <w:rPr>
          <w:rFonts w:ascii="Times New Roman" w:hAnsi="Times New Roman"/>
          <w:b w:val="0"/>
          <w:i w:val="0"/>
        </w:rPr>
        <w:t>one-on-one</w:t>
      </w:r>
      <w:r w:rsidR="00D70F68">
        <w:rPr>
          <w:rFonts w:ascii="Times New Roman" w:hAnsi="Times New Roman"/>
          <w:b w:val="0"/>
          <w:i w:val="0"/>
        </w:rPr>
        <w:t xml:space="preserve"> </w:t>
      </w:r>
      <w:r>
        <w:rPr>
          <w:rFonts w:ascii="Times New Roman" w:hAnsi="Times New Roman"/>
          <w:b w:val="0"/>
          <w:i w:val="0"/>
        </w:rPr>
        <w:t xml:space="preserve">interviews with non-users of the </w:t>
      </w:r>
      <w:r w:rsidRPr="00DB5800">
        <w:rPr>
          <w:rFonts w:ascii="Times New Roman" w:hAnsi="Times New Roman"/>
          <w:b w:val="0"/>
          <w:i w:val="0"/>
        </w:rPr>
        <w:t xml:space="preserve">Health </w:t>
      </w:r>
      <w:bookmarkStart w:id="9" w:name="OLE_LINK8"/>
      <w:bookmarkStart w:id="10" w:name="OLE_LINK9"/>
      <w:r w:rsidRPr="00DB5800">
        <w:rPr>
          <w:rFonts w:ascii="Times New Roman" w:hAnsi="Times New Roman"/>
          <w:b w:val="0"/>
          <w:i w:val="0"/>
        </w:rPr>
        <w:t>IT Survey Compendium</w:t>
      </w:r>
      <w:bookmarkEnd w:id="9"/>
      <w:bookmarkEnd w:id="10"/>
      <w:r w:rsidRPr="00965ACD">
        <w:rPr>
          <w:rFonts w:ascii="Times New Roman" w:hAnsi="Times New Roman"/>
          <w:b w:val="0"/>
          <w:i w:val="0"/>
        </w:rPr>
        <w:t xml:space="preserve"> </w:t>
      </w:r>
      <w:r w:rsidRPr="00AA39E3">
        <w:rPr>
          <w:rFonts w:ascii="Times New Roman" w:hAnsi="Times New Roman"/>
          <w:b w:val="0"/>
          <w:i w:val="0"/>
        </w:rPr>
        <w:t>conducted using WebEx online meeting software</w:t>
      </w:r>
      <w:r>
        <w:rPr>
          <w:rFonts w:ascii="Times New Roman" w:hAnsi="Times New Roman"/>
          <w:b w:val="0"/>
          <w:i w:val="0"/>
        </w:rPr>
        <w:t xml:space="preserve">.  </w:t>
      </w:r>
      <w:r w:rsidRPr="00F821FF">
        <w:rPr>
          <w:rFonts w:ascii="Times New Roman" w:hAnsi="Times New Roman"/>
          <w:b w:val="0"/>
          <w:i w:val="0"/>
        </w:rPr>
        <w:t xml:space="preserve">After thoroughly exploring information needs, each interviewee will be shown the Health IT Survey Compendium and asked </w:t>
      </w:r>
      <w:r>
        <w:rPr>
          <w:rFonts w:ascii="Times New Roman" w:hAnsi="Times New Roman"/>
          <w:b w:val="0"/>
          <w:i w:val="0"/>
        </w:rPr>
        <w:t xml:space="preserve">to provide </w:t>
      </w:r>
      <w:r w:rsidRPr="00F821FF">
        <w:rPr>
          <w:rFonts w:ascii="Times New Roman" w:hAnsi="Times New Roman"/>
          <w:b w:val="0"/>
          <w:i w:val="0"/>
        </w:rPr>
        <w:t>feedback about how it addresses their needs for surveys and data collection instruments.</w:t>
      </w:r>
      <w:r>
        <w:rPr>
          <w:rFonts w:ascii="Times New Roman" w:hAnsi="Times New Roman"/>
          <w:b w:val="0"/>
          <w:i w:val="0"/>
        </w:rPr>
        <w:t xml:space="preserve">  See Attachment C for the </w:t>
      </w:r>
      <w:r w:rsidR="00C04C3D">
        <w:rPr>
          <w:rFonts w:ascii="Times New Roman" w:hAnsi="Times New Roman"/>
          <w:b w:val="0"/>
          <w:i w:val="0"/>
        </w:rPr>
        <w:t xml:space="preserve">needs assessment </w:t>
      </w:r>
      <w:r>
        <w:rPr>
          <w:rFonts w:ascii="Times New Roman" w:hAnsi="Times New Roman"/>
          <w:b w:val="0"/>
          <w:i w:val="0"/>
        </w:rPr>
        <w:t>interview guide.</w:t>
      </w:r>
    </w:p>
    <w:p w:rsidR="00EA16D3" w:rsidRDefault="00965ACD" w:rsidP="00EA16D3">
      <w:pPr>
        <w:pStyle w:val="HeadingOMB2"/>
        <w:numPr>
          <w:ilvl w:val="0"/>
          <w:numId w:val="34"/>
        </w:numPr>
        <w:tabs>
          <w:tab w:val="left" w:pos="360"/>
        </w:tabs>
        <w:rPr>
          <w:rFonts w:ascii="Times New Roman" w:hAnsi="Times New Roman"/>
          <w:b w:val="0"/>
          <w:i w:val="0"/>
        </w:rPr>
      </w:pPr>
      <w:r>
        <w:rPr>
          <w:rFonts w:ascii="Times New Roman" w:hAnsi="Times New Roman"/>
          <w:b w:val="0"/>
          <w:i w:val="0"/>
        </w:rPr>
        <w:t xml:space="preserve">Usability testing interviews will </w:t>
      </w:r>
      <w:r w:rsidRPr="00900DB2">
        <w:rPr>
          <w:rFonts w:ascii="Times New Roman" w:hAnsi="Times New Roman"/>
          <w:b w:val="0"/>
          <w:i w:val="0"/>
        </w:rPr>
        <w:t>focus on</w:t>
      </w:r>
      <w:r>
        <w:rPr>
          <w:rFonts w:ascii="Times New Roman" w:hAnsi="Times New Roman"/>
          <w:b w:val="0"/>
          <w:i w:val="0"/>
        </w:rPr>
        <w:t xml:space="preserve"> </w:t>
      </w:r>
      <w:r w:rsidRPr="00900DB2">
        <w:rPr>
          <w:rFonts w:ascii="Times New Roman" w:hAnsi="Times New Roman"/>
          <w:b w:val="0"/>
          <w:i w:val="0"/>
        </w:rPr>
        <w:t>navigation</w:t>
      </w:r>
      <w:r>
        <w:rPr>
          <w:rFonts w:ascii="Times New Roman" w:hAnsi="Times New Roman"/>
          <w:b w:val="0"/>
          <w:i w:val="0"/>
        </w:rPr>
        <w:t xml:space="preserve"> of the Health IT Survey Compendium</w:t>
      </w:r>
      <w:r w:rsidRPr="00900DB2">
        <w:rPr>
          <w:rFonts w:ascii="Times New Roman" w:hAnsi="Times New Roman"/>
          <w:b w:val="0"/>
          <w:i w:val="0"/>
        </w:rPr>
        <w:t>, ease of use, and usefulness</w:t>
      </w:r>
      <w:r>
        <w:rPr>
          <w:rFonts w:ascii="Times New Roman" w:hAnsi="Times New Roman"/>
          <w:b w:val="0"/>
          <w:i w:val="0"/>
        </w:rPr>
        <w:t xml:space="preserve">, </w:t>
      </w:r>
      <w:r w:rsidRPr="00AA39E3">
        <w:rPr>
          <w:rFonts w:ascii="Times New Roman" w:hAnsi="Times New Roman"/>
          <w:b w:val="0"/>
          <w:i w:val="0"/>
        </w:rPr>
        <w:t>conducted using WebEx online meeting software</w:t>
      </w:r>
      <w:r w:rsidRPr="00900DB2">
        <w:rPr>
          <w:rFonts w:ascii="Times New Roman" w:hAnsi="Times New Roman"/>
          <w:b w:val="0"/>
          <w:i w:val="0"/>
        </w:rPr>
        <w:t xml:space="preserve">. These </w:t>
      </w:r>
      <w:r w:rsidR="005C6F5C" w:rsidRPr="0080537F">
        <w:rPr>
          <w:rFonts w:ascii="Times New Roman" w:hAnsi="Times New Roman"/>
          <w:b w:val="0"/>
          <w:i w:val="0"/>
        </w:rPr>
        <w:t>one-on-one</w:t>
      </w:r>
      <w:r w:rsidR="00D70F68">
        <w:rPr>
          <w:rFonts w:ascii="Times New Roman" w:hAnsi="Times New Roman"/>
          <w:b w:val="0"/>
          <w:i w:val="0"/>
        </w:rPr>
        <w:t xml:space="preserve"> </w:t>
      </w:r>
      <w:r w:rsidRPr="00900DB2">
        <w:rPr>
          <w:rFonts w:ascii="Times New Roman" w:hAnsi="Times New Roman"/>
          <w:b w:val="0"/>
          <w:i w:val="0"/>
        </w:rPr>
        <w:t>interviews will include both current users and non-users of the Health IT Survey Compendium.</w:t>
      </w:r>
      <w:r>
        <w:rPr>
          <w:rFonts w:ascii="Times New Roman" w:hAnsi="Times New Roman"/>
          <w:b w:val="0"/>
          <w:i w:val="0"/>
        </w:rPr>
        <w:t xml:space="preserve">  The respondent will be asked to use the </w:t>
      </w:r>
      <w:r w:rsidRPr="00900DB2">
        <w:rPr>
          <w:rFonts w:ascii="Times New Roman" w:hAnsi="Times New Roman"/>
          <w:b w:val="0"/>
          <w:i w:val="0"/>
        </w:rPr>
        <w:t>Health IT Survey Compendium</w:t>
      </w:r>
      <w:r>
        <w:rPr>
          <w:rFonts w:ascii="Times New Roman" w:hAnsi="Times New Roman"/>
          <w:b w:val="0"/>
          <w:i w:val="0"/>
        </w:rPr>
        <w:t xml:space="preserve"> and will</w:t>
      </w:r>
      <w:r w:rsidR="00D70F68">
        <w:rPr>
          <w:rFonts w:ascii="Times New Roman" w:hAnsi="Times New Roman"/>
          <w:b w:val="0"/>
          <w:i w:val="0"/>
        </w:rPr>
        <w:t xml:space="preserve"> be</w:t>
      </w:r>
      <w:r>
        <w:rPr>
          <w:rFonts w:ascii="Times New Roman" w:hAnsi="Times New Roman"/>
          <w:b w:val="0"/>
          <w:i w:val="0"/>
        </w:rPr>
        <w:t xml:space="preserve"> ask</w:t>
      </w:r>
      <w:r w:rsidR="00D70F68">
        <w:rPr>
          <w:rFonts w:ascii="Times New Roman" w:hAnsi="Times New Roman"/>
          <w:b w:val="0"/>
          <w:i w:val="0"/>
        </w:rPr>
        <w:t>ed</w:t>
      </w:r>
      <w:r>
        <w:rPr>
          <w:rFonts w:ascii="Times New Roman" w:hAnsi="Times New Roman"/>
          <w:b w:val="0"/>
          <w:i w:val="0"/>
        </w:rPr>
        <w:t xml:space="preserve"> questions about his or her experience.  See Attachment D for the </w:t>
      </w:r>
      <w:r w:rsidR="00C04C3D">
        <w:rPr>
          <w:rFonts w:ascii="Times New Roman" w:hAnsi="Times New Roman"/>
          <w:b w:val="0"/>
          <w:i w:val="0"/>
        </w:rPr>
        <w:t xml:space="preserve">user testing </w:t>
      </w:r>
      <w:r>
        <w:rPr>
          <w:rFonts w:ascii="Times New Roman" w:hAnsi="Times New Roman"/>
          <w:b w:val="0"/>
          <w:i w:val="0"/>
        </w:rPr>
        <w:t>interview guide.</w:t>
      </w:r>
    </w:p>
    <w:p w:rsidR="00EA16D3" w:rsidRDefault="00965ACD" w:rsidP="00EA16D3">
      <w:pPr>
        <w:pStyle w:val="HeadingOMB2"/>
        <w:numPr>
          <w:ilvl w:val="0"/>
          <w:numId w:val="34"/>
        </w:numPr>
        <w:tabs>
          <w:tab w:val="left" w:pos="360"/>
        </w:tabs>
        <w:rPr>
          <w:rFonts w:ascii="Times New Roman" w:hAnsi="Times New Roman"/>
          <w:b w:val="0"/>
          <w:i w:val="0"/>
        </w:rPr>
      </w:pPr>
      <w:r>
        <w:rPr>
          <w:rFonts w:ascii="Times New Roman" w:hAnsi="Times New Roman"/>
          <w:b w:val="0"/>
          <w:i w:val="0"/>
        </w:rPr>
        <w:t>Discussion g</w:t>
      </w:r>
      <w:r w:rsidRPr="00276BA0">
        <w:rPr>
          <w:rFonts w:ascii="Times New Roman" w:hAnsi="Times New Roman"/>
          <w:b w:val="0"/>
          <w:i w:val="0"/>
        </w:rPr>
        <w:t>roup</w:t>
      </w:r>
      <w:r>
        <w:rPr>
          <w:rFonts w:ascii="Times New Roman" w:hAnsi="Times New Roman"/>
          <w:b w:val="0"/>
          <w:i w:val="0"/>
        </w:rPr>
        <w:t xml:space="preserve"> interviews will consist of e</w:t>
      </w:r>
      <w:r w:rsidRPr="00AA39E3">
        <w:rPr>
          <w:rFonts w:ascii="Times New Roman" w:hAnsi="Times New Roman"/>
          <w:b w:val="0"/>
          <w:i w:val="0"/>
        </w:rPr>
        <w:t xml:space="preserve">ight </w:t>
      </w:r>
      <w:r>
        <w:rPr>
          <w:rFonts w:ascii="Times New Roman" w:hAnsi="Times New Roman"/>
          <w:b w:val="0"/>
          <w:i w:val="0"/>
        </w:rPr>
        <w:t>g</w:t>
      </w:r>
      <w:r w:rsidRPr="00276BA0">
        <w:rPr>
          <w:rFonts w:ascii="Times New Roman" w:hAnsi="Times New Roman"/>
          <w:b w:val="0"/>
          <w:i w:val="0"/>
        </w:rPr>
        <w:t>roups</w:t>
      </w:r>
      <w:r w:rsidRPr="00276BA0">
        <w:rPr>
          <w:rFonts w:ascii="Times New Roman" w:hAnsi="Times New Roman"/>
        </w:rPr>
        <w:t xml:space="preserve"> </w:t>
      </w:r>
      <w:r w:rsidRPr="00AA39E3">
        <w:rPr>
          <w:rFonts w:ascii="Times New Roman" w:hAnsi="Times New Roman"/>
          <w:b w:val="0"/>
          <w:i w:val="0"/>
        </w:rPr>
        <w:t>conducted using WebEx online meeting software.  The majority of the session time will be spent showing the Health IT Survey Compendium to the participants, and the moderator will elicit reactions to and opinions about the Health IT Survey Compendium, its features, and the surveys offered.</w:t>
      </w:r>
      <w:r>
        <w:rPr>
          <w:rFonts w:ascii="Times New Roman" w:hAnsi="Times New Roman"/>
          <w:b w:val="0"/>
          <w:i w:val="0"/>
        </w:rPr>
        <w:t xml:space="preserve">  See Attachment</w:t>
      </w:r>
      <w:r w:rsidR="00C04C3D">
        <w:rPr>
          <w:rFonts w:ascii="Times New Roman" w:hAnsi="Times New Roman"/>
          <w:b w:val="0"/>
          <w:i w:val="0"/>
        </w:rPr>
        <w:t>s</w:t>
      </w:r>
      <w:r>
        <w:rPr>
          <w:rFonts w:ascii="Times New Roman" w:hAnsi="Times New Roman"/>
          <w:b w:val="0"/>
          <w:i w:val="0"/>
        </w:rPr>
        <w:t xml:space="preserve"> E</w:t>
      </w:r>
      <w:r w:rsidR="00C04C3D">
        <w:rPr>
          <w:rFonts w:ascii="Times New Roman" w:hAnsi="Times New Roman"/>
          <w:b w:val="0"/>
          <w:i w:val="0"/>
        </w:rPr>
        <w:t>1 and E2</w:t>
      </w:r>
      <w:r>
        <w:rPr>
          <w:rFonts w:ascii="Times New Roman" w:hAnsi="Times New Roman"/>
          <w:b w:val="0"/>
          <w:i w:val="0"/>
        </w:rPr>
        <w:t xml:space="preserve"> for the </w:t>
      </w:r>
      <w:r w:rsidR="00C04C3D">
        <w:rPr>
          <w:rFonts w:ascii="Times New Roman" w:hAnsi="Times New Roman"/>
          <w:b w:val="0"/>
          <w:i w:val="0"/>
        </w:rPr>
        <w:t xml:space="preserve">user and non-user discussion group </w:t>
      </w:r>
      <w:r>
        <w:rPr>
          <w:rFonts w:ascii="Times New Roman" w:hAnsi="Times New Roman"/>
          <w:b w:val="0"/>
          <w:i w:val="0"/>
        </w:rPr>
        <w:t>interview guide</w:t>
      </w:r>
      <w:r w:rsidR="00C04C3D">
        <w:rPr>
          <w:rFonts w:ascii="Times New Roman" w:hAnsi="Times New Roman"/>
          <w:b w:val="0"/>
          <w:i w:val="0"/>
        </w:rPr>
        <w:t>s</w:t>
      </w:r>
      <w:r>
        <w:rPr>
          <w:rFonts w:ascii="Times New Roman" w:hAnsi="Times New Roman"/>
          <w:b w:val="0"/>
          <w:i w:val="0"/>
        </w:rPr>
        <w:t>.</w:t>
      </w:r>
    </w:p>
    <w:p w:rsidR="00965ACD" w:rsidRDefault="00965ACD" w:rsidP="007B77EF">
      <w:pPr>
        <w:tabs>
          <w:tab w:val="left" w:pos="360"/>
        </w:tabs>
      </w:pPr>
      <w:r>
        <w:t xml:space="preserve"> </w:t>
      </w:r>
    </w:p>
    <w:p w:rsidR="007B77EF" w:rsidRPr="007E69DA" w:rsidRDefault="007B77EF" w:rsidP="007B77EF">
      <w:pPr>
        <w:pStyle w:val="HeadingOMB2"/>
      </w:pPr>
      <w:bookmarkStart w:id="11" w:name="_Toc151782201"/>
      <w:bookmarkStart w:id="12" w:name="_Toc158526237"/>
      <w:bookmarkStart w:id="13" w:name="_Toc279403630"/>
      <w:r w:rsidRPr="007E69DA">
        <w:t>3. Methods to Maximize Response Rates</w:t>
      </w:r>
      <w:bookmarkEnd w:id="11"/>
      <w:bookmarkEnd w:id="12"/>
      <w:bookmarkEnd w:id="13"/>
    </w:p>
    <w:p w:rsidR="007B77EF" w:rsidRDefault="00F82E69" w:rsidP="007B77EF">
      <w:pPr>
        <w:pStyle w:val="LefttoRight"/>
        <w:jc w:val="left"/>
      </w:pPr>
      <w:r>
        <w:t xml:space="preserve">Participants </w:t>
      </w:r>
      <w:r w:rsidR="007B77EF">
        <w:t xml:space="preserve">are not being selected via probability-based sampling methods. A “response rate” has no clear meaning in the context of </w:t>
      </w:r>
      <w:r w:rsidR="00806E4B">
        <w:t>this effort</w:t>
      </w:r>
      <w:r w:rsidR="007B77EF">
        <w:t xml:space="preserve">. </w:t>
      </w:r>
      <w:r w:rsidR="00A509B1" w:rsidRPr="00A509B1">
        <w:t>However, to encourage participation, a monetary incentive will be provided and multiple calls will be made to complete the screener (if contact is not made during the initial call attempt).</w:t>
      </w:r>
    </w:p>
    <w:p w:rsidR="007B77EF" w:rsidRDefault="007B77EF" w:rsidP="007B77EF">
      <w:pPr>
        <w:pStyle w:val="LefttoRight"/>
        <w:jc w:val="left"/>
      </w:pPr>
    </w:p>
    <w:p w:rsidR="007B77EF" w:rsidRPr="007E69DA" w:rsidRDefault="007B77EF" w:rsidP="007B77EF">
      <w:pPr>
        <w:pStyle w:val="HeadingOMB2"/>
      </w:pPr>
      <w:bookmarkStart w:id="14" w:name="_Toc151782202"/>
      <w:bookmarkStart w:id="15" w:name="_Toc158526238"/>
      <w:bookmarkStart w:id="16" w:name="_Toc279403631"/>
      <w:r w:rsidRPr="007E69DA">
        <w:lastRenderedPageBreak/>
        <w:t>4. Tests of Procedures</w:t>
      </w:r>
      <w:bookmarkStart w:id="17" w:name="_Toc151782203"/>
      <w:bookmarkStart w:id="18" w:name="_Toc158526239"/>
      <w:bookmarkEnd w:id="14"/>
      <w:bookmarkEnd w:id="15"/>
      <w:bookmarkEnd w:id="16"/>
    </w:p>
    <w:p w:rsidR="00F72CBD" w:rsidRDefault="00F72CBD" w:rsidP="00F72CBD">
      <w:r w:rsidRPr="000160CF">
        <w:t xml:space="preserve">The </w:t>
      </w:r>
      <w:r w:rsidR="00E679D4">
        <w:t xml:space="preserve">study and </w:t>
      </w:r>
      <w:r w:rsidRPr="000160CF">
        <w:t xml:space="preserve">interview </w:t>
      </w:r>
      <w:r w:rsidR="00E679D4">
        <w:t xml:space="preserve">procedures </w:t>
      </w:r>
      <w:r w:rsidRPr="000160CF">
        <w:t>w</w:t>
      </w:r>
      <w:r>
        <w:t>ere</w:t>
      </w:r>
      <w:r w:rsidRPr="000160CF">
        <w:t xml:space="preserve"> reviewed by</w:t>
      </w:r>
      <w:r>
        <w:t xml:space="preserve"> </w:t>
      </w:r>
      <w:r w:rsidR="00825287">
        <w:t xml:space="preserve">Dr. </w:t>
      </w:r>
      <w:r>
        <w:t xml:space="preserve">Helga </w:t>
      </w:r>
      <w:r w:rsidR="00825287">
        <w:t xml:space="preserve">Rippen, Principal Investigator, </w:t>
      </w:r>
      <w:proofErr w:type="gramStart"/>
      <w:r w:rsidR="00825287">
        <w:t>Westat</w:t>
      </w:r>
      <w:proofErr w:type="gramEnd"/>
      <w:r w:rsidR="00825287">
        <w:t>.  Dr. Rippen</w:t>
      </w:r>
      <w:r w:rsidR="00E679D4">
        <w:t>,</w:t>
      </w:r>
      <w:r w:rsidR="00825287">
        <w:t xml:space="preserve"> </w:t>
      </w:r>
      <w:r w:rsidR="00E679D4" w:rsidRPr="00E679D4">
        <w:t xml:space="preserve">a nationally known leader in health information technology, </w:t>
      </w:r>
      <w:r w:rsidR="00E679D4">
        <w:t xml:space="preserve">is </w:t>
      </w:r>
      <w:r w:rsidR="00E679D4" w:rsidRPr="00E679D4">
        <w:t>Westat</w:t>
      </w:r>
      <w:r w:rsidR="00E679D4">
        <w:t>’s</w:t>
      </w:r>
      <w:r w:rsidR="00E679D4" w:rsidRPr="00E679D4">
        <w:t xml:space="preserve"> Chief Health Information Officer</w:t>
      </w:r>
      <w:r w:rsidR="00E679D4">
        <w:t xml:space="preserve"> and heads </w:t>
      </w:r>
      <w:r w:rsidR="00E679D4" w:rsidRPr="00E679D4">
        <w:t>Westat's Center for Health Information Technology</w:t>
      </w:r>
      <w:r w:rsidR="00825287">
        <w:t xml:space="preserve">.  </w:t>
      </w:r>
      <w:r w:rsidR="00E679D4">
        <w:t xml:space="preserve">In this review, Dr. Rippen was supported by </w:t>
      </w:r>
      <w:r w:rsidR="006E14DF">
        <w:t>Pamela Giambo</w:t>
      </w:r>
      <w:r w:rsidR="00825287">
        <w:t xml:space="preserve">, a specialist in </w:t>
      </w:r>
      <w:r w:rsidR="00EE6589">
        <w:t>research methodology</w:t>
      </w:r>
      <w:r w:rsidR="00825287">
        <w:t xml:space="preserve">, by Dr. Jennifer Crafts, a </w:t>
      </w:r>
      <w:r>
        <w:t xml:space="preserve">survey design </w:t>
      </w:r>
      <w:r w:rsidR="00825287">
        <w:t>methodologist</w:t>
      </w:r>
      <w:r w:rsidR="00E679D4">
        <w:t xml:space="preserve"> </w:t>
      </w:r>
      <w:r w:rsidR="00825287">
        <w:t xml:space="preserve">with expertise in </w:t>
      </w:r>
      <w:r>
        <w:t>usability testing</w:t>
      </w:r>
      <w:r w:rsidR="00825287">
        <w:t xml:space="preserve">, and by </w:t>
      </w:r>
      <w:r>
        <w:t xml:space="preserve">Laura </w:t>
      </w:r>
      <w:r w:rsidR="00E679D4">
        <w:t xml:space="preserve">Lourenco, a </w:t>
      </w:r>
      <w:r>
        <w:t>certified usability analyst</w:t>
      </w:r>
      <w:r w:rsidR="00E679D4">
        <w:t xml:space="preserve"> specializing in web development</w:t>
      </w:r>
      <w:r>
        <w:t>.</w:t>
      </w:r>
    </w:p>
    <w:p w:rsidR="0097438E" w:rsidRDefault="0097438E" w:rsidP="007B77EF"/>
    <w:p w:rsidR="00F72CBD" w:rsidRPr="00C870CF" w:rsidRDefault="00EE6589" w:rsidP="007B77EF">
      <w:pPr>
        <w:rPr>
          <w:highlight w:val="yellow"/>
        </w:rPr>
      </w:pPr>
      <w:r>
        <w:t xml:space="preserve">AHRQ’s contractor, </w:t>
      </w:r>
      <w:r w:rsidR="00F545F0">
        <w:t>Westat</w:t>
      </w:r>
      <w:r>
        <w:t>,</w:t>
      </w:r>
      <w:r w:rsidR="00F545F0">
        <w:t xml:space="preserve"> </w:t>
      </w:r>
      <w:r w:rsidR="00220059">
        <w:t>has</w:t>
      </w:r>
      <w:r w:rsidR="005F2D14">
        <w:t xml:space="preserve"> staff with expertise in evaluation methods </w:t>
      </w:r>
      <w:r w:rsidR="00220059">
        <w:t xml:space="preserve">that has </w:t>
      </w:r>
      <w:r w:rsidR="005F2D14">
        <w:t>review</w:t>
      </w:r>
      <w:r w:rsidR="00220059">
        <w:t>ed</w:t>
      </w:r>
      <w:r w:rsidR="00147924">
        <w:t xml:space="preserve"> the recruiting materials</w:t>
      </w:r>
      <w:r w:rsidR="002B498A">
        <w:t xml:space="preserve"> </w:t>
      </w:r>
      <w:r w:rsidR="00220059">
        <w:t xml:space="preserve">and </w:t>
      </w:r>
      <w:r w:rsidR="00F545F0">
        <w:t>interview guides</w:t>
      </w:r>
      <w:r w:rsidR="0051724E">
        <w:t xml:space="preserve"> </w:t>
      </w:r>
      <w:r w:rsidR="009B2528">
        <w:t xml:space="preserve">to identify any </w:t>
      </w:r>
      <w:r w:rsidR="00147924">
        <w:t xml:space="preserve">unclear, ambiguous, and uncomfortable questions. </w:t>
      </w:r>
    </w:p>
    <w:p w:rsidR="007B77EF" w:rsidRPr="007E69DA" w:rsidRDefault="007B77EF" w:rsidP="007B77EF">
      <w:pPr>
        <w:pStyle w:val="HeadingOMB2"/>
      </w:pPr>
      <w:bookmarkStart w:id="19" w:name="_Toc279403632"/>
      <w:r w:rsidRPr="007E69DA">
        <w:t>5. Statistical Consultants</w:t>
      </w:r>
      <w:bookmarkEnd w:id="17"/>
      <w:bookmarkEnd w:id="18"/>
      <w:bookmarkEnd w:id="19"/>
    </w:p>
    <w:p w:rsidR="007B77EF" w:rsidRDefault="007523D7" w:rsidP="007B77EF">
      <w:r>
        <w:t>N</w:t>
      </w:r>
      <w:r w:rsidR="007B77EF">
        <w:t>o statistical consultants were contacted.</w:t>
      </w:r>
    </w:p>
    <w:p w:rsidR="007B77EF" w:rsidRDefault="007B77EF" w:rsidP="007B77EF"/>
    <w:p w:rsidR="007B77EF" w:rsidRPr="00F34C93" w:rsidRDefault="007B77EF" w:rsidP="007B77EF">
      <w:r>
        <w:t xml:space="preserve">AHRQ’s contractor, </w:t>
      </w:r>
      <w:r w:rsidR="00C870CF">
        <w:t>Westat</w:t>
      </w:r>
      <w:r>
        <w:t xml:space="preserve">, will be responsible for overseeing the recruitment of participants, conducting all of the interviews, and analyzing and reporting the findings. </w:t>
      </w:r>
      <w:r w:rsidR="00C870CF">
        <w:t xml:space="preserve">The project director is </w:t>
      </w:r>
      <w:r w:rsidR="00503300">
        <w:t>Helga Rippen</w:t>
      </w:r>
      <w:r w:rsidR="007523D7">
        <w:t xml:space="preserve"> </w:t>
      </w:r>
      <w:r w:rsidR="00C870CF">
        <w:t xml:space="preserve">of Westat. </w:t>
      </w:r>
      <w:r w:rsidR="00503300">
        <w:t>Sh</w:t>
      </w:r>
      <w:r w:rsidR="00C870CF">
        <w:t xml:space="preserve">e can be reached by phone at </w:t>
      </w:r>
      <w:r w:rsidR="0037661F">
        <w:t xml:space="preserve">(240) 453-2622 </w:t>
      </w:r>
      <w:r w:rsidR="00C870CF">
        <w:t xml:space="preserve">or by email </w:t>
      </w:r>
      <w:r w:rsidR="00B653CE">
        <w:t xml:space="preserve">at </w:t>
      </w:r>
      <w:r w:rsidR="0037661F">
        <w:t>HelgaRippen</w:t>
      </w:r>
      <w:r w:rsidR="00B653CE">
        <w:t>@</w:t>
      </w:r>
      <w:r w:rsidR="00C870CF">
        <w:t>westat.com.</w:t>
      </w:r>
    </w:p>
    <w:p w:rsidR="00545803" w:rsidRDefault="00545803" w:rsidP="00545803"/>
    <w:p w:rsidR="00F46AC7" w:rsidRDefault="00F46AC7" w:rsidP="007B77EF"/>
    <w:sectPr w:rsidR="00F46AC7" w:rsidSect="00B230A3">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11F" w:rsidRDefault="0007111F">
      <w:r>
        <w:separator/>
      </w:r>
    </w:p>
  </w:endnote>
  <w:endnote w:type="continuationSeparator" w:id="0">
    <w:p w:rsidR="0007111F" w:rsidRDefault="000711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11F" w:rsidRDefault="0007111F" w:rsidP="007B7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111F" w:rsidRDefault="000711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11F" w:rsidRDefault="0007111F" w:rsidP="007B7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574E">
      <w:rPr>
        <w:rStyle w:val="PageNumber"/>
        <w:noProof/>
      </w:rPr>
      <w:t>3</w:t>
    </w:r>
    <w:r>
      <w:rPr>
        <w:rStyle w:val="PageNumber"/>
      </w:rPr>
      <w:fldChar w:fldCharType="end"/>
    </w:r>
  </w:p>
  <w:p w:rsidR="0007111F" w:rsidRDefault="000711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11F" w:rsidRDefault="000711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11F" w:rsidRDefault="0007111F">
      <w:r>
        <w:separator/>
      </w:r>
    </w:p>
  </w:footnote>
  <w:footnote w:type="continuationSeparator" w:id="0">
    <w:p w:rsidR="0007111F" w:rsidRDefault="000711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11F" w:rsidRDefault="000711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11F" w:rsidRDefault="000711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11F" w:rsidRDefault="000711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BCE956"/>
    <w:lvl w:ilvl="0">
      <w:start w:val="1"/>
      <w:numFmt w:val="bullet"/>
      <w:lvlText w:val=""/>
      <w:lvlJc w:val="left"/>
      <w:pPr>
        <w:tabs>
          <w:tab w:val="num" w:pos="360"/>
        </w:tabs>
        <w:ind w:left="360" w:hanging="360"/>
      </w:pPr>
      <w:rPr>
        <w:rFonts w:ascii="Symbol" w:hAnsi="Symbol" w:hint="default"/>
      </w:rPr>
    </w:lvl>
  </w:abstractNum>
  <w:abstractNum w:abstractNumId="1">
    <w:nsid w:val="01C05978"/>
    <w:multiLevelType w:val="hybridMultilevel"/>
    <w:tmpl w:val="11B492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156EA"/>
    <w:multiLevelType w:val="hybridMultilevel"/>
    <w:tmpl w:val="09C6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007FD"/>
    <w:multiLevelType w:val="hybridMultilevel"/>
    <w:tmpl w:val="4E44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0D42AE"/>
    <w:multiLevelType w:val="hybridMultilevel"/>
    <w:tmpl w:val="9B9E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412AE1"/>
    <w:multiLevelType w:val="hybridMultilevel"/>
    <w:tmpl w:val="22D247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Wingdings"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Wingdings"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Wingdings"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B529B8"/>
    <w:multiLevelType w:val="hybridMultilevel"/>
    <w:tmpl w:val="4882F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313908"/>
    <w:multiLevelType w:val="hybridMultilevel"/>
    <w:tmpl w:val="4384A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C820CE9"/>
    <w:multiLevelType w:val="hybridMultilevel"/>
    <w:tmpl w:val="DE7A7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D64077"/>
    <w:multiLevelType w:val="hybridMultilevel"/>
    <w:tmpl w:val="FC8637EA"/>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DC72B2"/>
    <w:multiLevelType w:val="hybridMultilevel"/>
    <w:tmpl w:val="E532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5">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E1381"/>
    <w:multiLevelType w:val="hybridMultilevel"/>
    <w:tmpl w:val="D9AE6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B51724"/>
    <w:multiLevelType w:val="hybridMultilevel"/>
    <w:tmpl w:val="100872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831CBA"/>
    <w:multiLevelType w:val="hybridMultilevel"/>
    <w:tmpl w:val="A2A2BAA0"/>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1">
    <w:nsid w:val="7CA06AA6"/>
    <w:multiLevelType w:val="multilevel"/>
    <w:tmpl w:val="7BB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33">
    <w:nsid w:val="7DE100B2"/>
    <w:multiLevelType w:val="hybridMultilevel"/>
    <w:tmpl w:val="CFD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16"/>
  </w:num>
  <w:num w:numId="4">
    <w:abstractNumId w:val="22"/>
  </w:num>
  <w:num w:numId="5">
    <w:abstractNumId w:val="18"/>
  </w:num>
  <w:num w:numId="6">
    <w:abstractNumId w:val="27"/>
  </w:num>
  <w:num w:numId="7">
    <w:abstractNumId w:val="11"/>
  </w:num>
  <w:num w:numId="8">
    <w:abstractNumId w:val="3"/>
  </w:num>
  <w:num w:numId="9">
    <w:abstractNumId w:val="21"/>
  </w:num>
  <w:num w:numId="10">
    <w:abstractNumId w:val="4"/>
  </w:num>
  <w:num w:numId="11">
    <w:abstractNumId w:val="6"/>
  </w:num>
  <w:num w:numId="12">
    <w:abstractNumId w:val="19"/>
  </w:num>
  <w:num w:numId="13">
    <w:abstractNumId w:val="29"/>
  </w:num>
  <w:num w:numId="14">
    <w:abstractNumId w:val="1"/>
  </w:num>
  <w:num w:numId="15">
    <w:abstractNumId w:val="30"/>
  </w:num>
  <w:num w:numId="16">
    <w:abstractNumId w:val="13"/>
  </w:num>
  <w:num w:numId="17">
    <w:abstractNumId w:val="8"/>
  </w:num>
  <w:num w:numId="18">
    <w:abstractNumId w:val="2"/>
  </w:num>
  <w:num w:numId="19">
    <w:abstractNumId w:val="7"/>
  </w:num>
  <w:num w:numId="20">
    <w:abstractNumId w:val="12"/>
  </w:num>
  <w:num w:numId="21">
    <w:abstractNumId w:val="25"/>
  </w:num>
  <w:num w:numId="22">
    <w:abstractNumId w:val="20"/>
  </w:num>
  <w:num w:numId="23">
    <w:abstractNumId w:val="14"/>
  </w:num>
  <w:num w:numId="24">
    <w:abstractNumId w:val="28"/>
  </w:num>
  <w:num w:numId="25">
    <w:abstractNumId w:val="5"/>
  </w:num>
  <w:num w:numId="26">
    <w:abstractNumId w:val="0"/>
  </w:num>
  <w:num w:numId="27">
    <w:abstractNumId w:val="23"/>
  </w:num>
  <w:num w:numId="28">
    <w:abstractNumId w:val="10"/>
  </w:num>
  <w:num w:numId="29">
    <w:abstractNumId w:val="33"/>
  </w:num>
  <w:num w:numId="30">
    <w:abstractNumId w:val="17"/>
  </w:num>
  <w:num w:numId="31">
    <w:abstractNumId w:val="15"/>
  </w:num>
  <w:num w:numId="32">
    <w:abstractNumId w:val="31"/>
  </w:num>
  <w:num w:numId="33">
    <w:abstractNumId w:val="9"/>
  </w:num>
  <w:num w:numId="34">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removePersonalInformation/>
  <w:removeDateAndTim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0177"/>
  </w:hdrShapeDefault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3E88"/>
    <w:rsid w:val="00003EC0"/>
    <w:rsid w:val="0001130B"/>
    <w:rsid w:val="000238DD"/>
    <w:rsid w:val="00031E71"/>
    <w:rsid w:val="00036BEF"/>
    <w:rsid w:val="0004214E"/>
    <w:rsid w:val="00044497"/>
    <w:rsid w:val="00051A0A"/>
    <w:rsid w:val="00052C7D"/>
    <w:rsid w:val="00054B37"/>
    <w:rsid w:val="00055611"/>
    <w:rsid w:val="00056C57"/>
    <w:rsid w:val="000666F9"/>
    <w:rsid w:val="000707E5"/>
    <w:rsid w:val="0007111F"/>
    <w:rsid w:val="00076FE3"/>
    <w:rsid w:val="00080A02"/>
    <w:rsid w:val="00086A24"/>
    <w:rsid w:val="00090269"/>
    <w:rsid w:val="000A3871"/>
    <w:rsid w:val="000A61D1"/>
    <w:rsid w:val="000C0FC4"/>
    <w:rsid w:val="000C799C"/>
    <w:rsid w:val="000E3CB8"/>
    <w:rsid w:val="000F1CAF"/>
    <w:rsid w:val="0010102B"/>
    <w:rsid w:val="0010233F"/>
    <w:rsid w:val="001069C1"/>
    <w:rsid w:val="001111D6"/>
    <w:rsid w:val="0012603A"/>
    <w:rsid w:val="0014593D"/>
    <w:rsid w:val="00147924"/>
    <w:rsid w:val="00151972"/>
    <w:rsid w:val="00171A00"/>
    <w:rsid w:val="00171B9B"/>
    <w:rsid w:val="00172C42"/>
    <w:rsid w:val="00177083"/>
    <w:rsid w:val="001A103A"/>
    <w:rsid w:val="001C4AB2"/>
    <w:rsid w:val="001E4669"/>
    <w:rsid w:val="001F17A3"/>
    <w:rsid w:val="00217DA0"/>
    <w:rsid w:val="00220059"/>
    <w:rsid w:val="00231AA4"/>
    <w:rsid w:val="00232604"/>
    <w:rsid w:val="00243300"/>
    <w:rsid w:val="0025503A"/>
    <w:rsid w:val="00265D8E"/>
    <w:rsid w:val="00271AAA"/>
    <w:rsid w:val="00285A2F"/>
    <w:rsid w:val="002B498A"/>
    <w:rsid w:val="002E42F4"/>
    <w:rsid w:val="002E5880"/>
    <w:rsid w:val="002E7FDF"/>
    <w:rsid w:val="003004CD"/>
    <w:rsid w:val="00334D07"/>
    <w:rsid w:val="003424A1"/>
    <w:rsid w:val="00353431"/>
    <w:rsid w:val="0037460D"/>
    <w:rsid w:val="0037661F"/>
    <w:rsid w:val="003A0433"/>
    <w:rsid w:val="003B3B40"/>
    <w:rsid w:val="003E1051"/>
    <w:rsid w:val="003E1A83"/>
    <w:rsid w:val="003E3F56"/>
    <w:rsid w:val="00401E64"/>
    <w:rsid w:val="0043529C"/>
    <w:rsid w:val="00441039"/>
    <w:rsid w:val="00492886"/>
    <w:rsid w:val="00492E2B"/>
    <w:rsid w:val="00497A7B"/>
    <w:rsid w:val="004A39E1"/>
    <w:rsid w:val="004B537D"/>
    <w:rsid w:val="004B7477"/>
    <w:rsid w:val="004C3D7A"/>
    <w:rsid w:val="004D77B6"/>
    <w:rsid w:val="00503300"/>
    <w:rsid w:val="0051724E"/>
    <w:rsid w:val="00532FFB"/>
    <w:rsid w:val="005446CF"/>
    <w:rsid w:val="00545803"/>
    <w:rsid w:val="005531AC"/>
    <w:rsid w:val="00572E3F"/>
    <w:rsid w:val="0058491E"/>
    <w:rsid w:val="00596D8F"/>
    <w:rsid w:val="00597DB4"/>
    <w:rsid w:val="005A09F5"/>
    <w:rsid w:val="005A59ED"/>
    <w:rsid w:val="005B28E5"/>
    <w:rsid w:val="005C4954"/>
    <w:rsid w:val="005C6F5C"/>
    <w:rsid w:val="005D0DBC"/>
    <w:rsid w:val="005D2535"/>
    <w:rsid w:val="005D36C3"/>
    <w:rsid w:val="005E1EDD"/>
    <w:rsid w:val="005F2D14"/>
    <w:rsid w:val="005F7DBC"/>
    <w:rsid w:val="006016BF"/>
    <w:rsid w:val="0060247B"/>
    <w:rsid w:val="00610D57"/>
    <w:rsid w:val="00621F86"/>
    <w:rsid w:val="00623C60"/>
    <w:rsid w:val="0062565F"/>
    <w:rsid w:val="00631717"/>
    <w:rsid w:val="00632865"/>
    <w:rsid w:val="00635B39"/>
    <w:rsid w:val="00647987"/>
    <w:rsid w:val="00650CD0"/>
    <w:rsid w:val="00664DA3"/>
    <w:rsid w:val="00671A22"/>
    <w:rsid w:val="00672C78"/>
    <w:rsid w:val="00677F9D"/>
    <w:rsid w:val="006A72C6"/>
    <w:rsid w:val="006C49B8"/>
    <w:rsid w:val="006C5D5B"/>
    <w:rsid w:val="006E14DF"/>
    <w:rsid w:val="006E210A"/>
    <w:rsid w:val="00702E7C"/>
    <w:rsid w:val="00716AA1"/>
    <w:rsid w:val="00734DB7"/>
    <w:rsid w:val="00741627"/>
    <w:rsid w:val="00742B08"/>
    <w:rsid w:val="00751526"/>
    <w:rsid w:val="007523D7"/>
    <w:rsid w:val="00782DEA"/>
    <w:rsid w:val="007A3ABC"/>
    <w:rsid w:val="007B77EF"/>
    <w:rsid w:val="007C7B21"/>
    <w:rsid w:val="007D0B97"/>
    <w:rsid w:val="007D3B46"/>
    <w:rsid w:val="007D4116"/>
    <w:rsid w:val="007D4FC2"/>
    <w:rsid w:val="0080537F"/>
    <w:rsid w:val="00806BB2"/>
    <w:rsid w:val="00806E4B"/>
    <w:rsid w:val="008230B1"/>
    <w:rsid w:val="00825287"/>
    <w:rsid w:val="00832768"/>
    <w:rsid w:val="00835F92"/>
    <w:rsid w:val="00873F74"/>
    <w:rsid w:val="0088021F"/>
    <w:rsid w:val="0088146A"/>
    <w:rsid w:val="008B2E6C"/>
    <w:rsid w:val="008B5DE0"/>
    <w:rsid w:val="008C6D12"/>
    <w:rsid w:val="008D4557"/>
    <w:rsid w:val="008D4FB8"/>
    <w:rsid w:val="009078D0"/>
    <w:rsid w:val="00913E49"/>
    <w:rsid w:val="00916A0D"/>
    <w:rsid w:val="00924689"/>
    <w:rsid w:val="00965ACD"/>
    <w:rsid w:val="00967845"/>
    <w:rsid w:val="00971546"/>
    <w:rsid w:val="0097438E"/>
    <w:rsid w:val="0098010C"/>
    <w:rsid w:val="009862C2"/>
    <w:rsid w:val="0099203F"/>
    <w:rsid w:val="00996188"/>
    <w:rsid w:val="009B2528"/>
    <w:rsid w:val="009C35E2"/>
    <w:rsid w:val="009D07B9"/>
    <w:rsid w:val="009F4595"/>
    <w:rsid w:val="00A04531"/>
    <w:rsid w:val="00A07FB3"/>
    <w:rsid w:val="00A172F1"/>
    <w:rsid w:val="00A22B6F"/>
    <w:rsid w:val="00A32FAB"/>
    <w:rsid w:val="00A36A8E"/>
    <w:rsid w:val="00A509B1"/>
    <w:rsid w:val="00A51D2B"/>
    <w:rsid w:val="00A5428F"/>
    <w:rsid w:val="00A663D9"/>
    <w:rsid w:val="00A66D74"/>
    <w:rsid w:val="00A76835"/>
    <w:rsid w:val="00A8188D"/>
    <w:rsid w:val="00A85775"/>
    <w:rsid w:val="00A915C9"/>
    <w:rsid w:val="00A9736B"/>
    <w:rsid w:val="00A97E46"/>
    <w:rsid w:val="00AB59F3"/>
    <w:rsid w:val="00AE2194"/>
    <w:rsid w:val="00B230A3"/>
    <w:rsid w:val="00B653CE"/>
    <w:rsid w:val="00B7203B"/>
    <w:rsid w:val="00B7574E"/>
    <w:rsid w:val="00BA3EB4"/>
    <w:rsid w:val="00BD15B5"/>
    <w:rsid w:val="00BD53B3"/>
    <w:rsid w:val="00BE792A"/>
    <w:rsid w:val="00BF25C9"/>
    <w:rsid w:val="00C04C3D"/>
    <w:rsid w:val="00C107C0"/>
    <w:rsid w:val="00C1155C"/>
    <w:rsid w:val="00C15B30"/>
    <w:rsid w:val="00C2003D"/>
    <w:rsid w:val="00C20CEA"/>
    <w:rsid w:val="00C2136D"/>
    <w:rsid w:val="00C23225"/>
    <w:rsid w:val="00C46C9E"/>
    <w:rsid w:val="00C85486"/>
    <w:rsid w:val="00C870CF"/>
    <w:rsid w:val="00CA2326"/>
    <w:rsid w:val="00CA654A"/>
    <w:rsid w:val="00CB0AF8"/>
    <w:rsid w:val="00CC01E6"/>
    <w:rsid w:val="00CC4205"/>
    <w:rsid w:val="00CC4255"/>
    <w:rsid w:val="00CE03B6"/>
    <w:rsid w:val="00CE0D4B"/>
    <w:rsid w:val="00CF2E24"/>
    <w:rsid w:val="00D0779E"/>
    <w:rsid w:val="00D14BC4"/>
    <w:rsid w:val="00D37DF2"/>
    <w:rsid w:val="00D41005"/>
    <w:rsid w:val="00D55358"/>
    <w:rsid w:val="00D57666"/>
    <w:rsid w:val="00D70F68"/>
    <w:rsid w:val="00D92BB0"/>
    <w:rsid w:val="00DC191B"/>
    <w:rsid w:val="00DD717E"/>
    <w:rsid w:val="00DD7C72"/>
    <w:rsid w:val="00DE6A12"/>
    <w:rsid w:val="00E0329D"/>
    <w:rsid w:val="00E534DA"/>
    <w:rsid w:val="00E679D4"/>
    <w:rsid w:val="00E74E62"/>
    <w:rsid w:val="00E76829"/>
    <w:rsid w:val="00E77E2B"/>
    <w:rsid w:val="00E77E67"/>
    <w:rsid w:val="00E81AD4"/>
    <w:rsid w:val="00E90CD1"/>
    <w:rsid w:val="00EA16D3"/>
    <w:rsid w:val="00EB468C"/>
    <w:rsid w:val="00EB6661"/>
    <w:rsid w:val="00EC4088"/>
    <w:rsid w:val="00EC54BB"/>
    <w:rsid w:val="00EC76D9"/>
    <w:rsid w:val="00EC7A8F"/>
    <w:rsid w:val="00ED462B"/>
    <w:rsid w:val="00EE6589"/>
    <w:rsid w:val="00EE7641"/>
    <w:rsid w:val="00F0232F"/>
    <w:rsid w:val="00F026DF"/>
    <w:rsid w:val="00F07BA9"/>
    <w:rsid w:val="00F162DE"/>
    <w:rsid w:val="00F200D1"/>
    <w:rsid w:val="00F23B70"/>
    <w:rsid w:val="00F24E79"/>
    <w:rsid w:val="00F45931"/>
    <w:rsid w:val="00F46AC7"/>
    <w:rsid w:val="00F5059E"/>
    <w:rsid w:val="00F52635"/>
    <w:rsid w:val="00F545F0"/>
    <w:rsid w:val="00F56616"/>
    <w:rsid w:val="00F72CBD"/>
    <w:rsid w:val="00F82E69"/>
    <w:rsid w:val="00F9535F"/>
    <w:rsid w:val="00FA43E3"/>
    <w:rsid w:val="00FD4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C23225"/>
    <w:pPr>
      <w:tabs>
        <w:tab w:val="right" w:leader="dot" w:pos="8630"/>
      </w:tabs>
    </w:pPr>
    <w:rPr>
      <w:i/>
      <w:noProof/>
    </w:rPr>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rsid w:val="00375DD1"/>
    <w:rPr>
      <w:sz w:val="24"/>
      <w:szCs w:val="24"/>
    </w:rPr>
  </w:style>
  <w:style w:type="character" w:customStyle="1" w:styleId="FootnoteTextChar">
    <w:name w:val="Footnote Text Char"/>
    <w:basedOn w:val="DefaultParagraphFont"/>
    <w:link w:val="FootnoteText"/>
    <w:rsid w:val="00F5451F"/>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HeadingOMB1">
    <w:name w:val="Heading OMB1"/>
    <w:basedOn w:val="Heading1"/>
    <w:qFormat/>
    <w:rsid w:val="00227821"/>
    <w:rPr>
      <w:rFonts w:cs="Times New Roman"/>
      <w:sz w:val="24"/>
      <w:szCs w:val="24"/>
    </w:rPr>
  </w:style>
  <w:style w:type="paragraph" w:customStyle="1" w:styleId="HeadingOMB2">
    <w:name w:val="Heading OMB2"/>
    <w:basedOn w:val="Heading1"/>
    <w:qFormat/>
    <w:rsid w:val="00227821"/>
    <w:rPr>
      <w:rFonts w:cs="Times New Roman"/>
      <w:i/>
      <w:sz w:val="24"/>
      <w:szCs w:val="24"/>
    </w:rPr>
  </w:style>
  <w:style w:type="paragraph" w:styleId="TOCHeading">
    <w:name w:val="TOC Heading"/>
    <w:basedOn w:val="Heading1"/>
    <w:next w:val="Normal"/>
    <w:uiPriority w:val="39"/>
    <w:qFormat/>
    <w:rsid w:val="00227821"/>
    <w:pPr>
      <w:keepLines/>
      <w:spacing w:before="480" w:after="0" w:line="276" w:lineRule="auto"/>
      <w:outlineLvl w:val="9"/>
    </w:pPr>
    <w:rPr>
      <w:rFonts w:ascii="Cambria" w:hAnsi="Cambria" w:cs="Times New Roman"/>
      <w:color w:val="365F91"/>
      <w:kern w:val="0"/>
      <w:sz w:val="28"/>
      <w:szCs w:val="28"/>
    </w:rPr>
  </w:style>
  <w:style w:type="paragraph" w:styleId="DocumentMap">
    <w:name w:val="Document Map"/>
    <w:basedOn w:val="Normal"/>
    <w:semiHidden/>
    <w:rsid w:val="00F9535F"/>
    <w:pPr>
      <w:shd w:val="clear" w:color="auto" w:fill="000080"/>
    </w:pPr>
    <w:rPr>
      <w:rFonts w:ascii="Tahoma" w:hAnsi="Tahoma" w:cs="Tahoma"/>
      <w:sz w:val="20"/>
      <w:szCs w:val="20"/>
    </w:rPr>
  </w:style>
  <w:style w:type="paragraph" w:styleId="ListParagraph">
    <w:name w:val="List Paragraph"/>
    <w:basedOn w:val="Normal"/>
    <w:uiPriority w:val="34"/>
    <w:qFormat/>
    <w:rsid w:val="007D3B46"/>
    <w:pPr>
      <w:ind w:left="720"/>
      <w:contextualSpacing/>
    </w:pPr>
  </w:style>
  <w:style w:type="paragraph" w:styleId="Revision">
    <w:name w:val="Revision"/>
    <w:hidden/>
    <w:uiPriority w:val="99"/>
    <w:semiHidden/>
    <w:rsid w:val="00003E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C23225"/>
    <w:pPr>
      <w:tabs>
        <w:tab w:val="right" w:leader="dot" w:pos="8630"/>
      </w:tabs>
      <w:pPrChange w:id="1" w:author="Author">
        <w:pPr/>
      </w:pPrChange>
    </w:pPr>
    <w:rPr>
      <w:i/>
      <w:noProof/>
      <w:rPrChange w:id="1" w:author="Author">
        <w:rPr>
          <w:sz w:val="24"/>
          <w:szCs w:val="24"/>
          <w:lang w:val="en-US" w:eastAsia="en-US" w:bidi="ar-SA"/>
        </w:rPr>
      </w:rPrChange>
    </w:rPr>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rsid w:val="00375DD1"/>
    <w:rPr>
      <w:sz w:val="24"/>
      <w:szCs w:val="24"/>
    </w:rPr>
  </w:style>
  <w:style w:type="character" w:customStyle="1" w:styleId="FootnoteTextChar">
    <w:name w:val="Footnote Text Char"/>
    <w:basedOn w:val="DefaultParagraphFont"/>
    <w:link w:val="FootnoteText"/>
    <w:rsid w:val="00F5451F"/>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HeadingOMB1">
    <w:name w:val="Heading OMB1"/>
    <w:basedOn w:val="Heading1"/>
    <w:qFormat/>
    <w:rsid w:val="00227821"/>
    <w:rPr>
      <w:rFonts w:cs="Times New Roman"/>
      <w:sz w:val="24"/>
      <w:szCs w:val="24"/>
    </w:rPr>
  </w:style>
  <w:style w:type="paragraph" w:customStyle="1" w:styleId="HeadingOMB2">
    <w:name w:val="Heading OMB2"/>
    <w:basedOn w:val="Heading1"/>
    <w:qFormat/>
    <w:rsid w:val="00227821"/>
    <w:rPr>
      <w:rFonts w:cs="Times New Roman"/>
      <w:i/>
      <w:sz w:val="24"/>
      <w:szCs w:val="24"/>
    </w:rPr>
  </w:style>
  <w:style w:type="paragraph" w:styleId="TOCHeading">
    <w:name w:val="TOC Heading"/>
    <w:basedOn w:val="Heading1"/>
    <w:next w:val="Normal"/>
    <w:uiPriority w:val="39"/>
    <w:qFormat/>
    <w:rsid w:val="00227821"/>
    <w:pPr>
      <w:keepLines/>
      <w:spacing w:before="480" w:after="0" w:line="276" w:lineRule="auto"/>
      <w:outlineLvl w:val="9"/>
    </w:pPr>
    <w:rPr>
      <w:rFonts w:ascii="Cambria" w:hAnsi="Cambria" w:cs="Times New Roman"/>
      <w:color w:val="365F91"/>
      <w:kern w:val="0"/>
      <w:sz w:val="28"/>
      <w:szCs w:val="28"/>
    </w:rPr>
  </w:style>
  <w:style w:type="paragraph" w:styleId="DocumentMap">
    <w:name w:val="Document Map"/>
    <w:basedOn w:val="Normal"/>
    <w:semiHidden/>
    <w:rsid w:val="00F9535F"/>
    <w:pPr>
      <w:shd w:val="clear" w:color="auto" w:fill="000080"/>
    </w:pPr>
    <w:rPr>
      <w:rFonts w:ascii="Tahoma" w:hAnsi="Tahoma" w:cs="Tahoma"/>
      <w:sz w:val="20"/>
      <w:szCs w:val="20"/>
    </w:rPr>
  </w:style>
  <w:style w:type="paragraph" w:styleId="ListParagraph">
    <w:name w:val="List Paragraph"/>
    <w:basedOn w:val="Normal"/>
    <w:uiPriority w:val="34"/>
    <w:qFormat/>
    <w:rsid w:val="007D3B46"/>
    <w:pPr>
      <w:ind w:left="720"/>
      <w:contextualSpacing/>
    </w:p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72572369">
      <w:bodyDiv w:val="1"/>
      <w:marLeft w:val="0"/>
      <w:marRight w:val="0"/>
      <w:marTop w:val="0"/>
      <w:marBottom w:val="0"/>
      <w:divBdr>
        <w:top w:val="none" w:sz="0" w:space="0" w:color="auto"/>
        <w:left w:val="none" w:sz="0" w:space="0" w:color="auto"/>
        <w:bottom w:val="none" w:sz="0" w:space="0" w:color="auto"/>
        <w:right w:val="none" w:sz="0" w:space="0" w:color="auto"/>
      </w:divBdr>
    </w:div>
    <w:div w:id="231474752">
      <w:bodyDiv w:val="1"/>
      <w:marLeft w:val="0"/>
      <w:marRight w:val="0"/>
      <w:marTop w:val="0"/>
      <w:marBottom w:val="0"/>
      <w:divBdr>
        <w:top w:val="none" w:sz="0" w:space="0" w:color="auto"/>
        <w:left w:val="none" w:sz="0" w:space="0" w:color="auto"/>
        <w:bottom w:val="none" w:sz="0" w:space="0" w:color="auto"/>
        <w:right w:val="none" w:sz="0" w:space="0" w:color="auto"/>
      </w:divBdr>
      <w:divsChild>
        <w:div w:id="852188417">
          <w:marLeft w:val="0"/>
          <w:marRight w:val="0"/>
          <w:marTop w:val="0"/>
          <w:marBottom w:val="0"/>
          <w:divBdr>
            <w:top w:val="none" w:sz="0" w:space="0" w:color="auto"/>
            <w:left w:val="none" w:sz="0" w:space="0" w:color="auto"/>
            <w:bottom w:val="none" w:sz="0" w:space="0" w:color="auto"/>
            <w:right w:val="none" w:sz="0" w:space="0" w:color="auto"/>
          </w:divBdr>
          <w:divsChild>
            <w:div w:id="315425386">
              <w:marLeft w:val="0"/>
              <w:marRight w:val="0"/>
              <w:marTop w:val="0"/>
              <w:marBottom w:val="1340"/>
              <w:divBdr>
                <w:top w:val="none" w:sz="0" w:space="0" w:color="auto"/>
                <w:left w:val="none" w:sz="0" w:space="0" w:color="auto"/>
                <w:bottom w:val="none" w:sz="0" w:space="0" w:color="auto"/>
                <w:right w:val="none" w:sz="0" w:space="0" w:color="auto"/>
              </w:divBdr>
              <w:divsChild>
                <w:div w:id="639456439">
                  <w:marLeft w:val="0"/>
                  <w:marRight w:val="0"/>
                  <w:marTop w:val="0"/>
                  <w:marBottom w:val="0"/>
                  <w:divBdr>
                    <w:top w:val="none" w:sz="0" w:space="0" w:color="auto"/>
                    <w:left w:val="none" w:sz="0" w:space="0" w:color="auto"/>
                    <w:bottom w:val="none" w:sz="0" w:space="0" w:color="auto"/>
                    <w:right w:val="none" w:sz="0" w:space="0" w:color="auto"/>
                  </w:divBdr>
                  <w:divsChild>
                    <w:div w:id="293414966">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385496046">
      <w:bodyDiv w:val="1"/>
      <w:marLeft w:val="0"/>
      <w:marRight w:val="0"/>
      <w:marTop w:val="0"/>
      <w:marBottom w:val="0"/>
      <w:divBdr>
        <w:top w:val="none" w:sz="0" w:space="0" w:color="auto"/>
        <w:left w:val="none" w:sz="0" w:space="0" w:color="auto"/>
        <w:bottom w:val="none" w:sz="0" w:space="0" w:color="auto"/>
        <w:right w:val="none" w:sz="0" w:space="0" w:color="auto"/>
      </w:divBdr>
    </w:div>
    <w:div w:id="400913470">
      <w:bodyDiv w:val="1"/>
      <w:marLeft w:val="0"/>
      <w:marRight w:val="0"/>
      <w:marTop w:val="0"/>
      <w:marBottom w:val="0"/>
      <w:divBdr>
        <w:top w:val="none" w:sz="0" w:space="0" w:color="auto"/>
        <w:left w:val="none" w:sz="0" w:space="0" w:color="auto"/>
        <w:bottom w:val="none" w:sz="0" w:space="0" w:color="auto"/>
        <w:right w:val="none" w:sz="0" w:space="0" w:color="auto"/>
      </w:divBdr>
    </w:div>
    <w:div w:id="433015953">
      <w:bodyDiv w:val="1"/>
      <w:marLeft w:val="0"/>
      <w:marRight w:val="0"/>
      <w:marTop w:val="0"/>
      <w:marBottom w:val="0"/>
      <w:divBdr>
        <w:top w:val="none" w:sz="0" w:space="0" w:color="auto"/>
        <w:left w:val="none" w:sz="0" w:space="0" w:color="auto"/>
        <w:bottom w:val="none" w:sz="0" w:space="0" w:color="auto"/>
        <w:right w:val="none" w:sz="0" w:space="0" w:color="auto"/>
      </w:divBdr>
    </w:div>
    <w:div w:id="58899910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30139306">
      <w:bodyDiv w:val="1"/>
      <w:marLeft w:val="0"/>
      <w:marRight w:val="0"/>
      <w:marTop w:val="0"/>
      <w:marBottom w:val="0"/>
      <w:divBdr>
        <w:top w:val="none" w:sz="0" w:space="0" w:color="auto"/>
        <w:left w:val="none" w:sz="0" w:space="0" w:color="auto"/>
        <w:bottom w:val="none" w:sz="0" w:space="0" w:color="auto"/>
        <w:right w:val="none" w:sz="0" w:space="0" w:color="auto"/>
      </w:divBdr>
    </w:div>
    <w:div w:id="654452536">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86968061">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69178158">
      <w:bodyDiv w:val="1"/>
      <w:marLeft w:val="0"/>
      <w:marRight w:val="0"/>
      <w:marTop w:val="0"/>
      <w:marBottom w:val="0"/>
      <w:divBdr>
        <w:top w:val="none" w:sz="0" w:space="0" w:color="auto"/>
        <w:left w:val="none" w:sz="0" w:space="0" w:color="auto"/>
        <w:bottom w:val="none" w:sz="0" w:space="0" w:color="auto"/>
        <w:right w:val="none" w:sz="0" w:space="0" w:color="auto"/>
      </w:divBdr>
    </w:div>
    <w:div w:id="122868808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13239477">
      <w:bodyDiv w:val="1"/>
      <w:marLeft w:val="0"/>
      <w:marRight w:val="0"/>
      <w:marTop w:val="0"/>
      <w:marBottom w:val="0"/>
      <w:divBdr>
        <w:top w:val="none" w:sz="0" w:space="0" w:color="auto"/>
        <w:left w:val="none" w:sz="0" w:space="0" w:color="auto"/>
        <w:bottom w:val="none" w:sz="0" w:space="0" w:color="auto"/>
        <w:right w:val="none" w:sz="0" w:space="0" w:color="auto"/>
      </w:divBdr>
      <w:divsChild>
        <w:div w:id="667908697">
          <w:marLeft w:val="0"/>
          <w:marRight w:val="0"/>
          <w:marTop w:val="0"/>
          <w:marBottom w:val="0"/>
          <w:divBdr>
            <w:top w:val="none" w:sz="0" w:space="0" w:color="auto"/>
            <w:left w:val="none" w:sz="0" w:space="0" w:color="auto"/>
            <w:bottom w:val="none" w:sz="0" w:space="0" w:color="auto"/>
            <w:right w:val="none" w:sz="0" w:space="0" w:color="auto"/>
          </w:divBdr>
          <w:divsChild>
            <w:div w:id="479273777">
              <w:marLeft w:val="0"/>
              <w:marRight w:val="0"/>
              <w:marTop w:val="0"/>
              <w:marBottom w:val="1340"/>
              <w:divBdr>
                <w:top w:val="none" w:sz="0" w:space="0" w:color="auto"/>
                <w:left w:val="none" w:sz="0" w:space="0" w:color="auto"/>
                <w:bottom w:val="none" w:sz="0" w:space="0" w:color="auto"/>
                <w:right w:val="none" w:sz="0" w:space="0" w:color="auto"/>
              </w:divBdr>
              <w:divsChild>
                <w:div w:id="1380595663">
                  <w:marLeft w:val="0"/>
                  <w:marRight w:val="0"/>
                  <w:marTop w:val="0"/>
                  <w:marBottom w:val="0"/>
                  <w:divBdr>
                    <w:top w:val="none" w:sz="0" w:space="0" w:color="auto"/>
                    <w:left w:val="none" w:sz="0" w:space="0" w:color="auto"/>
                    <w:bottom w:val="none" w:sz="0" w:space="0" w:color="auto"/>
                    <w:right w:val="none" w:sz="0" w:space="0" w:color="auto"/>
                  </w:divBdr>
                  <w:divsChild>
                    <w:div w:id="308558641">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81387718">
      <w:bodyDiv w:val="1"/>
      <w:marLeft w:val="0"/>
      <w:marRight w:val="0"/>
      <w:marTop w:val="0"/>
      <w:marBottom w:val="0"/>
      <w:divBdr>
        <w:top w:val="none" w:sz="0" w:space="0" w:color="auto"/>
        <w:left w:val="none" w:sz="0" w:space="0" w:color="auto"/>
        <w:bottom w:val="none" w:sz="0" w:space="0" w:color="auto"/>
        <w:right w:val="none" w:sz="0" w:space="0" w:color="auto"/>
      </w:divBdr>
      <w:divsChild>
        <w:div w:id="1447890380">
          <w:marLeft w:val="0"/>
          <w:marRight w:val="0"/>
          <w:marTop w:val="0"/>
          <w:marBottom w:val="0"/>
          <w:divBdr>
            <w:top w:val="none" w:sz="0" w:space="0" w:color="auto"/>
            <w:left w:val="none" w:sz="0" w:space="0" w:color="auto"/>
            <w:bottom w:val="none" w:sz="0" w:space="0" w:color="auto"/>
            <w:right w:val="none" w:sz="0" w:space="0" w:color="auto"/>
          </w:divBdr>
          <w:divsChild>
            <w:div w:id="1137720266">
              <w:marLeft w:val="0"/>
              <w:marRight w:val="0"/>
              <w:marTop w:val="0"/>
              <w:marBottom w:val="0"/>
              <w:divBdr>
                <w:top w:val="none" w:sz="0" w:space="0" w:color="auto"/>
                <w:left w:val="none" w:sz="0" w:space="0" w:color="auto"/>
                <w:bottom w:val="none" w:sz="0" w:space="0" w:color="auto"/>
                <w:right w:val="none" w:sz="0" w:space="0" w:color="auto"/>
              </w:divBdr>
              <w:divsChild>
                <w:div w:id="775368232">
                  <w:marLeft w:val="0"/>
                  <w:marRight w:val="0"/>
                  <w:marTop w:val="0"/>
                  <w:marBottom w:val="0"/>
                  <w:divBdr>
                    <w:top w:val="none" w:sz="0" w:space="0" w:color="auto"/>
                    <w:left w:val="none" w:sz="0" w:space="0" w:color="auto"/>
                    <w:bottom w:val="none" w:sz="0" w:space="0" w:color="auto"/>
                    <w:right w:val="none" w:sz="0" w:space="0" w:color="auto"/>
                  </w:divBdr>
                  <w:divsChild>
                    <w:div w:id="1652640554">
                      <w:marLeft w:val="0"/>
                      <w:marRight w:val="0"/>
                      <w:marTop w:val="0"/>
                      <w:marBottom w:val="0"/>
                      <w:divBdr>
                        <w:top w:val="none" w:sz="0" w:space="0" w:color="auto"/>
                        <w:left w:val="none" w:sz="0" w:space="0" w:color="auto"/>
                        <w:bottom w:val="none" w:sz="0" w:space="0" w:color="auto"/>
                        <w:right w:val="none" w:sz="0" w:space="0" w:color="auto"/>
                      </w:divBdr>
                      <w:divsChild>
                        <w:div w:id="1865165900">
                          <w:marLeft w:val="0"/>
                          <w:marRight w:val="0"/>
                          <w:marTop w:val="0"/>
                          <w:marBottom w:val="0"/>
                          <w:divBdr>
                            <w:top w:val="none" w:sz="0" w:space="0" w:color="auto"/>
                            <w:left w:val="none" w:sz="0" w:space="0" w:color="auto"/>
                            <w:bottom w:val="none" w:sz="0" w:space="0" w:color="auto"/>
                            <w:right w:val="none" w:sz="0" w:space="0" w:color="auto"/>
                          </w:divBdr>
                          <w:divsChild>
                            <w:div w:id="3282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62307">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35909671">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08430121">
      <w:bodyDiv w:val="1"/>
      <w:marLeft w:val="0"/>
      <w:marRight w:val="0"/>
      <w:marTop w:val="0"/>
      <w:marBottom w:val="0"/>
      <w:divBdr>
        <w:top w:val="none" w:sz="0" w:space="0" w:color="auto"/>
        <w:left w:val="none" w:sz="0" w:space="0" w:color="auto"/>
        <w:bottom w:val="none" w:sz="0" w:space="0" w:color="auto"/>
        <w:right w:val="none" w:sz="0" w:space="0" w:color="auto"/>
      </w:divBdr>
      <w:divsChild>
        <w:div w:id="1797530903">
          <w:marLeft w:val="0"/>
          <w:marRight w:val="0"/>
          <w:marTop w:val="0"/>
          <w:marBottom w:val="0"/>
          <w:divBdr>
            <w:top w:val="none" w:sz="0" w:space="0" w:color="auto"/>
            <w:left w:val="none" w:sz="0" w:space="0" w:color="auto"/>
            <w:bottom w:val="none" w:sz="0" w:space="0" w:color="auto"/>
            <w:right w:val="none" w:sz="0" w:space="0" w:color="auto"/>
          </w:divBdr>
          <w:divsChild>
            <w:div w:id="1992521909">
              <w:marLeft w:val="0"/>
              <w:marRight w:val="0"/>
              <w:marTop w:val="0"/>
              <w:marBottom w:val="0"/>
              <w:divBdr>
                <w:top w:val="none" w:sz="0" w:space="0" w:color="auto"/>
                <w:left w:val="none" w:sz="0" w:space="0" w:color="auto"/>
                <w:bottom w:val="none" w:sz="0" w:space="0" w:color="auto"/>
                <w:right w:val="none" w:sz="0" w:space="0" w:color="auto"/>
              </w:divBdr>
              <w:divsChild>
                <w:div w:id="1153376551">
                  <w:marLeft w:val="0"/>
                  <w:marRight w:val="0"/>
                  <w:marTop w:val="0"/>
                  <w:marBottom w:val="0"/>
                  <w:divBdr>
                    <w:top w:val="none" w:sz="0" w:space="0" w:color="auto"/>
                    <w:left w:val="none" w:sz="0" w:space="0" w:color="auto"/>
                    <w:bottom w:val="none" w:sz="0" w:space="0" w:color="auto"/>
                    <w:right w:val="none" w:sz="0" w:space="0" w:color="auto"/>
                  </w:divBdr>
                  <w:divsChild>
                    <w:div w:id="605428092">
                      <w:marLeft w:val="0"/>
                      <w:marRight w:val="0"/>
                      <w:marTop w:val="0"/>
                      <w:marBottom w:val="0"/>
                      <w:divBdr>
                        <w:top w:val="none" w:sz="0" w:space="0" w:color="auto"/>
                        <w:left w:val="none" w:sz="0" w:space="0" w:color="auto"/>
                        <w:bottom w:val="none" w:sz="0" w:space="0" w:color="auto"/>
                        <w:right w:val="none" w:sz="0" w:space="0" w:color="auto"/>
                      </w:divBdr>
                      <w:divsChild>
                        <w:div w:id="951670494">
                          <w:marLeft w:val="0"/>
                          <w:marRight w:val="0"/>
                          <w:marTop w:val="0"/>
                          <w:marBottom w:val="0"/>
                          <w:divBdr>
                            <w:top w:val="none" w:sz="0" w:space="0" w:color="auto"/>
                            <w:left w:val="none" w:sz="0" w:space="0" w:color="auto"/>
                            <w:bottom w:val="none" w:sz="0" w:space="0" w:color="auto"/>
                            <w:right w:val="none" w:sz="0" w:space="0" w:color="auto"/>
                          </w:divBdr>
                          <w:divsChild>
                            <w:div w:id="12630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523992">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450EF-CFE0-4E75-B4DB-BFDC6F48406B}">
  <ds:schemaRefs>
    <ds:schemaRef ds:uri="http://schemas.openxmlformats.org/officeDocument/2006/bibliography"/>
  </ds:schemaRefs>
</ds:datastoreItem>
</file>

<file path=customXml/itemProps2.xml><?xml version="1.0" encoding="utf-8"?>
<ds:datastoreItem xmlns:ds="http://schemas.openxmlformats.org/officeDocument/2006/customXml" ds:itemID="{272957A8-576C-44FD-8BA4-41F17A6F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1097</Words>
  <Characters>6862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Links>
    <vt:vector size="54" baseType="variant">
      <vt:variant>
        <vt:i4>5963887</vt:i4>
      </vt:variant>
      <vt:variant>
        <vt:i4>51</vt:i4>
      </vt:variant>
      <vt:variant>
        <vt:i4>0</vt:i4>
      </vt:variant>
      <vt:variant>
        <vt:i4>5</vt:i4>
      </vt:variant>
      <vt:variant>
        <vt:lpwstr>mailto:jgrossman@hschange.org</vt:lpwstr>
      </vt:variant>
      <vt:variant>
        <vt:lpwstr/>
      </vt:variant>
      <vt:variant>
        <vt:i4>1310771</vt:i4>
      </vt:variant>
      <vt:variant>
        <vt:i4>44</vt:i4>
      </vt:variant>
      <vt:variant>
        <vt:i4>0</vt:i4>
      </vt:variant>
      <vt:variant>
        <vt:i4>5</vt:i4>
      </vt:variant>
      <vt:variant>
        <vt:lpwstr/>
      </vt:variant>
      <vt:variant>
        <vt:lpwstr>_Toc230760774</vt:lpwstr>
      </vt:variant>
      <vt:variant>
        <vt:i4>1310771</vt:i4>
      </vt:variant>
      <vt:variant>
        <vt:i4>38</vt:i4>
      </vt:variant>
      <vt:variant>
        <vt:i4>0</vt:i4>
      </vt:variant>
      <vt:variant>
        <vt:i4>5</vt:i4>
      </vt:variant>
      <vt:variant>
        <vt:lpwstr/>
      </vt:variant>
      <vt:variant>
        <vt:lpwstr>_Toc230760773</vt:lpwstr>
      </vt:variant>
      <vt:variant>
        <vt:i4>1310771</vt:i4>
      </vt:variant>
      <vt:variant>
        <vt:i4>32</vt:i4>
      </vt:variant>
      <vt:variant>
        <vt:i4>0</vt:i4>
      </vt:variant>
      <vt:variant>
        <vt:i4>5</vt:i4>
      </vt:variant>
      <vt:variant>
        <vt:lpwstr/>
      </vt:variant>
      <vt:variant>
        <vt:lpwstr>_Toc230760772</vt:lpwstr>
      </vt:variant>
      <vt:variant>
        <vt:i4>1310771</vt:i4>
      </vt:variant>
      <vt:variant>
        <vt:i4>26</vt:i4>
      </vt:variant>
      <vt:variant>
        <vt:i4>0</vt:i4>
      </vt:variant>
      <vt:variant>
        <vt:i4>5</vt:i4>
      </vt:variant>
      <vt:variant>
        <vt:lpwstr/>
      </vt:variant>
      <vt:variant>
        <vt:lpwstr>_Toc230760771</vt:lpwstr>
      </vt:variant>
      <vt:variant>
        <vt:i4>1310771</vt:i4>
      </vt:variant>
      <vt:variant>
        <vt:i4>20</vt:i4>
      </vt:variant>
      <vt:variant>
        <vt:i4>0</vt:i4>
      </vt:variant>
      <vt:variant>
        <vt:i4>5</vt:i4>
      </vt:variant>
      <vt:variant>
        <vt:lpwstr/>
      </vt:variant>
      <vt:variant>
        <vt:lpwstr>_Toc230760770</vt:lpwstr>
      </vt:variant>
      <vt:variant>
        <vt:i4>1376307</vt:i4>
      </vt:variant>
      <vt:variant>
        <vt:i4>14</vt:i4>
      </vt:variant>
      <vt:variant>
        <vt:i4>0</vt:i4>
      </vt:variant>
      <vt:variant>
        <vt:i4>5</vt:i4>
      </vt:variant>
      <vt:variant>
        <vt:lpwstr/>
      </vt:variant>
      <vt:variant>
        <vt:lpwstr>_Toc230760769</vt:lpwstr>
      </vt:variant>
      <vt:variant>
        <vt:i4>1376307</vt:i4>
      </vt:variant>
      <vt:variant>
        <vt:i4>8</vt:i4>
      </vt:variant>
      <vt:variant>
        <vt:i4>0</vt:i4>
      </vt:variant>
      <vt:variant>
        <vt:i4>5</vt:i4>
      </vt:variant>
      <vt:variant>
        <vt:lpwstr/>
      </vt:variant>
      <vt:variant>
        <vt:lpwstr>_Toc230760768</vt:lpwstr>
      </vt:variant>
      <vt:variant>
        <vt:i4>1376307</vt:i4>
      </vt:variant>
      <vt:variant>
        <vt:i4>2</vt:i4>
      </vt:variant>
      <vt:variant>
        <vt:i4>0</vt:i4>
      </vt:variant>
      <vt:variant>
        <vt:i4>5</vt:i4>
      </vt:variant>
      <vt:variant>
        <vt:lpwstr/>
      </vt:variant>
      <vt:variant>
        <vt:lpwstr>_Toc230760767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2011-06-02T14:02:00Z</dcterms:created>
  <dcterms:modified xsi:type="dcterms:W3CDTF">2011-06-02T14:02:00Z</dcterms:modified>
</cp:coreProperties>
</file>