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B46F2C" w:rsidRPr="009239AA" w:rsidRDefault="00174696" w:rsidP="00434E33">
      <w:pPr>
        <w:rPr>
          <w:b/>
        </w:rPr>
      </w:pPr>
      <w:r w:rsidRPr="00174696">
        <w:rPr>
          <w:noProof/>
        </w:rPr>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B46F2C" w:rsidRPr="00434E33">
        <w:rPr>
          <w:b/>
        </w:rPr>
        <w:t>TITLE OF INFORMATION COLLECTION:</w:t>
      </w:r>
      <w:r w:rsidR="00B46F2C">
        <w:t xml:space="preserve">  </w:t>
      </w:r>
    </w:p>
    <w:p w:rsidR="00B46F2C" w:rsidRDefault="00B46F2C"/>
    <w:p w:rsidR="00B46F2C" w:rsidRDefault="00B46F2C">
      <w:r>
        <w:rPr>
          <w:b/>
        </w:rPr>
        <w:t>PURPOSE</w:t>
      </w:r>
      <w:r w:rsidRPr="009239AA">
        <w:rPr>
          <w:b/>
        </w:rPr>
        <w:t xml:space="preserve">:  </w:t>
      </w:r>
    </w:p>
    <w:p w:rsidR="00B46F2C" w:rsidRDefault="00B46F2C"/>
    <w:p w:rsidR="00B46F2C" w:rsidRDefault="00637066">
      <w:r>
        <w:t xml:space="preserve">The Comparative Effectiveness Research Inventory is a resource of value to researchers, health care providers, policy makers and patients and consumers, providing relevant information on the products of the nation’s investment in comparative effectiveness research through a flexible, user-friendly interface.  The purpose of this form </w:t>
      </w:r>
      <w:r w:rsidR="002B42F4">
        <w:t xml:space="preserve">(Appendix A) </w:t>
      </w:r>
      <w:r>
        <w:t>is to provide end users with a mechanism for submitting feedback on the Inventory’s functionality and contents.  This collection of customer feedback will obtain information of value for planning and implementing modifications and enhancements to the Inventory in the future, to increase its value over time.</w:t>
      </w:r>
      <w:r w:rsidR="003645A9">
        <w:t xml:space="preserve"> The form does not collect PII.  The form provides a drop down for users to note their “Sector”: Not Applicable; Government-research; Government-general; Academic; Other nonprofit; Other researcher; Other. Selection of a sector is not required in order to submit feedback.</w:t>
      </w:r>
    </w:p>
    <w:p w:rsidR="00B46F2C" w:rsidRDefault="00B46F2C"/>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637066" w:rsidRDefault="00637066">
      <w:r>
        <w:t>Respondents will be end users of the Comparative Effectiveness Inventory, including researchers, health care providers, policy makers, patients and consumers who are using the Inventory to obtain current and comprehensive information on comparative effectiveness research.</w:t>
      </w:r>
    </w:p>
    <w:p w:rsidR="00637066" w:rsidRDefault="00637066"/>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w:t>
      </w:r>
      <w:r w:rsidR="0008096F">
        <w:rPr>
          <w:bCs/>
          <w:sz w:val="24"/>
        </w:rPr>
        <w:t xml:space="preserve">x </w:t>
      </w:r>
      <w:r w:rsidRPr="00F06866">
        <w:rPr>
          <w:bCs/>
          <w:sz w:val="24"/>
        </w:rPr>
        <w:t xml:space="preserve">]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08096F">
        <w:rPr>
          <w:bCs/>
          <w:sz w:val="24"/>
        </w:rPr>
        <w:t xml:space="preserve"> </w:t>
      </w:r>
      <w:r w:rsidRPr="00F06866">
        <w:rPr>
          <w:bCs/>
          <w:sz w:val="24"/>
        </w:rPr>
        <w:t>]</w:t>
      </w:r>
      <w:r>
        <w:rPr>
          <w:bCs/>
          <w:sz w:val="24"/>
        </w:rPr>
        <w:t xml:space="preserve"> Other:</w:t>
      </w:r>
      <w:r w:rsidRPr="00F06866">
        <w:rPr>
          <w:bCs/>
          <w:sz w:val="24"/>
          <w:u w:val="single"/>
        </w:rPr>
        <w:t xml:space="preserve"> </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DF0992" w:rsidP="009C13B9">
      <w:r>
        <w:t>Name: Pierre Yong</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7365DD">
        <w:t>X</w:t>
      </w:r>
      <w:r>
        <w:t xml:space="preserve">]  No </w:t>
      </w:r>
    </w:p>
    <w:p w:rsidR="00B46F2C" w:rsidRDefault="00B46F2C" w:rsidP="00C86E91">
      <w:pPr>
        <w:pStyle w:val="ListParagraph"/>
        <w:numPr>
          <w:ilvl w:val="0"/>
          <w:numId w:val="18"/>
        </w:numPr>
      </w:pPr>
      <w:r>
        <w:t>If Yes, is the information that will be collected included in records that are subject to the Privacy Act of 1974?   [  ] Yes [</w:t>
      </w:r>
      <w:r w:rsidR="000B53BE">
        <w:t>X</w:t>
      </w:r>
      <w:r>
        <w:t xml:space="preserve">]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lastRenderedPageBreak/>
        <w:t>Gifts or Payments:</w:t>
      </w:r>
    </w:p>
    <w:p w:rsidR="00B46F2C" w:rsidRDefault="00B46F2C" w:rsidP="00C86E91">
      <w:r>
        <w:t xml:space="preserve">Is an incentive (e.g., money or reimbursement of expenses, token of appreciation) provided to participants?  [  ] Yes [ </w:t>
      </w:r>
      <w:r w:rsidR="000B53BE">
        <w:t>X</w:t>
      </w:r>
      <w:r>
        <w:t xml:space="preserve"> ] No  </w:t>
      </w: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C51449" w:rsidP="00FE2426">
            <w:r>
              <w:t>Individuals</w:t>
            </w:r>
          </w:p>
        </w:tc>
        <w:tc>
          <w:tcPr>
            <w:tcW w:w="1530" w:type="dxa"/>
          </w:tcPr>
          <w:p w:rsidR="00B46F2C" w:rsidRDefault="000B53BE" w:rsidP="00843796">
            <w:r>
              <w:t>500</w:t>
            </w:r>
          </w:p>
        </w:tc>
        <w:tc>
          <w:tcPr>
            <w:tcW w:w="1710" w:type="dxa"/>
          </w:tcPr>
          <w:p w:rsidR="00B46F2C" w:rsidRDefault="000B53BE" w:rsidP="00843796">
            <w:r>
              <w:t>15 min</w:t>
            </w:r>
          </w:p>
        </w:tc>
        <w:tc>
          <w:tcPr>
            <w:tcW w:w="1003" w:type="dxa"/>
          </w:tcPr>
          <w:p w:rsidR="00B46F2C" w:rsidRDefault="000B53BE" w:rsidP="00843796">
            <w:r>
              <w:t>125 hrs</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843796"/>
        </w:tc>
        <w:tc>
          <w:tcPr>
            <w:tcW w:w="1003" w:type="dxa"/>
          </w:tcPr>
          <w:p w:rsidR="00B46F2C" w:rsidRPr="00512CA7" w:rsidRDefault="00B46F2C" w:rsidP="00843796">
            <w:pPr>
              <w:rPr>
                <w:b/>
              </w:rPr>
            </w:pPr>
          </w:p>
        </w:tc>
      </w:tr>
    </w:tbl>
    <w:p w:rsidR="00B46F2C" w:rsidRDefault="00B46F2C" w:rsidP="00F3170F"/>
    <w:p w:rsidR="00B46F2C" w:rsidRDefault="00B46F2C">
      <w:pPr>
        <w:rPr>
          <w:b/>
        </w:rPr>
      </w:pPr>
      <w:r>
        <w:rPr>
          <w:b/>
        </w:rPr>
        <w:t xml:space="preserve">FEDERAL COST:  </w:t>
      </w:r>
      <w:r>
        <w:t xml:space="preserve">The estimated annual cost to the Federal government is  </w:t>
      </w:r>
      <w:r w:rsidR="000B53BE" w:rsidRPr="00C51449">
        <w:rPr>
          <w:u w:val="single"/>
        </w:rPr>
        <w:t>$12,500</w:t>
      </w:r>
      <w:r>
        <w:t>________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  ] No</w:t>
      </w:r>
    </w:p>
    <w:p w:rsidR="00B46F2C" w:rsidRDefault="00B46F2C" w:rsidP="00F24CFC">
      <w:pPr>
        <w:pStyle w:val="ListParagraph"/>
        <w:ind w:left="360"/>
      </w:pPr>
      <w:r>
        <w:t xml:space="preserve"> </w:t>
      </w:r>
    </w:p>
    <w:p w:rsidR="000B53BE" w:rsidRDefault="00B46F2C" w:rsidP="0024521E">
      <w:pPr>
        <w:rPr>
          <w:b/>
        </w:rPr>
      </w:pPr>
      <w:r w:rsidRPr="00F24CFC">
        <w:rPr>
          <w:b/>
        </w:rPr>
        <w:t>Please make sure that all instruments, instructions, and scripts are submitted with the request.</w:t>
      </w:r>
    </w:p>
    <w:p w:rsidR="00B46F2C" w:rsidRDefault="00B46F2C" w:rsidP="00DF0992">
      <w:pPr>
        <w:rPr>
          <w:sz w:val="28"/>
        </w:rPr>
      </w:pPr>
    </w:p>
    <w:p w:rsidR="0008096F" w:rsidRPr="00D82B80" w:rsidRDefault="00D82B80" w:rsidP="00DF0992">
      <w:r w:rsidRPr="00D82B80">
        <w:rPr>
          <w:b/>
        </w:rPr>
        <w:t>Attachments:</w:t>
      </w:r>
      <w:r>
        <w:tab/>
        <w:t>Appendix A—customer comment card</w:t>
      </w:r>
    </w:p>
    <w:sectPr w:rsidR="0008096F" w:rsidRPr="00D82B80"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2C" w:rsidRDefault="00B46F2C">
      <w:r>
        <w:separator/>
      </w:r>
    </w:p>
  </w:endnote>
  <w:endnote w:type="continuationSeparator" w:id="0">
    <w:p w:rsidR="00B46F2C" w:rsidRDefault="00B46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2C" w:rsidRDefault="00174696">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DF5EC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2C" w:rsidRDefault="00B46F2C">
      <w:r>
        <w:separator/>
      </w:r>
    </w:p>
  </w:footnote>
  <w:footnote w:type="continuationSeparator" w:id="0">
    <w:p w:rsidR="00B46F2C" w:rsidRDefault="00B46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23A57"/>
    <w:rsid w:val="00047A64"/>
    <w:rsid w:val="00067329"/>
    <w:rsid w:val="0008096F"/>
    <w:rsid w:val="000B2838"/>
    <w:rsid w:val="000B53BE"/>
    <w:rsid w:val="000D44CA"/>
    <w:rsid w:val="000E200B"/>
    <w:rsid w:val="000F68BE"/>
    <w:rsid w:val="00174696"/>
    <w:rsid w:val="001927A4"/>
    <w:rsid w:val="00194AC6"/>
    <w:rsid w:val="001A23B0"/>
    <w:rsid w:val="001A25CC"/>
    <w:rsid w:val="001B0AAA"/>
    <w:rsid w:val="001C39F7"/>
    <w:rsid w:val="00237B48"/>
    <w:rsid w:val="0024521E"/>
    <w:rsid w:val="00263C3D"/>
    <w:rsid w:val="0027105D"/>
    <w:rsid w:val="00274D0B"/>
    <w:rsid w:val="002821FF"/>
    <w:rsid w:val="002B3C95"/>
    <w:rsid w:val="002B42F4"/>
    <w:rsid w:val="002D0B92"/>
    <w:rsid w:val="003645A9"/>
    <w:rsid w:val="003D5BBE"/>
    <w:rsid w:val="003E3C61"/>
    <w:rsid w:val="003F1C5B"/>
    <w:rsid w:val="0041337D"/>
    <w:rsid w:val="00434E33"/>
    <w:rsid w:val="00441434"/>
    <w:rsid w:val="0045264C"/>
    <w:rsid w:val="004876EC"/>
    <w:rsid w:val="004D6E14"/>
    <w:rsid w:val="005009B0"/>
    <w:rsid w:val="00512CA7"/>
    <w:rsid w:val="005A1006"/>
    <w:rsid w:val="005E626E"/>
    <w:rsid w:val="005E714A"/>
    <w:rsid w:val="006140A0"/>
    <w:rsid w:val="00636621"/>
    <w:rsid w:val="00637066"/>
    <w:rsid w:val="00642B49"/>
    <w:rsid w:val="006832D9"/>
    <w:rsid w:val="0069403B"/>
    <w:rsid w:val="006F3DDE"/>
    <w:rsid w:val="00704678"/>
    <w:rsid w:val="007365DD"/>
    <w:rsid w:val="007425E7"/>
    <w:rsid w:val="00802607"/>
    <w:rsid w:val="008101A5"/>
    <w:rsid w:val="00822664"/>
    <w:rsid w:val="00843796"/>
    <w:rsid w:val="00895229"/>
    <w:rsid w:val="008F0203"/>
    <w:rsid w:val="008F50D4"/>
    <w:rsid w:val="009239AA"/>
    <w:rsid w:val="00935ADA"/>
    <w:rsid w:val="00946B6C"/>
    <w:rsid w:val="00955A71"/>
    <w:rsid w:val="009568F7"/>
    <w:rsid w:val="0096108F"/>
    <w:rsid w:val="009771C8"/>
    <w:rsid w:val="009A4868"/>
    <w:rsid w:val="009C13B9"/>
    <w:rsid w:val="009D01A2"/>
    <w:rsid w:val="009F5923"/>
    <w:rsid w:val="00A403BB"/>
    <w:rsid w:val="00A674DF"/>
    <w:rsid w:val="00A83AA6"/>
    <w:rsid w:val="00AE1809"/>
    <w:rsid w:val="00B46F2C"/>
    <w:rsid w:val="00B80D76"/>
    <w:rsid w:val="00BA2105"/>
    <w:rsid w:val="00BA7E06"/>
    <w:rsid w:val="00BB43B5"/>
    <w:rsid w:val="00BB6219"/>
    <w:rsid w:val="00BD290F"/>
    <w:rsid w:val="00C14CC4"/>
    <w:rsid w:val="00C33C52"/>
    <w:rsid w:val="00C40D8B"/>
    <w:rsid w:val="00C51449"/>
    <w:rsid w:val="00C6215F"/>
    <w:rsid w:val="00C8407A"/>
    <w:rsid w:val="00C8488C"/>
    <w:rsid w:val="00C86E91"/>
    <w:rsid w:val="00CA2650"/>
    <w:rsid w:val="00CB1078"/>
    <w:rsid w:val="00CC6FAF"/>
    <w:rsid w:val="00D24698"/>
    <w:rsid w:val="00D6383F"/>
    <w:rsid w:val="00D82B80"/>
    <w:rsid w:val="00DB59D0"/>
    <w:rsid w:val="00DC33D3"/>
    <w:rsid w:val="00DE12E8"/>
    <w:rsid w:val="00DF0992"/>
    <w:rsid w:val="00DF5EC8"/>
    <w:rsid w:val="00E26329"/>
    <w:rsid w:val="00E40B50"/>
    <w:rsid w:val="00E50293"/>
    <w:rsid w:val="00E65FFC"/>
    <w:rsid w:val="00E80951"/>
    <w:rsid w:val="00E854FE"/>
    <w:rsid w:val="00E86CC6"/>
    <w:rsid w:val="00E94A63"/>
    <w:rsid w:val="00EB56B3"/>
    <w:rsid w:val="00ED6492"/>
    <w:rsid w:val="00EF2095"/>
    <w:rsid w:val="00F06866"/>
    <w:rsid w:val="00F15956"/>
    <w:rsid w:val="00F24CFC"/>
    <w:rsid w:val="00F3170F"/>
    <w:rsid w:val="00F4017B"/>
    <w:rsid w:val="00F976B0"/>
    <w:rsid w:val="00FA6DE7"/>
    <w:rsid w:val="00FC0A8E"/>
    <w:rsid w:val="00FE2426"/>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Department of Health and Human Services</cp:lastModifiedBy>
  <cp:revision>2</cp:revision>
  <cp:lastPrinted>2010-10-04T16:59:00Z</cp:lastPrinted>
  <dcterms:created xsi:type="dcterms:W3CDTF">2011-12-01T21:20:00Z</dcterms:created>
  <dcterms:modified xsi:type="dcterms:W3CDTF">2011-12-01T21:20:00Z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