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D8E" w:rsidRDefault="00BF4D8E">
      <w:pPr>
        <w:rPr>
          <w:sz w:val="24"/>
        </w:rPr>
      </w:pPr>
    </w:p>
    <w:p w:rsidR="007F5022" w:rsidRPr="007F5022" w:rsidRDefault="007F5022" w:rsidP="007F5022">
      <w:pPr>
        <w:keepNext/>
        <w:numPr>
          <w:ilvl w:val="0"/>
          <w:numId w:val="22"/>
        </w:numPr>
        <w:tabs>
          <w:tab w:val="left" w:pos="360"/>
        </w:tabs>
        <w:rPr>
          <w:rFonts w:cs="Arial"/>
          <w:b/>
          <w:i/>
          <w:color w:val="000000"/>
          <w:sz w:val="24"/>
        </w:rPr>
      </w:pPr>
      <w:r w:rsidRPr="007F5022">
        <w:rPr>
          <w:rFonts w:cs="Arial"/>
          <w:b/>
          <w:i/>
          <w:color w:val="000000"/>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BF4D8E" w:rsidRDefault="00BF4D8E" w:rsidP="007F5022">
      <w:pPr>
        <w:keepNext/>
        <w:ind w:left="360"/>
        <w:rPr>
          <w:sz w:val="24"/>
        </w:rPr>
      </w:pPr>
    </w:p>
    <w:p w:rsidR="007F5022" w:rsidRDefault="00881208" w:rsidP="007F5022">
      <w:pPr>
        <w:pStyle w:val="Heading2"/>
        <w:keepNext w:val="0"/>
        <w:ind w:left="360"/>
        <w:rPr>
          <w:rFonts w:ascii="Times New Roman" w:hAnsi="Times New Roman"/>
        </w:rPr>
      </w:pPr>
      <w:r>
        <w:rPr>
          <w:rFonts w:ascii="Times New Roman" w:hAnsi="Times New Roman"/>
        </w:rPr>
        <w:t xml:space="preserve">This is a request to renew a currently approved collection with minor changes.  This collection supports the implementation of </w:t>
      </w:r>
      <w:r w:rsidR="00BF4D8E">
        <w:rPr>
          <w:rFonts w:ascii="Times New Roman" w:hAnsi="Times New Roman"/>
        </w:rPr>
        <w:t>section 1012 of the USA PATRIOT Act</w:t>
      </w:r>
      <w:r w:rsidR="000C46EF">
        <w:rPr>
          <w:rFonts w:ascii="Times New Roman" w:hAnsi="Times New Roman"/>
        </w:rPr>
        <w:t xml:space="preserve"> </w:t>
      </w:r>
      <w:r w:rsidR="000C46EF" w:rsidRPr="000C46EF">
        <w:rPr>
          <w:rFonts w:ascii="Times New Roman" w:hAnsi="Times New Roman"/>
        </w:rPr>
        <w:t>(Pub. L. 107-56, 115 Stat. 272, 396, Oct. 26, 2001</w:t>
      </w:r>
      <w:r w:rsidR="00665ABA">
        <w:rPr>
          <w:rFonts w:ascii="Times New Roman" w:hAnsi="Times New Roman"/>
        </w:rPr>
        <w:t>, the “Act”</w:t>
      </w:r>
      <w:r w:rsidR="000C46EF" w:rsidRPr="000C46EF">
        <w:rPr>
          <w:rFonts w:ascii="Times New Roman" w:hAnsi="Times New Roman"/>
        </w:rPr>
        <w:t>)</w:t>
      </w:r>
      <w:r>
        <w:rPr>
          <w:rFonts w:ascii="Times New Roman" w:hAnsi="Times New Roman"/>
        </w:rPr>
        <w:t>, which mandates that no State or the District of Columbia may issue a hazardous materials endorsement (HME) on a commercial driver’s license (CDL) unless TSA has first determined the driver is not a threat to transportation security</w:t>
      </w:r>
      <w:r w:rsidR="000C46EF">
        <w:rPr>
          <w:rFonts w:ascii="Times New Roman" w:hAnsi="Times New Roman"/>
        </w:rPr>
        <w:t xml:space="preserve">. </w:t>
      </w:r>
      <w:r>
        <w:rPr>
          <w:rFonts w:ascii="Times New Roman" w:hAnsi="Times New Roman"/>
        </w:rPr>
        <w:t xml:space="preserve"> </w:t>
      </w:r>
      <w:r w:rsidR="000C46EF">
        <w:rPr>
          <w:rFonts w:ascii="Times New Roman" w:hAnsi="Times New Roman"/>
        </w:rPr>
        <w:t>T</w:t>
      </w:r>
      <w:r w:rsidR="00BF4D8E">
        <w:rPr>
          <w:rFonts w:ascii="Times New Roman" w:hAnsi="Times New Roman"/>
        </w:rPr>
        <w:t xml:space="preserve">he </w:t>
      </w:r>
      <w:r>
        <w:rPr>
          <w:rFonts w:ascii="Times New Roman" w:hAnsi="Times New Roman"/>
        </w:rPr>
        <w:t>current</w:t>
      </w:r>
      <w:r w:rsidR="005B0B62">
        <w:rPr>
          <w:rFonts w:ascii="Times New Roman" w:hAnsi="Times New Roman"/>
        </w:rPr>
        <w:t>ly</w:t>
      </w:r>
      <w:r>
        <w:rPr>
          <w:rFonts w:ascii="Times New Roman" w:hAnsi="Times New Roman"/>
        </w:rPr>
        <w:t xml:space="preserve"> </w:t>
      </w:r>
      <w:r w:rsidR="00BF4D8E">
        <w:rPr>
          <w:rFonts w:ascii="Times New Roman" w:hAnsi="Times New Roman"/>
        </w:rPr>
        <w:t>published rule</w:t>
      </w:r>
      <w:r w:rsidR="00E37707">
        <w:rPr>
          <w:rFonts w:ascii="Times New Roman" w:hAnsi="Times New Roman"/>
        </w:rPr>
        <w:t xml:space="preserve"> found at </w:t>
      </w:r>
      <w:r w:rsidR="005B0B62">
        <w:rPr>
          <w:rFonts w:ascii="Times New Roman" w:hAnsi="Times New Roman"/>
        </w:rPr>
        <w:t>49 CFR 1572</w:t>
      </w:r>
      <w:r w:rsidR="00E37707">
        <w:rPr>
          <w:rFonts w:ascii="Times New Roman" w:hAnsi="Times New Roman"/>
        </w:rPr>
        <w:t xml:space="preserve"> (“the rule”)</w:t>
      </w:r>
      <w:r w:rsidR="005B0B62">
        <w:rPr>
          <w:rFonts w:ascii="Times New Roman" w:hAnsi="Times New Roman"/>
        </w:rPr>
        <w:t xml:space="preserve"> </w:t>
      </w:r>
      <w:r w:rsidR="00BF4D8E">
        <w:rPr>
          <w:rFonts w:ascii="Times New Roman" w:hAnsi="Times New Roman"/>
        </w:rPr>
        <w:t xml:space="preserve">and section 1012 </w:t>
      </w:r>
      <w:r w:rsidR="002544E2">
        <w:rPr>
          <w:rFonts w:ascii="Times New Roman" w:hAnsi="Times New Roman"/>
        </w:rPr>
        <w:t xml:space="preserve">of the Act </w:t>
      </w:r>
      <w:r w:rsidR="00BF4D8E">
        <w:rPr>
          <w:rFonts w:ascii="Times New Roman" w:hAnsi="Times New Roman"/>
        </w:rPr>
        <w:t xml:space="preserve">are attached to this application.  </w:t>
      </w:r>
    </w:p>
    <w:p w:rsidR="007F5022" w:rsidRDefault="007F5022" w:rsidP="007F5022">
      <w:pPr>
        <w:pStyle w:val="Heading2"/>
        <w:keepNext w:val="0"/>
        <w:ind w:left="360"/>
        <w:rPr>
          <w:rFonts w:ascii="Times New Roman" w:hAnsi="Times New Roman"/>
        </w:rPr>
      </w:pPr>
    </w:p>
    <w:p w:rsidR="007F5022" w:rsidRDefault="00BF4D8E" w:rsidP="007F5022">
      <w:pPr>
        <w:pStyle w:val="Heading2"/>
        <w:keepNext w:val="0"/>
        <w:ind w:left="360"/>
        <w:rPr>
          <w:rFonts w:ascii="Times New Roman" w:hAnsi="Times New Roman"/>
        </w:rPr>
      </w:pPr>
      <w:r>
        <w:rPr>
          <w:rFonts w:ascii="Times New Roman" w:hAnsi="Times New Roman"/>
        </w:rPr>
        <w:t xml:space="preserve">The rule </w:t>
      </w:r>
      <w:r w:rsidR="000C46EF" w:rsidRPr="000C46EF">
        <w:rPr>
          <w:rFonts w:ascii="Times New Roman" w:hAnsi="Times New Roman"/>
        </w:rPr>
        <w:t>describes the procedures, standards, and eligibility criteria for security threat assessments o</w:t>
      </w:r>
      <w:r w:rsidR="00AA4F6C">
        <w:rPr>
          <w:rFonts w:ascii="Times New Roman" w:hAnsi="Times New Roman"/>
        </w:rPr>
        <w:t>f</w:t>
      </w:r>
      <w:r w:rsidR="000C46EF" w:rsidRPr="000C46EF">
        <w:rPr>
          <w:rFonts w:ascii="Times New Roman" w:hAnsi="Times New Roman"/>
        </w:rPr>
        <w:t xml:space="preserve"> individuals seeking to obtain, renew, or transfer a</w:t>
      </w:r>
      <w:r w:rsidR="00665ABA">
        <w:rPr>
          <w:rFonts w:ascii="Times New Roman" w:hAnsi="Times New Roman"/>
        </w:rPr>
        <w:t>n</w:t>
      </w:r>
      <w:r w:rsidR="000C46EF" w:rsidRPr="000C46EF">
        <w:rPr>
          <w:rFonts w:ascii="Times New Roman" w:hAnsi="Times New Roman"/>
        </w:rPr>
        <w:t xml:space="preserve"> HME on a CDL</w:t>
      </w:r>
      <w:r>
        <w:rPr>
          <w:rFonts w:ascii="Times New Roman" w:hAnsi="Times New Roman"/>
        </w:rPr>
        <w:t xml:space="preserve">.  </w:t>
      </w:r>
      <w:r w:rsidR="004917C0" w:rsidRPr="004917C0">
        <w:rPr>
          <w:rFonts w:ascii="Times New Roman" w:hAnsi="Times New Roman"/>
        </w:rPr>
        <w:t xml:space="preserve">In order to conduct the security threat assessment, States (or a TSA designated agent in States that elect to have TSA perform the collection of information) must collect information in addition to that already collected for the purpose of HME applications, which will occur once approximately every five years.  The driver is required to submit an application that includes personal biographic information (for instance, height, weight, eye and hair color, date of birth); information concerning legal status, mental health defects history, and criminal history; as well as fingerprints.  In addition, 49 CFR part 1572 requires States to maintain a copy of the driver application for a period of one year.  </w:t>
      </w:r>
    </w:p>
    <w:p w:rsidR="007F5022" w:rsidRDefault="007F5022" w:rsidP="007F5022">
      <w:pPr>
        <w:pStyle w:val="Heading2"/>
        <w:keepNext w:val="0"/>
        <w:ind w:left="360"/>
        <w:rPr>
          <w:rFonts w:ascii="Times New Roman" w:hAnsi="Times New Roman"/>
        </w:rPr>
      </w:pPr>
    </w:p>
    <w:p w:rsidR="00BF4D8E" w:rsidRDefault="004917C0" w:rsidP="007F5022">
      <w:pPr>
        <w:pStyle w:val="Heading2"/>
        <w:keepNext w:val="0"/>
        <w:ind w:left="360"/>
        <w:rPr>
          <w:rFonts w:ascii="Times New Roman" w:hAnsi="Times New Roman"/>
        </w:rPr>
      </w:pPr>
      <w:r w:rsidRPr="004917C0">
        <w:rPr>
          <w:rFonts w:ascii="Times New Roman" w:hAnsi="Times New Roman"/>
        </w:rPr>
        <w:t xml:space="preserve">In this information collection renewal, TSA is amending the application to collect minor additional information, such as </w:t>
      </w:r>
      <w:r w:rsidR="003B1104">
        <w:rPr>
          <w:rFonts w:ascii="Times New Roman" w:hAnsi="Times New Roman"/>
        </w:rPr>
        <w:t>legal status document information and whether the driver is a new applicant or renewing or transferring</w:t>
      </w:r>
      <w:r w:rsidR="00FA3FCA">
        <w:rPr>
          <w:rFonts w:ascii="Times New Roman" w:hAnsi="Times New Roman"/>
        </w:rPr>
        <w:t xml:space="preserve"> the HME.  This will enable the progra</w:t>
      </w:r>
      <w:r w:rsidR="00DB1A64">
        <w:rPr>
          <w:rFonts w:ascii="Times New Roman" w:hAnsi="Times New Roman"/>
        </w:rPr>
        <w:t>m</w:t>
      </w:r>
      <w:r w:rsidR="00FA3FCA">
        <w:rPr>
          <w:rFonts w:ascii="Times New Roman" w:hAnsi="Times New Roman"/>
        </w:rPr>
        <w:t xml:space="preserve"> to better understand and forecast driver retention</w:t>
      </w:r>
      <w:r w:rsidR="00CF55D0">
        <w:rPr>
          <w:rFonts w:ascii="Times New Roman" w:hAnsi="Times New Roman"/>
        </w:rPr>
        <w:t xml:space="preserve">, </w:t>
      </w:r>
      <w:r w:rsidR="00CF55D0" w:rsidRPr="004917C0">
        <w:rPr>
          <w:rFonts w:ascii="Times New Roman" w:hAnsi="Times New Roman"/>
        </w:rPr>
        <w:t>transfer</w:t>
      </w:r>
      <w:r w:rsidRPr="004917C0">
        <w:rPr>
          <w:rFonts w:ascii="Times New Roman" w:hAnsi="Times New Roman"/>
        </w:rPr>
        <w:t xml:space="preserve"> rate, and drop-rate</w:t>
      </w:r>
      <w:r w:rsidR="00FA3FCA">
        <w:rPr>
          <w:rFonts w:ascii="Times New Roman" w:hAnsi="Times New Roman"/>
        </w:rPr>
        <w:t xml:space="preserve">, thus improving </w:t>
      </w:r>
      <w:r w:rsidRPr="004917C0">
        <w:rPr>
          <w:rFonts w:ascii="Times New Roman" w:hAnsi="Times New Roman"/>
        </w:rPr>
        <w:t>customer service, reduc</w:t>
      </w:r>
      <w:r w:rsidR="00FA3FCA">
        <w:rPr>
          <w:rFonts w:ascii="Times New Roman" w:hAnsi="Times New Roman"/>
        </w:rPr>
        <w:t>ing</w:t>
      </w:r>
      <w:r w:rsidRPr="004917C0">
        <w:rPr>
          <w:rFonts w:ascii="Times New Roman" w:hAnsi="Times New Roman"/>
        </w:rPr>
        <w:t xml:space="preserve"> program costs, and </w:t>
      </w:r>
      <w:r w:rsidR="003F05A0">
        <w:rPr>
          <w:rFonts w:ascii="Times New Roman" w:hAnsi="Times New Roman"/>
        </w:rPr>
        <w:t>identifying other DHS/TSA security threat assessments the applicant has already undergone.</w:t>
      </w:r>
      <w:r w:rsidR="00BF4D8E">
        <w:rPr>
          <w:rFonts w:ascii="Times New Roman" w:hAnsi="Times New Roman"/>
        </w:rPr>
        <w:t xml:space="preserve">  </w:t>
      </w:r>
      <w:r w:rsidR="00881208">
        <w:rPr>
          <w:rFonts w:ascii="Times New Roman" w:hAnsi="Times New Roman"/>
        </w:rPr>
        <w:t xml:space="preserve">  </w:t>
      </w:r>
    </w:p>
    <w:p w:rsidR="00FA3FCA" w:rsidRDefault="00FA3FCA" w:rsidP="00FA3FCA"/>
    <w:p w:rsidR="00FA3FCA" w:rsidRPr="00FA3FCA" w:rsidRDefault="00070513" w:rsidP="00FA3FCA">
      <w:pPr>
        <w:ind w:left="360"/>
        <w:rPr>
          <w:sz w:val="24"/>
          <w:szCs w:val="24"/>
        </w:rPr>
      </w:pPr>
      <w:r>
        <w:rPr>
          <w:sz w:val="24"/>
          <w:szCs w:val="24"/>
        </w:rPr>
        <w:t xml:space="preserve">Since there were not many new items added to the application, we believe the burden associated with an applicant providing this information is minimal.  </w:t>
      </w:r>
      <w:r w:rsidR="00FA3FCA" w:rsidRPr="00FA3FCA">
        <w:rPr>
          <w:sz w:val="24"/>
          <w:szCs w:val="24"/>
        </w:rPr>
        <w:t>By receiving these pieces of information during the application process, requests for additional information/documentation will be minimized during the post-adjudication process</w:t>
      </w:r>
      <w:r w:rsidR="00FE6A2B">
        <w:rPr>
          <w:sz w:val="24"/>
          <w:szCs w:val="24"/>
        </w:rPr>
        <w:t>, thus reducing the processing time for threat assessments</w:t>
      </w:r>
      <w:r w:rsidR="00FA3FCA" w:rsidRPr="00FA3FCA">
        <w:rPr>
          <w:sz w:val="24"/>
          <w:szCs w:val="24"/>
        </w:rPr>
        <w:t>.</w:t>
      </w:r>
    </w:p>
    <w:p w:rsidR="003B1104" w:rsidRDefault="003B1104" w:rsidP="00FA3FCA">
      <w:pPr>
        <w:spacing w:line="480" w:lineRule="auto"/>
        <w:rPr>
          <w:rFonts w:ascii="Arial" w:hAnsi="Arial" w:cs="Arial"/>
          <w:color w:val="000000"/>
          <w:sz w:val="24"/>
          <w:szCs w:val="24"/>
        </w:rPr>
      </w:pPr>
      <w:r>
        <w:t xml:space="preserve">       </w:t>
      </w:r>
    </w:p>
    <w:p w:rsidR="003B1104" w:rsidRPr="003B1104" w:rsidRDefault="003B1104" w:rsidP="003B1104"/>
    <w:p w:rsidR="00BF4D8E" w:rsidRDefault="00BF4D8E">
      <w:pPr>
        <w:rPr>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Indicate how, by whom, and for what purpose the information is to be used.  Except for a new collection, indicate the actual use the agency has made of the information received from the current collection.</w:t>
      </w:r>
    </w:p>
    <w:p w:rsidR="00BF4D8E" w:rsidRDefault="00BF4D8E" w:rsidP="007F5022">
      <w:pPr>
        <w:keepNext/>
        <w:ind w:left="360"/>
        <w:rPr>
          <w:b/>
          <w:sz w:val="24"/>
        </w:rPr>
      </w:pPr>
    </w:p>
    <w:p w:rsidR="00BF4D8E" w:rsidRDefault="002E7EF2" w:rsidP="007F5022">
      <w:pPr>
        <w:ind w:left="360"/>
        <w:rPr>
          <w:sz w:val="24"/>
        </w:rPr>
      </w:pPr>
      <w:r>
        <w:rPr>
          <w:sz w:val="24"/>
        </w:rPr>
        <w:t xml:space="preserve">Commercial </w:t>
      </w:r>
      <w:r w:rsidR="00BF4D8E">
        <w:rPr>
          <w:sz w:val="24"/>
        </w:rPr>
        <w:t xml:space="preserve">drivers seeking </w:t>
      </w:r>
      <w:r w:rsidR="00952F75">
        <w:rPr>
          <w:sz w:val="24"/>
        </w:rPr>
        <w:t xml:space="preserve">an </w:t>
      </w:r>
      <w:r w:rsidR="00BF4D8E">
        <w:rPr>
          <w:sz w:val="24"/>
        </w:rPr>
        <w:t>HME will be required to provide fingerprints</w:t>
      </w:r>
      <w:r>
        <w:rPr>
          <w:sz w:val="24"/>
        </w:rPr>
        <w:t xml:space="preserve"> </w:t>
      </w:r>
      <w:r w:rsidR="00BF4D8E">
        <w:rPr>
          <w:sz w:val="24"/>
        </w:rPr>
        <w:t xml:space="preserve">and an application for the purpose of conducting a </w:t>
      </w:r>
      <w:r w:rsidR="00AA4F6C">
        <w:rPr>
          <w:sz w:val="24"/>
        </w:rPr>
        <w:t>security threat assessment</w:t>
      </w:r>
      <w:r w:rsidR="00BF4D8E">
        <w:rPr>
          <w:sz w:val="24"/>
        </w:rPr>
        <w:t>.  State</w:t>
      </w:r>
      <w:r w:rsidR="00DB1A64">
        <w:rPr>
          <w:sz w:val="24"/>
        </w:rPr>
        <w:t xml:space="preserve"> Motor Vehicle Agencies</w:t>
      </w:r>
      <w:r w:rsidR="007D7F0D">
        <w:rPr>
          <w:sz w:val="24"/>
        </w:rPr>
        <w:t>,</w:t>
      </w:r>
      <w:r w:rsidR="00BF4D8E">
        <w:rPr>
          <w:sz w:val="24"/>
        </w:rPr>
        <w:t xml:space="preserve"> </w:t>
      </w:r>
      <w:r>
        <w:rPr>
          <w:sz w:val="24"/>
        </w:rPr>
        <w:t xml:space="preserve">or a TSA designated contractor in </w:t>
      </w:r>
      <w:r w:rsidR="00DB1A64">
        <w:rPr>
          <w:sz w:val="24"/>
        </w:rPr>
        <w:t xml:space="preserve">TSA-agent </w:t>
      </w:r>
      <w:r>
        <w:rPr>
          <w:sz w:val="24"/>
        </w:rPr>
        <w:t>States</w:t>
      </w:r>
      <w:r w:rsidR="007D7F0D">
        <w:rPr>
          <w:sz w:val="24"/>
        </w:rPr>
        <w:t>,</w:t>
      </w:r>
      <w:r>
        <w:rPr>
          <w:sz w:val="24"/>
        </w:rPr>
        <w:t xml:space="preserve"> </w:t>
      </w:r>
      <w:r w:rsidR="00BF4D8E">
        <w:rPr>
          <w:sz w:val="24"/>
        </w:rPr>
        <w:t>will collect this information as part of the procedure to obtain</w:t>
      </w:r>
      <w:r>
        <w:rPr>
          <w:sz w:val="24"/>
        </w:rPr>
        <w:t xml:space="preserve">, </w:t>
      </w:r>
      <w:r w:rsidR="00BF4D8E">
        <w:rPr>
          <w:sz w:val="24"/>
        </w:rPr>
        <w:t xml:space="preserve">renew </w:t>
      </w:r>
      <w:r>
        <w:rPr>
          <w:sz w:val="24"/>
        </w:rPr>
        <w:t xml:space="preserve">or transfer </w:t>
      </w:r>
      <w:r w:rsidR="00BF4D8E">
        <w:rPr>
          <w:sz w:val="24"/>
        </w:rPr>
        <w:t>an HME</w:t>
      </w:r>
      <w:r>
        <w:rPr>
          <w:sz w:val="24"/>
        </w:rPr>
        <w:t xml:space="preserve"> on a CDL</w:t>
      </w:r>
      <w:r w:rsidR="00BF4D8E">
        <w:rPr>
          <w:sz w:val="24"/>
        </w:rPr>
        <w:t xml:space="preserve">, which will occur once </w:t>
      </w:r>
      <w:r>
        <w:rPr>
          <w:sz w:val="24"/>
        </w:rPr>
        <w:t xml:space="preserve">approximately </w:t>
      </w:r>
      <w:r w:rsidR="00BF4D8E">
        <w:rPr>
          <w:sz w:val="24"/>
        </w:rPr>
        <w:t xml:space="preserve">every five years.  </w:t>
      </w:r>
      <w:r w:rsidRPr="002E7EF2">
        <w:rPr>
          <w:sz w:val="24"/>
        </w:rPr>
        <w:t xml:space="preserve">Minor changes to the application have been made to collect metrics necessary to understand and forecast driver retention, transfer rate, and drop-rate to help improve customer service and reduce program costs, and provide comparability with other Federal background checks, including </w:t>
      </w:r>
      <w:r w:rsidR="001F5E70">
        <w:rPr>
          <w:sz w:val="24"/>
        </w:rPr>
        <w:t xml:space="preserve">the </w:t>
      </w:r>
      <w:r w:rsidRPr="002E7EF2">
        <w:rPr>
          <w:sz w:val="24"/>
        </w:rPr>
        <w:t xml:space="preserve">Transportation Workers Identification Credential (TWIC).  </w:t>
      </w:r>
    </w:p>
    <w:p w:rsidR="00BF4D8E" w:rsidRDefault="00BF4D8E">
      <w:pPr>
        <w:ind w:left="720" w:hanging="720"/>
        <w:rPr>
          <w:b/>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F5022">
        <w:rPr>
          <w:b/>
          <w:bCs/>
          <w:i/>
          <w:iCs/>
          <w:snapToGrid w:val="0"/>
          <w:color w:val="000000"/>
          <w:sz w:val="24"/>
        </w:rPr>
        <w:t xml:space="preserve">  [Effective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7F5022" w:rsidRPr="007F5022" w:rsidRDefault="007F5022" w:rsidP="007F5022">
      <w:pPr>
        <w:keepNext/>
        <w:numPr>
          <w:ilvl w:val="12"/>
          <w:numId w:val="0"/>
        </w:numPr>
        <w:ind w:left="360"/>
        <w:rPr>
          <w:b/>
          <w:bCs/>
          <w:i/>
          <w:iCs/>
          <w:color w:val="000000"/>
          <w:sz w:val="24"/>
        </w:rPr>
      </w:pPr>
    </w:p>
    <w:p w:rsidR="00BF4D8E" w:rsidRDefault="002E7EF2" w:rsidP="007F5022">
      <w:pPr>
        <w:pStyle w:val="BodyText"/>
        <w:ind w:left="360"/>
        <w:rPr>
          <w:rFonts w:ascii="Times New Roman" w:hAnsi="Times New Roman"/>
        </w:rPr>
      </w:pPr>
      <w:r>
        <w:rPr>
          <w:rFonts w:ascii="Times New Roman" w:hAnsi="Times New Roman"/>
        </w:rPr>
        <w:t xml:space="preserve">The process is fully electronic except in some remote locations </w:t>
      </w:r>
      <w:r w:rsidR="007D7F0D">
        <w:rPr>
          <w:rFonts w:ascii="Times New Roman" w:hAnsi="Times New Roman"/>
        </w:rPr>
        <w:t>such as</w:t>
      </w:r>
      <w:r>
        <w:rPr>
          <w:rFonts w:ascii="Times New Roman" w:hAnsi="Times New Roman"/>
        </w:rPr>
        <w:t xml:space="preserve"> parts of </w:t>
      </w:r>
      <w:smartTag w:uri="urn:schemas-microsoft-com:office:smarttags" w:element="State">
        <w:r>
          <w:rPr>
            <w:rFonts w:ascii="Times New Roman" w:hAnsi="Times New Roman"/>
          </w:rPr>
          <w:t>Alaska</w:t>
        </w:r>
      </w:smartTag>
      <w:r>
        <w:rPr>
          <w:rFonts w:ascii="Times New Roman" w:hAnsi="Times New Roman"/>
        </w:rPr>
        <w:t xml:space="preserve"> and other sparsely populated sites in the </w:t>
      </w:r>
      <w:smartTag w:uri="urn:schemas-microsoft-com:office:smarttags" w:element="country-region">
        <w:smartTag w:uri="urn:schemas-microsoft-com:office:smarttags" w:element="place">
          <w:r>
            <w:rPr>
              <w:rFonts w:ascii="Times New Roman" w:hAnsi="Times New Roman"/>
            </w:rPr>
            <w:t>U</w:t>
          </w:r>
          <w:r w:rsidR="000C46EF">
            <w:rPr>
              <w:rFonts w:ascii="Times New Roman" w:hAnsi="Times New Roman"/>
            </w:rPr>
            <w:t xml:space="preserve">nited </w:t>
          </w:r>
          <w:r>
            <w:rPr>
              <w:rFonts w:ascii="Times New Roman" w:hAnsi="Times New Roman"/>
            </w:rPr>
            <w:t>S</w:t>
          </w:r>
          <w:r w:rsidR="000C46EF">
            <w:rPr>
              <w:rFonts w:ascii="Times New Roman" w:hAnsi="Times New Roman"/>
            </w:rPr>
            <w:t>tates</w:t>
          </w:r>
        </w:smartTag>
      </w:smartTag>
      <w:r w:rsidR="007D7F0D">
        <w:rPr>
          <w:rFonts w:ascii="Times New Roman" w:hAnsi="Times New Roman"/>
        </w:rPr>
        <w:t xml:space="preserve">.  In areas where the process is not electronic, </w:t>
      </w:r>
      <w:r>
        <w:rPr>
          <w:rFonts w:ascii="Times New Roman" w:hAnsi="Times New Roman"/>
        </w:rPr>
        <w:t xml:space="preserve">the information is </w:t>
      </w:r>
      <w:r w:rsidR="00DB1A64">
        <w:rPr>
          <w:rFonts w:ascii="Times New Roman" w:hAnsi="Times New Roman"/>
        </w:rPr>
        <w:t xml:space="preserve">collected via a hard-copy application and </w:t>
      </w:r>
      <w:r>
        <w:rPr>
          <w:rFonts w:ascii="Times New Roman" w:hAnsi="Times New Roman"/>
        </w:rPr>
        <w:t xml:space="preserve">converted to </w:t>
      </w:r>
      <w:r w:rsidR="007D7F0D">
        <w:rPr>
          <w:rFonts w:ascii="Times New Roman" w:hAnsi="Times New Roman"/>
        </w:rPr>
        <w:t xml:space="preserve">a </w:t>
      </w:r>
      <w:r>
        <w:rPr>
          <w:rFonts w:ascii="Times New Roman" w:hAnsi="Times New Roman"/>
        </w:rPr>
        <w:t>fully electronic format.  Currently, the program completes initial processing of 90</w:t>
      </w:r>
      <w:r w:rsidR="000C46EF">
        <w:rPr>
          <w:rFonts w:ascii="Times New Roman" w:hAnsi="Times New Roman"/>
        </w:rPr>
        <w:t xml:space="preserve"> percent </w:t>
      </w:r>
      <w:r>
        <w:rPr>
          <w:rFonts w:ascii="Times New Roman" w:hAnsi="Times New Roman"/>
        </w:rPr>
        <w:t>of applications in five days or less, and 97</w:t>
      </w:r>
      <w:r w:rsidR="000C46EF">
        <w:rPr>
          <w:rFonts w:ascii="Times New Roman" w:hAnsi="Times New Roman"/>
        </w:rPr>
        <w:t xml:space="preserve"> percent </w:t>
      </w:r>
      <w:r>
        <w:rPr>
          <w:rFonts w:ascii="Times New Roman" w:hAnsi="Times New Roman"/>
        </w:rPr>
        <w:t xml:space="preserve">of all applications in </w:t>
      </w:r>
      <w:r w:rsidR="004917C0">
        <w:rPr>
          <w:rFonts w:ascii="Times New Roman" w:hAnsi="Times New Roman"/>
        </w:rPr>
        <w:t xml:space="preserve">10 </w:t>
      </w:r>
      <w:r>
        <w:rPr>
          <w:rFonts w:ascii="Times New Roman" w:hAnsi="Times New Roman"/>
        </w:rPr>
        <w:t>days or less</w:t>
      </w:r>
      <w:r w:rsidR="00DA7C01">
        <w:rPr>
          <w:rFonts w:ascii="Times New Roman" w:hAnsi="Times New Roman"/>
        </w:rPr>
        <w:t>, averaging approximately 25,000 applications monthly</w:t>
      </w:r>
      <w:r>
        <w:rPr>
          <w:rFonts w:ascii="Times New Roman" w:hAnsi="Times New Roman"/>
        </w:rPr>
        <w:t xml:space="preserve">.  Additional </w:t>
      </w:r>
      <w:r w:rsidR="00DA7C01">
        <w:rPr>
          <w:rFonts w:ascii="Times New Roman" w:hAnsi="Times New Roman"/>
        </w:rPr>
        <w:t>capabilities (e.g., comparability with other Federal background checks)</w:t>
      </w:r>
      <w:r>
        <w:rPr>
          <w:rFonts w:ascii="Times New Roman" w:hAnsi="Times New Roman"/>
        </w:rPr>
        <w:t xml:space="preserve"> and lower costs are </w:t>
      </w:r>
      <w:r w:rsidR="00DA7C01">
        <w:rPr>
          <w:rFonts w:ascii="Times New Roman" w:hAnsi="Times New Roman"/>
        </w:rPr>
        <w:t xml:space="preserve">expected after a planned </w:t>
      </w:r>
      <w:r>
        <w:rPr>
          <w:rFonts w:ascii="Times New Roman" w:hAnsi="Times New Roman"/>
        </w:rPr>
        <w:t xml:space="preserve">consolidation of technical architectures </w:t>
      </w:r>
      <w:r w:rsidR="00DA7C01">
        <w:rPr>
          <w:rFonts w:ascii="Times New Roman" w:hAnsi="Times New Roman"/>
        </w:rPr>
        <w:t xml:space="preserve">of </w:t>
      </w:r>
      <w:r>
        <w:rPr>
          <w:rFonts w:ascii="Times New Roman" w:hAnsi="Times New Roman"/>
        </w:rPr>
        <w:t xml:space="preserve">multiple </w:t>
      </w:r>
      <w:r w:rsidR="00AA4F6C">
        <w:rPr>
          <w:rFonts w:ascii="Times New Roman" w:hAnsi="Times New Roman"/>
        </w:rPr>
        <w:t xml:space="preserve">security threat assessment </w:t>
      </w:r>
      <w:r>
        <w:rPr>
          <w:rFonts w:ascii="Times New Roman" w:hAnsi="Times New Roman"/>
        </w:rPr>
        <w:t>program</w:t>
      </w:r>
      <w:r w:rsidR="00DA7C01">
        <w:rPr>
          <w:rFonts w:ascii="Times New Roman" w:hAnsi="Times New Roman"/>
        </w:rPr>
        <w:t>s</w:t>
      </w:r>
      <w:r>
        <w:rPr>
          <w:rFonts w:ascii="Times New Roman" w:hAnsi="Times New Roman"/>
        </w:rPr>
        <w:t xml:space="preserve">. </w:t>
      </w:r>
    </w:p>
    <w:p w:rsidR="00BF4D8E" w:rsidRDefault="00BF4D8E">
      <w:pPr>
        <w:rPr>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efforts to identify duplication.  Show specifically why any similar information already available cannot be used or modified for use for the purpose(s) described in Item 2 above.</w:t>
      </w:r>
    </w:p>
    <w:p w:rsidR="007F5022" w:rsidRPr="007F5022" w:rsidRDefault="007F5022" w:rsidP="007F5022">
      <w:pPr>
        <w:keepNext/>
        <w:numPr>
          <w:ilvl w:val="12"/>
          <w:numId w:val="0"/>
        </w:numPr>
        <w:ind w:left="360"/>
        <w:rPr>
          <w:b/>
          <w:bCs/>
          <w:i/>
          <w:iCs/>
          <w:color w:val="000000"/>
          <w:sz w:val="24"/>
        </w:rPr>
      </w:pPr>
    </w:p>
    <w:p w:rsidR="00BF4D8E" w:rsidRDefault="00BF4D8E" w:rsidP="007F5022">
      <w:pPr>
        <w:pStyle w:val="BodyText"/>
        <w:ind w:left="360"/>
        <w:rPr>
          <w:rFonts w:ascii="Times New Roman" w:hAnsi="Times New Roman"/>
        </w:rPr>
      </w:pPr>
      <w:r>
        <w:rPr>
          <w:rFonts w:ascii="Times New Roman" w:hAnsi="Times New Roman"/>
        </w:rPr>
        <w:t xml:space="preserve">TSA </w:t>
      </w:r>
      <w:r w:rsidR="00DA7C01">
        <w:rPr>
          <w:rFonts w:ascii="Times New Roman" w:hAnsi="Times New Roman"/>
        </w:rPr>
        <w:t xml:space="preserve">has </w:t>
      </w:r>
      <w:r w:rsidR="00AA4F6C">
        <w:rPr>
          <w:rFonts w:ascii="Times New Roman" w:hAnsi="Times New Roman"/>
        </w:rPr>
        <w:t xml:space="preserve">developed the </w:t>
      </w:r>
      <w:r w:rsidR="00DA7C01">
        <w:rPr>
          <w:rFonts w:ascii="Times New Roman" w:hAnsi="Times New Roman"/>
        </w:rPr>
        <w:t xml:space="preserve">HME and TWIC </w:t>
      </w:r>
      <w:r w:rsidR="00AA4F6C">
        <w:rPr>
          <w:rFonts w:ascii="Times New Roman" w:hAnsi="Times New Roman"/>
        </w:rPr>
        <w:t xml:space="preserve">programs to be consistent in terms of eligibility criteria, standards, appeals, and waivers, and HME holders who apply for a TWIC pay a reduced TWIC fee and forego a duplicative threat assessment based on the comparability between programs.  </w:t>
      </w:r>
      <w:r w:rsidR="00DA7C01">
        <w:rPr>
          <w:rFonts w:ascii="Times New Roman" w:hAnsi="Times New Roman"/>
        </w:rPr>
        <w:t xml:space="preserve">A planned </w:t>
      </w:r>
      <w:r w:rsidR="000C46EF">
        <w:rPr>
          <w:rFonts w:ascii="Times New Roman" w:hAnsi="Times New Roman"/>
        </w:rPr>
        <w:t>Information Technology (</w:t>
      </w:r>
      <w:r w:rsidR="00DA7C01">
        <w:rPr>
          <w:rFonts w:ascii="Times New Roman" w:hAnsi="Times New Roman"/>
        </w:rPr>
        <w:t>IT</w:t>
      </w:r>
      <w:r w:rsidR="000C46EF">
        <w:rPr>
          <w:rFonts w:ascii="Times New Roman" w:hAnsi="Times New Roman"/>
        </w:rPr>
        <w:t>)</w:t>
      </w:r>
      <w:r w:rsidR="00DA7C01">
        <w:rPr>
          <w:rFonts w:ascii="Times New Roman" w:hAnsi="Times New Roman"/>
        </w:rPr>
        <w:t xml:space="preserve"> integration will further remove </w:t>
      </w:r>
      <w:r w:rsidR="00DA7C01">
        <w:rPr>
          <w:rFonts w:ascii="Times New Roman" w:hAnsi="Times New Roman"/>
        </w:rPr>
        <w:lastRenderedPageBreak/>
        <w:t xml:space="preserve">duplication and enable </w:t>
      </w:r>
      <w:r w:rsidR="00AA4F6C">
        <w:rPr>
          <w:rFonts w:ascii="Times New Roman" w:hAnsi="Times New Roman"/>
        </w:rPr>
        <w:t xml:space="preserve">TWIC holders who apply for a HME to also pay a reduced fee and forego a duplicative threat assessment.  </w:t>
      </w:r>
    </w:p>
    <w:p w:rsidR="00AA4F6C" w:rsidRDefault="00AA4F6C">
      <w:pPr>
        <w:pStyle w:val="BodyText"/>
        <w:rPr>
          <w:rFonts w:ascii="Times New Roman" w:hAnsi="Times New Roman"/>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If the collection of information has a significant impact on a substantial number of small businesses or other small entities (Item 5 of the Paperwork Reduction Act submission form), describe the methods used to minimize burden.</w:t>
      </w:r>
    </w:p>
    <w:p w:rsidR="007F5022" w:rsidRPr="007F5022" w:rsidRDefault="007F5022" w:rsidP="007F5022">
      <w:pPr>
        <w:keepNext/>
        <w:numPr>
          <w:ilvl w:val="12"/>
          <w:numId w:val="0"/>
        </w:numPr>
        <w:ind w:left="360"/>
        <w:rPr>
          <w:b/>
          <w:bCs/>
          <w:i/>
          <w:iCs/>
          <w:color w:val="000000"/>
          <w:sz w:val="24"/>
        </w:rPr>
      </w:pPr>
    </w:p>
    <w:p w:rsidR="00BF4D8E" w:rsidRDefault="00BF4D8E" w:rsidP="007F5022">
      <w:pPr>
        <w:pStyle w:val="BodyText"/>
        <w:ind w:left="360"/>
        <w:rPr>
          <w:rFonts w:ascii="Times New Roman" w:hAnsi="Times New Roman"/>
        </w:rPr>
      </w:pPr>
      <w:r>
        <w:rPr>
          <w:rFonts w:ascii="Times New Roman" w:hAnsi="Times New Roman"/>
        </w:rPr>
        <w:t xml:space="preserve">This </w:t>
      </w:r>
      <w:r w:rsidR="00AA4F6C">
        <w:rPr>
          <w:rFonts w:ascii="Times New Roman" w:hAnsi="Times New Roman"/>
        </w:rPr>
        <w:t xml:space="preserve">collection </w:t>
      </w:r>
      <w:r>
        <w:rPr>
          <w:rFonts w:ascii="Times New Roman" w:hAnsi="Times New Roman"/>
        </w:rPr>
        <w:t>will not have a significant impact on a substantial number of small businesses or other entities.</w:t>
      </w:r>
    </w:p>
    <w:p w:rsidR="00BF4D8E" w:rsidRDefault="00BF4D8E">
      <w:pPr>
        <w:ind w:left="720" w:hanging="720"/>
        <w:rPr>
          <w:b/>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the consequence to Federal program or policy activities if the collection is not conducted or is conducted less frequently, as well as any technical or legal obstacles to reducing burden.</w:t>
      </w:r>
    </w:p>
    <w:p w:rsidR="007F5022" w:rsidRPr="007F5022" w:rsidRDefault="007F5022" w:rsidP="007F5022">
      <w:pPr>
        <w:keepNext/>
        <w:numPr>
          <w:ilvl w:val="12"/>
          <w:numId w:val="0"/>
        </w:numPr>
        <w:ind w:left="360"/>
        <w:rPr>
          <w:b/>
          <w:bCs/>
          <w:i/>
          <w:iCs/>
          <w:color w:val="000000"/>
          <w:sz w:val="24"/>
        </w:rPr>
      </w:pPr>
    </w:p>
    <w:p w:rsidR="00BF4D8E" w:rsidRDefault="00BF4D8E" w:rsidP="007F5022">
      <w:pPr>
        <w:ind w:left="360"/>
        <w:rPr>
          <w:sz w:val="24"/>
        </w:rPr>
      </w:pPr>
      <w:r>
        <w:rPr>
          <w:sz w:val="24"/>
        </w:rPr>
        <w:t xml:space="preserve">Without collecting this information, TSA would be unable to </w:t>
      </w:r>
      <w:r w:rsidR="00DB1A64">
        <w:rPr>
          <w:sz w:val="24"/>
        </w:rPr>
        <w:t xml:space="preserve">collect the information necessary to </w:t>
      </w:r>
      <w:r>
        <w:rPr>
          <w:sz w:val="24"/>
        </w:rPr>
        <w:t>determine whether an individual poses a security threat warranting denial of a hazardous materials endorsement for a CDL.  Failure to determine this threat would result in a statutory violation and would degrade ground transportation security efforts.</w:t>
      </w:r>
    </w:p>
    <w:p w:rsidR="00BF4D8E" w:rsidRDefault="00BF4D8E">
      <w:pPr>
        <w:rPr>
          <w:color w:val="000000"/>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any special circumstances that require the collection to be conducted in a manner inconsistent with the general information collection guidelines in 5 CFR 1320.5(d)(2).</w:t>
      </w:r>
    </w:p>
    <w:p w:rsidR="007F5022" w:rsidRPr="007F5022" w:rsidRDefault="007F5022" w:rsidP="007F5022">
      <w:pPr>
        <w:keepNext/>
        <w:numPr>
          <w:ilvl w:val="12"/>
          <w:numId w:val="0"/>
        </w:numPr>
        <w:ind w:left="360"/>
        <w:rPr>
          <w:b/>
          <w:bCs/>
          <w:i/>
          <w:iCs/>
          <w:color w:val="000000"/>
          <w:sz w:val="24"/>
        </w:rPr>
      </w:pPr>
    </w:p>
    <w:p w:rsidR="00BF4D8E" w:rsidRDefault="00BF4D8E" w:rsidP="007F5022">
      <w:pPr>
        <w:pStyle w:val="BodyText"/>
        <w:ind w:left="360"/>
        <w:rPr>
          <w:rFonts w:ascii="Times New Roman" w:hAnsi="Times New Roman"/>
        </w:rPr>
      </w:pPr>
      <w:r>
        <w:rPr>
          <w:rFonts w:ascii="Times New Roman" w:hAnsi="Times New Roman"/>
          <w:color w:val="000000"/>
        </w:rPr>
        <w:t>There</w:t>
      </w:r>
      <w:r>
        <w:rPr>
          <w:rFonts w:ascii="Times New Roman" w:hAnsi="Times New Roman"/>
        </w:rPr>
        <w:t xml:space="preserve"> are no special circumstances requiring collection of information to be inconsistent with 5 CFR 1320.5(d)(2).</w:t>
      </w:r>
    </w:p>
    <w:p w:rsidR="00BF4D8E" w:rsidRDefault="00BF4D8E">
      <w:pPr>
        <w:rPr>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F5022" w:rsidRDefault="007F5022" w:rsidP="007F5022">
      <w:pPr>
        <w:keepNext/>
        <w:numPr>
          <w:ilvl w:val="12"/>
          <w:numId w:val="0"/>
        </w:numPr>
        <w:ind w:left="360"/>
        <w:rPr>
          <w:b/>
          <w:bCs/>
          <w:i/>
          <w:iCs/>
          <w:color w:val="000000"/>
          <w:sz w:val="24"/>
        </w:rPr>
      </w:pPr>
    </w:p>
    <w:p w:rsidR="00026128" w:rsidRDefault="00C37DEB" w:rsidP="00C65AF7">
      <w:pPr>
        <w:ind w:left="540"/>
        <w:rPr>
          <w:sz w:val="24"/>
          <w:szCs w:val="24"/>
        </w:rPr>
      </w:pPr>
      <w:r w:rsidRPr="00C37DEB">
        <w:rPr>
          <w:sz w:val="24"/>
          <w:szCs w:val="24"/>
        </w:rPr>
        <w:t xml:space="preserve"> TSA published a </w:t>
      </w:r>
      <w:r w:rsidR="00C65AF7">
        <w:rPr>
          <w:sz w:val="24"/>
          <w:szCs w:val="24"/>
        </w:rPr>
        <w:t xml:space="preserve">60 day </w:t>
      </w:r>
      <w:r w:rsidRPr="00C37DEB">
        <w:rPr>
          <w:sz w:val="24"/>
          <w:szCs w:val="24"/>
        </w:rPr>
        <w:t xml:space="preserve">notice in the </w:t>
      </w:r>
      <w:r w:rsidRPr="00C37DEB">
        <w:rPr>
          <w:sz w:val="24"/>
          <w:szCs w:val="24"/>
          <w:u w:val="single"/>
        </w:rPr>
        <w:t>Federal Register</w:t>
      </w:r>
      <w:r w:rsidRPr="00C37DEB">
        <w:rPr>
          <w:sz w:val="24"/>
          <w:szCs w:val="24"/>
        </w:rPr>
        <w:t xml:space="preserve"> on </w:t>
      </w:r>
      <w:r w:rsidR="00375677">
        <w:rPr>
          <w:sz w:val="24"/>
          <w:szCs w:val="24"/>
        </w:rPr>
        <w:t xml:space="preserve">August </w:t>
      </w:r>
      <w:r w:rsidR="00375677" w:rsidRPr="00C37DEB">
        <w:rPr>
          <w:sz w:val="24"/>
          <w:szCs w:val="24"/>
        </w:rPr>
        <w:t>30</w:t>
      </w:r>
      <w:r w:rsidR="009B7874">
        <w:rPr>
          <w:sz w:val="24"/>
          <w:szCs w:val="24"/>
        </w:rPr>
        <w:t>,</w:t>
      </w:r>
      <w:r w:rsidRPr="00C37DEB">
        <w:rPr>
          <w:sz w:val="24"/>
          <w:szCs w:val="24"/>
        </w:rPr>
        <w:t xml:space="preserve"> 20</w:t>
      </w:r>
      <w:r w:rsidR="009B7874">
        <w:rPr>
          <w:sz w:val="24"/>
          <w:szCs w:val="24"/>
        </w:rPr>
        <w:t>10</w:t>
      </w:r>
      <w:r w:rsidRPr="00C37DEB">
        <w:rPr>
          <w:sz w:val="24"/>
          <w:szCs w:val="24"/>
        </w:rPr>
        <w:t xml:space="preserve"> (</w:t>
      </w:r>
      <w:r w:rsidR="009B7874">
        <w:rPr>
          <w:sz w:val="24"/>
          <w:szCs w:val="24"/>
        </w:rPr>
        <w:t>75</w:t>
      </w:r>
      <w:r w:rsidRPr="00C37DEB">
        <w:rPr>
          <w:sz w:val="24"/>
          <w:szCs w:val="24"/>
        </w:rPr>
        <w:t xml:space="preserve">FR </w:t>
      </w:r>
      <w:r w:rsidR="009B7874">
        <w:rPr>
          <w:sz w:val="24"/>
          <w:szCs w:val="24"/>
        </w:rPr>
        <w:t>52961</w:t>
      </w:r>
      <w:r w:rsidRPr="00C37DEB">
        <w:rPr>
          <w:sz w:val="24"/>
          <w:szCs w:val="24"/>
        </w:rPr>
        <w:t xml:space="preserve">) </w:t>
      </w:r>
      <w:r w:rsidR="00C65AF7">
        <w:rPr>
          <w:sz w:val="24"/>
          <w:szCs w:val="24"/>
        </w:rPr>
        <w:t xml:space="preserve">and a 30 day notice on June 22, 2011, (76 FR 36560) </w:t>
      </w:r>
      <w:r w:rsidRPr="00C37DEB">
        <w:rPr>
          <w:sz w:val="24"/>
          <w:szCs w:val="24"/>
        </w:rPr>
        <w:t xml:space="preserve">announcing our intent to </w:t>
      </w:r>
      <w:r w:rsidR="009B7874">
        <w:rPr>
          <w:sz w:val="24"/>
          <w:szCs w:val="24"/>
        </w:rPr>
        <w:t>renew</w:t>
      </w:r>
      <w:r w:rsidR="009B7874" w:rsidRPr="00C37DEB">
        <w:rPr>
          <w:sz w:val="24"/>
          <w:szCs w:val="24"/>
        </w:rPr>
        <w:t xml:space="preserve"> </w:t>
      </w:r>
      <w:r w:rsidRPr="00C37DEB">
        <w:rPr>
          <w:sz w:val="24"/>
          <w:szCs w:val="24"/>
        </w:rPr>
        <w:t>the OMB control number, 1652-</w:t>
      </w:r>
      <w:r w:rsidR="009B7874" w:rsidRPr="00C37DEB">
        <w:rPr>
          <w:sz w:val="24"/>
          <w:szCs w:val="24"/>
        </w:rPr>
        <w:t>00</w:t>
      </w:r>
      <w:r w:rsidR="009B7874">
        <w:rPr>
          <w:sz w:val="24"/>
          <w:szCs w:val="24"/>
        </w:rPr>
        <w:t>27</w:t>
      </w:r>
      <w:r w:rsidRPr="00C37DEB">
        <w:rPr>
          <w:sz w:val="24"/>
          <w:szCs w:val="24"/>
        </w:rPr>
        <w:t xml:space="preserve">, for this information collection and requested comments.  In response to this notice, TSA received a consolidated comment from the American Trucking Associations (ATA) and the American Bus Association (ABA).   </w:t>
      </w:r>
      <w:r w:rsidR="00026128">
        <w:rPr>
          <w:sz w:val="24"/>
          <w:szCs w:val="24"/>
        </w:rPr>
        <w:t xml:space="preserve">The main concern expressed by these groups was that </w:t>
      </w:r>
      <w:r w:rsidR="00C65AF7">
        <w:rPr>
          <w:sz w:val="24"/>
          <w:szCs w:val="24"/>
        </w:rPr>
        <w:t>currently there is not a process to allow</w:t>
      </w:r>
    </w:p>
    <w:p w:rsidR="00026128" w:rsidRDefault="00026128" w:rsidP="0038376B">
      <w:pPr>
        <w:pStyle w:val="Default"/>
        <w:ind w:left="540"/>
      </w:pPr>
      <w:r w:rsidRPr="0038376B">
        <w:rPr>
          <w:rFonts w:ascii="Times New Roman" w:hAnsi="Times New Roman" w:cs="Times New Roman"/>
          <w:color w:val="auto"/>
        </w:rPr>
        <w:t>Transportation Worker Identification Credential (TWIC) holders to bypass the full HME backgro</w:t>
      </w:r>
      <w:r w:rsidR="0038376B" w:rsidRPr="0038376B">
        <w:rPr>
          <w:rFonts w:ascii="Times New Roman" w:hAnsi="Times New Roman" w:cs="Times New Roman"/>
          <w:color w:val="auto"/>
        </w:rPr>
        <w:t xml:space="preserve">und check process (since </w:t>
      </w:r>
      <w:r w:rsidR="00196CAF">
        <w:rPr>
          <w:rFonts w:ascii="Times New Roman" w:hAnsi="Times New Roman" w:cs="Times New Roman"/>
          <w:color w:val="auto"/>
        </w:rPr>
        <w:t xml:space="preserve">they are </w:t>
      </w:r>
      <w:r w:rsidR="00375677">
        <w:rPr>
          <w:rFonts w:ascii="Times New Roman" w:hAnsi="Times New Roman" w:cs="Times New Roman"/>
          <w:color w:val="auto"/>
        </w:rPr>
        <w:t>the same</w:t>
      </w:r>
      <w:r w:rsidR="00196CAF">
        <w:rPr>
          <w:rFonts w:ascii="Times New Roman" w:hAnsi="Times New Roman" w:cs="Times New Roman"/>
          <w:color w:val="auto"/>
        </w:rPr>
        <w:t xml:space="preserve">) and pay a reduced fee </w:t>
      </w:r>
      <w:r w:rsidR="0038376B" w:rsidRPr="0038376B">
        <w:rPr>
          <w:rFonts w:ascii="Times New Roman" w:hAnsi="Times New Roman" w:cs="Times New Roman"/>
          <w:color w:val="auto"/>
        </w:rPr>
        <w:t>when they apply for an HME.</w:t>
      </w:r>
      <w:r w:rsidR="0038376B">
        <w:rPr>
          <w:rFonts w:ascii="Times New Roman" w:hAnsi="Times New Roman" w:cs="Times New Roman"/>
          <w:color w:val="auto"/>
        </w:rPr>
        <w:t xml:space="preserve">  </w:t>
      </w:r>
      <w:r w:rsidR="0038376B" w:rsidRPr="0038376B">
        <w:rPr>
          <w:rFonts w:ascii="Times New Roman" w:hAnsi="Times New Roman" w:cs="Times New Roman"/>
          <w:color w:val="auto"/>
        </w:rPr>
        <w:t>In our response, we provide</w:t>
      </w:r>
      <w:r w:rsidR="0038376B">
        <w:rPr>
          <w:rFonts w:ascii="Times New Roman" w:hAnsi="Times New Roman" w:cs="Times New Roman"/>
          <w:color w:val="auto"/>
        </w:rPr>
        <w:t>d</w:t>
      </w:r>
      <w:r w:rsidR="0038376B" w:rsidRPr="0038376B">
        <w:rPr>
          <w:rFonts w:ascii="Times New Roman" w:hAnsi="Times New Roman" w:cs="Times New Roman"/>
          <w:color w:val="auto"/>
        </w:rPr>
        <w:t xml:space="preserve"> an update on the plans </w:t>
      </w:r>
      <w:r w:rsidR="0038376B">
        <w:rPr>
          <w:rFonts w:ascii="Times New Roman" w:hAnsi="Times New Roman" w:cs="Times New Roman"/>
          <w:color w:val="auto"/>
        </w:rPr>
        <w:t>for</w:t>
      </w:r>
      <w:r w:rsidR="0038376B" w:rsidRPr="0038376B">
        <w:rPr>
          <w:rFonts w:ascii="Times New Roman" w:hAnsi="Times New Roman" w:cs="Times New Roman"/>
          <w:color w:val="auto"/>
        </w:rPr>
        <w:t xml:space="preserve"> implement</w:t>
      </w:r>
      <w:r w:rsidR="0038376B">
        <w:rPr>
          <w:rFonts w:ascii="Times New Roman" w:hAnsi="Times New Roman" w:cs="Times New Roman"/>
          <w:color w:val="auto"/>
        </w:rPr>
        <w:t>ing</w:t>
      </w:r>
      <w:r w:rsidR="0038376B" w:rsidRPr="0038376B">
        <w:rPr>
          <w:rFonts w:ascii="Times New Roman" w:hAnsi="Times New Roman" w:cs="Times New Roman"/>
          <w:color w:val="auto"/>
        </w:rPr>
        <w:t xml:space="preserve"> this comparability.  </w:t>
      </w:r>
      <w:r w:rsidR="0038376B">
        <w:rPr>
          <w:rFonts w:ascii="Times New Roman" w:hAnsi="Times New Roman" w:cs="Times New Roman"/>
          <w:color w:val="auto"/>
        </w:rPr>
        <w:t xml:space="preserve">Specifically that TSA </w:t>
      </w:r>
      <w:r w:rsidR="00196CAF">
        <w:rPr>
          <w:rFonts w:ascii="Times New Roman" w:hAnsi="Times New Roman" w:cs="Times New Roman"/>
          <w:color w:val="auto"/>
        </w:rPr>
        <w:t>is</w:t>
      </w:r>
      <w:r w:rsidR="0038376B">
        <w:rPr>
          <w:rFonts w:ascii="Times New Roman" w:hAnsi="Times New Roman" w:cs="Times New Roman"/>
          <w:color w:val="auto"/>
        </w:rPr>
        <w:t xml:space="preserve"> developing the technical </w:t>
      </w:r>
      <w:r w:rsidR="00375677">
        <w:rPr>
          <w:rFonts w:ascii="Times New Roman" w:hAnsi="Times New Roman" w:cs="Times New Roman"/>
          <w:color w:val="auto"/>
        </w:rPr>
        <w:t>solution</w:t>
      </w:r>
      <w:r w:rsidR="0038376B">
        <w:rPr>
          <w:rFonts w:ascii="Times New Roman" w:hAnsi="Times New Roman" w:cs="Times New Roman"/>
          <w:color w:val="auto"/>
        </w:rPr>
        <w:t xml:space="preserve"> </w:t>
      </w:r>
      <w:r w:rsidR="00196CAF">
        <w:rPr>
          <w:rFonts w:ascii="Times New Roman" w:hAnsi="Times New Roman" w:cs="Times New Roman"/>
          <w:color w:val="auto"/>
        </w:rPr>
        <w:t>to support t</w:t>
      </w:r>
      <w:r w:rsidR="0038376B">
        <w:rPr>
          <w:rFonts w:ascii="Times New Roman" w:hAnsi="Times New Roman" w:cs="Times New Roman"/>
          <w:color w:val="auto"/>
        </w:rPr>
        <w:t xml:space="preserve">his </w:t>
      </w:r>
      <w:r w:rsidR="00196CAF">
        <w:rPr>
          <w:rFonts w:ascii="Times New Roman" w:hAnsi="Times New Roman" w:cs="Times New Roman"/>
          <w:color w:val="auto"/>
        </w:rPr>
        <w:t>effort</w:t>
      </w:r>
      <w:r w:rsidR="00952F75">
        <w:rPr>
          <w:rFonts w:ascii="Times New Roman" w:hAnsi="Times New Roman" w:cs="Times New Roman"/>
          <w:color w:val="auto"/>
        </w:rPr>
        <w:t>.</w:t>
      </w:r>
      <w:r w:rsidR="00196CAF">
        <w:rPr>
          <w:rFonts w:ascii="Times New Roman" w:hAnsi="Times New Roman" w:cs="Times New Roman"/>
          <w:color w:val="auto"/>
        </w:rPr>
        <w:t xml:space="preserve"> </w:t>
      </w:r>
    </w:p>
    <w:p w:rsidR="00BF4D8E" w:rsidRDefault="00BF4D8E" w:rsidP="007F5022">
      <w:pPr>
        <w:rPr>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any decision to provide any payment or gift to respondents, other than remuneration of contractors or grantees.</w:t>
      </w:r>
    </w:p>
    <w:p w:rsidR="007F5022" w:rsidRPr="007F5022" w:rsidRDefault="007F5022" w:rsidP="007F5022">
      <w:pPr>
        <w:keepNext/>
        <w:numPr>
          <w:ilvl w:val="12"/>
          <w:numId w:val="0"/>
        </w:numPr>
        <w:ind w:left="360"/>
        <w:rPr>
          <w:b/>
          <w:bCs/>
          <w:i/>
          <w:iCs/>
          <w:color w:val="000000"/>
          <w:sz w:val="24"/>
        </w:rPr>
      </w:pPr>
    </w:p>
    <w:p w:rsidR="00BF4D8E" w:rsidRDefault="00BF4D8E" w:rsidP="007F5022">
      <w:pPr>
        <w:ind w:left="360"/>
        <w:rPr>
          <w:sz w:val="24"/>
        </w:rPr>
      </w:pPr>
      <w:r>
        <w:rPr>
          <w:sz w:val="24"/>
        </w:rPr>
        <w:t>There are no gifts or payments to respondents.</w:t>
      </w:r>
    </w:p>
    <w:p w:rsidR="00BF4D8E" w:rsidRDefault="00BF4D8E">
      <w:pPr>
        <w:rPr>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any assurance of confidentiality provided to respondents and the basis for the assurance in statute, regulation, or agency policy.</w:t>
      </w:r>
    </w:p>
    <w:p w:rsidR="007F5022" w:rsidRPr="007F5022" w:rsidRDefault="007F5022" w:rsidP="007F5022">
      <w:pPr>
        <w:keepNext/>
        <w:numPr>
          <w:ilvl w:val="12"/>
          <w:numId w:val="0"/>
        </w:numPr>
        <w:ind w:left="360"/>
        <w:rPr>
          <w:b/>
          <w:bCs/>
          <w:i/>
          <w:iCs/>
          <w:color w:val="000000"/>
          <w:sz w:val="24"/>
        </w:rPr>
      </w:pPr>
    </w:p>
    <w:p w:rsidR="00BF4D8E" w:rsidRDefault="00BF4D8E" w:rsidP="007F5022">
      <w:pPr>
        <w:ind w:left="360"/>
        <w:rPr>
          <w:sz w:val="24"/>
        </w:rPr>
      </w:pPr>
      <w:r>
        <w:rPr>
          <w:sz w:val="24"/>
        </w:rPr>
        <w:t xml:space="preserve">Results of </w:t>
      </w:r>
      <w:r w:rsidR="00AA4F6C">
        <w:rPr>
          <w:sz w:val="24"/>
        </w:rPr>
        <w:t>security threat assessments are</w:t>
      </w:r>
      <w:r>
        <w:rPr>
          <w:sz w:val="24"/>
        </w:rPr>
        <w:t xml:space="preserve"> reviewed and retained by TSA.  The rule contains provisions for appeal </w:t>
      </w:r>
      <w:r w:rsidR="00DA7C01">
        <w:rPr>
          <w:sz w:val="24"/>
        </w:rPr>
        <w:t xml:space="preserve">or waiver </w:t>
      </w:r>
      <w:r>
        <w:rPr>
          <w:sz w:val="24"/>
        </w:rPr>
        <w:t xml:space="preserve">of an initial notification of a disqualifying </w:t>
      </w:r>
      <w:r w:rsidR="00DA7C01">
        <w:rPr>
          <w:sz w:val="24"/>
        </w:rPr>
        <w:t>factor</w:t>
      </w:r>
      <w:r>
        <w:rPr>
          <w:sz w:val="24"/>
        </w:rPr>
        <w:t xml:space="preserve">. </w:t>
      </w:r>
      <w:r w:rsidR="00DA7C01">
        <w:rPr>
          <w:sz w:val="24"/>
        </w:rPr>
        <w:t xml:space="preserve"> </w:t>
      </w:r>
      <w:r>
        <w:rPr>
          <w:sz w:val="24"/>
        </w:rPr>
        <w:t>Although there is no assurance of confidentiality to any respondent, TSA will handle all records in accordance with the Privacy Act of 1974</w:t>
      </w:r>
      <w:r w:rsidR="00DA7C01">
        <w:rPr>
          <w:sz w:val="24"/>
        </w:rPr>
        <w:t>, and maintain the security of the IT systems that transmit, process</w:t>
      </w:r>
      <w:r w:rsidR="004917C0">
        <w:rPr>
          <w:sz w:val="24"/>
        </w:rPr>
        <w:t>,</w:t>
      </w:r>
      <w:r w:rsidR="00DA7C01">
        <w:rPr>
          <w:sz w:val="24"/>
        </w:rPr>
        <w:t xml:space="preserve"> and/or store the personal information in accordance with FISMA requirements</w:t>
      </w:r>
      <w:r>
        <w:rPr>
          <w:sz w:val="24"/>
        </w:rPr>
        <w:t>.</w:t>
      </w:r>
    </w:p>
    <w:p w:rsidR="00BF4D8E" w:rsidRDefault="00BF4D8E">
      <w:pPr>
        <w:rPr>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Provide additional justification for any questions of sensitive nature, such as sexual behavior and attitudes, religious beliefs, and other matters that are commonly considered private.</w:t>
      </w:r>
    </w:p>
    <w:p w:rsidR="007F5022" w:rsidRPr="007F5022" w:rsidRDefault="007F5022" w:rsidP="007F5022">
      <w:pPr>
        <w:keepNext/>
        <w:numPr>
          <w:ilvl w:val="12"/>
          <w:numId w:val="0"/>
        </w:numPr>
        <w:ind w:left="360"/>
        <w:rPr>
          <w:b/>
          <w:bCs/>
          <w:i/>
          <w:iCs/>
          <w:color w:val="000000"/>
          <w:sz w:val="24"/>
        </w:rPr>
      </w:pPr>
    </w:p>
    <w:p w:rsidR="00BF4D8E" w:rsidRDefault="00BF4D8E" w:rsidP="007F5022">
      <w:pPr>
        <w:autoSpaceDE w:val="0"/>
        <w:autoSpaceDN w:val="0"/>
        <w:adjustRightInd w:val="0"/>
        <w:ind w:left="360"/>
        <w:rPr>
          <w:sz w:val="24"/>
        </w:rPr>
      </w:pPr>
      <w:r>
        <w:rPr>
          <w:sz w:val="24"/>
          <w:szCs w:val="24"/>
        </w:rPr>
        <w:t>Collection of this information may raise questions of a sensitive nature for the individual undergoing the</w:t>
      </w:r>
      <w:r w:rsidR="00AA4F6C">
        <w:rPr>
          <w:sz w:val="24"/>
          <w:szCs w:val="24"/>
        </w:rPr>
        <w:t xml:space="preserve"> security threat assessment</w:t>
      </w:r>
      <w:r>
        <w:rPr>
          <w:sz w:val="24"/>
          <w:szCs w:val="24"/>
        </w:rPr>
        <w:t xml:space="preserve">, but only to the extent necessary </w:t>
      </w:r>
      <w:r w:rsidR="004917C0">
        <w:rPr>
          <w:sz w:val="24"/>
          <w:szCs w:val="24"/>
        </w:rPr>
        <w:t xml:space="preserve">for TSA </w:t>
      </w:r>
      <w:r>
        <w:rPr>
          <w:sz w:val="24"/>
          <w:szCs w:val="24"/>
        </w:rPr>
        <w:t xml:space="preserve">to determine </w:t>
      </w:r>
      <w:r w:rsidR="00DA7C01">
        <w:rPr>
          <w:sz w:val="24"/>
          <w:szCs w:val="24"/>
        </w:rPr>
        <w:t>the risk of the individual to transportation security</w:t>
      </w:r>
      <w:r w:rsidR="004917C0">
        <w:rPr>
          <w:sz w:val="24"/>
          <w:szCs w:val="24"/>
        </w:rPr>
        <w:t xml:space="preserve">.  The </w:t>
      </w:r>
      <w:r w:rsidR="00AA4F6C">
        <w:rPr>
          <w:sz w:val="24"/>
          <w:szCs w:val="24"/>
        </w:rPr>
        <w:t>security threat assessment</w:t>
      </w:r>
      <w:r>
        <w:rPr>
          <w:sz w:val="24"/>
          <w:szCs w:val="24"/>
        </w:rPr>
        <w:t xml:space="preserve"> could reveal, for example, mental health defects or convictions of certain sex crimes that would</w:t>
      </w:r>
      <w:r w:rsidR="005B0B62">
        <w:rPr>
          <w:sz w:val="24"/>
          <w:szCs w:val="24"/>
        </w:rPr>
        <w:t xml:space="preserve"> </w:t>
      </w:r>
      <w:r>
        <w:rPr>
          <w:sz w:val="24"/>
          <w:szCs w:val="24"/>
        </w:rPr>
        <w:t>bar the individual from transporting explosives or other hazardous materials.</w:t>
      </w:r>
    </w:p>
    <w:p w:rsidR="00BF4D8E" w:rsidRDefault="00BF4D8E">
      <w:pPr>
        <w:rPr>
          <w:sz w:val="24"/>
        </w:rPr>
      </w:pPr>
    </w:p>
    <w:p w:rsidR="007F5022" w:rsidRPr="007F5022" w:rsidRDefault="007F5022" w:rsidP="00EA1C22">
      <w:pPr>
        <w:keepNext/>
        <w:numPr>
          <w:ilvl w:val="0"/>
          <w:numId w:val="22"/>
        </w:numPr>
        <w:tabs>
          <w:tab w:val="left" w:pos="360"/>
        </w:tabs>
        <w:rPr>
          <w:b/>
          <w:bCs/>
          <w:i/>
          <w:iCs/>
          <w:color w:val="000000"/>
          <w:sz w:val="24"/>
        </w:rPr>
      </w:pPr>
      <w:r w:rsidRPr="007F5022">
        <w:rPr>
          <w:b/>
          <w:bCs/>
          <w:i/>
          <w:iCs/>
          <w:color w:val="000000"/>
          <w:sz w:val="24"/>
        </w:rPr>
        <w:t>Provide estimates of hour burden of the collection of information.</w:t>
      </w:r>
    </w:p>
    <w:p w:rsidR="00EA1C22" w:rsidRDefault="00EA1C22" w:rsidP="002544E2">
      <w:pPr>
        <w:keepNext/>
        <w:rPr>
          <w:sz w:val="24"/>
          <w:u w:val="single"/>
        </w:rPr>
      </w:pPr>
    </w:p>
    <w:p w:rsidR="00EA1C22" w:rsidRPr="00A570A7" w:rsidRDefault="00EA1C22" w:rsidP="00A570A7">
      <w:pPr>
        <w:autoSpaceDE w:val="0"/>
        <w:autoSpaceDN w:val="0"/>
        <w:adjustRightInd w:val="0"/>
        <w:ind w:left="360"/>
        <w:rPr>
          <w:sz w:val="24"/>
          <w:szCs w:val="24"/>
        </w:rPr>
      </w:pPr>
      <w:r w:rsidRPr="00A570A7">
        <w:rPr>
          <w:sz w:val="24"/>
          <w:szCs w:val="24"/>
          <w:u w:val="single"/>
        </w:rPr>
        <w:t>Number of Individual Background Checks</w:t>
      </w:r>
      <w:r w:rsidRPr="00A570A7">
        <w:rPr>
          <w:sz w:val="24"/>
          <w:szCs w:val="24"/>
        </w:rPr>
        <w:t>.  Drivers are required to obtain a background check before applying for a new endorsement and HME renewal, which occurs every five years.  At the inception of the program in January 2005, it was estimated that 2.7 million people had hazardous material endorsements for a CDL</w:t>
      </w:r>
      <w:r w:rsidR="002544E2">
        <w:rPr>
          <w:sz w:val="24"/>
          <w:szCs w:val="24"/>
        </w:rPr>
        <w:t>.</w:t>
      </w:r>
      <w:r w:rsidRPr="00A570A7">
        <w:rPr>
          <w:sz w:val="24"/>
          <w:szCs w:val="24"/>
        </w:rPr>
        <w:t xml:space="preserve">  Since that time, the population appears to be dropping based on the number of people each year who are actually applying for HMEs.  The program does expect a 2.5</w:t>
      </w:r>
      <w:r w:rsidR="002544E2">
        <w:rPr>
          <w:sz w:val="24"/>
          <w:szCs w:val="24"/>
        </w:rPr>
        <w:t xml:space="preserve"> percent</w:t>
      </w:r>
      <w:r w:rsidR="002544E2" w:rsidRPr="00A570A7">
        <w:rPr>
          <w:sz w:val="24"/>
          <w:szCs w:val="24"/>
        </w:rPr>
        <w:t xml:space="preserve"> </w:t>
      </w:r>
      <w:r w:rsidRPr="00A570A7">
        <w:rPr>
          <w:sz w:val="24"/>
          <w:szCs w:val="24"/>
        </w:rPr>
        <w:t>growth per annum in the number of new drivers applying for HMEs.  As shown in Table 1, the total number of endorsements to be issued from 200</w:t>
      </w:r>
      <w:r w:rsidR="00E8749D">
        <w:rPr>
          <w:sz w:val="24"/>
          <w:szCs w:val="24"/>
        </w:rPr>
        <w:t>9</w:t>
      </w:r>
      <w:r w:rsidRPr="00A570A7">
        <w:rPr>
          <w:sz w:val="24"/>
          <w:szCs w:val="24"/>
        </w:rPr>
        <w:t xml:space="preserve"> through 201</w:t>
      </w:r>
      <w:r w:rsidR="00E8749D">
        <w:rPr>
          <w:sz w:val="24"/>
          <w:szCs w:val="24"/>
        </w:rPr>
        <w:t>1</w:t>
      </w:r>
      <w:r w:rsidRPr="00A570A7">
        <w:rPr>
          <w:sz w:val="24"/>
          <w:szCs w:val="24"/>
        </w:rPr>
        <w:t xml:space="preserve"> is expected to be approximately </w:t>
      </w:r>
      <w:r w:rsidR="00E8749D">
        <w:rPr>
          <w:sz w:val="24"/>
          <w:szCs w:val="24"/>
        </w:rPr>
        <w:t>900</w:t>
      </w:r>
      <w:r w:rsidR="00772570">
        <w:rPr>
          <w:sz w:val="24"/>
          <w:szCs w:val="24"/>
        </w:rPr>
        <w:t>,000</w:t>
      </w:r>
      <w:r w:rsidR="000B43B5">
        <w:rPr>
          <w:sz w:val="24"/>
          <w:szCs w:val="24"/>
        </w:rPr>
        <w:t xml:space="preserve"> </w:t>
      </w:r>
      <w:r w:rsidR="00E8749D">
        <w:rPr>
          <w:sz w:val="24"/>
          <w:szCs w:val="24"/>
        </w:rPr>
        <w:t>thousand</w:t>
      </w:r>
      <w:r w:rsidRPr="00A570A7">
        <w:rPr>
          <w:sz w:val="24"/>
          <w:szCs w:val="24"/>
        </w:rPr>
        <w:t xml:space="preserve"> (an average of</w:t>
      </w:r>
      <w:r w:rsidR="00C37DEB">
        <w:rPr>
          <w:sz w:val="24"/>
          <w:szCs w:val="24"/>
        </w:rPr>
        <w:t xml:space="preserve"> </w:t>
      </w:r>
      <w:r w:rsidRPr="00A570A7">
        <w:rPr>
          <w:sz w:val="24"/>
          <w:szCs w:val="24"/>
        </w:rPr>
        <w:t>3</w:t>
      </w:r>
      <w:r w:rsidR="00E8749D">
        <w:rPr>
          <w:sz w:val="24"/>
          <w:szCs w:val="24"/>
        </w:rPr>
        <w:t>00</w:t>
      </w:r>
      <w:r w:rsidRPr="00A570A7">
        <w:rPr>
          <w:sz w:val="24"/>
          <w:szCs w:val="24"/>
        </w:rPr>
        <w:t xml:space="preserve">,000 per year).  TSA estimates that respondents will spend approximately </w:t>
      </w:r>
      <w:r w:rsidR="00E8749D">
        <w:rPr>
          <w:sz w:val="24"/>
          <w:szCs w:val="24"/>
        </w:rPr>
        <w:t>22.9</w:t>
      </w:r>
      <w:r w:rsidRPr="00A570A7">
        <w:rPr>
          <w:sz w:val="24"/>
          <w:szCs w:val="24"/>
        </w:rPr>
        <w:t xml:space="preserve"> million hours over three years (</w:t>
      </w:r>
      <w:r w:rsidR="00AA4B81">
        <w:rPr>
          <w:sz w:val="24"/>
          <w:szCs w:val="24"/>
        </w:rPr>
        <w:t>978,000 thousand</w:t>
      </w:r>
      <w:r w:rsidRPr="00A570A7">
        <w:rPr>
          <w:sz w:val="24"/>
          <w:szCs w:val="24"/>
        </w:rPr>
        <w:t xml:space="preserve"> annualized) on the application and background check process.</w:t>
      </w:r>
      <w:r w:rsidR="00BC7CA9">
        <w:rPr>
          <w:sz w:val="24"/>
          <w:szCs w:val="24"/>
        </w:rPr>
        <w:t xml:space="preserve">  On average there are 300,854 </w:t>
      </w:r>
      <w:r w:rsidR="00CF55D0">
        <w:rPr>
          <w:sz w:val="24"/>
          <w:szCs w:val="24"/>
        </w:rPr>
        <w:t>respondents</w:t>
      </w:r>
      <w:r w:rsidR="00BC7CA9">
        <w:rPr>
          <w:sz w:val="24"/>
          <w:szCs w:val="24"/>
        </w:rPr>
        <w:t xml:space="preserve"> which equals approximately 977,776 hours of burden per year.</w:t>
      </w:r>
    </w:p>
    <w:p w:rsidR="00EA1C22" w:rsidRPr="00A570A7" w:rsidRDefault="00EA1C22" w:rsidP="00A570A7">
      <w:pPr>
        <w:autoSpaceDE w:val="0"/>
        <w:autoSpaceDN w:val="0"/>
        <w:adjustRightInd w:val="0"/>
        <w:rPr>
          <w:sz w:val="24"/>
          <w:szCs w:val="24"/>
        </w:rPr>
      </w:pPr>
    </w:p>
    <w:tbl>
      <w:tblPr>
        <w:tblpPr w:leftFromText="180" w:rightFromText="180" w:vertAnchor="text" w:horzAnchor="page" w:tblpX="1888" w:tblpYSpec="in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tblGrid>
      <w:tr w:rsidR="00564B51" w:rsidTr="00564B51">
        <w:tc>
          <w:tcPr>
            <w:tcW w:w="1915" w:type="dxa"/>
            <w:shd w:val="clear" w:color="auto" w:fill="BFBFBF"/>
            <w:vAlign w:val="center"/>
          </w:tcPr>
          <w:p w:rsidR="00564B51" w:rsidRPr="0036212F" w:rsidRDefault="00564B51" w:rsidP="00564B51">
            <w:pPr>
              <w:pStyle w:val="CommentText"/>
              <w:jc w:val="center"/>
              <w:rPr>
                <w:b/>
              </w:rPr>
            </w:pPr>
            <w:r w:rsidRPr="0036212F">
              <w:rPr>
                <w:b/>
              </w:rPr>
              <w:t>Year</w:t>
            </w:r>
          </w:p>
        </w:tc>
        <w:tc>
          <w:tcPr>
            <w:tcW w:w="1915" w:type="dxa"/>
            <w:shd w:val="clear" w:color="auto" w:fill="BFBFBF"/>
            <w:vAlign w:val="center"/>
          </w:tcPr>
          <w:p w:rsidR="00564B51" w:rsidRPr="0036212F" w:rsidRDefault="00564B51" w:rsidP="00564B51">
            <w:pPr>
              <w:pStyle w:val="CommentText"/>
              <w:jc w:val="center"/>
              <w:rPr>
                <w:b/>
              </w:rPr>
            </w:pPr>
            <w:r w:rsidRPr="0036212F">
              <w:rPr>
                <w:b/>
              </w:rPr>
              <w:t>Number of Respondents</w:t>
            </w:r>
          </w:p>
        </w:tc>
        <w:tc>
          <w:tcPr>
            <w:tcW w:w="1915" w:type="dxa"/>
            <w:shd w:val="clear" w:color="auto" w:fill="BFBFBF"/>
            <w:vAlign w:val="center"/>
          </w:tcPr>
          <w:p w:rsidR="00564B51" w:rsidRPr="0036212F" w:rsidRDefault="00564B51" w:rsidP="00564B51">
            <w:pPr>
              <w:pStyle w:val="CommentText"/>
              <w:jc w:val="center"/>
              <w:rPr>
                <w:b/>
              </w:rPr>
            </w:pPr>
            <w:r w:rsidRPr="0036212F">
              <w:rPr>
                <w:b/>
              </w:rPr>
              <w:t>Time per Response</w:t>
            </w:r>
          </w:p>
          <w:p w:rsidR="00564B51" w:rsidRPr="0036212F" w:rsidRDefault="00564B51" w:rsidP="00564B51">
            <w:pPr>
              <w:pStyle w:val="CommentText"/>
              <w:jc w:val="center"/>
              <w:rPr>
                <w:b/>
              </w:rPr>
            </w:pPr>
            <w:r w:rsidRPr="0036212F">
              <w:rPr>
                <w:b/>
              </w:rPr>
              <w:t>(hours)</w:t>
            </w:r>
          </w:p>
        </w:tc>
        <w:tc>
          <w:tcPr>
            <w:tcW w:w="1915" w:type="dxa"/>
            <w:shd w:val="clear" w:color="auto" w:fill="BFBFBF"/>
            <w:vAlign w:val="center"/>
          </w:tcPr>
          <w:p w:rsidR="00564B51" w:rsidRPr="0036212F" w:rsidRDefault="00564B51" w:rsidP="00564B51">
            <w:pPr>
              <w:pStyle w:val="CommentText"/>
              <w:jc w:val="center"/>
              <w:rPr>
                <w:b/>
              </w:rPr>
            </w:pPr>
            <w:r w:rsidRPr="0036212F">
              <w:rPr>
                <w:b/>
              </w:rPr>
              <w:t>Total Hour Burden</w:t>
            </w:r>
          </w:p>
        </w:tc>
      </w:tr>
      <w:tr w:rsidR="00564B51" w:rsidTr="00564B51">
        <w:tc>
          <w:tcPr>
            <w:tcW w:w="1915" w:type="dxa"/>
          </w:tcPr>
          <w:p w:rsidR="00564B51" w:rsidRDefault="00564B51" w:rsidP="00564B51">
            <w:pPr>
              <w:pStyle w:val="CommentText"/>
            </w:pPr>
            <w:r>
              <w:t>2009</w:t>
            </w:r>
          </w:p>
        </w:tc>
        <w:tc>
          <w:tcPr>
            <w:tcW w:w="1915" w:type="dxa"/>
          </w:tcPr>
          <w:p w:rsidR="00564B51" w:rsidRDefault="00564B51" w:rsidP="00564B51">
            <w:pPr>
              <w:pStyle w:val="CommentText"/>
            </w:pPr>
            <w:r>
              <w:t>293,457</w:t>
            </w:r>
          </w:p>
        </w:tc>
        <w:tc>
          <w:tcPr>
            <w:tcW w:w="1915" w:type="dxa"/>
          </w:tcPr>
          <w:p w:rsidR="00564B51" w:rsidRDefault="00564B51" w:rsidP="00564B51">
            <w:pPr>
              <w:pStyle w:val="CommentText"/>
            </w:pPr>
            <w:r>
              <w:t>3.25</w:t>
            </w:r>
          </w:p>
        </w:tc>
        <w:tc>
          <w:tcPr>
            <w:tcW w:w="1915" w:type="dxa"/>
          </w:tcPr>
          <w:p w:rsidR="00564B51" w:rsidRDefault="00564B51" w:rsidP="00564B51">
            <w:pPr>
              <w:pStyle w:val="CommentText"/>
            </w:pPr>
            <w:r>
              <w:t>953,7</w:t>
            </w:r>
            <w:r w:rsidR="00320429">
              <w:t>35</w:t>
            </w:r>
          </w:p>
        </w:tc>
      </w:tr>
      <w:tr w:rsidR="00564B51" w:rsidTr="00564B51">
        <w:tc>
          <w:tcPr>
            <w:tcW w:w="1915" w:type="dxa"/>
          </w:tcPr>
          <w:p w:rsidR="00564B51" w:rsidRDefault="00564B51" w:rsidP="00564B51">
            <w:pPr>
              <w:pStyle w:val="CommentText"/>
            </w:pPr>
            <w:r>
              <w:t>2010</w:t>
            </w:r>
          </w:p>
        </w:tc>
        <w:tc>
          <w:tcPr>
            <w:tcW w:w="1915" w:type="dxa"/>
          </w:tcPr>
          <w:p w:rsidR="00564B51" w:rsidRDefault="00564B51" w:rsidP="00564B51">
            <w:pPr>
              <w:pStyle w:val="CommentText"/>
            </w:pPr>
            <w:r>
              <w:t>300,793</w:t>
            </w:r>
          </w:p>
        </w:tc>
        <w:tc>
          <w:tcPr>
            <w:tcW w:w="1915" w:type="dxa"/>
          </w:tcPr>
          <w:p w:rsidR="00564B51" w:rsidRDefault="00564B51" w:rsidP="00564B51">
            <w:pPr>
              <w:pStyle w:val="CommentText"/>
            </w:pPr>
            <w:r>
              <w:t>3.25</w:t>
            </w:r>
          </w:p>
        </w:tc>
        <w:tc>
          <w:tcPr>
            <w:tcW w:w="1915" w:type="dxa"/>
          </w:tcPr>
          <w:p w:rsidR="00564B51" w:rsidRDefault="00564B51" w:rsidP="00564B51">
            <w:pPr>
              <w:pStyle w:val="CommentText"/>
            </w:pPr>
            <w:r>
              <w:t>977,577</w:t>
            </w:r>
          </w:p>
        </w:tc>
      </w:tr>
      <w:tr w:rsidR="00564B51" w:rsidTr="00564B51">
        <w:tc>
          <w:tcPr>
            <w:tcW w:w="1915" w:type="dxa"/>
          </w:tcPr>
          <w:p w:rsidR="00564B51" w:rsidRDefault="00564B51" w:rsidP="00564B51">
            <w:pPr>
              <w:pStyle w:val="CommentText"/>
            </w:pPr>
            <w:r>
              <w:t>2011</w:t>
            </w:r>
          </w:p>
        </w:tc>
        <w:tc>
          <w:tcPr>
            <w:tcW w:w="1915" w:type="dxa"/>
          </w:tcPr>
          <w:p w:rsidR="00564B51" w:rsidRDefault="00564B51" w:rsidP="00564B51">
            <w:pPr>
              <w:pStyle w:val="CommentText"/>
            </w:pPr>
            <w:r>
              <w:t>308,313</w:t>
            </w:r>
          </w:p>
        </w:tc>
        <w:tc>
          <w:tcPr>
            <w:tcW w:w="1915" w:type="dxa"/>
          </w:tcPr>
          <w:p w:rsidR="00564B51" w:rsidRDefault="00564B51" w:rsidP="00564B51">
            <w:pPr>
              <w:pStyle w:val="CommentText"/>
            </w:pPr>
            <w:r>
              <w:t>3.25</w:t>
            </w:r>
          </w:p>
        </w:tc>
        <w:tc>
          <w:tcPr>
            <w:tcW w:w="1915" w:type="dxa"/>
          </w:tcPr>
          <w:p w:rsidR="00564B51" w:rsidRDefault="00564B51" w:rsidP="00564B51">
            <w:pPr>
              <w:pStyle w:val="CommentText"/>
            </w:pPr>
            <w:r>
              <w:t>1,002,017</w:t>
            </w:r>
          </w:p>
        </w:tc>
      </w:tr>
      <w:tr w:rsidR="00564B51" w:rsidTr="00564B51">
        <w:tc>
          <w:tcPr>
            <w:tcW w:w="1915" w:type="dxa"/>
          </w:tcPr>
          <w:p w:rsidR="00564B51" w:rsidRDefault="00564B51" w:rsidP="00564B51">
            <w:pPr>
              <w:pStyle w:val="CommentText"/>
            </w:pPr>
            <w:r>
              <w:t>Total 2009-2011</w:t>
            </w:r>
          </w:p>
        </w:tc>
        <w:tc>
          <w:tcPr>
            <w:tcW w:w="1915" w:type="dxa"/>
          </w:tcPr>
          <w:p w:rsidR="00564B51" w:rsidRDefault="00564B51" w:rsidP="00564B51">
            <w:pPr>
              <w:pStyle w:val="CommentText"/>
            </w:pPr>
            <w:r>
              <w:t>902,563</w:t>
            </w:r>
          </w:p>
        </w:tc>
        <w:tc>
          <w:tcPr>
            <w:tcW w:w="1915" w:type="dxa"/>
          </w:tcPr>
          <w:p w:rsidR="00564B51" w:rsidRDefault="00564B51" w:rsidP="00564B51">
            <w:pPr>
              <w:pStyle w:val="CommentText"/>
            </w:pPr>
          </w:p>
        </w:tc>
        <w:tc>
          <w:tcPr>
            <w:tcW w:w="1915" w:type="dxa"/>
          </w:tcPr>
          <w:p w:rsidR="00564B51" w:rsidRDefault="00564B51" w:rsidP="00564B51">
            <w:pPr>
              <w:pStyle w:val="CommentText"/>
            </w:pPr>
            <w:r>
              <w:t>2,933,329</w:t>
            </w:r>
          </w:p>
        </w:tc>
      </w:tr>
    </w:tbl>
    <w:p w:rsidR="002C404F" w:rsidRDefault="002C404F" w:rsidP="002C404F">
      <w:pPr>
        <w:ind w:left="720" w:firstLine="720"/>
        <w:rPr>
          <w:sz w:val="24"/>
          <w:szCs w:val="24"/>
          <w:u w:val="single"/>
        </w:rPr>
      </w:pPr>
    </w:p>
    <w:p w:rsidR="002C404F" w:rsidRDefault="002C404F" w:rsidP="002C404F"/>
    <w:p w:rsidR="00BF4D8E" w:rsidRPr="00B65979" w:rsidRDefault="00BF4D8E" w:rsidP="002C404F">
      <w:pPr>
        <w:ind w:left="720" w:firstLine="720"/>
        <w:rPr>
          <w:b/>
          <w:sz w:val="24"/>
        </w:rPr>
      </w:pPr>
    </w:p>
    <w:p w:rsidR="00EA1C22" w:rsidRDefault="00EA1C22" w:rsidP="00EA1C22">
      <w:pPr>
        <w:rPr>
          <w:b/>
          <w:sz w:val="24"/>
        </w:rPr>
      </w:pPr>
    </w:p>
    <w:p w:rsidR="00564B51" w:rsidRDefault="00564B51" w:rsidP="00A570A7">
      <w:pPr>
        <w:autoSpaceDE w:val="0"/>
        <w:autoSpaceDN w:val="0"/>
        <w:adjustRightInd w:val="0"/>
        <w:ind w:left="360"/>
        <w:rPr>
          <w:sz w:val="24"/>
          <w:szCs w:val="24"/>
          <w:u w:val="single"/>
        </w:rPr>
      </w:pPr>
    </w:p>
    <w:p w:rsidR="00564B51" w:rsidRDefault="00564B51" w:rsidP="00A570A7">
      <w:pPr>
        <w:autoSpaceDE w:val="0"/>
        <w:autoSpaceDN w:val="0"/>
        <w:adjustRightInd w:val="0"/>
        <w:ind w:left="360"/>
        <w:rPr>
          <w:sz w:val="24"/>
          <w:szCs w:val="24"/>
          <w:u w:val="single"/>
        </w:rPr>
      </w:pPr>
    </w:p>
    <w:p w:rsidR="00564B51" w:rsidRDefault="00564B51" w:rsidP="00A570A7">
      <w:pPr>
        <w:autoSpaceDE w:val="0"/>
        <w:autoSpaceDN w:val="0"/>
        <w:adjustRightInd w:val="0"/>
        <w:ind w:left="360"/>
        <w:rPr>
          <w:sz w:val="24"/>
          <w:szCs w:val="24"/>
          <w:u w:val="single"/>
        </w:rPr>
      </w:pPr>
    </w:p>
    <w:p w:rsidR="00EA1C22" w:rsidRDefault="00EA1C22" w:rsidP="00A570A7">
      <w:pPr>
        <w:autoSpaceDE w:val="0"/>
        <w:autoSpaceDN w:val="0"/>
        <w:adjustRightInd w:val="0"/>
        <w:ind w:left="360"/>
        <w:rPr>
          <w:sz w:val="24"/>
          <w:szCs w:val="24"/>
        </w:rPr>
      </w:pPr>
      <w:r w:rsidRPr="00A570A7">
        <w:rPr>
          <w:sz w:val="24"/>
          <w:szCs w:val="24"/>
          <w:u w:val="single"/>
        </w:rPr>
        <w:t>State Plans</w:t>
      </w:r>
      <w:r w:rsidRPr="00A570A7">
        <w:rPr>
          <w:sz w:val="24"/>
          <w:szCs w:val="24"/>
        </w:rPr>
        <w:t>.  The estimated annual hour burden to individual states for creating their fingerprinting and application plans is 320 hours per state</w:t>
      </w:r>
      <w:r w:rsidR="00BC7CA9">
        <w:rPr>
          <w:sz w:val="24"/>
          <w:szCs w:val="24"/>
        </w:rPr>
        <w:t xml:space="preserve"> (51 X 320 hrs=16,320 hours of burden per year)</w:t>
      </w:r>
      <w:r w:rsidRPr="00A570A7">
        <w:rPr>
          <w:sz w:val="24"/>
          <w:szCs w:val="24"/>
        </w:rPr>
        <w:t>, at a cost of approximately $10,000 per state.  This estimate includes materials, publication</w:t>
      </w:r>
      <w:r w:rsidR="002544E2">
        <w:rPr>
          <w:sz w:val="24"/>
          <w:szCs w:val="24"/>
        </w:rPr>
        <w:t>,</w:t>
      </w:r>
      <w:r w:rsidRPr="00A570A7">
        <w:rPr>
          <w:sz w:val="24"/>
          <w:szCs w:val="24"/>
        </w:rPr>
        <w:t xml:space="preserve"> and mailing costs that would be associated with publication of these plans, to include distribution of plans for coordination with other state offices and agencies.  States already have fingerprinting processes and procedures in place to support other programs (such as the Child Protection Act) and take advantage of these existing capabilities.  Similarly, states also already have application processes in existence and the effort to modify this process to account for the additional elements required for HAZMAT endorsements should not be overly burdensome</w:t>
      </w:r>
      <w:r w:rsidR="009906AB">
        <w:rPr>
          <w:sz w:val="24"/>
          <w:szCs w:val="24"/>
        </w:rPr>
        <w:t>.</w:t>
      </w:r>
    </w:p>
    <w:p w:rsidR="009906AB" w:rsidRDefault="009906AB" w:rsidP="00A570A7">
      <w:pPr>
        <w:autoSpaceDE w:val="0"/>
        <w:autoSpaceDN w:val="0"/>
        <w:adjustRightInd w:val="0"/>
        <w:ind w:left="360"/>
        <w:rPr>
          <w:sz w:val="24"/>
          <w:szCs w:val="24"/>
        </w:rPr>
      </w:pPr>
    </w:p>
    <w:p w:rsidR="009906AB" w:rsidRDefault="009906AB" w:rsidP="00A570A7">
      <w:pPr>
        <w:autoSpaceDE w:val="0"/>
        <w:autoSpaceDN w:val="0"/>
        <w:adjustRightInd w:val="0"/>
        <w:ind w:left="360"/>
        <w:rPr>
          <w:sz w:val="24"/>
          <w:szCs w:val="24"/>
        </w:rPr>
      </w:pPr>
      <w:r w:rsidRPr="009906AB">
        <w:rPr>
          <w:sz w:val="24"/>
          <w:szCs w:val="24"/>
          <w:u w:val="single"/>
        </w:rPr>
        <w:t>Wages</w:t>
      </w:r>
      <w:r w:rsidR="00EE720A">
        <w:rPr>
          <w:sz w:val="24"/>
          <w:szCs w:val="24"/>
        </w:rPr>
        <w:t>.</w:t>
      </w:r>
      <w:r>
        <w:rPr>
          <w:sz w:val="24"/>
          <w:szCs w:val="24"/>
        </w:rPr>
        <w:t xml:space="preserve">  </w:t>
      </w:r>
      <w:r w:rsidR="00EE720A">
        <w:rPr>
          <w:sz w:val="24"/>
          <w:szCs w:val="24"/>
        </w:rPr>
        <w:t>Drivers</w:t>
      </w:r>
      <w:r w:rsidRPr="00A570A7">
        <w:rPr>
          <w:sz w:val="24"/>
          <w:szCs w:val="24"/>
        </w:rPr>
        <w:t xml:space="preserve"> who apply for an HME incur an opportunity cost thru loss of wages.  It is estimated that the total time to enroll, including travel time to and from the enrollment center, is 3 hours and 15 minutes.  At an hourly wage rate of $50 per hour, the wages lost during these three years are estimated to be $</w:t>
      </w:r>
      <w:r>
        <w:rPr>
          <w:sz w:val="24"/>
          <w:szCs w:val="24"/>
        </w:rPr>
        <w:t>146.7</w:t>
      </w:r>
      <w:r w:rsidRPr="00A570A7">
        <w:rPr>
          <w:sz w:val="24"/>
          <w:szCs w:val="24"/>
        </w:rPr>
        <w:t xml:space="preserve"> million.  </w:t>
      </w:r>
    </w:p>
    <w:p w:rsidR="009906AB" w:rsidRDefault="009906AB" w:rsidP="00A570A7">
      <w:pPr>
        <w:autoSpaceDE w:val="0"/>
        <w:autoSpaceDN w:val="0"/>
        <w:adjustRightInd w:val="0"/>
        <w:ind w:left="360"/>
        <w:rPr>
          <w:sz w:val="24"/>
          <w:szCs w:val="24"/>
        </w:rPr>
      </w:pPr>
    </w:p>
    <w:tbl>
      <w:tblPr>
        <w:tblW w:w="333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3128"/>
        <w:gridCol w:w="3125"/>
      </w:tblGrid>
      <w:tr w:rsidR="008C062F" w:rsidTr="008C062F">
        <w:trPr>
          <w:trHeight w:val="525"/>
          <w:jc w:val="center"/>
        </w:trPr>
        <w:tc>
          <w:tcPr>
            <w:tcW w:w="2501" w:type="pct"/>
            <w:tcBorders>
              <w:top w:val="single" w:sz="8" w:space="0" w:color="auto"/>
              <w:left w:val="single" w:sz="8" w:space="0" w:color="auto"/>
              <w:bottom w:val="single" w:sz="8" w:space="0" w:color="auto"/>
              <w:right w:val="single" w:sz="8" w:space="0" w:color="auto"/>
            </w:tcBorders>
            <w:shd w:val="clear" w:color="auto" w:fill="C0C0C0"/>
            <w:vAlign w:val="center"/>
          </w:tcPr>
          <w:p w:rsidR="008C062F" w:rsidRDefault="008C062F" w:rsidP="008C062F">
            <w:pPr>
              <w:jc w:val="center"/>
              <w:rPr>
                <w:b/>
                <w:bCs/>
              </w:rPr>
            </w:pPr>
            <w:r>
              <w:rPr>
                <w:b/>
                <w:bCs/>
              </w:rPr>
              <w:t>Year</w:t>
            </w:r>
          </w:p>
        </w:tc>
        <w:tc>
          <w:tcPr>
            <w:tcW w:w="2499" w:type="pct"/>
            <w:tcBorders>
              <w:top w:val="single" w:sz="8" w:space="0" w:color="auto"/>
              <w:left w:val="single" w:sz="8" w:space="0" w:color="auto"/>
              <w:bottom w:val="single" w:sz="8" w:space="0" w:color="auto"/>
              <w:right w:val="single" w:sz="8" w:space="0" w:color="auto"/>
            </w:tcBorders>
            <w:shd w:val="clear" w:color="auto" w:fill="C0C0C0"/>
            <w:vAlign w:val="center"/>
          </w:tcPr>
          <w:p w:rsidR="008C062F" w:rsidRDefault="008C062F" w:rsidP="00DB7D21">
            <w:pPr>
              <w:jc w:val="center"/>
              <w:rPr>
                <w:b/>
                <w:bCs/>
              </w:rPr>
            </w:pPr>
            <w:r>
              <w:rPr>
                <w:b/>
                <w:bCs/>
              </w:rPr>
              <w:t xml:space="preserve">Wages </w:t>
            </w:r>
            <w:smartTag w:uri="urn:schemas-microsoft-com:office:smarttags" w:element="place">
              <w:r>
                <w:rPr>
                  <w:b/>
                  <w:bCs/>
                </w:rPr>
                <w:t>Opportunity</w:t>
              </w:r>
            </w:smartTag>
            <w:r>
              <w:rPr>
                <w:b/>
                <w:bCs/>
              </w:rPr>
              <w:t xml:space="preserve"> Cost</w:t>
            </w:r>
          </w:p>
        </w:tc>
      </w:tr>
      <w:tr w:rsidR="008C062F" w:rsidTr="008C062F">
        <w:trPr>
          <w:trHeight w:val="255"/>
          <w:jc w:val="center"/>
        </w:trPr>
        <w:tc>
          <w:tcPr>
            <w:tcW w:w="2501" w:type="pct"/>
            <w:tcBorders>
              <w:top w:val="single" w:sz="8" w:space="0" w:color="auto"/>
              <w:left w:val="single" w:sz="8" w:space="0" w:color="auto"/>
              <w:bottom w:val="single" w:sz="8" w:space="0" w:color="auto"/>
              <w:right w:val="single" w:sz="8" w:space="0" w:color="auto"/>
            </w:tcBorders>
            <w:vAlign w:val="bottom"/>
          </w:tcPr>
          <w:p w:rsidR="008C062F" w:rsidRDefault="008C062F" w:rsidP="008C062F">
            <w:pPr>
              <w:jc w:val="center"/>
            </w:pPr>
            <w:r>
              <w:t>2009</w:t>
            </w:r>
          </w:p>
        </w:tc>
        <w:tc>
          <w:tcPr>
            <w:tcW w:w="2499" w:type="pct"/>
            <w:tcBorders>
              <w:top w:val="single" w:sz="8" w:space="0" w:color="auto"/>
              <w:left w:val="single" w:sz="8" w:space="0" w:color="auto"/>
              <w:bottom w:val="single" w:sz="8" w:space="0" w:color="auto"/>
              <w:right w:val="single" w:sz="8" w:space="0" w:color="auto"/>
            </w:tcBorders>
            <w:vAlign w:val="bottom"/>
          </w:tcPr>
          <w:p w:rsidR="008C062F" w:rsidRDefault="00EE720A" w:rsidP="00DB7D21">
            <w:pPr>
              <w:jc w:val="center"/>
            </w:pPr>
            <w:r>
              <w:t>$</w:t>
            </w:r>
            <w:r w:rsidR="008C062F">
              <w:t>47,686,762</w:t>
            </w:r>
          </w:p>
        </w:tc>
      </w:tr>
      <w:tr w:rsidR="008C062F" w:rsidTr="008C062F">
        <w:trPr>
          <w:trHeight w:val="255"/>
          <w:jc w:val="center"/>
        </w:trPr>
        <w:tc>
          <w:tcPr>
            <w:tcW w:w="2501" w:type="pct"/>
            <w:tcBorders>
              <w:top w:val="single" w:sz="8" w:space="0" w:color="auto"/>
              <w:left w:val="single" w:sz="8" w:space="0" w:color="auto"/>
              <w:bottom w:val="single" w:sz="8" w:space="0" w:color="auto"/>
              <w:right w:val="single" w:sz="8" w:space="0" w:color="auto"/>
            </w:tcBorders>
            <w:vAlign w:val="bottom"/>
          </w:tcPr>
          <w:p w:rsidR="008C062F" w:rsidRDefault="008C062F" w:rsidP="008C062F">
            <w:pPr>
              <w:jc w:val="center"/>
            </w:pPr>
            <w:r>
              <w:t>2010</w:t>
            </w:r>
          </w:p>
        </w:tc>
        <w:tc>
          <w:tcPr>
            <w:tcW w:w="2499" w:type="pct"/>
            <w:tcBorders>
              <w:top w:val="single" w:sz="8" w:space="0" w:color="auto"/>
              <w:left w:val="single" w:sz="8" w:space="0" w:color="auto"/>
              <w:bottom w:val="single" w:sz="8" w:space="0" w:color="auto"/>
              <w:right w:val="single" w:sz="8" w:space="0" w:color="auto"/>
            </w:tcBorders>
            <w:vAlign w:val="bottom"/>
          </w:tcPr>
          <w:p w:rsidR="008C062F" w:rsidRDefault="00EE720A" w:rsidP="00DB7D21">
            <w:pPr>
              <w:jc w:val="center"/>
            </w:pPr>
            <w:r>
              <w:t>$</w:t>
            </w:r>
            <w:r w:rsidR="008C062F">
              <w:t>48,878,862</w:t>
            </w:r>
          </w:p>
        </w:tc>
      </w:tr>
      <w:tr w:rsidR="008C062F" w:rsidTr="008C062F">
        <w:trPr>
          <w:trHeight w:val="255"/>
          <w:jc w:val="center"/>
        </w:trPr>
        <w:tc>
          <w:tcPr>
            <w:tcW w:w="2501" w:type="pct"/>
            <w:tcBorders>
              <w:top w:val="single" w:sz="8" w:space="0" w:color="auto"/>
              <w:left w:val="single" w:sz="8" w:space="0" w:color="auto"/>
              <w:bottom w:val="single" w:sz="8" w:space="0" w:color="auto"/>
              <w:right w:val="single" w:sz="8" w:space="0" w:color="auto"/>
            </w:tcBorders>
            <w:vAlign w:val="bottom"/>
          </w:tcPr>
          <w:p w:rsidR="008C062F" w:rsidRDefault="008C062F" w:rsidP="008C062F">
            <w:pPr>
              <w:jc w:val="center"/>
            </w:pPr>
            <w:r>
              <w:t>2011</w:t>
            </w:r>
          </w:p>
        </w:tc>
        <w:tc>
          <w:tcPr>
            <w:tcW w:w="2499" w:type="pct"/>
            <w:tcBorders>
              <w:top w:val="single" w:sz="8" w:space="0" w:color="auto"/>
              <w:left w:val="single" w:sz="8" w:space="0" w:color="auto"/>
              <w:bottom w:val="single" w:sz="8" w:space="0" w:color="auto"/>
              <w:right w:val="single" w:sz="8" w:space="0" w:color="auto"/>
            </w:tcBorders>
            <w:vAlign w:val="bottom"/>
          </w:tcPr>
          <w:p w:rsidR="008C062F" w:rsidRDefault="00EE720A" w:rsidP="00DB7D21">
            <w:pPr>
              <w:jc w:val="center"/>
            </w:pPr>
            <w:r>
              <w:t>$</w:t>
            </w:r>
            <w:r w:rsidR="008C062F">
              <w:t>50,100,862</w:t>
            </w:r>
          </w:p>
        </w:tc>
      </w:tr>
      <w:tr w:rsidR="008C062F" w:rsidTr="008C062F">
        <w:trPr>
          <w:trHeight w:val="285"/>
          <w:jc w:val="center"/>
        </w:trPr>
        <w:tc>
          <w:tcPr>
            <w:tcW w:w="2501" w:type="pct"/>
            <w:tcBorders>
              <w:top w:val="single" w:sz="8" w:space="0" w:color="auto"/>
              <w:left w:val="single" w:sz="8" w:space="0" w:color="auto"/>
              <w:bottom w:val="single" w:sz="8" w:space="0" w:color="auto"/>
              <w:right w:val="single" w:sz="8" w:space="0" w:color="auto"/>
            </w:tcBorders>
            <w:vAlign w:val="bottom"/>
          </w:tcPr>
          <w:p w:rsidR="008C062F" w:rsidRDefault="008C062F" w:rsidP="008C062F">
            <w:pPr>
              <w:rPr>
                <w:b/>
                <w:bCs/>
              </w:rPr>
            </w:pPr>
            <w:r>
              <w:rPr>
                <w:b/>
                <w:bCs/>
              </w:rPr>
              <w:t>Total 2009-2011</w:t>
            </w:r>
          </w:p>
        </w:tc>
        <w:tc>
          <w:tcPr>
            <w:tcW w:w="2499" w:type="pct"/>
            <w:tcBorders>
              <w:top w:val="single" w:sz="8" w:space="0" w:color="auto"/>
              <w:left w:val="single" w:sz="8" w:space="0" w:color="auto"/>
              <w:bottom w:val="single" w:sz="8" w:space="0" w:color="auto"/>
              <w:right w:val="single" w:sz="8" w:space="0" w:color="auto"/>
            </w:tcBorders>
            <w:vAlign w:val="bottom"/>
          </w:tcPr>
          <w:p w:rsidR="008C062F" w:rsidRDefault="00EE720A" w:rsidP="00DB7D21">
            <w:pPr>
              <w:jc w:val="center"/>
              <w:rPr>
                <w:b/>
                <w:bCs/>
              </w:rPr>
            </w:pPr>
            <w:r>
              <w:rPr>
                <w:b/>
                <w:bCs/>
              </w:rPr>
              <w:t>$</w:t>
            </w:r>
            <w:r w:rsidR="008C062F">
              <w:rPr>
                <w:b/>
                <w:bCs/>
              </w:rPr>
              <w:t>146,666,486</w:t>
            </w:r>
          </w:p>
        </w:tc>
      </w:tr>
      <w:tr w:rsidR="008C062F" w:rsidTr="008C062F">
        <w:trPr>
          <w:trHeight w:val="270"/>
          <w:jc w:val="center"/>
        </w:trPr>
        <w:tc>
          <w:tcPr>
            <w:tcW w:w="2501" w:type="pct"/>
            <w:tcBorders>
              <w:top w:val="single" w:sz="8" w:space="0" w:color="auto"/>
              <w:left w:val="single" w:sz="8" w:space="0" w:color="auto"/>
              <w:bottom w:val="single" w:sz="8" w:space="0" w:color="auto"/>
              <w:right w:val="single" w:sz="8" w:space="0" w:color="auto"/>
            </w:tcBorders>
            <w:vAlign w:val="bottom"/>
          </w:tcPr>
          <w:p w:rsidR="008C062F" w:rsidRDefault="008C062F" w:rsidP="008C062F">
            <w:pPr>
              <w:rPr>
                <w:b/>
                <w:bCs/>
              </w:rPr>
            </w:pPr>
            <w:r>
              <w:rPr>
                <w:b/>
                <w:bCs/>
              </w:rPr>
              <w:t>Annualized</w:t>
            </w:r>
          </w:p>
        </w:tc>
        <w:tc>
          <w:tcPr>
            <w:tcW w:w="2499" w:type="pct"/>
            <w:tcBorders>
              <w:top w:val="single" w:sz="8" w:space="0" w:color="auto"/>
              <w:left w:val="single" w:sz="8" w:space="0" w:color="auto"/>
              <w:bottom w:val="single" w:sz="8" w:space="0" w:color="auto"/>
              <w:right w:val="single" w:sz="8" w:space="0" w:color="auto"/>
            </w:tcBorders>
            <w:vAlign w:val="bottom"/>
          </w:tcPr>
          <w:p w:rsidR="008C062F" w:rsidRDefault="00EE720A" w:rsidP="00DB7D21">
            <w:pPr>
              <w:jc w:val="center"/>
              <w:rPr>
                <w:b/>
                <w:bCs/>
              </w:rPr>
            </w:pPr>
            <w:r>
              <w:rPr>
                <w:b/>
                <w:bCs/>
              </w:rPr>
              <w:t>$</w:t>
            </w:r>
            <w:r w:rsidR="008C062F">
              <w:rPr>
                <w:b/>
                <w:bCs/>
              </w:rPr>
              <w:t>48,888,829</w:t>
            </w:r>
          </w:p>
        </w:tc>
      </w:tr>
    </w:tbl>
    <w:p w:rsidR="009906AB" w:rsidRPr="00A570A7" w:rsidRDefault="009906AB" w:rsidP="00A570A7">
      <w:pPr>
        <w:autoSpaceDE w:val="0"/>
        <w:autoSpaceDN w:val="0"/>
        <w:adjustRightInd w:val="0"/>
        <w:ind w:left="360"/>
        <w:rPr>
          <w:sz w:val="24"/>
          <w:szCs w:val="24"/>
        </w:rPr>
      </w:pPr>
    </w:p>
    <w:p w:rsidR="00BF4D8E" w:rsidRPr="00A570A7" w:rsidRDefault="00BF4D8E" w:rsidP="00A570A7">
      <w:pPr>
        <w:autoSpaceDE w:val="0"/>
        <w:autoSpaceDN w:val="0"/>
        <w:adjustRightInd w:val="0"/>
        <w:ind w:left="360"/>
        <w:rPr>
          <w:sz w:val="24"/>
          <w:szCs w:val="24"/>
        </w:rPr>
      </w:pPr>
    </w:p>
    <w:p w:rsidR="007F5022" w:rsidRPr="002F003F" w:rsidRDefault="007F5022" w:rsidP="007F5022">
      <w:pPr>
        <w:keepNext/>
        <w:numPr>
          <w:ilvl w:val="0"/>
          <w:numId w:val="22"/>
        </w:numPr>
        <w:tabs>
          <w:tab w:val="left" w:pos="360"/>
        </w:tabs>
        <w:rPr>
          <w:b/>
          <w:bCs/>
          <w:i/>
          <w:iCs/>
          <w:color w:val="000000"/>
          <w:sz w:val="24"/>
        </w:rPr>
      </w:pPr>
      <w:r w:rsidRPr="007F5022">
        <w:rPr>
          <w:b/>
          <w:bCs/>
          <w:i/>
          <w:iCs/>
          <w:color w:val="000000"/>
          <w:sz w:val="24"/>
        </w:rPr>
        <w:t>Provide an estimate of the total annual cost burden to respondents or recordkeepers resulting from the collection of information.</w:t>
      </w:r>
      <w:r w:rsidR="002A59A2" w:rsidRPr="002A59A2">
        <w:rPr>
          <w:b/>
          <w:sz w:val="24"/>
        </w:rPr>
        <w:t xml:space="preserve"> </w:t>
      </w:r>
      <w:r w:rsidR="002A59A2">
        <w:rPr>
          <w:b/>
          <w:sz w:val="24"/>
        </w:rPr>
        <w:t xml:space="preserve"> </w:t>
      </w:r>
      <w:r w:rsidR="002A59A2" w:rsidRPr="002A59A2">
        <w:rPr>
          <w:b/>
          <w:i/>
          <w:sz w:val="24"/>
        </w:rPr>
        <w:t>(Do not include the cost of any hour burden shown in Items 12 and 14)</w:t>
      </w:r>
      <w:r w:rsidR="002A59A2">
        <w:rPr>
          <w:b/>
          <w:i/>
          <w:sz w:val="24"/>
        </w:rPr>
        <w:t>.</w:t>
      </w:r>
    </w:p>
    <w:p w:rsidR="002F003F" w:rsidRDefault="002F003F" w:rsidP="002F003F">
      <w:pPr>
        <w:autoSpaceDE w:val="0"/>
        <w:autoSpaceDN w:val="0"/>
        <w:adjustRightInd w:val="0"/>
        <w:ind w:left="360"/>
        <w:rPr>
          <w:sz w:val="24"/>
          <w:szCs w:val="24"/>
          <w:u w:val="single"/>
        </w:rPr>
      </w:pPr>
    </w:p>
    <w:p w:rsidR="002F003F" w:rsidRDefault="002F003F" w:rsidP="002F003F">
      <w:pPr>
        <w:autoSpaceDE w:val="0"/>
        <w:autoSpaceDN w:val="0"/>
        <w:adjustRightInd w:val="0"/>
        <w:ind w:left="360"/>
        <w:rPr>
          <w:sz w:val="24"/>
          <w:szCs w:val="24"/>
        </w:rPr>
      </w:pPr>
      <w:r w:rsidRPr="002F003F">
        <w:rPr>
          <w:sz w:val="24"/>
          <w:szCs w:val="24"/>
          <w:u w:val="single"/>
        </w:rPr>
        <w:t>Cost Per Background Check.</w:t>
      </w:r>
      <w:r w:rsidRPr="00A570A7">
        <w:rPr>
          <w:sz w:val="24"/>
          <w:szCs w:val="24"/>
        </w:rPr>
        <w:t xml:space="preserve">  The program cost burden of issuing Hazmat endorsements include</w:t>
      </w:r>
      <w:r>
        <w:rPr>
          <w:sz w:val="24"/>
          <w:szCs w:val="24"/>
        </w:rPr>
        <w:t>s</w:t>
      </w:r>
      <w:r w:rsidRPr="00A570A7">
        <w:rPr>
          <w:sz w:val="24"/>
          <w:szCs w:val="24"/>
        </w:rPr>
        <w:t xml:space="preserve"> initial processing costs, costs for an FBI criminal history records check, and administrative costs.  Processing costs vary depending on whether drivers are enrolled by their individual states or by a TSA agent.  The average total cost for these elements was $93.60 per person from FY07 and before.  In FY0</w:t>
      </w:r>
      <w:r>
        <w:rPr>
          <w:sz w:val="24"/>
          <w:szCs w:val="24"/>
        </w:rPr>
        <w:t>9</w:t>
      </w:r>
      <w:r w:rsidRPr="00A570A7">
        <w:rPr>
          <w:sz w:val="24"/>
          <w:szCs w:val="24"/>
        </w:rPr>
        <w:t xml:space="preserve"> and later, the average cost is $8</w:t>
      </w:r>
      <w:r>
        <w:rPr>
          <w:sz w:val="24"/>
          <w:szCs w:val="24"/>
        </w:rPr>
        <w:t>9</w:t>
      </w:r>
      <w:r w:rsidRPr="00A570A7">
        <w:rPr>
          <w:sz w:val="24"/>
          <w:szCs w:val="24"/>
        </w:rPr>
        <w:t>.</w:t>
      </w:r>
      <w:r>
        <w:rPr>
          <w:sz w:val="24"/>
          <w:szCs w:val="24"/>
        </w:rPr>
        <w:t>2</w:t>
      </w:r>
      <w:r w:rsidRPr="00A570A7">
        <w:rPr>
          <w:sz w:val="24"/>
          <w:szCs w:val="24"/>
        </w:rPr>
        <w:t>5 per person due to a reduction in the FBI fee.  The $8</w:t>
      </w:r>
      <w:r>
        <w:rPr>
          <w:sz w:val="24"/>
          <w:szCs w:val="24"/>
        </w:rPr>
        <w:t>9</w:t>
      </w:r>
      <w:r w:rsidRPr="00A570A7">
        <w:rPr>
          <w:sz w:val="24"/>
          <w:szCs w:val="24"/>
        </w:rPr>
        <w:t>.</w:t>
      </w:r>
      <w:r>
        <w:rPr>
          <w:sz w:val="24"/>
          <w:szCs w:val="24"/>
        </w:rPr>
        <w:t>2</w:t>
      </w:r>
      <w:r w:rsidRPr="00A570A7">
        <w:rPr>
          <w:sz w:val="24"/>
          <w:szCs w:val="24"/>
        </w:rPr>
        <w:t>5 rate is used to calculate the program cost burden estimated to be $</w:t>
      </w:r>
      <w:r>
        <w:rPr>
          <w:sz w:val="24"/>
          <w:szCs w:val="24"/>
        </w:rPr>
        <w:t>80.6</w:t>
      </w:r>
      <w:r w:rsidRPr="00A570A7">
        <w:rPr>
          <w:sz w:val="24"/>
          <w:szCs w:val="24"/>
        </w:rPr>
        <w:t xml:space="preserve"> million from 200</w:t>
      </w:r>
      <w:r>
        <w:rPr>
          <w:sz w:val="24"/>
          <w:szCs w:val="24"/>
        </w:rPr>
        <w:t>9</w:t>
      </w:r>
      <w:r w:rsidRPr="00A570A7">
        <w:rPr>
          <w:sz w:val="24"/>
          <w:szCs w:val="24"/>
        </w:rPr>
        <w:t xml:space="preserve"> through 201</w:t>
      </w:r>
      <w:r>
        <w:rPr>
          <w:sz w:val="24"/>
          <w:szCs w:val="24"/>
        </w:rPr>
        <w:t>1</w:t>
      </w:r>
      <w:r w:rsidRPr="00A570A7">
        <w:rPr>
          <w:sz w:val="24"/>
          <w:szCs w:val="24"/>
        </w:rPr>
        <w:t xml:space="preserve">.  </w:t>
      </w:r>
    </w:p>
    <w:p w:rsidR="00EE720A" w:rsidRDefault="00EE720A" w:rsidP="002F003F">
      <w:pPr>
        <w:autoSpaceDE w:val="0"/>
        <w:autoSpaceDN w:val="0"/>
        <w:adjustRightInd w:val="0"/>
        <w:ind w:left="360"/>
        <w:rPr>
          <w:sz w:val="24"/>
          <w:szCs w:val="24"/>
        </w:rPr>
      </w:pPr>
    </w:p>
    <w:p w:rsidR="002F003F" w:rsidRDefault="002F003F" w:rsidP="002F003F">
      <w:pPr>
        <w:ind w:left="2880" w:firstLine="720"/>
        <w:rPr>
          <w:b/>
          <w:sz w:val="24"/>
        </w:rPr>
      </w:pPr>
      <w:r>
        <w:rPr>
          <w:b/>
          <w:sz w:val="24"/>
        </w:rPr>
        <w:t>Table 1</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397"/>
        <w:gridCol w:w="1488"/>
        <w:gridCol w:w="2507"/>
        <w:gridCol w:w="1995"/>
        <w:gridCol w:w="1995"/>
      </w:tblGrid>
      <w:tr w:rsidR="00EE720A" w:rsidTr="00EE720A">
        <w:trPr>
          <w:trHeight w:val="525"/>
          <w:jc w:val="center"/>
        </w:trPr>
        <w:tc>
          <w:tcPr>
            <w:tcW w:w="745" w:type="pct"/>
            <w:tcBorders>
              <w:top w:val="single" w:sz="8" w:space="0" w:color="auto"/>
              <w:left w:val="single" w:sz="8" w:space="0" w:color="auto"/>
              <w:bottom w:val="single" w:sz="8" w:space="0" w:color="auto"/>
              <w:right w:val="single" w:sz="8" w:space="0" w:color="auto"/>
            </w:tcBorders>
            <w:shd w:val="clear" w:color="auto" w:fill="C0C0C0"/>
            <w:noWrap/>
            <w:tcMar>
              <w:top w:w="12" w:type="dxa"/>
              <w:left w:w="12" w:type="dxa"/>
              <w:bottom w:w="0" w:type="dxa"/>
              <w:right w:w="12" w:type="dxa"/>
            </w:tcMar>
            <w:vAlign w:val="center"/>
          </w:tcPr>
          <w:p w:rsidR="00EE720A" w:rsidRDefault="00EE720A" w:rsidP="00A77D54">
            <w:pPr>
              <w:jc w:val="center"/>
              <w:rPr>
                <w:rFonts w:eastAsia="Arial Unicode MS"/>
                <w:b/>
                <w:bCs/>
              </w:rPr>
            </w:pPr>
            <w:r>
              <w:rPr>
                <w:b/>
                <w:bCs/>
              </w:rPr>
              <w:t>Year</w:t>
            </w:r>
          </w:p>
        </w:tc>
        <w:tc>
          <w:tcPr>
            <w:tcW w:w="793" w:type="pct"/>
            <w:tcBorders>
              <w:top w:val="single" w:sz="8" w:space="0" w:color="auto"/>
              <w:left w:val="single" w:sz="8" w:space="0" w:color="auto"/>
              <w:bottom w:val="single" w:sz="8" w:space="0" w:color="auto"/>
              <w:right w:val="single" w:sz="8" w:space="0" w:color="auto"/>
            </w:tcBorders>
            <w:shd w:val="clear" w:color="auto" w:fill="C0C0C0"/>
            <w:noWrap/>
            <w:tcMar>
              <w:top w:w="12" w:type="dxa"/>
              <w:left w:w="12" w:type="dxa"/>
              <w:bottom w:w="0" w:type="dxa"/>
              <w:right w:w="12" w:type="dxa"/>
            </w:tcMar>
            <w:vAlign w:val="center"/>
          </w:tcPr>
          <w:p w:rsidR="00EE720A" w:rsidRDefault="00EE720A" w:rsidP="00A77D54">
            <w:pPr>
              <w:jc w:val="center"/>
              <w:rPr>
                <w:rFonts w:eastAsia="Arial Unicode MS"/>
                <w:b/>
                <w:bCs/>
              </w:rPr>
            </w:pPr>
            <w:r>
              <w:rPr>
                <w:b/>
                <w:bCs/>
              </w:rPr>
              <w:t>Number</w:t>
            </w:r>
          </w:p>
        </w:tc>
        <w:tc>
          <w:tcPr>
            <w:tcW w:w="1336" w:type="pct"/>
            <w:tcBorders>
              <w:top w:val="single" w:sz="8" w:space="0" w:color="auto"/>
              <w:left w:val="single" w:sz="8" w:space="0" w:color="auto"/>
              <w:bottom w:val="single" w:sz="8" w:space="0" w:color="auto"/>
              <w:right w:val="single" w:sz="8" w:space="0" w:color="auto"/>
            </w:tcBorders>
            <w:shd w:val="clear" w:color="auto" w:fill="C0C0C0"/>
            <w:tcMar>
              <w:top w:w="12" w:type="dxa"/>
              <w:left w:w="12" w:type="dxa"/>
              <w:bottom w:w="0" w:type="dxa"/>
              <w:right w:w="12" w:type="dxa"/>
            </w:tcMar>
            <w:vAlign w:val="center"/>
          </w:tcPr>
          <w:p w:rsidR="00EE720A" w:rsidRDefault="00EE720A" w:rsidP="00A77D54">
            <w:pPr>
              <w:jc w:val="center"/>
              <w:rPr>
                <w:rFonts w:eastAsia="Arial Unicode MS"/>
                <w:b/>
                <w:bCs/>
              </w:rPr>
            </w:pPr>
            <w:r>
              <w:rPr>
                <w:b/>
                <w:bCs/>
              </w:rPr>
              <w:t>BGC Population</w:t>
            </w:r>
          </w:p>
        </w:tc>
        <w:tc>
          <w:tcPr>
            <w:tcW w:w="1063" w:type="pct"/>
            <w:tcBorders>
              <w:top w:val="single" w:sz="8" w:space="0" w:color="auto"/>
              <w:left w:val="single" w:sz="8" w:space="0" w:color="auto"/>
              <w:bottom w:val="single" w:sz="8" w:space="0" w:color="auto"/>
              <w:right w:val="single" w:sz="8" w:space="0" w:color="auto"/>
            </w:tcBorders>
            <w:shd w:val="clear" w:color="auto" w:fill="C0C0C0"/>
            <w:vAlign w:val="center"/>
          </w:tcPr>
          <w:p w:rsidR="00EE720A" w:rsidRDefault="00EE720A" w:rsidP="00EE720A">
            <w:pPr>
              <w:jc w:val="center"/>
              <w:rPr>
                <w:b/>
                <w:bCs/>
              </w:rPr>
            </w:pPr>
            <w:r>
              <w:rPr>
                <w:b/>
                <w:bCs/>
              </w:rPr>
              <w:t>Average Cost</w:t>
            </w:r>
          </w:p>
        </w:tc>
        <w:tc>
          <w:tcPr>
            <w:tcW w:w="1063" w:type="pct"/>
            <w:tcBorders>
              <w:top w:val="single" w:sz="8" w:space="0" w:color="auto"/>
              <w:left w:val="single" w:sz="8" w:space="0" w:color="auto"/>
              <w:bottom w:val="single" w:sz="8" w:space="0" w:color="auto"/>
              <w:right w:val="single" w:sz="8" w:space="0" w:color="auto"/>
            </w:tcBorders>
            <w:shd w:val="clear" w:color="auto" w:fill="C0C0C0"/>
            <w:vAlign w:val="center"/>
          </w:tcPr>
          <w:p w:rsidR="00EE720A" w:rsidRDefault="00EE720A" w:rsidP="00A77D54">
            <w:pPr>
              <w:jc w:val="center"/>
              <w:rPr>
                <w:b/>
                <w:bCs/>
              </w:rPr>
            </w:pPr>
            <w:r>
              <w:rPr>
                <w:b/>
                <w:bCs/>
              </w:rPr>
              <w:t>Total  Cost Burden</w:t>
            </w:r>
          </w:p>
        </w:tc>
      </w:tr>
      <w:tr w:rsidR="00EE720A" w:rsidTr="00EE720A">
        <w:trPr>
          <w:trHeight w:val="255"/>
          <w:jc w:val="center"/>
        </w:trPr>
        <w:tc>
          <w:tcPr>
            <w:tcW w:w="745"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2C404F">
            <w:pPr>
              <w:jc w:val="center"/>
            </w:pPr>
            <w:r>
              <w:t>2009</w:t>
            </w:r>
          </w:p>
        </w:tc>
        <w:tc>
          <w:tcPr>
            <w:tcW w:w="793"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center"/>
          </w:tcPr>
          <w:p w:rsidR="00EE720A" w:rsidRDefault="00EE720A" w:rsidP="00A77D54">
            <w:pPr>
              <w:jc w:val="center"/>
            </w:pPr>
            <w:r>
              <w:t>1,735,395</w:t>
            </w:r>
          </w:p>
        </w:tc>
        <w:tc>
          <w:tcPr>
            <w:tcW w:w="1336"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jc w:val="center"/>
            </w:pPr>
            <w:r>
              <w:t>293,457</w:t>
            </w:r>
          </w:p>
        </w:tc>
        <w:tc>
          <w:tcPr>
            <w:tcW w:w="1063" w:type="pct"/>
            <w:tcBorders>
              <w:top w:val="single" w:sz="8" w:space="0" w:color="auto"/>
              <w:left w:val="single" w:sz="8" w:space="0" w:color="auto"/>
              <w:bottom w:val="single" w:sz="8" w:space="0" w:color="auto"/>
              <w:right w:val="single" w:sz="8" w:space="0" w:color="auto"/>
            </w:tcBorders>
          </w:tcPr>
          <w:p w:rsidR="00EE720A" w:rsidRDefault="00EE720A" w:rsidP="00A77D54">
            <w:pPr>
              <w:jc w:val="center"/>
            </w:pPr>
            <w:r>
              <w:t>$89.25</w:t>
            </w:r>
          </w:p>
        </w:tc>
        <w:tc>
          <w:tcPr>
            <w:tcW w:w="1063" w:type="pct"/>
            <w:tcBorders>
              <w:top w:val="single" w:sz="8" w:space="0" w:color="auto"/>
              <w:left w:val="single" w:sz="8" w:space="0" w:color="auto"/>
              <w:bottom w:val="single" w:sz="8" w:space="0" w:color="auto"/>
              <w:right w:val="single" w:sz="8" w:space="0" w:color="auto"/>
            </w:tcBorders>
            <w:vAlign w:val="bottom"/>
          </w:tcPr>
          <w:p w:rsidR="00EE720A" w:rsidRDefault="00EE720A" w:rsidP="00A77D54">
            <w:pPr>
              <w:jc w:val="center"/>
            </w:pPr>
            <w:r>
              <w:t>$26,191,037</w:t>
            </w:r>
          </w:p>
        </w:tc>
      </w:tr>
      <w:tr w:rsidR="00EE720A" w:rsidTr="00EE720A">
        <w:trPr>
          <w:trHeight w:val="255"/>
          <w:jc w:val="center"/>
        </w:trPr>
        <w:tc>
          <w:tcPr>
            <w:tcW w:w="745"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jc w:val="center"/>
            </w:pPr>
            <w:r>
              <w:t>2010</w:t>
            </w:r>
          </w:p>
        </w:tc>
        <w:tc>
          <w:tcPr>
            <w:tcW w:w="793"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center"/>
          </w:tcPr>
          <w:p w:rsidR="00EE720A" w:rsidRDefault="00EE720A" w:rsidP="00A77D54">
            <w:pPr>
              <w:jc w:val="center"/>
            </w:pPr>
            <w:r>
              <w:t>1,620,188</w:t>
            </w:r>
          </w:p>
        </w:tc>
        <w:tc>
          <w:tcPr>
            <w:tcW w:w="1336"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jc w:val="center"/>
            </w:pPr>
            <w:r>
              <w:t>300,793</w:t>
            </w:r>
          </w:p>
        </w:tc>
        <w:tc>
          <w:tcPr>
            <w:tcW w:w="1063" w:type="pct"/>
            <w:tcBorders>
              <w:top w:val="single" w:sz="8" w:space="0" w:color="auto"/>
              <w:left w:val="single" w:sz="8" w:space="0" w:color="auto"/>
              <w:bottom w:val="single" w:sz="8" w:space="0" w:color="auto"/>
              <w:right w:val="single" w:sz="8" w:space="0" w:color="auto"/>
            </w:tcBorders>
          </w:tcPr>
          <w:p w:rsidR="00EE720A" w:rsidRDefault="00EE720A" w:rsidP="00A77D54">
            <w:pPr>
              <w:jc w:val="center"/>
            </w:pPr>
            <w:r>
              <w:t>$89.25</w:t>
            </w:r>
          </w:p>
        </w:tc>
        <w:tc>
          <w:tcPr>
            <w:tcW w:w="1063" w:type="pct"/>
            <w:tcBorders>
              <w:top w:val="single" w:sz="8" w:space="0" w:color="auto"/>
              <w:left w:val="single" w:sz="8" w:space="0" w:color="auto"/>
              <w:bottom w:val="single" w:sz="8" w:space="0" w:color="auto"/>
              <w:right w:val="single" w:sz="8" w:space="0" w:color="auto"/>
            </w:tcBorders>
            <w:vAlign w:val="bottom"/>
          </w:tcPr>
          <w:p w:rsidR="00EE720A" w:rsidRDefault="00EE720A" w:rsidP="00A77D54">
            <w:pPr>
              <w:jc w:val="center"/>
            </w:pPr>
            <w:r>
              <w:t>$26,845,775</w:t>
            </w:r>
          </w:p>
        </w:tc>
      </w:tr>
      <w:tr w:rsidR="00EE720A" w:rsidTr="00EE720A">
        <w:trPr>
          <w:trHeight w:val="255"/>
          <w:jc w:val="center"/>
        </w:trPr>
        <w:tc>
          <w:tcPr>
            <w:tcW w:w="745"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jc w:val="center"/>
            </w:pPr>
            <w:r>
              <w:t>2011</w:t>
            </w:r>
          </w:p>
        </w:tc>
        <w:tc>
          <w:tcPr>
            <w:tcW w:w="793"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center"/>
          </w:tcPr>
          <w:p w:rsidR="00EE720A" w:rsidRDefault="00EE720A" w:rsidP="00A77D54">
            <w:pPr>
              <w:jc w:val="center"/>
            </w:pPr>
            <w:r>
              <w:t>1,650,596</w:t>
            </w:r>
          </w:p>
        </w:tc>
        <w:tc>
          <w:tcPr>
            <w:tcW w:w="1336"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jc w:val="center"/>
            </w:pPr>
            <w:r>
              <w:t>308,313</w:t>
            </w:r>
          </w:p>
        </w:tc>
        <w:tc>
          <w:tcPr>
            <w:tcW w:w="1063" w:type="pct"/>
            <w:tcBorders>
              <w:top w:val="single" w:sz="8" w:space="0" w:color="auto"/>
              <w:left w:val="single" w:sz="8" w:space="0" w:color="auto"/>
              <w:bottom w:val="single" w:sz="8" w:space="0" w:color="auto"/>
              <w:right w:val="single" w:sz="8" w:space="0" w:color="auto"/>
            </w:tcBorders>
          </w:tcPr>
          <w:p w:rsidR="00EE720A" w:rsidRDefault="00EE720A" w:rsidP="00A77D54">
            <w:pPr>
              <w:jc w:val="center"/>
            </w:pPr>
            <w:r>
              <w:t>$89.25</w:t>
            </w:r>
          </w:p>
        </w:tc>
        <w:tc>
          <w:tcPr>
            <w:tcW w:w="1063" w:type="pct"/>
            <w:tcBorders>
              <w:top w:val="single" w:sz="8" w:space="0" w:color="auto"/>
              <w:left w:val="single" w:sz="8" w:space="0" w:color="auto"/>
              <w:bottom w:val="single" w:sz="8" w:space="0" w:color="auto"/>
              <w:right w:val="single" w:sz="8" w:space="0" w:color="auto"/>
            </w:tcBorders>
            <w:vAlign w:val="bottom"/>
          </w:tcPr>
          <w:p w:rsidR="00EE720A" w:rsidRDefault="00EE720A" w:rsidP="00A77D54">
            <w:pPr>
              <w:jc w:val="center"/>
            </w:pPr>
            <w:r>
              <w:t>$27,516,935</w:t>
            </w:r>
          </w:p>
        </w:tc>
      </w:tr>
      <w:tr w:rsidR="00EE720A" w:rsidTr="00EE720A">
        <w:trPr>
          <w:trHeight w:val="285"/>
          <w:jc w:val="center"/>
        </w:trPr>
        <w:tc>
          <w:tcPr>
            <w:tcW w:w="745"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rPr>
                <w:b/>
                <w:bCs/>
              </w:rPr>
            </w:pPr>
            <w:r>
              <w:rPr>
                <w:b/>
                <w:bCs/>
              </w:rPr>
              <w:t>Total 2009-2011</w:t>
            </w:r>
          </w:p>
        </w:tc>
        <w:tc>
          <w:tcPr>
            <w:tcW w:w="793"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jc w:val="center"/>
              <w:rPr>
                <w:b/>
                <w:bCs/>
              </w:rPr>
            </w:pPr>
            <w:r>
              <w:rPr>
                <w:b/>
                <w:bCs/>
              </w:rPr>
              <w:t>5,006,179</w:t>
            </w:r>
          </w:p>
        </w:tc>
        <w:tc>
          <w:tcPr>
            <w:tcW w:w="1336"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jc w:val="center"/>
              <w:rPr>
                <w:b/>
                <w:bCs/>
              </w:rPr>
            </w:pPr>
            <w:r>
              <w:rPr>
                <w:b/>
                <w:bCs/>
              </w:rPr>
              <w:t>902,563</w:t>
            </w:r>
          </w:p>
        </w:tc>
        <w:tc>
          <w:tcPr>
            <w:tcW w:w="1063" w:type="pct"/>
            <w:tcBorders>
              <w:top w:val="single" w:sz="8" w:space="0" w:color="auto"/>
              <w:left w:val="single" w:sz="8" w:space="0" w:color="auto"/>
              <w:bottom w:val="single" w:sz="8" w:space="0" w:color="auto"/>
              <w:right w:val="single" w:sz="8" w:space="0" w:color="auto"/>
            </w:tcBorders>
          </w:tcPr>
          <w:p w:rsidR="00EE720A" w:rsidRDefault="00EE720A" w:rsidP="00A77D54">
            <w:pPr>
              <w:jc w:val="center"/>
              <w:rPr>
                <w:b/>
                <w:bCs/>
              </w:rPr>
            </w:pPr>
          </w:p>
        </w:tc>
        <w:tc>
          <w:tcPr>
            <w:tcW w:w="1063" w:type="pct"/>
            <w:tcBorders>
              <w:top w:val="single" w:sz="8" w:space="0" w:color="auto"/>
              <w:left w:val="single" w:sz="8" w:space="0" w:color="auto"/>
              <w:bottom w:val="single" w:sz="8" w:space="0" w:color="auto"/>
              <w:right w:val="single" w:sz="8" w:space="0" w:color="auto"/>
            </w:tcBorders>
            <w:vAlign w:val="bottom"/>
          </w:tcPr>
          <w:p w:rsidR="00EE720A" w:rsidRDefault="00EE720A" w:rsidP="00A77D54">
            <w:pPr>
              <w:jc w:val="center"/>
              <w:rPr>
                <w:b/>
                <w:bCs/>
              </w:rPr>
            </w:pPr>
            <w:r>
              <w:rPr>
                <w:b/>
                <w:bCs/>
              </w:rPr>
              <w:t>$80,553,747</w:t>
            </w:r>
          </w:p>
        </w:tc>
      </w:tr>
      <w:tr w:rsidR="00EE720A" w:rsidTr="00EE720A">
        <w:trPr>
          <w:trHeight w:val="270"/>
          <w:jc w:val="center"/>
        </w:trPr>
        <w:tc>
          <w:tcPr>
            <w:tcW w:w="745"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rPr>
                <w:b/>
                <w:bCs/>
              </w:rPr>
            </w:pPr>
            <w:r>
              <w:rPr>
                <w:b/>
                <w:bCs/>
              </w:rPr>
              <w:t>Annualized</w:t>
            </w:r>
          </w:p>
        </w:tc>
        <w:tc>
          <w:tcPr>
            <w:tcW w:w="793"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center"/>
          </w:tcPr>
          <w:p w:rsidR="00EE720A" w:rsidRDefault="00EE720A" w:rsidP="00A77D54">
            <w:pPr>
              <w:jc w:val="center"/>
            </w:pPr>
          </w:p>
        </w:tc>
        <w:tc>
          <w:tcPr>
            <w:tcW w:w="1336" w:type="pct"/>
            <w:tcBorders>
              <w:top w:val="single" w:sz="8" w:space="0" w:color="auto"/>
              <w:left w:val="single" w:sz="8" w:space="0" w:color="auto"/>
              <w:bottom w:val="single" w:sz="8" w:space="0" w:color="auto"/>
              <w:right w:val="single" w:sz="8" w:space="0" w:color="auto"/>
            </w:tcBorders>
            <w:noWrap/>
            <w:tcMar>
              <w:top w:w="12" w:type="dxa"/>
              <w:left w:w="12" w:type="dxa"/>
              <w:bottom w:w="0" w:type="dxa"/>
              <w:right w:w="12" w:type="dxa"/>
            </w:tcMar>
            <w:vAlign w:val="bottom"/>
          </w:tcPr>
          <w:p w:rsidR="00EE720A" w:rsidRDefault="00EE720A" w:rsidP="00A77D54">
            <w:pPr>
              <w:jc w:val="center"/>
              <w:rPr>
                <w:b/>
                <w:bCs/>
              </w:rPr>
            </w:pPr>
            <w:r>
              <w:rPr>
                <w:b/>
                <w:bCs/>
              </w:rPr>
              <w:t>300,854</w:t>
            </w:r>
          </w:p>
        </w:tc>
        <w:tc>
          <w:tcPr>
            <w:tcW w:w="1063" w:type="pct"/>
            <w:tcBorders>
              <w:top w:val="single" w:sz="8" w:space="0" w:color="auto"/>
              <w:left w:val="single" w:sz="8" w:space="0" w:color="auto"/>
              <w:bottom w:val="single" w:sz="8" w:space="0" w:color="auto"/>
              <w:right w:val="single" w:sz="8" w:space="0" w:color="auto"/>
            </w:tcBorders>
          </w:tcPr>
          <w:p w:rsidR="00EE720A" w:rsidRDefault="00EE720A" w:rsidP="00A77D54">
            <w:pPr>
              <w:jc w:val="center"/>
              <w:rPr>
                <w:b/>
                <w:bCs/>
              </w:rPr>
            </w:pPr>
          </w:p>
        </w:tc>
        <w:tc>
          <w:tcPr>
            <w:tcW w:w="1063" w:type="pct"/>
            <w:tcBorders>
              <w:top w:val="single" w:sz="8" w:space="0" w:color="auto"/>
              <w:left w:val="single" w:sz="8" w:space="0" w:color="auto"/>
              <w:bottom w:val="single" w:sz="8" w:space="0" w:color="auto"/>
              <w:right w:val="single" w:sz="8" w:space="0" w:color="auto"/>
            </w:tcBorders>
            <w:vAlign w:val="bottom"/>
          </w:tcPr>
          <w:p w:rsidR="00EE720A" w:rsidRDefault="00EE720A" w:rsidP="00A77D54">
            <w:pPr>
              <w:jc w:val="center"/>
              <w:rPr>
                <w:b/>
                <w:bCs/>
              </w:rPr>
            </w:pPr>
            <w:r>
              <w:rPr>
                <w:b/>
                <w:bCs/>
              </w:rPr>
              <w:t>$26,851,249</w:t>
            </w:r>
          </w:p>
        </w:tc>
      </w:tr>
    </w:tbl>
    <w:p w:rsidR="002F003F" w:rsidRPr="002F003F" w:rsidRDefault="002F003F" w:rsidP="00C37DEB">
      <w:pPr>
        <w:keepNext/>
        <w:tabs>
          <w:tab w:val="left" w:pos="360"/>
        </w:tabs>
        <w:rPr>
          <w:bCs/>
          <w:iCs/>
          <w:color w:val="000000"/>
          <w:sz w:val="24"/>
        </w:rPr>
      </w:pPr>
    </w:p>
    <w:p w:rsidR="007F5022" w:rsidRPr="007F5022" w:rsidRDefault="007F5022" w:rsidP="00C37DEB">
      <w:pPr>
        <w:keepNext/>
        <w:numPr>
          <w:ilvl w:val="12"/>
          <w:numId w:val="0"/>
        </w:numPr>
        <w:rPr>
          <w:b/>
          <w:bCs/>
          <w:i/>
          <w:iCs/>
          <w:color w:val="000000"/>
          <w:sz w:val="24"/>
        </w:rPr>
      </w:pPr>
    </w:p>
    <w:p w:rsidR="00BF4D8E" w:rsidRDefault="00BF4D8E">
      <w:pPr>
        <w:rPr>
          <w:b/>
          <w:bCs/>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Provide estimates of annualized cost to the Federal Government.  Also, provide a description of the method used to estimate cost, and other expenses that would not have been incurred without this collection of information.</w:t>
      </w:r>
    </w:p>
    <w:p w:rsidR="007F5022" w:rsidRPr="007F5022" w:rsidRDefault="007F5022" w:rsidP="007F5022">
      <w:pPr>
        <w:keepNext/>
        <w:numPr>
          <w:ilvl w:val="12"/>
          <w:numId w:val="0"/>
        </w:numPr>
        <w:ind w:left="360"/>
        <w:rPr>
          <w:b/>
          <w:bCs/>
          <w:i/>
          <w:iCs/>
          <w:color w:val="000000"/>
          <w:sz w:val="24"/>
        </w:rPr>
      </w:pPr>
    </w:p>
    <w:p w:rsidR="00BF4D8E" w:rsidRDefault="00BF4D8E" w:rsidP="00A570A7">
      <w:pPr>
        <w:ind w:left="360"/>
        <w:rPr>
          <w:sz w:val="24"/>
        </w:rPr>
      </w:pPr>
      <w:r>
        <w:rPr>
          <w:sz w:val="24"/>
        </w:rPr>
        <w:t xml:space="preserve">There are no additional costs to the Federal </w:t>
      </w:r>
      <w:r w:rsidR="002544E2">
        <w:rPr>
          <w:sz w:val="24"/>
        </w:rPr>
        <w:t xml:space="preserve">Government </w:t>
      </w:r>
      <w:r>
        <w:rPr>
          <w:sz w:val="24"/>
        </w:rPr>
        <w:t>associated with this collection.</w:t>
      </w:r>
    </w:p>
    <w:p w:rsidR="00BF4D8E" w:rsidRDefault="00BF4D8E">
      <w:pPr>
        <w:rPr>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the reasons for any program changes or adjustments reported in Items 13 or 14 of the OMB Form 83-I.</w:t>
      </w:r>
    </w:p>
    <w:p w:rsidR="007F5022" w:rsidRPr="007F5022" w:rsidRDefault="007F5022" w:rsidP="007F5022">
      <w:pPr>
        <w:keepNext/>
        <w:numPr>
          <w:ilvl w:val="12"/>
          <w:numId w:val="0"/>
        </w:numPr>
        <w:ind w:left="360"/>
        <w:rPr>
          <w:b/>
          <w:bCs/>
          <w:i/>
          <w:iCs/>
          <w:color w:val="000000"/>
          <w:sz w:val="24"/>
        </w:rPr>
      </w:pPr>
    </w:p>
    <w:p w:rsidR="0001022C" w:rsidRPr="006D337A" w:rsidRDefault="00A570A7" w:rsidP="0001022C">
      <w:pPr>
        <w:ind w:left="360"/>
        <w:rPr>
          <w:sz w:val="24"/>
          <w:szCs w:val="24"/>
        </w:rPr>
      </w:pPr>
      <w:r w:rsidRPr="006D337A">
        <w:rPr>
          <w:color w:val="000000"/>
          <w:sz w:val="24"/>
          <w:szCs w:val="24"/>
        </w:rPr>
        <w:t>The program has been in operation for</w:t>
      </w:r>
      <w:r w:rsidR="000B43B5" w:rsidRPr="006D337A">
        <w:rPr>
          <w:color w:val="000000"/>
          <w:sz w:val="24"/>
          <w:szCs w:val="24"/>
        </w:rPr>
        <w:t xml:space="preserve"> </w:t>
      </w:r>
      <w:r w:rsidR="00FA3FCA" w:rsidRPr="006D337A">
        <w:rPr>
          <w:color w:val="000000"/>
          <w:sz w:val="24"/>
          <w:szCs w:val="24"/>
        </w:rPr>
        <w:t xml:space="preserve">five </w:t>
      </w:r>
      <w:r w:rsidRPr="006D337A">
        <w:rPr>
          <w:color w:val="000000"/>
          <w:sz w:val="24"/>
          <w:szCs w:val="24"/>
        </w:rPr>
        <w:t xml:space="preserve">years, and is using actual data to predict </w:t>
      </w:r>
      <w:r w:rsidR="002544E2" w:rsidRPr="006D337A">
        <w:rPr>
          <w:color w:val="000000"/>
          <w:sz w:val="24"/>
          <w:szCs w:val="24"/>
        </w:rPr>
        <w:t xml:space="preserve">the </w:t>
      </w:r>
      <w:r w:rsidRPr="006D337A">
        <w:rPr>
          <w:color w:val="000000"/>
          <w:sz w:val="24"/>
          <w:szCs w:val="24"/>
        </w:rPr>
        <w:t>future burden.  Prior reporting and cost burdens were based on estimates prior to program launch</w:t>
      </w:r>
      <w:r w:rsidR="00BF4D8E" w:rsidRPr="006D337A">
        <w:rPr>
          <w:color w:val="000000"/>
          <w:sz w:val="24"/>
          <w:szCs w:val="24"/>
        </w:rPr>
        <w:t xml:space="preserve">.  </w:t>
      </w:r>
      <w:r w:rsidR="0001022C" w:rsidRPr="006D337A">
        <w:rPr>
          <w:b/>
          <w:color w:val="000000"/>
          <w:sz w:val="24"/>
          <w:szCs w:val="24"/>
        </w:rPr>
        <w:t xml:space="preserve"> </w:t>
      </w:r>
      <w:r w:rsidR="0001022C" w:rsidRPr="006D337A">
        <w:rPr>
          <w:sz w:val="24"/>
          <w:szCs w:val="24"/>
        </w:rPr>
        <w:t>Also, there were a few new items added to the application, we believe the burden associated with an applicant providing this information is minimal. The purpose of the changes to the application will reduce the processing time for threat assessments.</w:t>
      </w:r>
    </w:p>
    <w:p w:rsidR="00BF4D8E" w:rsidRDefault="00BF4D8E" w:rsidP="007F5022">
      <w:pPr>
        <w:pStyle w:val="BodyTextIndent"/>
        <w:ind w:left="360" w:firstLine="0"/>
        <w:rPr>
          <w:rFonts w:ascii="Times New Roman" w:hAnsi="Times New Roman"/>
          <w:b w:val="0"/>
          <w:color w:val="000000"/>
        </w:rPr>
      </w:pPr>
    </w:p>
    <w:p w:rsidR="00BF4D8E" w:rsidRDefault="00BF4D8E">
      <w:pPr>
        <w:pStyle w:val="BodyTextIndent"/>
        <w:ind w:left="1440"/>
        <w:rPr>
          <w:rFonts w:ascii="Times New Roman" w:hAnsi="Times New Roman"/>
          <w:b w:val="0"/>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5022" w:rsidRPr="007F5022" w:rsidRDefault="007F5022" w:rsidP="007F5022">
      <w:pPr>
        <w:keepNext/>
        <w:numPr>
          <w:ilvl w:val="12"/>
          <w:numId w:val="0"/>
        </w:numPr>
        <w:ind w:left="360"/>
        <w:rPr>
          <w:b/>
          <w:bCs/>
          <w:i/>
          <w:iCs/>
          <w:color w:val="000000"/>
          <w:sz w:val="24"/>
        </w:rPr>
      </w:pPr>
    </w:p>
    <w:p w:rsidR="00BF4D8E" w:rsidRDefault="00BF4D8E" w:rsidP="007F5022">
      <w:pPr>
        <w:ind w:left="360"/>
        <w:rPr>
          <w:color w:val="000000"/>
          <w:sz w:val="24"/>
        </w:rPr>
      </w:pPr>
      <w:r>
        <w:rPr>
          <w:color w:val="000000"/>
          <w:sz w:val="24"/>
        </w:rPr>
        <w:t>Results of this information collection will not be published.</w:t>
      </w:r>
    </w:p>
    <w:p w:rsidR="00BF4D8E" w:rsidRDefault="00BF4D8E">
      <w:pPr>
        <w:rPr>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If seeking approval to not display the expiration date for OMB approval of the information collection, explain the reasons that display would be inappropriate.</w:t>
      </w:r>
    </w:p>
    <w:p w:rsidR="007F5022" w:rsidRPr="007F5022" w:rsidRDefault="007F5022" w:rsidP="007F5022">
      <w:pPr>
        <w:keepNext/>
        <w:numPr>
          <w:ilvl w:val="12"/>
          <w:numId w:val="0"/>
        </w:numPr>
        <w:ind w:left="360"/>
        <w:rPr>
          <w:b/>
          <w:bCs/>
          <w:i/>
          <w:iCs/>
          <w:color w:val="000000"/>
          <w:sz w:val="24"/>
        </w:rPr>
      </w:pPr>
    </w:p>
    <w:p w:rsidR="00BF4D8E" w:rsidRDefault="00BF4D8E" w:rsidP="007F5022">
      <w:pPr>
        <w:ind w:left="360"/>
        <w:rPr>
          <w:color w:val="000000"/>
          <w:sz w:val="24"/>
        </w:rPr>
      </w:pPr>
      <w:r>
        <w:rPr>
          <w:sz w:val="24"/>
        </w:rPr>
        <w:t>Such approval is not being sought.</w:t>
      </w:r>
    </w:p>
    <w:p w:rsidR="00BF4D8E" w:rsidRDefault="00BF4D8E">
      <w:pPr>
        <w:rPr>
          <w:sz w:val="24"/>
        </w:rPr>
      </w:pPr>
    </w:p>
    <w:p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each exception to the certification statement identified in Item 19, “Certification for Paperwork Reduction Act Submissions,” of OMB Form 83-I.</w:t>
      </w:r>
    </w:p>
    <w:p w:rsidR="007F5022" w:rsidRPr="007F5022" w:rsidRDefault="007F5022" w:rsidP="007F5022">
      <w:pPr>
        <w:keepNext/>
        <w:numPr>
          <w:ilvl w:val="12"/>
          <w:numId w:val="0"/>
        </w:numPr>
        <w:ind w:left="360"/>
        <w:rPr>
          <w:b/>
          <w:bCs/>
          <w:i/>
          <w:iCs/>
          <w:color w:val="000000"/>
          <w:sz w:val="24"/>
        </w:rPr>
      </w:pPr>
    </w:p>
    <w:p w:rsidR="00BF4D8E" w:rsidRDefault="00BF4D8E" w:rsidP="007F5022">
      <w:pPr>
        <w:ind w:left="360"/>
        <w:rPr>
          <w:sz w:val="24"/>
        </w:rPr>
      </w:pPr>
      <w:r>
        <w:rPr>
          <w:sz w:val="24"/>
        </w:rPr>
        <w:t>No exceptions are requested.</w:t>
      </w:r>
    </w:p>
    <w:sectPr w:rsidR="00BF4D8E" w:rsidSect="00727C8D">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162" w:rsidRDefault="002C4162">
      <w:r>
        <w:separator/>
      </w:r>
    </w:p>
  </w:endnote>
  <w:endnote w:type="continuationSeparator" w:id="0">
    <w:p w:rsidR="002C4162" w:rsidRDefault="002C41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94" w:rsidRPr="007F5022" w:rsidRDefault="00830594">
    <w:pPr>
      <w:tabs>
        <w:tab w:val="left" w:pos="0"/>
        <w:tab w:val="right" w:pos="6984"/>
        <w:tab w:val="left" w:pos="7034"/>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94" w:rsidRPr="002A59A2" w:rsidRDefault="00830594">
    <w:pPr>
      <w:tabs>
        <w:tab w:val="left" w:pos="0"/>
        <w:tab w:val="right" w:pos="6984"/>
        <w:tab w:val="left" w:pos="7034"/>
      </w:tabs>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162" w:rsidRDefault="002C4162">
      <w:r>
        <w:separator/>
      </w:r>
    </w:p>
  </w:footnote>
  <w:footnote w:type="continuationSeparator" w:id="0">
    <w:p w:rsidR="002C4162" w:rsidRDefault="002C4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94" w:rsidRPr="007F5022" w:rsidRDefault="00A02D2D" w:rsidP="007F5022">
    <w:pPr>
      <w:pStyle w:val="Header"/>
      <w:framePr w:wrap="around" w:vAnchor="text" w:hAnchor="margin" w:xAlign="right" w:y="1"/>
      <w:rPr>
        <w:rStyle w:val="PageNumber"/>
        <w:rFonts w:ascii="Times New Roman" w:hAnsi="Times New Roman"/>
        <w:sz w:val="24"/>
        <w:szCs w:val="24"/>
      </w:rPr>
    </w:pPr>
    <w:r w:rsidRPr="007F5022">
      <w:rPr>
        <w:rStyle w:val="PageNumber"/>
        <w:rFonts w:ascii="Times New Roman" w:hAnsi="Times New Roman"/>
        <w:sz w:val="24"/>
        <w:szCs w:val="24"/>
      </w:rPr>
      <w:fldChar w:fldCharType="begin"/>
    </w:r>
    <w:r w:rsidR="00830594" w:rsidRPr="007F5022">
      <w:rPr>
        <w:rStyle w:val="PageNumber"/>
        <w:rFonts w:ascii="Times New Roman" w:hAnsi="Times New Roman"/>
        <w:sz w:val="24"/>
        <w:szCs w:val="24"/>
      </w:rPr>
      <w:instrText xml:space="preserve">PAGE  </w:instrText>
    </w:r>
    <w:r w:rsidRPr="007F5022">
      <w:rPr>
        <w:rStyle w:val="PageNumber"/>
        <w:rFonts w:ascii="Times New Roman" w:hAnsi="Times New Roman"/>
        <w:sz w:val="24"/>
        <w:szCs w:val="24"/>
      </w:rPr>
      <w:fldChar w:fldCharType="separate"/>
    </w:r>
    <w:r w:rsidR="00C52492">
      <w:rPr>
        <w:rStyle w:val="PageNumber"/>
        <w:rFonts w:ascii="Times New Roman" w:hAnsi="Times New Roman"/>
        <w:noProof/>
        <w:sz w:val="24"/>
        <w:szCs w:val="24"/>
      </w:rPr>
      <w:t>5</w:t>
    </w:r>
    <w:r w:rsidRPr="007F5022">
      <w:rPr>
        <w:rStyle w:val="PageNumber"/>
        <w:rFonts w:ascii="Times New Roman" w:hAnsi="Times New Roman"/>
        <w:sz w:val="24"/>
        <w:szCs w:val="24"/>
      </w:rPr>
      <w:fldChar w:fldCharType="end"/>
    </w:r>
  </w:p>
  <w:p w:rsidR="00830594" w:rsidRPr="007F5022" w:rsidRDefault="00830594" w:rsidP="007F5022">
    <w:pP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94" w:rsidRPr="007F5022" w:rsidRDefault="00830594" w:rsidP="007F5022">
    <w:pPr>
      <w:pStyle w:val="Title"/>
      <w:ind w:right="360"/>
      <w:rPr>
        <w:rFonts w:ascii="Times New Roman" w:hAnsi="Times New Roman"/>
        <w:b/>
        <w:i/>
        <w:sz w:val="28"/>
      </w:rPr>
    </w:pPr>
    <w:r w:rsidRPr="007F5022">
      <w:rPr>
        <w:rFonts w:ascii="Times New Roman" w:hAnsi="Times New Roman"/>
        <w:b/>
        <w:i/>
        <w:sz w:val="28"/>
      </w:rPr>
      <w:t>INFORMATION COLLECTION SUPPORTING STATEMENT</w:t>
    </w:r>
  </w:p>
  <w:p w:rsidR="00830594" w:rsidRPr="007F5022" w:rsidRDefault="00830594" w:rsidP="007F5022">
    <w:pPr>
      <w:jc w:val="center"/>
      <w:rPr>
        <w:b/>
        <w:sz w:val="28"/>
      </w:rPr>
    </w:pPr>
  </w:p>
  <w:p w:rsidR="00830594" w:rsidRPr="007F5022" w:rsidRDefault="00830594" w:rsidP="007F5022">
    <w:pPr>
      <w:pStyle w:val="Header"/>
      <w:jc w:val="center"/>
      <w:rPr>
        <w:b/>
        <w:sz w:val="28"/>
      </w:rPr>
    </w:pPr>
    <w:r w:rsidRPr="007F5022">
      <w:rPr>
        <w:b/>
        <w:sz w:val="28"/>
      </w:rPr>
      <w:t>Security Threat Assessment for Individuals Applying for a Hazardous Materials Endorsement (HME) for a Commercial Driver’s License (CDL)</w:t>
    </w:r>
  </w:p>
  <w:p w:rsidR="00830594" w:rsidRPr="007F5022" w:rsidRDefault="00830594">
    <w:pPr>
      <w:pStyle w:val="Title"/>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188D7A"/>
    <w:lvl w:ilvl="0">
      <w:start w:val="1"/>
      <w:numFmt w:val="decimal"/>
      <w:lvlText w:val="%1."/>
      <w:lvlJc w:val="left"/>
      <w:pPr>
        <w:tabs>
          <w:tab w:val="num" w:pos="1800"/>
        </w:tabs>
        <w:ind w:left="1800" w:hanging="360"/>
      </w:pPr>
    </w:lvl>
  </w:abstractNum>
  <w:abstractNum w:abstractNumId="1">
    <w:nsid w:val="FFFFFF7D"/>
    <w:multiLevelType w:val="singleLevel"/>
    <w:tmpl w:val="6352DB5A"/>
    <w:lvl w:ilvl="0">
      <w:start w:val="1"/>
      <w:numFmt w:val="decimal"/>
      <w:lvlText w:val="%1."/>
      <w:lvlJc w:val="left"/>
      <w:pPr>
        <w:tabs>
          <w:tab w:val="num" w:pos="1440"/>
        </w:tabs>
        <w:ind w:left="1440" w:hanging="360"/>
      </w:pPr>
    </w:lvl>
  </w:abstractNum>
  <w:abstractNum w:abstractNumId="2">
    <w:nsid w:val="FFFFFF7E"/>
    <w:multiLevelType w:val="singleLevel"/>
    <w:tmpl w:val="B4F21A2C"/>
    <w:lvl w:ilvl="0">
      <w:start w:val="1"/>
      <w:numFmt w:val="decimal"/>
      <w:lvlText w:val="%1."/>
      <w:lvlJc w:val="left"/>
      <w:pPr>
        <w:tabs>
          <w:tab w:val="num" w:pos="1080"/>
        </w:tabs>
        <w:ind w:left="1080" w:hanging="360"/>
      </w:pPr>
    </w:lvl>
  </w:abstractNum>
  <w:abstractNum w:abstractNumId="3">
    <w:nsid w:val="FFFFFF7F"/>
    <w:multiLevelType w:val="singleLevel"/>
    <w:tmpl w:val="F216F74E"/>
    <w:lvl w:ilvl="0">
      <w:start w:val="1"/>
      <w:numFmt w:val="decimal"/>
      <w:lvlText w:val="%1."/>
      <w:lvlJc w:val="left"/>
      <w:pPr>
        <w:tabs>
          <w:tab w:val="num" w:pos="720"/>
        </w:tabs>
        <w:ind w:left="720" w:hanging="360"/>
      </w:pPr>
    </w:lvl>
  </w:abstractNum>
  <w:abstractNum w:abstractNumId="4">
    <w:nsid w:val="FFFFFF80"/>
    <w:multiLevelType w:val="singleLevel"/>
    <w:tmpl w:val="8B2449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94F2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FAC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3CC1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A8BA8A"/>
    <w:lvl w:ilvl="0">
      <w:start w:val="1"/>
      <w:numFmt w:val="decimal"/>
      <w:lvlText w:val="%1."/>
      <w:lvlJc w:val="left"/>
      <w:pPr>
        <w:tabs>
          <w:tab w:val="num" w:pos="360"/>
        </w:tabs>
        <w:ind w:left="360" w:hanging="360"/>
      </w:pPr>
    </w:lvl>
  </w:abstractNum>
  <w:abstractNum w:abstractNumId="9">
    <w:nsid w:val="FFFFFF89"/>
    <w:multiLevelType w:val="singleLevel"/>
    <w:tmpl w:val="FF065660"/>
    <w:lvl w:ilvl="0">
      <w:start w:val="1"/>
      <w:numFmt w:val="bullet"/>
      <w:lvlText w:val=""/>
      <w:lvlJc w:val="left"/>
      <w:pPr>
        <w:tabs>
          <w:tab w:val="num" w:pos="360"/>
        </w:tabs>
        <w:ind w:left="360" w:hanging="360"/>
      </w:pPr>
      <w:rPr>
        <w:rFonts w:ascii="Symbol" w:hAnsi="Symbol" w:hint="default"/>
      </w:rPr>
    </w:lvl>
  </w:abstractNum>
  <w:abstractNum w:abstractNumId="10">
    <w:nsid w:val="039514A0"/>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nsid w:val="074100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095C42B7"/>
    <w:multiLevelType w:val="singleLevel"/>
    <w:tmpl w:val="CDA23CEA"/>
    <w:lvl w:ilvl="0">
      <w:start w:val="5"/>
      <w:numFmt w:val="lowerLetter"/>
      <w:lvlText w:val="%1."/>
      <w:lvlJc w:val="left"/>
      <w:pPr>
        <w:tabs>
          <w:tab w:val="num" w:pos="360"/>
        </w:tabs>
        <w:ind w:left="360" w:hanging="360"/>
      </w:pPr>
      <w:rPr>
        <w:rFonts w:hint="default"/>
      </w:rPr>
    </w:lvl>
  </w:abstractNum>
  <w:abstractNum w:abstractNumId="13">
    <w:nsid w:val="103444A0"/>
    <w:multiLevelType w:val="hybridMultilevel"/>
    <w:tmpl w:val="148243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5F0DC4"/>
    <w:multiLevelType w:val="singleLevel"/>
    <w:tmpl w:val="768E828A"/>
    <w:lvl w:ilvl="0">
      <w:start w:val="1"/>
      <w:numFmt w:val="decimal"/>
      <w:lvlText w:val="%1."/>
      <w:legacy w:legacy="1" w:legacySpace="0" w:legacyIndent="360"/>
      <w:lvlJc w:val="left"/>
      <w:pPr>
        <w:ind w:left="360" w:hanging="360"/>
      </w:pPr>
    </w:lvl>
  </w:abstractNum>
  <w:abstractNum w:abstractNumId="15">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1CA05270"/>
    <w:multiLevelType w:val="singleLevel"/>
    <w:tmpl w:val="9BE40582"/>
    <w:lvl w:ilvl="0">
      <w:start w:val="14"/>
      <w:numFmt w:val="decimal"/>
      <w:lvlText w:val="%1."/>
      <w:lvlJc w:val="left"/>
      <w:pPr>
        <w:tabs>
          <w:tab w:val="num" w:pos="720"/>
        </w:tabs>
        <w:ind w:left="720" w:hanging="720"/>
      </w:pPr>
      <w:rPr>
        <w:rFonts w:hint="default"/>
        <w:b/>
      </w:rPr>
    </w:lvl>
  </w:abstractNum>
  <w:abstractNum w:abstractNumId="17">
    <w:nsid w:val="32CC754B"/>
    <w:multiLevelType w:val="singleLevel"/>
    <w:tmpl w:val="FADC88E6"/>
    <w:lvl w:ilvl="0">
      <w:start w:val="1"/>
      <w:numFmt w:val="lowerLetter"/>
      <w:lvlText w:val="%1."/>
      <w:lvlJc w:val="left"/>
      <w:pPr>
        <w:tabs>
          <w:tab w:val="num" w:pos="720"/>
        </w:tabs>
        <w:ind w:left="720" w:hanging="720"/>
      </w:pPr>
      <w:rPr>
        <w:rFonts w:hint="default"/>
      </w:rPr>
    </w:lvl>
  </w:abstractNum>
  <w:abstractNum w:abstractNumId="18">
    <w:nsid w:val="3374216E"/>
    <w:multiLevelType w:val="singleLevel"/>
    <w:tmpl w:val="7FFC478C"/>
    <w:lvl w:ilvl="0">
      <w:start w:val="8"/>
      <w:numFmt w:val="lowerLetter"/>
      <w:lvlText w:val="%1."/>
      <w:lvlJc w:val="left"/>
      <w:pPr>
        <w:tabs>
          <w:tab w:val="num" w:pos="360"/>
        </w:tabs>
        <w:ind w:left="360" w:hanging="360"/>
      </w:pPr>
      <w:rPr>
        <w:rFonts w:hint="default"/>
      </w:rPr>
    </w:lvl>
  </w:abstractNum>
  <w:abstractNum w:abstractNumId="19">
    <w:nsid w:val="35426AA5"/>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35E96278"/>
    <w:multiLevelType w:val="hybridMultilevel"/>
    <w:tmpl w:val="8D7EA1D2"/>
    <w:lvl w:ilvl="0" w:tplc="2976FEAE">
      <w:start w:val="1"/>
      <w:numFmt w:val="lowerLetter"/>
      <w:lvlText w:val="%1."/>
      <w:lvlJc w:val="left"/>
      <w:pPr>
        <w:tabs>
          <w:tab w:val="num" w:pos="1080"/>
        </w:tabs>
        <w:ind w:left="1080" w:hanging="720"/>
      </w:pPr>
      <w:rPr>
        <w:rFonts w:hint="default"/>
      </w:rPr>
    </w:lvl>
    <w:lvl w:ilvl="1" w:tplc="08724E2C" w:tentative="1">
      <w:start w:val="1"/>
      <w:numFmt w:val="lowerLetter"/>
      <w:lvlText w:val="%2."/>
      <w:lvlJc w:val="left"/>
      <w:pPr>
        <w:tabs>
          <w:tab w:val="num" w:pos="1440"/>
        </w:tabs>
        <w:ind w:left="1440" w:hanging="360"/>
      </w:pPr>
    </w:lvl>
    <w:lvl w:ilvl="2" w:tplc="63D2D21E" w:tentative="1">
      <w:start w:val="1"/>
      <w:numFmt w:val="lowerRoman"/>
      <w:lvlText w:val="%3."/>
      <w:lvlJc w:val="right"/>
      <w:pPr>
        <w:tabs>
          <w:tab w:val="num" w:pos="2160"/>
        </w:tabs>
        <w:ind w:left="2160" w:hanging="180"/>
      </w:pPr>
    </w:lvl>
    <w:lvl w:ilvl="3" w:tplc="50762B38" w:tentative="1">
      <w:start w:val="1"/>
      <w:numFmt w:val="decimal"/>
      <w:lvlText w:val="%4."/>
      <w:lvlJc w:val="left"/>
      <w:pPr>
        <w:tabs>
          <w:tab w:val="num" w:pos="2880"/>
        </w:tabs>
        <w:ind w:left="2880" w:hanging="360"/>
      </w:pPr>
    </w:lvl>
    <w:lvl w:ilvl="4" w:tplc="518E24EA" w:tentative="1">
      <w:start w:val="1"/>
      <w:numFmt w:val="lowerLetter"/>
      <w:lvlText w:val="%5."/>
      <w:lvlJc w:val="left"/>
      <w:pPr>
        <w:tabs>
          <w:tab w:val="num" w:pos="3600"/>
        </w:tabs>
        <w:ind w:left="3600" w:hanging="360"/>
      </w:pPr>
    </w:lvl>
    <w:lvl w:ilvl="5" w:tplc="81F62202" w:tentative="1">
      <w:start w:val="1"/>
      <w:numFmt w:val="lowerRoman"/>
      <w:lvlText w:val="%6."/>
      <w:lvlJc w:val="right"/>
      <w:pPr>
        <w:tabs>
          <w:tab w:val="num" w:pos="4320"/>
        </w:tabs>
        <w:ind w:left="4320" w:hanging="180"/>
      </w:pPr>
    </w:lvl>
    <w:lvl w:ilvl="6" w:tplc="0316D002" w:tentative="1">
      <w:start w:val="1"/>
      <w:numFmt w:val="decimal"/>
      <w:lvlText w:val="%7."/>
      <w:lvlJc w:val="left"/>
      <w:pPr>
        <w:tabs>
          <w:tab w:val="num" w:pos="5040"/>
        </w:tabs>
        <w:ind w:left="5040" w:hanging="360"/>
      </w:pPr>
    </w:lvl>
    <w:lvl w:ilvl="7" w:tplc="76D2B9D4" w:tentative="1">
      <w:start w:val="1"/>
      <w:numFmt w:val="lowerLetter"/>
      <w:lvlText w:val="%8."/>
      <w:lvlJc w:val="left"/>
      <w:pPr>
        <w:tabs>
          <w:tab w:val="num" w:pos="5760"/>
        </w:tabs>
        <w:ind w:left="5760" w:hanging="360"/>
      </w:pPr>
    </w:lvl>
    <w:lvl w:ilvl="8" w:tplc="A2E848BE" w:tentative="1">
      <w:start w:val="1"/>
      <w:numFmt w:val="lowerRoman"/>
      <w:lvlText w:val="%9."/>
      <w:lvlJc w:val="right"/>
      <w:pPr>
        <w:tabs>
          <w:tab w:val="num" w:pos="6480"/>
        </w:tabs>
        <w:ind w:left="6480" w:hanging="180"/>
      </w:pPr>
    </w:lvl>
  </w:abstractNum>
  <w:abstractNum w:abstractNumId="21">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42805F6C"/>
    <w:multiLevelType w:val="hybridMultilevel"/>
    <w:tmpl w:val="14824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4D8825ED"/>
    <w:multiLevelType w:val="singleLevel"/>
    <w:tmpl w:val="4E2ECB64"/>
    <w:lvl w:ilvl="0">
      <w:start w:val="1"/>
      <w:numFmt w:val="lowerLetter"/>
      <w:lvlText w:val="%1."/>
      <w:lvlJc w:val="left"/>
      <w:pPr>
        <w:tabs>
          <w:tab w:val="num" w:pos="720"/>
        </w:tabs>
        <w:ind w:left="720" w:hanging="720"/>
      </w:pPr>
      <w:rPr>
        <w:rFonts w:hint="default"/>
      </w:rPr>
    </w:lvl>
  </w:abstractNum>
  <w:abstractNum w:abstractNumId="25">
    <w:nsid w:val="57EC2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94B403A"/>
    <w:multiLevelType w:val="hybridMultilevel"/>
    <w:tmpl w:val="5DF886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0A1022"/>
    <w:multiLevelType w:val="hybridMultilevel"/>
    <w:tmpl w:val="22709CBE"/>
    <w:lvl w:ilvl="0" w:tplc="E86297BA">
      <w:start w:val="29"/>
      <w:numFmt w:val="bullet"/>
      <w:lvlText w:val=""/>
      <w:lvlJc w:val="left"/>
      <w:pPr>
        <w:tabs>
          <w:tab w:val="num" w:pos="3255"/>
        </w:tabs>
        <w:ind w:left="3255" w:hanging="495"/>
      </w:pPr>
      <w:rPr>
        <w:rFonts w:ascii="Symbol" w:eastAsia="Times New Roman" w:hAnsi="Symbol" w:cs="Times New Roman" w:hint="default"/>
      </w:rPr>
    </w:lvl>
    <w:lvl w:ilvl="1" w:tplc="04090003" w:tentative="1">
      <w:start w:val="1"/>
      <w:numFmt w:val="bullet"/>
      <w:lvlText w:val="o"/>
      <w:lvlJc w:val="left"/>
      <w:pPr>
        <w:tabs>
          <w:tab w:val="num" w:pos="3840"/>
        </w:tabs>
        <w:ind w:left="3840" w:hanging="360"/>
      </w:pPr>
      <w:rPr>
        <w:rFonts w:ascii="Courier New" w:hAnsi="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28">
    <w:nsid w:val="73CF1544"/>
    <w:multiLevelType w:val="hybridMultilevel"/>
    <w:tmpl w:val="EBF009FE"/>
    <w:lvl w:ilvl="0" w:tplc="8172520C">
      <w:start w:val="29"/>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0">
    <w:nsid w:val="7AA85F46"/>
    <w:multiLevelType w:val="singleLevel"/>
    <w:tmpl w:val="0A44213C"/>
    <w:lvl w:ilvl="0">
      <w:start w:val="1"/>
      <w:numFmt w:val="decimal"/>
      <w:lvlText w:val="%1."/>
      <w:lvlJc w:val="left"/>
      <w:pPr>
        <w:tabs>
          <w:tab w:val="num" w:pos="360"/>
        </w:tabs>
        <w:ind w:left="360" w:hanging="360"/>
      </w:pPr>
      <w:rPr>
        <w:b/>
        <w:i w:val="0"/>
      </w:rPr>
    </w:lvl>
  </w:abstractNum>
  <w:abstractNum w:abstractNumId="31">
    <w:nsid w:val="7BBB0034"/>
    <w:multiLevelType w:val="singleLevel"/>
    <w:tmpl w:val="01AA2A8A"/>
    <w:lvl w:ilvl="0">
      <w:numFmt w:val="decimal"/>
      <w:lvlText w:val="%1"/>
      <w:legacy w:legacy="1" w:legacySpace="0" w:legacyIndent="0"/>
      <w:lvlJc w:val="left"/>
    </w:lvl>
  </w:abstractNum>
  <w:num w:numId="1">
    <w:abstractNumId w:val="16"/>
  </w:num>
  <w:num w:numId="2">
    <w:abstractNumId w:val="20"/>
  </w:num>
  <w:num w:numId="3">
    <w:abstractNumId w:val="25"/>
  </w:num>
  <w:num w:numId="4">
    <w:abstractNumId w:val="24"/>
  </w:num>
  <w:num w:numId="5">
    <w:abstractNumId w:val="11"/>
  </w:num>
  <w:num w:numId="6">
    <w:abstractNumId w:val="17"/>
  </w:num>
  <w:num w:numId="7">
    <w:abstractNumId w:val="12"/>
  </w:num>
  <w:num w:numId="8">
    <w:abstractNumId w:val="18"/>
  </w:num>
  <w:num w:numId="9">
    <w:abstractNumId w:val="22"/>
  </w:num>
  <w:num w:numId="10">
    <w:abstractNumId w:val="26"/>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31"/>
  </w:num>
  <w:num w:numId="24">
    <w:abstractNumId w:val="30"/>
  </w:num>
  <w:num w:numId="25">
    <w:abstractNumId w:val="15"/>
  </w:num>
  <w:num w:numId="26">
    <w:abstractNumId w:val="21"/>
  </w:num>
  <w:num w:numId="27">
    <w:abstractNumId w:val="23"/>
  </w:num>
  <w:num w:numId="28">
    <w:abstractNumId w:val="29"/>
  </w:num>
  <w:num w:numId="29">
    <w:abstractNumId w:val="10"/>
  </w:num>
  <w:num w:numId="30">
    <w:abstractNumId w:val="19"/>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34818"/>
  </w:hdrShapeDefaults>
  <w:footnotePr>
    <w:footnote w:id="-1"/>
    <w:footnote w:id="0"/>
  </w:footnotePr>
  <w:endnotePr>
    <w:endnote w:id="-1"/>
    <w:endnote w:id="0"/>
  </w:endnotePr>
  <w:compat/>
  <w:rsids>
    <w:rsidRoot w:val="00881208"/>
    <w:rsid w:val="00003E64"/>
    <w:rsid w:val="0001022C"/>
    <w:rsid w:val="000127B2"/>
    <w:rsid w:val="00026128"/>
    <w:rsid w:val="00070513"/>
    <w:rsid w:val="000707CB"/>
    <w:rsid w:val="00072B37"/>
    <w:rsid w:val="000949BB"/>
    <w:rsid w:val="000B43B5"/>
    <w:rsid w:val="000C46EF"/>
    <w:rsid w:val="000C641D"/>
    <w:rsid w:val="001041AD"/>
    <w:rsid w:val="00110EB6"/>
    <w:rsid w:val="00117B87"/>
    <w:rsid w:val="00126350"/>
    <w:rsid w:val="001367FB"/>
    <w:rsid w:val="00196CAF"/>
    <w:rsid w:val="001B6044"/>
    <w:rsid w:val="001E637D"/>
    <w:rsid w:val="001F45A6"/>
    <w:rsid w:val="001F5E70"/>
    <w:rsid w:val="002318AF"/>
    <w:rsid w:val="00235719"/>
    <w:rsid w:val="00240CC5"/>
    <w:rsid w:val="002544E2"/>
    <w:rsid w:val="002578D5"/>
    <w:rsid w:val="00257E3D"/>
    <w:rsid w:val="00267B1C"/>
    <w:rsid w:val="00284246"/>
    <w:rsid w:val="00295038"/>
    <w:rsid w:val="002A59A2"/>
    <w:rsid w:val="002A6C1F"/>
    <w:rsid w:val="002B1726"/>
    <w:rsid w:val="002B6FED"/>
    <w:rsid w:val="002B7080"/>
    <w:rsid w:val="002C404F"/>
    <w:rsid w:val="002C4162"/>
    <w:rsid w:val="002D64AC"/>
    <w:rsid w:val="002E7EF2"/>
    <w:rsid w:val="002F003F"/>
    <w:rsid w:val="00320429"/>
    <w:rsid w:val="00321C91"/>
    <w:rsid w:val="00344FAA"/>
    <w:rsid w:val="00352097"/>
    <w:rsid w:val="00375677"/>
    <w:rsid w:val="0038376B"/>
    <w:rsid w:val="00386D16"/>
    <w:rsid w:val="003B1104"/>
    <w:rsid w:val="003D24A1"/>
    <w:rsid w:val="003F05A0"/>
    <w:rsid w:val="004917C0"/>
    <w:rsid w:val="004B2C41"/>
    <w:rsid w:val="00502BEF"/>
    <w:rsid w:val="00513963"/>
    <w:rsid w:val="005419A5"/>
    <w:rsid w:val="005468F7"/>
    <w:rsid w:val="005620E4"/>
    <w:rsid w:val="00564B51"/>
    <w:rsid w:val="0057714A"/>
    <w:rsid w:val="005B0B62"/>
    <w:rsid w:val="005D5F36"/>
    <w:rsid w:val="005D7029"/>
    <w:rsid w:val="005F15E8"/>
    <w:rsid w:val="00617301"/>
    <w:rsid w:val="006253A2"/>
    <w:rsid w:val="006328E8"/>
    <w:rsid w:val="00665ABA"/>
    <w:rsid w:val="006D337A"/>
    <w:rsid w:val="006E341D"/>
    <w:rsid w:val="006F0586"/>
    <w:rsid w:val="0072255F"/>
    <w:rsid w:val="00727C8D"/>
    <w:rsid w:val="00744601"/>
    <w:rsid w:val="00745ADA"/>
    <w:rsid w:val="007468CA"/>
    <w:rsid w:val="00752189"/>
    <w:rsid w:val="00766674"/>
    <w:rsid w:val="00772570"/>
    <w:rsid w:val="007A5208"/>
    <w:rsid w:val="007B0884"/>
    <w:rsid w:val="007C411E"/>
    <w:rsid w:val="007D7F0D"/>
    <w:rsid w:val="007E2DB0"/>
    <w:rsid w:val="007F2BA6"/>
    <w:rsid w:val="007F5022"/>
    <w:rsid w:val="0080763D"/>
    <w:rsid w:val="00817703"/>
    <w:rsid w:val="00830594"/>
    <w:rsid w:val="00881208"/>
    <w:rsid w:val="008906C4"/>
    <w:rsid w:val="008916A8"/>
    <w:rsid w:val="008A1E74"/>
    <w:rsid w:val="008A390A"/>
    <w:rsid w:val="008B12D0"/>
    <w:rsid w:val="008B3DF1"/>
    <w:rsid w:val="008C062F"/>
    <w:rsid w:val="008F7FF9"/>
    <w:rsid w:val="00905FAA"/>
    <w:rsid w:val="00907BC6"/>
    <w:rsid w:val="00915D5C"/>
    <w:rsid w:val="00927E44"/>
    <w:rsid w:val="00952F75"/>
    <w:rsid w:val="00977160"/>
    <w:rsid w:val="009817C6"/>
    <w:rsid w:val="00982AD0"/>
    <w:rsid w:val="009906AB"/>
    <w:rsid w:val="009B7874"/>
    <w:rsid w:val="009C4161"/>
    <w:rsid w:val="009F3C2B"/>
    <w:rsid w:val="00A02D2D"/>
    <w:rsid w:val="00A1016D"/>
    <w:rsid w:val="00A16373"/>
    <w:rsid w:val="00A274A1"/>
    <w:rsid w:val="00A46259"/>
    <w:rsid w:val="00A570A7"/>
    <w:rsid w:val="00A77B77"/>
    <w:rsid w:val="00A77D54"/>
    <w:rsid w:val="00AA10A6"/>
    <w:rsid w:val="00AA4B81"/>
    <w:rsid w:val="00AA4F6C"/>
    <w:rsid w:val="00AC2927"/>
    <w:rsid w:val="00B11854"/>
    <w:rsid w:val="00B55E3E"/>
    <w:rsid w:val="00B5604E"/>
    <w:rsid w:val="00B56E9D"/>
    <w:rsid w:val="00B65979"/>
    <w:rsid w:val="00BA0BE5"/>
    <w:rsid w:val="00BA6B5A"/>
    <w:rsid w:val="00BB4FE5"/>
    <w:rsid w:val="00BB7499"/>
    <w:rsid w:val="00BC0C91"/>
    <w:rsid w:val="00BC1931"/>
    <w:rsid w:val="00BC7CA9"/>
    <w:rsid w:val="00BD444A"/>
    <w:rsid w:val="00BF4D8E"/>
    <w:rsid w:val="00BF7DD7"/>
    <w:rsid w:val="00C30875"/>
    <w:rsid w:val="00C37DEB"/>
    <w:rsid w:val="00C52492"/>
    <w:rsid w:val="00C65AF7"/>
    <w:rsid w:val="00C71E10"/>
    <w:rsid w:val="00C822D5"/>
    <w:rsid w:val="00C84B6C"/>
    <w:rsid w:val="00C84E58"/>
    <w:rsid w:val="00CA461E"/>
    <w:rsid w:val="00CA73BE"/>
    <w:rsid w:val="00CE36EA"/>
    <w:rsid w:val="00CE3C9B"/>
    <w:rsid w:val="00CF55D0"/>
    <w:rsid w:val="00D11BA4"/>
    <w:rsid w:val="00D11BBE"/>
    <w:rsid w:val="00D245D0"/>
    <w:rsid w:val="00D370D1"/>
    <w:rsid w:val="00D547FF"/>
    <w:rsid w:val="00D55226"/>
    <w:rsid w:val="00D55B09"/>
    <w:rsid w:val="00D62503"/>
    <w:rsid w:val="00DA7C01"/>
    <w:rsid w:val="00DB1A64"/>
    <w:rsid w:val="00DC72C2"/>
    <w:rsid w:val="00DD12D1"/>
    <w:rsid w:val="00E23ECC"/>
    <w:rsid w:val="00E24064"/>
    <w:rsid w:val="00E37707"/>
    <w:rsid w:val="00E40E12"/>
    <w:rsid w:val="00E47ED3"/>
    <w:rsid w:val="00E8749D"/>
    <w:rsid w:val="00EA1C22"/>
    <w:rsid w:val="00EE53A3"/>
    <w:rsid w:val="00EE720A"/>
    <w:rsid w:val="00F221D1"/>
    <w:rsid w:val="00F23777"/>
    <w:rsid w:val="00F336DA"/>
    <w:rsid w:val="00F35646"/>
    <w:rsid w:val="00F41394"/>
    <w:rsid w:val="00F52842"/>
    <w:rsid w:val="00F635F1"/>
    <w:rsid w:val="00F7460C"/>
    <w:rsid w:val="00F87A37"/>
    <w:rsid w:val="00FA3FCA"/>
    <w:rsid w:val="00FB7568"/>
    <w:rsid w:val="00FC212A"/>
    <w:rsid w:val="00FE6A2B"/>
    <w:rsid w:val="00FE6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3BE"/>
  </w:style>
  <w:style w:type="paragraph" w:styleId="Heading1">
    <w:name w:val="heading 1"/>
    <w:basedOn w:val="Normal"/>
    <w:next w:val="Normal"/>
    <w:qFormat/>
    <w:rsid w:val="00CA73BE"/>
    <w:pPr>
      <w:keepNext/>
      <w:outlineLvl w:val="0"/>
    </w:pPr>
    <w:rPr>
      <w:rFonts w:ascii="Arial" w:hAnsi="Arial"/>
      <w:b/>
      <w:i/>
      <w:sz w:val="24"/>
      <w:u w:val="single"/>
    </w:rPr>
  </w:style>
  <w:style w:type="paragraph" w:styleId="Heading2">
    <w:name w:val="heading 2"/>
    <w:basedOn w:val="Normal"/>
    <w:next w:val="Normal"/>
    <w:qFormat/>
    <w:rsid w:val="00CA73BE"/>
    <w:pPr>
      <w:keepNext/>
      <w:outlineLvl w:val="1"/>
    </w:pPr>
    <w:rPr>
      <w:rFonts w:ascii="Arial" w:hAnsi="Arial"/>
      <w:sz w:val="24"/>
    </w:rPr>
  </w:style>
  <w:style w:type="paragraph" w:styleId="Heading3">
    <w:name w:val="heading 3"/>
    <w:basedOn w:val="Normal"/>
    <w:next w:val="Normal"/>
    <w:qFormat/>
    <w:rsid w:val="00CA73BE"/>
    <w:pPr>
      <w:keepNext/>
      <w:jc w:val="center"/>
      <w:outlineLvl w:val="2"/>
    </w:pPr>
    <w:rPr>
      <w:rFonts w:ascii="Arial" w:hAnsi="Arial"/>
      <w:sz w:val="24"/>
    </w:rPr>
  </w:style>
  <w:style w:type="paragraph" w:styleId="Heading4">
    <w:name w:val="heading 4"/>
    <w:basedOn w:val="Normal"/>
    <w:next w:val="Normal"/>
    <w:qFormat/>
    <w:rsid w:val="00CA73B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3BE"/>
    <w:pPr>
      <w:tabs>
        <w:tab w:val="center" w:pos="4320"/>
        <w:tab w:val="right" w:pos="8640"/>
      </w:tabs>
    </w:pPr>
  </w:style>
  <w:style w:type="paragraph" w:styleId="Footer">
    <w:name w:val="footer"/>
    <w:basedOn w:val="Normal"/>
    <w:rsid w:val="00CA73BE"/>
    <w:pPr>
      <w:tabs>
        <w:tab w:val="center" w:pos="4320"/>
        <w:tab w:val="right" w:pos="8640"/>
      </w:tabs>
    </w:pPr>
  </w:style>
  <w:style w:type="paragraph" w:styleId="BodyTextIndent">
    <w:name w:val="Body Text Indent"/>
    <w:basedOn w:val="Normal"/>
    <w:rsid w:val="00CA73BE"/>
    <w:pPr>
      <w:ind w:left="720" w:hanging="720"/>
    </w:pPr>
    <w:rPr>
      <w:rFonts w:ascii="Arial" w:hAnsi="Arial"/>
      <w:b/>
      <w:sz w:val="24"/>
    </w:rPr>
  </w:style>
  <w:style w:type="paragraph" w:styleId="BodyText">
    <w:name w:val="Body Text"/>
    <w:basedOn w:val="Normal"/>
    <w:rsid w:val="00CA73BE"/>
    <w:rPr>
      <w:rFonts w:ascii="Arial" w:hAnsi="Arial"/>
      <w:sz w:val="24"/>
    </w:rPr>
  </w:style>
  <w:style w:type="paragraph" w:styleId="Title">
    <w:name w:val="Title"/>
    <w:basedOn w:val="Normal"/>
    <w:qFormat/>
    <w:rsid w:val="00CA73BE"/>
    <w:pPr>
      <w:jc w:val="center"/>
    </w:pPr>
    <w:rPr>
      <w:rFonts w:ascii="Arial" w:hAnsi="Arial"/>
      <w:sz w:val="24"/>
    </w:rPr>
  </w:style>
  <w:style w:type="paragraph" w:styleId="BodyText2">
    <w:name w:val="Body Text 2"/>
    <w:basedOn w:val="Normal"/>
    <w:rsid w:val="00CA73BE"/>
    <w:rPr>
      <w:rFonts w:ascii="Arial" w:hAnsi="Arial"/>
      <w:b/>
      <w:sz w:val="24"/>
    </w:rPr>
  </w:style>
  <w:style w:type="character" w:styleId="CommentReference">
    <w:name w:val="annotation reference"/>
    <w:basedOn w:val="DefaultParagraphFont"/>
    <w:semiHidden/>
    <w:rsid w:val="00CA73BE"/>
    <w:rPr>
      <w:sz w:val="16"/>
    </w:rPr>
  </w:style>
  <w:style w:type="paragraph" w:styleId="CommentText">
    <w:name w:val="annotation text"/>
    <w:basedOn w:val="Normal"/>
    <w:link w:val="CommentTextChar"/>
    <w:semiHidden/>
    <w:rsid w:val="00CA73BE"/>
  </w:style>
  <w:style w:type="paragraph" w:styleId="BodyText3">
    <w:name w:val="Body Text 3"/>
    <w:basedOn w:val="Normal"/>
    <w:rsid w:val="00CA73BE"/>
    <w:rPr>
      <w:rFonts w:ascii="Arial" w:hAnsi="Arial"/>
      <w:color w:val="0000FF"/>
      <w:sz w:val="24"/>
    </w:rPr>
  </w:style>
  <w:style w:type="paragraph" w:customStyle="1" w:styleId="TableText">
    <w:name w:val="Table Text"/>
    <w:basedOn w:val="Normal"/>
    <w:rsid w:val="00CA73BE"/>
    <w:pPr>
      <w:spacing w:before="60"/>
    </w:pPr>
    <w:rPr>
      <w:rFonts w:ascii="Arial" w:hAnsi="Arial"/>
      <w:spacing w:val="-5"/>
      <w:sz w:val="16"/>
    </w:rPr>
  </w:style>
  <w:style w:type="character" w:styleId="PageNumber">
    <w:name w:val="page number"/>
    <w:basedOn w:val="DefaultParagraphFont"/>
    <w:rsid w:val="00CA73BE"/>
    <w:rPr>
      <w:rFonts w:ascii="Arial Black" w:hAnsi="Arial Black"/>
      <w:spacing w:val="-10"/>
      <w:sz w:val="18"/>
    </w:rPr>
  </w:style>
  <w:style w:type="character" w:styleId="FootnoteReference">
    <w:name w:val="footnote reference"/>
    <w:basedOn w:val="DefaultParagraphFont"/>
    <w:semiHidden/>
    <w:rsid w:val="00CA73BE"/>
    <w:rPr>
      <w:vertAlign w:val="superscript"/>
    </w:rPr>
  </w:style>
  <w:style w:type="paragraph" w:styleId="FootnoteText">
    <w:name w:val="footnote text"/>
    <w:basedOn w:val="Normal"/>
    <w:semiHidden/>
    <w:rsid w:val="00CA73BE"/>
    <w:pPr>
      <w:overflowPunct w:val="0"/>
      <w:autoSpaceDE w:val="0"/>
      <w:autoSpaceDN w:val="0"/>
      <w:adjustRightInd w:val="0"/>
      <w:textAlignment w:val="baseline"/>
    </w:pPr>
  </w:style>
  <w:style w:type="paragraph" w:styleId="BodyTextIndent2">
    <w:name w:val="Body Text Indent 2"/>
    <w:basedOn w:val="Normal"/>
    <w:rsid w:val="00CA73BE"/>
    <w:pPr>
      <w:ind w:firstLine="720"/>
    </w:pPr>
    <w:rPr>
      <w:sz w:val="24"/>
    </w:rPr>
  </w:style>
  <w:style w:type="character" w:styleId="Emphasis">
    <w:name w:val="Emphasis"/>
    <w:basedOn w:val="DefaultParagraphFont"/>
    <w:qFormat/>
    <w:rsid w:val="00CA73BE"/>
    <w:rPr>
      <w:i/>
      <w:iCs/>
    </w:rPr>
  </w:style>
  <w:style w:type="paragraph" w:styleId="BalloonText">
    <w:name w:val="Balloon Text"/>
    <w:basedOn w:val="Normal"/>
    <w:semiHidden/>
    <w:rsid w:val="002B1726"/>
    <w:rPr>
      <w:rFonts w:ascii="Tahoma" w:hAnsi="Tahoma" w:cs="Tahoma"/>
      <w:sz w:val="16"/>
      <w:szCs w:val="16"/>
    </w:rPr>
  </w:style>
  <w:style w:type="paragraph" w:styleId="CommentSubject">
    <w:name w:val="annotation subject"/>
    <w:basedOn w:val="CommentText"/>
    <w:next w:val="CommentText"/>
    <w:semiHidden/>
    <w:rsid w:val="008906C4"/>
    <w:rPr>
      <w:b/>
      <w:bCs/>
    </w:rPr>
  </w:style>
  <w:style w:type="paragraph" w:customStyle="1" w:styleId="TOCBase">
    <w:name w:val="TOC Base"/>
    <w:basedOn w:val="Normal"/>
    <w:rsid w:val="005468F7"/>
    <w:pPr>
      <w:tabs>
        <w:tab w:val="right" w:leader="dot" w:pos="6480"/>
      </w:tabs>
      <w:spacing w:after="240" w:line="240" w:lineRule="atLeast"/>
    </w:pPr>
    <w:rPr>
      <w:rFonts w:ascii="Arial" w:hAnsi="Arial"/>
      <w:spacing w:val="-5"/>
    </w:rPr>
  </w:style>
  <w:style w:type="paragraph" w:customStyle="1" w:styleId="Default">
    <w:name w:val="Default"/>
    <w:rsid w:val="003B1104"/>
    <w:pPr>
      <w:autoSpaceDE w:val="0"/>
      <w:autoSpaceDN w:val="0"/>
      <w:adjustRightInd w:val="0"/>
    </w:pPr>
    <w:rPr>
      <w:rFonts w:ascii="Arial" w:hAnsi="Arial" w:cs="Arial"/>
      <w:color w:val="000000"/>
      <w:sz w:val="24"/>
      <w:szCs w:val="24"/>
    </w:rPr>
  </w:style>
  <w:style w:type="table" w:styleId="TableGrid">
    <w:name w:val="Table Grid"/>
    <w:basedOn w:val="TableNormal"/>
    <w:rsid w:val="000B43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0B43B5"/>
  </w:style>
  <w:style w:type="character" w:customStyle="1" w:styleId="CommentTextChar">
    <w:name w:val="Comment Text Char"/>
    <w:basedOn w:val="DefaultParagraphFont"/>
    <w:link w:val="CommentText"/>
    <w:semiHidden/>
    <w:rsid w:val="002F003F"/>
  </w:style>
</w:styles>
</file>

<file path=word/webSettings.xml><?xml version="1.0" encoding="utf-8"?>
<w:webSettings xmlns:r="http://schemas.openxmlformats.org/officeDocument/2006/relationships" xmlns:w="http://schemas.openxmlformats.org/wordprocessingml/2006/main">
  <w:divs>
    <w:div w:id="32351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CC7AE-6788-4DFE-82C4-F6B406A4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F5DA732-28E6-4BF3-AB9D-EEF3E089D68C}">
  <ds:schemaRefs>
    <ds:schemaRef ds:uri="http://schemas.microsoft.com/office/2006/metadata/longProperties"/>
  </ds:schemaRefs>
</ds:datastoreItem>
</file>

<file path=customXml/itemProps3.xml><?xml version="1.0" encoding="utf-8"?>
<ds:datastoreItem xmlns:ds="http://schemas.openxmlformats.org/officeDocument/2006/customXml" ds:itemID="{36440B2F-9B88-4534-82CF-C90C4F5A7A8A}">
  <ds:schemaRefs>
    <ds:schemaRef ds:uri="http://schemas.microsoft.com/sharepoint/v3/contenttype/forms"/>
  </ds:schemaRefs>
</ds:datastoreItem>
</file>

<file path=customXml/itemProps4.xml><?xml version="1.0" encoding="utf-8"?>
<ds:datastoreItem xmlns:ds="http://schemas.openxmlformats.org/officeDocument/2006/customXml" ds:itemID="{62C1353A-C708-4565-8A47-F839FE7E54E7}">
  <ds:schemaRefs>
    <ds:schemaRef ds:uri="http://schemas.openxmlformats.org/officeDocument/2006/bibliography"/>
  </ds:schemaRefs>
</ds:datastoreItem>
</file>

<file path=customXml/itemProps5.xml><?xml version="1.0" encoding="utf-8"?>
<ds:datastoreItem xmlns:ds="http://schemas.openxmlformats.org/officeDocument/2006/customXml" ds:itemID="{10A248C1-AA04-4007-9D83-2836723470FB}">
  <ds:schemaRefs>
    <ds:schemaRef ds:uri="http://schemas.openxmlformats.org/officeDocument/2006/bibliography"/>
  </ds:schemaRefs>
</ds:datastoreItem>
</file>

<file path=customXml/itemProps6.xml><?xml version="1.0" encoding="utf-8"?>
<ds:datastoreItem xmlns:ds="http://schemas.openxmlformats.org/officeDocument/2006/customXml" ds:itemID="{E205E553-C055-4027-B372-70127B41DB79}">
  <ds:schemaRefs>
    <ds:schemaRef ds:uri="http://schemas.microsoft.com/office/2006/metadata/properties"/>
    <ds:schemaRef ds:uri="289388A8-1A67-4FDA-90AF-C1B905177F43"/>
  </ds:schemaRefs>
</ds:datastoreItem>
</file>

<file path=customXml/itemProps7.xml><?xml version="1.0" encoding="utf-8"?>
<ds:datastoreItem xmlns:ds="http://schemas.openxmlformats.org/officeDocument/2006/customXml" ds:itemID="{2DC92F76-BB83-45E3-9D14-561F2CDB8861}">
  <ds:schemaRefs>
    <ds:schemaRef ds:uri="http://schemas.openxmlformats.org/officeDocument/2006/bibliography"/>
  </ds:schemaRefs>
</ds:datastoreItem>
</file>

<file path=customXml/itemProps8.xml><?xml version="1.0" encoding="utf-8"?>
<ds:datastoreItem xmlns:ds="http://schemas.openxmlformats.org/officeDocument/2006/customXml" ds:itemID="{542737A4-4D58-4CC5-AF8C-21A8060F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ACS_FAA</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Darlene Van Valkenburg</dc:creator>
  <cp:keywords/>
  <cp:lastModifiedBy>Susan Perkins</cp:lastModifiedBy>
  <cp:revision>2</cp:revision>
  <cp:lastPrinted>2012-07-02T16:25:00Z</cp:lastPrinted>
  <dcterms:created xsi:type="dcterms:W3CDTF">2012-07-02T19:46:00Z</dcterms:created>
  <dcterms:modified xsi:type="dcterms:W3CDTF">2012-07-02T19:46:00Z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_SourceUrl">
    <vt:lpwstr/>
  </property>
  <property fmtid="{D5CDD505-2E9C-101B-9397-08002B2CF9AE}" pid="9" name="_AdHocReviewCycleID">
    <vt:i4>1367925181</vt:i4>
  </property>
  <property fmtid="{D5CDD505-2E9C-101B-9397-08002B2CF9AE}" pid="10" name="_NewReviewCycle">
    <vt:lpwstr/>
  </property>
  <property fmtid="{D5CDD505-2E9C-101B-9397-08002B2CF9AE}" pid="11" name="_EmailSubject">
    <vt:lpwstr>ICR 1652-0027</vt:lpwstr>
  </property>
  <property fmtid="{D5CDD505-2E9C-101B-9397-08002B2CF9AE}" pid="12" name="_AuthorEmail">
    <vt:lpwstr>Susan.Perkins@tsa.dhs.gov</vt:lpwstr>
  </property>
  <property fmtid="{D5CDD505-2E9C-101B-9397-08002B2CF9AE}" pid="13" name="_AuthorEmailDisplayName">
    <vt:lpwstr>Perkins, Susan</vt:lpwstr>
  </property>
  <property fmtid="{D5CDD505-2E9C-101B-9397-08002B2CF9AE}" pid="14" name="_PreviousAdHocReviewCycleID">
    <vt:i4>-1391276946</vt:i4>
  </property>
  <property fmtid="{D5CDD505-2E9C-101B-9397-08002B2CF9AE}" pid="15" name="ContentType">
    <vt:lpwstr>Project Workspace Document</vt:lpwstr>
  </property>
  <property fmtid="{D5CDD505-2E9C-101B-9397-08002B2CF9AE}" pid="16" name="ContentTypeId">
    <vt:lpwstr>0x0101008A98423170284BEEB635F43C3CF4E98B0055A33D45012F5B44A8F72BCBDA90AA12</vt:lpwstr>
  </property>
</Properties>
</file>