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D6" w:rsidRDefault="007452D6">
      <w:pPr>
        <w:pStyle w:val="Heading2"/>
        <w:tabs>
          <w:tab w:val="left" w:pos="900"/>
        </w:tabs>
        <w:ind w:right="-180"/>
        <w:rPr>
          <w:sz w:val="28"/>
        </w:rPr>
      </w:pPr>
      <w:r>
        <w:rPr>
          <w:sz w:val="28"/>
        </w:rPr>
        <w:t>DOCUMENTATION FOR THE GENERIC CLEARANCE</w:t>
      </w:r>
    </w:p>
    <w:p w:rsidR="007452D6" w:rsidRDefault="007452D6">
      <w:pPr>
        <w:jc w:val="center"/>
      </w:pPr>
      <w:r>
        <w:rPr>
          <w:b/>
          <w:sz w:val="28"/>
        </w:rPr>
        <w:t xml:space="preserve">OF CUSTOMER SERVICE SATISFACTION COLLECTIONS </w:t>
      </w:r>
    </w:p>
    <w:p w:rsidR="007452D6" w:rsidRDefault="007452D6"/>
    <w:p w:rsidR="007452D6" w:rsidRDefault="00DD4821">
      <w:r>
        <w:rPr>
          <w:noProof/>
        </w:rPr>
        <w:pict>
          <v:line id="_x0000_s1027" style="position:absolute;z-index:251657728" from="0,0" to="468pt,0" o:allowincell="f" strokeweight="1.5pt"/>
        </w:pict>
      </w:r>
    </w:p>
    <w:p w:rsidR="007452D6" w:rsidRDefault="007452D6">
      <w:pPr>
        <w:pStyle w:val="Heading1"/>
      </w:pPr>
      <w:r>
        <w:t xml:space="preserve">TITLE OF INFORMATION COLLECTION:  </w:t>
      </w:r>
    </w:p>
    <w:p w:rsidR="007452D6" w:rsidRDefault="007D6528">
      <w:r>
        <w:t>National Center for Education Statistics (NCES) Website Customer Satisfaction Survey</w:t>
      </w:r>
      <w:r w:rsidR="00182F7F">
        <w:t xml:space="preserve"> (1800-0011 v.165)</w:t>
      </w:r>
    </w:p>
    <w:p w:rsidR="007D6528" w:rsidRDefault="007D6528"/>
    <w:p w:rsidR="007452D6" w:rsidRDefault="007452D6">
      <w:pPr>
        <w:pStyle w:val="BodyTextIndent"/>
        <w:tabs>
          <w:tab w:val="left" w:pos="360"/>
        </w:tabs>
        <w:ind w:left="0"/>
        <w:rPr>
          <w:b/>
          <w:bCs/>
          <w:sz w:val="24"/>
          <w:u w:val="single"/>
        </w:rPr>
      </w:pPr>
      <w:r>
        <w:rPr>
          <w:b/>
          <w:bCs/>
          <w:sz w:val="24"/>
        </w:rPr>
        <w:t xml:space="preserve">[ </w:t>
      </w:r>
      <w:r w:rsidR="00A42C28">
        <w:rPr>
          <w:b/>
          <w:bCs/>
          <w:sz w:val="24"/>
        </w:rPr>
        <w:t>x</w:t>
      </w:r>
      <w:r>
        <w:rPr>
          <w:b/>
          <w:bCs/>
          <w:sz w:val="24"/>
        </w:rPr>
        <w:t xml:space="preserve">] </w:t>
      </w:r>
      <w:r>
        <w:rPr>
          <w:b/>
          <w:bCs/>
          <w:sz w:val="24"/>
          <w:u w:val="single"/>
        </w:rPr>
        <w:t>SURVEY</w:t>
      </w:r>
      <w:r>
        <w:rPr>
          <w:b/>
          <w:bCs/>
          <w:sz w:val="24"/>
        </w:rPr>
        <w:t xml:space="preserve"> </w:t>
      </w:r>
      <w:r>
        <w:rPr>
          <w:b/>
          <w:bCs/>
          <w:sz w:val="24"/>
        </w:rPr>
        <w:tab/>
        <w:t xml:space="preserve">  [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7452D6" w:rsidRDefault="007452D6">
      <w:pPr>
        <w:rPr>
          <w:b/>
        </w:rPr>
      </w:pPr>
    </w:p>
    <w:p w:rsidR="007452D6" w:rsidRDefault="007452D6">
      <w:r>
        <w:rPr>
          <w:b/>
        </w:rPr>
        <w:t>DESCRIPTION OF THIS SPECIFIC COLLECTION</w:t>
      </w:r>
      <w:r>
        <w:t xml:space="preserve"> </w:t>
      </w:r>
    </w:p>
    <w:p w:rsidR="007452D6" w:rsidRDefault="007452D6">
      <w:pPr>
        <w:ind w:left="360"/>
      </w:pPr>
    </w:p>
    <w:p w:rsidR="00D06BDF" w:rsidRDefault="00D06BDF" w:rsidP="00D06BDF">
      <w:r>
        <w:t xml:space="preserve">The intended purpose of the continuous National Center for Education Statistics (NCES) Website Customer Satisfaction Survey is to collect feedback from users on the relevance, timeliness, quality, and ease of access and use of the information and products provided online by NCES.  The survey is entirely web-based, drawing respondents from users accessing a selected set of NCES </w:t>
      </w:r>
      <w:proofErr w:type="spellStart"/>
      <w:r>
        <w:t>webpages</w:t>
      </w:r>
      <w:proofErr w:type="spellEnd"/>
      <w:r>
        <w:t xml:space="preserve">.  Because of their </w:t>
      </w:r>
      <w:r w:rsidRPr="007B0B5B">
        <w:t>specific Business Case need for customer service data,</w:t>
      </w:r>
      <w:r w:rsidR="00C54EF3">
        <w:t xml:space="preserve"> the NCES web survey includes </w:t>
      </w:r>
      <w:r w:rsidRPr="007B0B5B">
        <w:t xml:space="preserve">special focuses on assessing a selected set of </w:t>
      </w:r>
      <w:proofErr w:type="spellStart"/>
      <w:r w:rsidRPr="007B0B5B">
        <w:t>webpages</w:t>
      </w:r>
      <w:proofErr w:type="spellEnd"/>
      <w:r w:rsidRPr="007B0B5B">
        <w:t xml:space="preserve"> that support the Integrated Postsecondary Data System (IPEDS) and other postsecondary activities and the National Assessment of Educational Progress (NAEP) data tools and publications.</w:t>
      </w:r>
      <w:r w:rsidRPr="00E4042D">
        <w:t xml:space="preserve"> </w:t>
      </w:r>
      <w:r>
        <w:t xml:space="preserve">The visitors, regardless of where they go elsewhere on NCES’ </w:t>
      </w:r>
      <w:proofErr w:type="spellStart"/>
      <w:r>
        <w:t>webpages</w:t>
      </w:r>
      <w:proofErr w:type="spellEnd"/>
      <w:r>
        <w:t xml:space="preserve"> during their visit to the site, are only sampled once.</w:t>
      </w:r>
    </w:p>
    <w:p w:rsidR="00D06BDF" w:rsidRDefault="00D06BDF" w:rsidP="00D06BDF">
      <w:pPr>
        <w:pStyle w:val="Header"/>
        <w:tabs>
          <w:tab w:val="clear" w:pos="4320"/>
          <w:tab w:val="clear" w:pos="8640"/>
        </w:tabs>
        <w:rPr>
          <w:b/>
        </w:rPr>
      </w:pPr>
    </w:p>
    <w:p w:rsidR="00D06BDF" w:rsidRDefault="00D06BDF" w:rsidP="00D06BDF">
      <w:r>
        <w:t xml:space="preserve">From among all who access a selected set of NCES </w:t>
      </w:r>
      <w:proofErr w:type="spellStart"/>
      <w:r>
        <w:t>webpages</w:t>
      </w:r>
      <w:proofErr w:type="spellEnd"/>
      <w:r>
        <w:t xml:space="preserve"> (see the attached survey instrument), 3 in 20 will be offered, through a pop-up window, to respond to questions specific to the </w:t>
      </w:r>
      <w:proofErr w:type="spellStart"/>
      <w:r>
        <w:t>webpages</w:t>
      </w:r>
      <w:proofErr w:type="spellEnd"/>
      <w:r>
        <w:t xml:space="preserve"> they just visited. Persons who visit the selected set of NCES </w:t>
      </w:r>
      <w:proofErr w:type="spellStart"/>
      <w:r>
        <w:t>webpages</w:t>
      </w:r>
      <w:proofErr w:type="spellEnd"/>
      <w:r>
        <w:t xml:space="preserve">, regardless of where they go elsewhere in NCES’ </w:t>
      </w:r>
      <w:proofErr w:type="spellStart"/>
      <w:r>
        <w:t>webpages</w:t>
      </w:r>
      <w:proofErr w:type="spellEnd"/>
      <w:r>
        <w:t xml:space="preserve"> during a visit to our site, will only be sampled once.  This survey is designed to be provided through the NCES website continuously, with monthly </w:t>
      </w:r>
      <w:r w:rsidR="00C54EF3">
        <w:t>result</w:t>
      </w:r>
      <w:r>
        <w:t>s of response rates and responses on customer satisfaction.</w:t>
      </w:r>
    </w:p>
    <w:p w:rsidR="00D06BDF" w:rsidRDefault="00D06BDF" w:rsidP="00D06BDF">
      <w:pPr>
        <w:suppressAutoHyphens/>
      </w:pPr>
    </w:p>
    <w:p w:rsidR="00D06BDF" w:rsidRDefault="00D06BDF" w:rsidP="00D06BDF">
      <w:pPr>
        <w:suppressAutoHyphens/>
      </w:pPr>
      <w:r>
        <w:t xml:space="preserve">As with other surveys conducted on the web for the purpose of measuring customer satisfaction, we anticipate that 10% of sampled users will respond.  In the aggregate, the proposed set of </w:t>
      </w:r>
      <w:proofErr w:type="spellStart"/>
      <w:r>
        <w:t>webpages</w:t>
      </w:r>
      <w:proofErr w:type="spellEnd"/>
      <w:r>
        <w:t xml:space="preserve"> is accessed 250,000 times per month.  Thus, over the course of a month we estimate that 3,750 visitors will respond to the survey (250,000 *15% sampling rate *10% response rate), for a total of 45,000 respondents over the course of a year.  The burden for responding to this survey is estimated to be 45 seconds per respondent, for a total of 563 burden hours over a 12-month period (45,000 * 0.75 minutes per response/60).  </w:t>
      </w:r>
    </w:p>
    <w:p w:rsidR="007452D6" w:rsidRDefault="007452D6">
      <w:pPr>
        <w:pStyle w:val="Header"/>
        <w:tabs>
          <w:tab w:val="clear" w:pos="4320"/>
          <w:tab w:val="clear" w:pos="8640"/>
        </w:tabs>
      </w:pPr>
    </w:p>
    <w:p w:rsidR="00D06BDF" w:rsidRDefault="00D06BDF">
      <w:pPr>
        <w:pStyle w:val="Header"/>
        <w:tabs>
          <w:tab w:val="clear" w:pos="4320"/>
          <w:tab w:val="clear" w:pos="8640"/>
        </w:tabs>
      </w:pPr>
    </w:p>
    <w:p w:rsidR="007452D6" w:rsidRDefault="007452D6">
      <w:pPr>
        <w:rPr>
          <w:b/>
        </w:rPr>
      </w:pPr>
      <w:r>
        <w:rPr>
          <w:b/>
        </w:rPr>
        <w:t>AMOUNT OF ANY PROPOSED STIPEND OR INCENTIVE</w:t>
      </w:r>
    </w:p>
    <w:p w:rsidR="00182F7F" w:rsidRPr="00182F7F" w:rsidRDefault="00182F7F">
      <w:r w:rsidRPr="00182F7F">
        <w:t>There will be no incentives proposed.</w:t>
      </w:r>
    </w:p>
    <w:p w:rsidR="007452D6" w:rsidRDefault="007452D6"/>
    <w:p w:rsidR="007452D6" w:rsidRDefault="007452D6">
      <w:pPr>
        <w:rPr>
          <w:i/>
        </w:rPr>
      </w:pPr>
      <w:r>
        <w:rPr>
          <w:b/>
        </w:rPr>
        <w:t>BURDEN HOUR COMPUTATION</w:t>
      </w:r>
      <w:r>
        <w:t xml:space="preserve"> </w:t>
      </w:r>
      <w:r>
        <w:rPr>
          <w:i/>
        </w:rPr>
        <w:t>(Number of responses (X) estimated response or participation time in minutes (/60) = annual burden hours):</w:t>
      </w:r>
    </w:p>
    <w:p w:rsidR="007452D6" w:rsidRDefault="007452D6">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640"/>
        <w:gridCol w:w="2591"/>
        <w:gridCol w:w="1190"/>
      </w:tblGrid>
      <w:tr w:rsidR="007452D6">
        <w:trPr>
          <w:trHeight w:val="274"/>
        </w:trPr>
        <w:tc>
          <w:tcPr>
            <w:tcW w:w="0" w:type="auto"/>
          </w:tcPr>
          <w:p w:rsidR="007452D6" w:rsidRDefault="007452D6">
            <w:pPr>
              <w:rPr>
                <w:b/>
              </w:rPr>
            </w:pPr>
            <w:r>
              <w:rPr>
                <w:b/>
              </w:rPr>
              <w:t xml:space="preserve">Category of Respondent </w:t>
            </w:r>
          </w:p>
        </w:tc>
        <w:tc>
          <w:tcPr>
            <w:tcW w:w="0" w:type="auto"/>
          </w:tcPr>
          <w:p w:rsidR="007452D6" w:rsidRDefault="007452D6">
            <w:pPr>
              <w:rPr>
                <w:b/>
              </w:rPr>
            </w:pPr>
            <w:r>
              <w:rPr>
                <w:b/>
              </w:rPr>
              <w:t>No. of Respondents</w:t>
            </w:r>
          </w:p>
        </w:tc>
        <w:tc>
          <w:tcPr>
            <w:tcW w:w="0" w:type="auto"/>
          </w:tcPr>
          <w:p w:rsidR="007452D6" w:rsidRDefault="007452D6">
            <w:pPr>
              <w:rPr>
                <w:b/>
              </w:rPr>
            </w:pPr>
            <w:r>
              <w:rPr>
                <w:b/>
              </w:rPr>
              <w:t>Participation Time</w:t>
            </w:r>
          </w:p>
        </w:tc>
        <w:tc>
          <w:tcPr>
            <w:tcW w:w="0" w:type="auto"/>
          </w:tcPr>
          <w:p w:rsidR="007452D6" w:rsidRDefault="007452D6">
            <w:pPr>
              <w:rPr>
                <w:b/>
              </w:rPr>
            </w:pPr>
            <w:r>
              <w:rPr>
                <w:b/>
              </w:rPr>
              <w:t>Burden</w:t>
            </w:r>
          </w:p>
        </w:tc>
      </w:tr>
      <w:tr w:rsidR="007452D6">
        <w:trPr>
          <w:trHeight w:val="274"/>
        </w:trPr>
        <w:tc>
          <w:tcPr>
            <w:tcW w:w="0" w:type="auto"/>
          </w:tcPr>
          <w:p w:rsidR="007452D6" w:rsidRDefault="00182F7F">
            <w:r>
              <w:t>Individuals</w:t>
            </w:r>
          </w:p>
        </w:tc>
        <w:tc>
          <w:tcPr>
            <w:tcW w:w="0" w:type="auto"/>
          </w:tcPr>
          <w:p w:rsidR="007452D6" w:rsidRDefault="00182F7F">
            <w:r>
              <w:t>45,000</w:t>
            </w:r>
          </w:p>
        </w:tc>
        <w:tc>
          <w:tcPr>
            <w:tcW w:w="0" w:type="auto"/>
          </w:tcPr>
          <w:p w:rsidR="007452D6" w:rsidRDefault="00182F7F">
            <w:r>
              <w:t>45 seconds</w:t>
            </w:r>
          </w:p>
        </w:tc>
        <w:tc>
          <w:tcPr>
            <w:tcW w:w="0" w:type="auto"/>
          </w:tcPr>
          <w:p w:rsidR="007452D6" w:rsidRDefault="00182F7F">
            <w:r>
              <w:t>563</w:t>
            </w:r>
          </w:p>
        </w:tc>
      </w:tr>
      <w:tr w:rsidR="007452D6">
        <w:trPr>
          <w:trHeight w:val="274"/>
        </w:trPr>
        <w:tc>
          <w:tcPr>
            <w:tcW w:w="0" w:type="auto"/>
          </w:tcPr>
          <w:p w:rsidR="007452D6" w:rsidRDefault="007452D6"/>
        </w:tc>
        <w:tc>
          <w:tcPr>
            <w:tcW w:w="0" w:type="auto"/>
          </w:tcPr>
          <w:p w:rsidR="007452D6" w:rsidRDefault="007452D6"/>
        </w:tc>
        <w:tc>
          <w:tcPr>
            <w:tcW w:w="0" w:type="auto"/>
          </w:tcPr>
          <w:p w:rsidR="007452D6" w:rsidRDefault="007452D6"/>
        </w:tc>
        <w:tc>
          <w:tcPr>
            <w:tcW w:w="0" w:type="auto"/>
          </w:tcPr>
          <w:p w:rsidR="007452D6" w:rsidRDefault="007452D6"/>
        </w:tc>
      </w:tr>
      <w:tr w:rsidR="007452D6">
        <w:trPr>
          <w:trHeight w:val="289"/>
        </w:trPr>
        <w:tc>
          <w:tcPr>
            <w:tcW w:w="0" w:type="auto"/>
          </w:tcPr>
          <w:p w:rsidR="007452D6" w:rsidRDefault="007452D6">
            <w:pPr>
              <w:rPr>
                <w:b/>
              </w:rPr>
            </w:pPr>
            <w:r>
              <w:rPr>
                <w:b/>
              </w:rPr>
              <w:t>Totals</w:t>
            </w:r>
          </w:p>
        </w:tc>
        <w:tc>
          <w:tcPr>
            <w:tcW w:w="0" w:type="auto"/>
          </w:tcPr>
          <w:p w:rsidR="007452D6" w:rsidRDefault="00182F7F">
            <w:pPr>
              <w:rPr>
                <w:b/>
              </w:rPr>
            </w:pPr>
            <w:r>
              <w:rPr>
                <w:b/>
              </w:rPr>
              <w:t>45,000</w:t>
            </w:r>
          </w:p>
        </w:tc>
        <w:tc>
          <w:tcPr>
            <w:tcW w:w="0" w:type="auto"/>
          </w:tcPr>
          <w:p w:rsidR="007452D6" w:rsidRDefault="007452D6"/>
        </w:tc>
        <w:tc>
          <w:tcPr>
            <w:tcW w:w="0" w:type="auto"/>
          </w:tcPr>
          <w:p w:rsidR="007452D6" w:rsidRDefault="00182F7F">
            <w:pPr>
              <w:rPr>
                <w:b/>
              </w:rPr>
            </w:pPr>
            <w:r>
              <w:rPr>
                <w:b/>
              </w:rPr>
              <w:t>563</w:t>
            </w:r>
          </w:p>
        </w:tc>
      </w:tr>
    </w:tbl>
    <w:p w:rsidR="007452D6" w:rsidRDefault="007452D6">
      <w:pPr>
        <w:rPr>
          <w:b/>
        </w:rPr>
      </w:pPr>
    </w:p>
    <w:p w:rsidR="006546C1" w:rsidRDefault="006546C1" w:rsidP="006546C1">
      <w:pPr>
        <w:rPr>
          <w:b/>
        </w:rPr>
      </w:pPr>
      <w:r>
        <w:rPr>
          <w:b/>
        </w:rPr>
        <w:t xml:space="preserve">FEDERAL COST:  </w:t>
      </w:r>
      <w:r>
        <w:t>The estimated annual cost to the Federal government is $50,000.</w:t>
      </w:r>
    </w:p>
    <w:p w:rsidR="007452D6" w:rsidRDefault="007452D6">
      <w:pPr>
        <w:pStyle w:val="BodyTextIndent"/>
        <w:tabs>
          <w:tab w:val="left" w:pos="360"/>
        </w:tabs>
        <w:ind w:left="0"/>
        <w:rPr>
          <w:b/>
          <w:bCs/>
          <w:sz w:val="24"/>
          <w:u w:val="single"/>
        </w:rPr>
      </w:pPr>
    </w:p>
    <w:p w:rsidR="007452D6" w:rsidRDefault="007452D6">
      <w:pPr>
        <w:pStyle w:val="BodyTextIndent"/>
        <w:tabs>
          <w:tab w:val="left" w:pos="360"/>
        </w:tabs>
        <w:ind w:left="0"/>
        <w:rPr>
          <w:b/>
          <w:bCs/>
          <w:sz w:val="24"/>
        </w:rPr>
      </w:pPr>
      <w:r>
        <w:rPr>
          <w:b/>
          <w:bCs/>
          <w:sz w:val="24"/>
          <w:u w:val="single"/>
        </w:rPr>
        <w:t>STATISTICAL INFORMATION</w:t>
      </w:r>
      <w:r>
        <w:rPr>
          <w:b/>
          <w:bCs/>
          <w:sz w:val="24"/>
        </w:rPr>
        <w:t xml:space="preserve"> </w:t>
      </w:r>
    </w:p>
    <w:p w:rsidR="007452D6" w:rsidRDefault="007452D6">
      <w:pPr>
        <w:pStyle w:val="BodyTextIndent"/>
        <w:tabs>
          <w:tab w:val="left" w:pos="360"/>
        </w:tabs>
        <w:ind w:left="0"/>
        <w:rPr>
          <w:rFonts w:ascii="Arial" w:hAnsi="Arial" w:cs="Arial"/>
          <w:color w:val="000080"/>
          <w:lang w:eastAsia="en-US"/>
        </w:rPr>
      </w:pPr>
    </w:p>
    <w:p w:rsidR="00182F7F" w:rsidRDefault="00182F7F" w:rsidP="00182F7F">
      <w:r>
        <w:t xml:space="preserve">Randomly selected 15% of all visitors to specific NCES </w:t>
      </w:r>
      <w:proofErr w:type="spellStart"/>
      <w:r>
        <w:t>webpages</w:t>
      </w:r>
      <w:proofErr w:type="spellEnd"/>
      <w:r>
        <w:t xml:space="preserve"> will be offered, through a pop-up window, to respond to questions specific to the </w:t>
      </w:r>
      <w:proofErr w:type="spellStart"/>
      <w:r>
        <w:t>webpages</w:t>
      </w:r>
      <w:proofErr w:type="spellEnd"/>
      <w:r>
        <w:t xml:space="preserve"> they just visited.</w:t>
      </w:r>
    </w:p>
    <w:p w:rsidR="007452D6" w:rsidRDefault="007452D6"/>
    <w:p w:rsidR="007452D6" w:rsidRDefault="007452D6">
      <w:pPr>
        <w:rPr>
          <w:b/>
        </w:rPr>
      </w:pPr>
      <w:r>
        <w:rPr>
          <w:b/>
        </w:rPr>
        <w:t>REQUESTED APPROVAL DATE:</w:t>
      </w:r>
      <w:r>
        <w:rPr>
          <w:b/>
        </w:rPr>
        <w:tab/>
      </w:r>
      <w:r w:rsidR="00182F7F">
        <w:rPr>
          <w:b/>
        </w:rPr>
        <w:t>October 31, 2011</w:t>
      </w:r>
    </w:p>
    <w:p w:rsidR="007452D6" w:rsidRDefault="007452D6">
      <w:pPr>
        <w:rPr>
          <w:b/>
        </w:rPr>
      </w:pPr>
    </w:p>
    <w:p w:rsidR="007452D6" w:rsidRDefault="007452D6">
      <w:pPr>
        <w:rPr>
          <w:bCs/>
        </w:rPr>
      </w:pPr>
      <w:r>
        <w:rPr>
          <w:b/>
        </w:rPr>
        <w:t xml:space="preserve">NAME OF CONTACT PERSON:  </w:t>
      </w:r>
      <w:r w:rsidR="00182F7F">
        <w:rPr>
          <w:b/>
        </w:rPr>
        <w:t>Kashka Kub</w:t>
      </w:r>
      <w:r w:rsidR="00A42C28">
        <w:rPr>
          <w:b/>
        </w:rPr>
        <w:t>z</w:t>
      </w:r>
      <w:r w:rsidR="00182F7F">
        <w:rPr>
          <w:b/>
        </w:rPr>
        <w:t>d</w:t>
      </w:r>
      <w:r w:rsidR="00A42C28">
        <w:rPr>
          <w:b/>
        </w:rPr>
        <w:t>ela</w:t>
      </w:r>
    </w:p>
    <w:p w:rsidR="007452D6" w:rsidRDefault="007452D6"/>
    <w:p w:rsidR="007452D6" w:rsidRDefault="007452D6">
      <w:pPr>
        <w:rPr>
          <w:b/>
        </w:rPr>
      </w:pPr>
      <w:r>
        <w:rPr>
          <w:b/>
        </w:rPr>
        <w:t>TELEPHONE NUMBER:</w:t>
      </w:r>
      <w:r>
        <w:rPr>
          <w:b/>
        </w:rPr>
        <w:tab/>
      </w:r>
      <w:r w:rsidR="00A42C28">
        <w:rPr>
          <w:b/>
        </w:rPr>
        <w:t>202-502-7411</w:t>
      </w:r>
    </w:p>
    <w:p w:rsidR="007452D6" w:rsidRDefault="007452D6">
      <w:pPr>
        <w:ind w:left="2160" w:firstLine="720"/>
      </w:pPr>
    </w:p>
    <w:p w:rsidR="007452D6" w:rsidRDefault="007452D6">
      <w:pPr>
        <w:tabs>
          <w:tab w:val="left" w:pos="5670"/>
        </w:tabs>
        <w:suppressAutoHyphens/>
        <w:rPr>
          <w:b/>
        </w:rPr>
      </w:pPr>
      <w:r>
        <w:rPr>
          <w:b/>
        </w:rPr>
        <w:t>ED DEPARTMENT, OFFICE:</w:t>
      </w:r>
      <w:r w:rsidR="00A42C28">
        <w:rPr>
          <w:b/>
        </w:rPr>
        <w:t xml:space="preserve"> NCES</w:t>
      </w:r>
    </w:p>
    <w:p w:rsidR="007452D6" w:rsidRDefault="007452D6">
      <w:pPr>
        <w:tabs>
          <w:tab w:val="left" w:pos="5670"/>
        </w:tabs>
        <w:suppressAutoHyphens/>
        <w:rPr>
          <w:b/>
        </w:rPr>
      </w:pPr>
    </w:p>
    <w:p w:rsidR="007452D6" w:rsidRDefault="007452D6">
      <w:pPr>
        <w:tabs>
          <w:tab w:val="left" w:pos="5670"/>
        </w:tabs>
        <w:suppressAutoHyphens/>
        <w:rPr>
          <w:b/>
        </w:rPr>
      </w:pPr>
    </w:p>
    <w:p w:rsidR="007452D6" w:rsidRDefault="007452D6">
      <w:pPr>
        <w:tabs>
          <w:tab w:val="left" w:pos="5670"/>
        </w:tabs>
        <w:suppressAutoHyphens/>
      </w:pPr>
      <w:r>
        <w:rPr>
          <w:b/>
        </w:rPr>
        <w:tab/>
      </w:r>
      <w:r>
        <w:t xml:space="preserve"> </w:t>
      </w:r>
    </w:p>
    <w:sectPr w:rsidR="007452D6" w:rsidSect="00F77D83">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2D6" w:rsidRDefault="007452D6">
      <w:r>
        <w:separator/>
      </w:r>
    </w:p>
  </w:endnote>
  <w:endnote w:type="continuationSeparator" w:id="0">
    <w:p w:rsidR="007452D6" w:rsidRDefault="00745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D6" w:rsidRDefault="00DD4821">
    <w:pPr>
      <w:pStyle w:val="Footer"/>
      <w:tabs>
        <w:tab w:val="clear" w:pos="8640"/>
        <w:tab w:val="right" w:pos="9000"/>
      </w:tabs>
      <w:jc w:val="center"/>
      <w:rPr>
        <w:iCs/>
        <w:sz w:val="20"/>
        <w:szCs w:val="20"/>
      </w:rPr>
    </w:pPr>
    <w:r>
      <w:rPr>
        <w:rStyle w:val="PageNumber"/>
        <w:sz w:val="20"/>
        <w:szCs w:val="20"/>
      </w:rPr>
      <w:fldChar w:fldCharType="begin"/>
    </w:r>
    <w:r w:rsidR="007452D6">
      <w:rPr>
        <w:rStyle w:val="PageNumber"/>
        <w:sz w:val="20"/>
        <w:szCs w:val="20"/>
      </w:rPr>
      <w:instrText xml:space="preserve"> PAGE </w:instrText>
    </w:r>
    <w:r>
      <w:rPr>
        <w:rStyle w:val="PageNumber"/>
        <w:sz w:val="20"/>
        <w:szCs w:val="20"/>
      </w:rPr>
      <w:fldChar w:fldCharType="separate"/>
    </w:r>
    <w:r w:rsidR="0031262E">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2D6" w:rsidRDefault="007452D6">
      <w:r>
        <w:separator/>
      </w:r>
    </w:p>
  </w:footnote>
  <w:footnote w:type="continuationSeparator" w:id="0">
    <w:p w:rsidR="007452D6" w:rsidRDefault="00745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12"/>
  </w:num>
  <w:num w:numId="5">
    <w:abstractNumId w:val="3"/>
  </w:num>
  <w:num w:numId="6">
    <w:abstractNumId w:val="1"/>
  </w:num>
  <w:num w:numId="7">
    <w:abstractNumId w:val="6"/>
  </w:num>
  <w:num w:numId="8">
    <w:abstractNumId w:val="9"/>
  </w:num>
  <w:num w:numId="9">
    <w:abstractNumId w:val="7"/>
  </w:num>
  <w:num w:numId="10">
    <w:abstractNumId w:val="2"/>
  </w:num>
  <w:num w:numId="11">
    <w:abstractNumId w:val="4"/>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footnotePr>
    <w:footnote w:id="-1"/>
    <w:footnote w:id="0"/>
  </w:footnotePr>
  <w:endnotePr>
    <w:endnote w:id="-1"/>
    <w:endnote w:id="0"/>
  </w:endnotePr>
  <w:compat/>
  <w:rsids>
    <w:rsidRoot w:val="00032DE7"/>
    <w:rsid w:val="00032DE7"/>
    <w:rsid w:val="00156DB5"/>
    <w:rsid w:val="00182F7F"/>
    <w:rsid w:val="0031262E"/>
    <w:rsid w:val="006546C1"/>
    <w:rsid w:val="007452D6"/>
    <w:rsid w:val="007D6528"/>
    <w:rsid w:val="008A5DA5"/>
    <w:rsid w:val="00A42C28"/>
    <w:rsid w:val="00C54EF3"/>
    <w:rsid w:val="00D06BDF"/>
    <w:rsid w:val="00DD4821"/>
    <w:rsid w:val="00F77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83"/>
    <w:rPr>
      <w:sz w:val="24"/>
      <w:szCs w:val="24"/>
    </w:rPr>
  </w:style>
  <w:style w:type="paragraph" w:styleId="Heading1">
    <w:name w:val="heading 1"/>
    <w:basedOn w:val="Normal"/>
    <w:next w:val="Normal"/>
    <w:qFormat/>
    <w:rsid w:val="00F77D83"/>
    <w:pPr>
      <w:keepNext/>
      <w:ind w:right="-360"/>
      <w:outlineLvl w:val="0"/>
    </w:pPr>
    <w:rPr>
      <w:b/>
      <w:bCs/>
    </w:rPr>
  </w:style>
  <w:style w:type="paragraph" w:styleId="Heading2">
    <w:name w:val="heading 2"/>
    <w:basedOn w:val="Normal"/>
    <w:next w:val="Normal"/>
    <w:qFormat/>
    <w:rsid w:val="00F77D83"/>
    <w:pPr>
      <w:keepNext/>
      <w:jc w:val="center"/>
      <w:outlineLvl w:val="1"/>
    </w:pPr>
    <w:rPr>
      <w:b/>
      <w:bCs/>
    </w:rPr>
  </w:style>
  <w:style w:type="paragraph" w:styleId="Heading3">
    <w:name w:val="heading 3"/>
    <w:basedOn w:val="Normal"/>
    <w:next w:val="Normal"/>
    <w:qFormat/>
    <w:rsid w:val="00F77D83"/>
    <w:pPr>
      <w:keepNext/>
      <w:outlineLvl w:val="2"/>
    </w:pPr>
    <w:rPr>
      <w:b/>
      <w:bCs/>
    </w:rPr>
  </w:style>
  <w:style w:type="paragraph" w:styleId="Heading4">
    <w:name w:val="heading 4"/>
    <w:basedOn w:val="Normal"/>
    <w:next w:val="Normal"/>
    <w:qFormat/>
    <w:rsid w:val="00F77D83"/>
    <w:pPr>
      <w:keepNext/>
      <w:outlineLvl w:val="3"/>
    </w:pPr>
    <w:rPr>
      <w:b/>
      <w:bCs/>
      <w:u w:val="single"/>
    </w:rPr>
  </w:style>
  <w:style w:type="paragraph" w:styleId="Heading5">
    <w:name w:val="heading 5"/>
    <w:basedOn w:val="Normal"/>
    <w:next w:val="Normal"/>
    <w:qFormat/>
    <w:rsid w:val="00F77D83"/>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77D83"/>
    <w:pPr>
      <w:widowControl w:val="0"/>
      <w:tabs>
        <w:tab w:val="center" w:pos="4320"/>
        <w:tab w:val="right" w:pos="8640"/>
      </w:tabs>
    </w:pPr>
    <w:rPr>
      <w:snapToGrid w:val="0"/>
    </w:rPr>
  </w:style>
  <w:style w:type="paragraph" w:styleId="BodyText">
    <w:name w:val="Body Text"/>
    <w:basedOn w:val="Normal"/>
    <w:semiHidden/>
    <w:rsid w:val="00F77D83"/>
    <w:pPr>
      <w:widowControl w:val="0"/>
    </w:pPr>
    <w:rPr>
      <w:i/>
      <w:iCs/>
      <w:snapToGrid w:val="0"/>
      <w:sz w:val="20"/>
      <w:szCs w:val="20"/>
    </w:rPr>
  </w:style>
  <w:style w:type="paragraph" w:styleId="Footer">
    <w:name w:val="footer"/>
    <w:basedOn w:val="Normal"/>
    <w:semiHidden/>
    <w:rsid w:val="00F77D83"/>
    <w:pPr>
      <w:tabs>
        <w:tab w:val="center" w:pos="4320"/>
        <w:tab w:val="right" w:pos="8640"/>
      </w:tabs>
    </w:pPr>
  </w:style>
  <w:style w:type="character" w:styleId="PageNumber">
    <w:name w:val="page number"/>
    <w:basedOn w:val="DefaultParagraphFont"/>
    <w:semiHidden/>
    <w:rsid w:val="00F77D83"/>
  </w:style>
  <w:style w:type="paragraph" w:styleId="BodyTextIndent">
    <w:name w:val="Body Text Indent"/>
    <w:basedOn w:val="Normal"/>
    <w:semiHidden/>
    <w:rsid w:val="00F77D83"/>
    <w:pPr>
      <w:ind w:left="288"/>
    </w:pPr>
    <w:rPr>
      <w:sz w:val="20"/>
      <w:szCs w:val="20"/>
      <w:lang w:eastAsia="zh-CN"/>
    </w:rPr>
  </w:style>
  <w:style w:type="paragraph" w:styleId="BodyTextIndent3">
    <w:name w:val="Body Text Indent 3"/>
    <w:basedOn w:val="Normal"/>
    <w:semiHidden/>
    <w:rsid w:val="00F77D83"/>
    <w:pPr>
      <w:ind w:left="1440" w:hanging="720"/>
    </w:pPr>
    <w:rPr>
      <w:lang w:eastAsia="zh-CN"/>
    </w:rPr>
  </w:style>
  <w:style w:type="paragraph" w:styleId="NormalWeb">
    <w:name w:val="Normal (Web)"/>
    <w:basedOn w:val="Normal"/>
    <w:semiHidden/>
    <w:rsid w:val="00F77D83"/>
    <w:pPr>
      <w:spacing w:before="100" w:beforeAutospacing="1" w:after="100" w:afterAutospacing="1"/>
    </w:pPr>
    <w:rPr>
      <w:color w:val="000000"/>
    </w:rPr>
  </w:style>
  <w:style w:type="paragraph" w:styleId="BalloonText">
    <w:name w:val="Balloon Text"/>
    <w:basedOn w:val="Normal"/>
    <w:semiHidden/>
    <w:rsid w:val="00F77D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838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kathy.axt</cp:lastModifiedBy>
  <cp:revision>5</cp:revision>
  <cp:lastPrinted>2006-12-19T19:41:00Z</cp:lastPrinted>
  <dcterms:created xsi:type="dcterms:W3CDTF">2011-10-27T14:33:00Z</dcterms:created>
  <dcterms:modified xsi:type="dcterms:W3CDTF">2011-10-27T17:19:00Z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