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D6" w:rsidRDefault="007452D6">
      <w:pPr>
        <w:pStyle w:val="Heading2"/>
        <w:tabs>
          <w:tab w:val="left" w:pos="900"/>
        </w:tabs>
        <w:ind w:right="-180"/>
        <w:rPr>
          <w:sz w:val="28"/>
        </w:rPr>
      </w:pPr>
      <w:r>
        <w:rPr>
          <w:sz w:val="28"/>
        </w:rPr>
        <w:t>DOCUMENTATION FOR THE GENERIC CLEARANCE</w:t>
      </w:r>
    </w:p>
    <w:p w:rsidR="007452D6" w:rsidRDefault="007452D6">
      <w:pPr>
        <w:jc w:val="center"/>
      </w:pPr>
      <w:r>
        <w:rPr>
          <w:b/>
          <w:sz w:val="28"/>
        </w:rPr>
        <w:t xml:space="preserve">OF CUSTOMER SERVICE SATISFACTION COLLECTIONS </w:t>
      </w:r>
    </w:p>
    <w:p w:rsidR="007452D6" w:rsidRDefault="007452D6"/>
    <w:p w:rsidR="007452D6" w:rsidRDefault="008953D2">
      <w:r>
        <w:rPr>
          <w:noProof/>
        </w:rPr>
        <w:pict>
          <v:line id="_x0000_s1027" style="position:absolute;z-index:251657728" from="0,0" to="468pt,0" o:allowincell="f" strokeweight="1.5pt"/>
        </w:pict>
      </w:r>
    </w:p>
    <w:p w:rsidR="007452D6" w:rsidRDefault="007452D6">
      <w:pPr>
        <w:pStyle w:val="Heading1"/>
      </w:pPr>
      <w:r>
        <w:t xml:space="preserve">TITLE OF INFORMATION COLLECTION:  </w:t>
      </w:r>
    </w:p>
    <w:p w:rsidR="00A84FB8" w:rsidRDefault="00A84FB8">
      <w:r w:rsidRPr="00A84FB8">
        <w:t>2012 Focus Groups with High School Seniors and Their Parents, Guidance Counselors, and College and University Representatives, Consumer Information Disclosure Requirements</w:t>
      </w:r>
    </w:p>
    <w:p w:rsidR="007D6528" w:rsidRDefault="007D6528"/>
    <w:p w:rsidR="007452D6" w:rsidRDefault="007452D6">
      <w:pPr>
        <w:pStyle w:val="BodyTextIndent"/>
        <w:tabs>
          <w:tab w:val="left" w:pos="360"/>
        </w:tabs>
        <w:ind w:left="0"/>
        <w:rPr>
          <w:b/>
          <w:bCs/>
          <w:sz w:val="24"/>
          <w:u w:val="single"/>
        </w:rPr>
      </w:pPr>
      <w:r>
        <w:rPr>
          <w:b/>
          <w:bCs/>
          <w:sz w:val="24"/>
        </w:rPr>
        <w:t xml:space="preserve">[ ] </w:t>
      </w:r>
      <w:r>
        <w:rPr>
          <w:b/>
          <w:bCs/>
          <w:sz w:val="24"/>
          <w:u w:val="single"/>
        </w:rPr>
        <w:t>SURVEY</w:t>
      </w:r>
      <w:r>
        <w:rPr>
          <w:b/>
          <w:bCs/>
          <w:sz w:val="24"/>
        </w:rPr>
        <w:t xml:space="preserve"> </w:t>
      </w:r>
      <w:r>
        <w:rPr>
          <w:b/>
          <w:bCs/>
          <w:sz w:val="24"/>
        </w:rPr>
        <w:tab/>
        <w:t xml:space="preserve">  [</w:t>
      </w:r>
      <w:r w:rsidR="001A113D">
        <w:rPr>
          <w:b/>
          <w:bCs/>
          <w:sz w:val="24"/>
        </w:rPr>
        <w:t>X</w:t>
      </w:r>
      <w:r>
        <w:rPr>
          <w:b/>
          <w:bCs/>
          <w:sz w:val="24"/>
        </w:rPr>
        <w:t xml:space="preserve">]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7452D6" w:rsidRDefault="007452D6">
      <w:pPr>
        <w:rPr>
          <w:b/>
        </w:rPr>
      </w:pPr>
    </w:p>
    <w:p w:rsidR="007452D6" w:rsidRDefault="007452D6">
      <w:r>
        <w:rPr>
          <w:b/>
        </w:rPr>
        <w:t>DESCRIPTION OF THIS SPECIFIC COLLECTION</w:t>
      </w:r>
      <w:r>
        <w:t xml:space="preserve"> </w:t>
      </w:r>
    </w:p>
    <w:p w:rsidR="007452D6" w:rsidRDefault="007452D6">
      <w:pPr>
        <w:ind w:left="360"/>
      </w:pPr>
    </w:p>
    <w:p w:rsidR="007452D6" w:rsidRDefault="00A45C29" w:rsidP="00A45C29">
      <w:r w:rsidRPr="00FC7F54">
        <w:t xml:space="preserve">The Higher Education Act of 1965 (HEA), as amended by the Higher Education Opportunity Act of 2008 (HEOA), includes many disclosure and reporting requirements. The problems faced by consumers are the inaccessibility of information provided by institutions under the HEA and inconsistency in how the institutions provide the required disclosure information to consumers. NCES proposes to conduct four focus groups to learn </w:t>
      </w:r>
      <w:r w:rsidRPr="00431164">
        <w:rPr>
          <w:szCs w:val="22"/>
        </w:rPr>
        <w:t>how institutions currently collect, manage, and disseminate disclosure</w:t>
      </w:r>
      <w:r w:rsidRPr="00D17595">
        <w:rPr>
          <w:szCs w:val="22"/>
        </w:rPr>
        <w:t xml:space="preserve"> data and how consumers (i.e.</w:t>
      </w:r>
      <w:r>
        <w:rPr>
          <w:szCs w:val="22"/>
        </w:rPr>
        <w:t>,</w:t>
      </w:r>
      <w:r w:rsidRPr="00D17595">
        <w:rPr>
          <w:szCs w:val="22"/>
        </w:rPr>
        <w:t xml:space="preserve"> students, parents, and guidance counselors) access the data</w:t>
      </w:r>
      <w:r>
        <w:t xml:space="preserve">.  </w:t>
      </w:r>
      <w:r w:rsidRPr="00431164">
        <w:rPr>
          <w:szCs w:val="22"/>
        </w:rPr>
        <w:t xml:space="preserve">The results of these focus groups will be used by the National Postsecondary Education Cooperative (NPEC) </w:t>
      </w:r>
      <w:r w:rsidRPr="00431164">
        <w:rPr>
          <w:rFonts w:cs="Arial"/>
          <w:szCs w:val="22"/>
        </w:rPr>
        <w:t xml:space="preserve">to make suggestions to NCES and the Department about tools that could be developed to assist institutions in meeting statutory data disclosure requirements; enhance the quality, consistency, and usability of that data required to be disclosed; and possibly link the new Common Education Data Standards (CEDS) to data disclosure requirements in an effort to help </w:t>
      </w:r>
      <w:r>
        <w:rPr>
          <w:rFonts w:cs="Arial"/>
          <w:szCs w:val="22"/>
        </w:rPr>
        <w:t xml:space="preserve">to </w:t>
      </w:r>
      <w:r w:rsidRPr="00431164">
        <w:rPr>
          <w:rFonts w:cs="Arial"/>
          <w:szCs w:val="22"/>
        </w:rPr>
        <w:t xml:space="preserve">standardize them.  NPEC’s mission is to promote the quality, comparability, and utility of postsecondary data and information that support policy development at the federal, state, and institutional levels. </w:t>
      </w:r>
      <w:r w:rsidRPr="00431164">
        <w:rPr>
          <w:szCs w:val="22"/>
        </w:rPr>
        <w:t>Because data disclosure requirements and data reporting requirements overlap, such resources and information will also help institutions improve the quality of the data</w:t>
      </w:r>
      <w:r>
        <w:t xml:space="preserve"> they report to the Department</w:t>
      </w:r>
      <w:r w:rsidR="008669A3" w:rsidRPr="008669A3">
        <w:t>.</w:t>
      </w:r>
      <w:r w:rsidR="00D06BDF" w:rsidRPr="008669A3">
        <w:t xml:space="preserve">  </w:t>
      </w:r>
    </w:p>
    <w:p w:rsidR="00D06BDF" w:rsidRDefault="00D06BDF">
      <w:pPr>
        <w:pStyle w:val="Header"/>
        <w:tabs>
          <w:tab w:val="clear" w:pos="4320"/>
          <w:tab w:val="clear" w:pos="8640"/>
        </w:tabs>
      </w:pPr>
    </w:p>
    <w:p w:rsidR="007452D6" w:rsidRDefault="007452D6">
      <w:pPr>
        <w:rPr>
          <w:b/>
        </w:rPr>
      </w:pPr>
      <w:r>
        <w:rPr>
          <w:b/>
        </w:rPr>
        <w:t>AMOUNT OF ANY PROPOSED STIPEND OR INCENTIVE</w:t>
      </w:r>
    </w:p>
    <w:p w:rsidR="00182F7F" w:rsidRPr="00182F7F" w:rsidRDefault="00F32F61">
      <w:r w:rsidRPr="00F32F61">
        <w:t>To thank the respondents for their travel to the focus group facility, time, and effort, the four participating students and their parents will receive $100 per pair, and the guidance counselors,  and institutional representatives from under-resourced schools, who are often more difficult to recruit due to their schedules, will receive $75.</w:t>
      </w:r>
    </w:p>
    <w:p w:rsidR="007452D6" w:rsidRDefault="007452D6"/>
    <w:p w:rsidR="007452D6" w:rsidRDefault="007452D6">
      <w:pPr>
        <w:rPr>
          <w:i/>
        </w:rPr>
      </w:pPr>
      <w:r>
        <w:rPr>
          <w:b/>
        </w:rPr>
        <w:t>BURDEN HOUR COMPUTATION</w:t>
      </w:r>
      <w:r>
        <w:t xml:space="preserve"> </w:t>
      </w:r>
      <w:r>
        <w:rPr>
          <w:i/>
        </w:rPr>
        <w:t>(Number of responses (X) estimated response or participation time in minutes (/60) = annual burden hours):</w:t>
      </w:r>
    </w:p>
    <w:p w:rsidR="007452D6" w:rsidRDefault="007452D6">
      <w:pPr>
        <w:keepNext/>
        <w:keepLines/>
        <w:rPr>
          <w:b/>
        </w:rPr>
      </w:pPr>
    </w:p>
    <w:tbl>
      <w:tblPr>
        <w:tblStyle w:val="TableGrid"/>
        <w:tblW w:w="0" w:type="auto"/>
        <w:tblLook w:val="04A0"/>
      </w:tblPr>
      <w:tblGrid>
        <w:gridCol w:w="1915"/>
        <w:gridCol w:w="1915"/>
        <w:gridCol w:w="1915"/>
        <w:gridCol w:w="1915"/>
        <w:gridCol w:w="1916"/>
      </w:tblGrid>
      <w:tr w:rsidR="0095546E" w:rsidRPr="009728BD" w:rsidTr="00EC124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Response Type</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 Respondents</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 Responses</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Burden Minutes per Respondent</w:t>
            </w:r>
          </w:p>
        </w:tc>
        <w:tc>
          <w:tcPr>
            <w:tcW w:w="1916"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Total Burden Hours</w:t>
            </w:r>
          </w:p>
        </w:tc>
      </w:tr>
      <w:tr w:rsidR="0095546E" w:rsidRPr="009728BD" w:rsidTr="00EC124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Screener</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70</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70</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8</w:t>
            </w:r>
          </w:p>
        </w:tc>
        <w:tc>
          <w:tcPr>
            <w:tcW w:w="1916"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 xml:space="preserve">  10</w:t>
            </w:r>
          </w:p>
        </w:tc>
      </w:tr>
      <w:tr w:rsidR="0095546E" w:rsidRPr="009728BD" w:rsidTr="00EC124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Focus Group</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35</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35</w:t>
            </w:r>
          </w:p>
        </w:tc>
        <w:tc>
          <w:tcPr>
            <w:tcW w:w="1915"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90</w:t>
            </w:r>
          </w:p>
        </w:tc>
        <w:tc>
          <w:tcPr>
            <w:tcW w:w="1916" w:type="dxa"/>
            <w:vAlign w:val="center"/>
          </w:tcPr>
          <w:p w:rsidR="0095546E" w:rsidRPr="0095546E" w:rsidRDefault="0095546E" w:rsidP="00EC124C">
            <w:pPr>
              <w:pStyle w:val="bodytextpsg"/>
              <w:spacing w:after="0" w:line="240" w:lineRule="auto"/>
              <w:ind w:firstLine="0"/>
              <w:jc w:val="center"/>
              <w:rPr>
                <w:sz w:val="24"/>
                <w:szCs w:val="24"/>
              </w:rPr>
            </w:pPr>
            <w:r w:rsidRPr="0095546E">
              <w:rPr>
                <w:sz w:val="24"/>
                <w:szCs w:val="24"/>
              </w:rPr>
              <w:t>53</w:t>
            </w:r>
          </w:p>
        </w:tc>
      </w:tr>
      <w:tr w:rsidR="0095546E" w:rsidRPr="009728BD" w:rsidTr="00EC124C">
        <w:tc>
          <w:tcPr>
            <w:tcW w:w="1915" w:type="dxa"/>
            <w:vAlign w:val="center"/>
          </w:tcPr>
          <w:p w:rsidR="0095546E" w:rsidRPr="0095546E" w:rsidRDefault="0095546E" w:rsidP="00EC124C">
            <w:pPr>
              <w:pStyle w:val="bodytextpsg"/>
              <w:spacing w:after="0" w:line="240" w:lineRule="auto"/>
              <w:ind w:firstLine="0"/>
              <w:jc w:val="center"/>
              <w:rPr>
                <w:b/>
                <w:sz w:val="24"/>
                <w:szCs w:val="24"/>
              </w:rPr>
            </w:pP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p>
        </w:tc>
        <w:tc>
          <w:tcPr>
            <w:tcW w:w="1916" w:type="dxa"/>
            <w:vAlign w:val="center"/>
          </w:tcPr>
          <w:p w:rsidR="0095546E" w:rsidRPr="0095546E" w:rsidRDefault="0095546E" w:rsidP="00EC124C">
            <w:pPr>
              <w:pStyle w:val="bodytextpsg"/>
              <w:spacing w:after="0" w:line="240" w:lineRule="auto"/>
              <w:ind w:firstLine="0"/>
              <w:jc w:val="center"/>
              <w:rPr>
                <w:b/>
                <w:sz w:val="24"/>
                <w:szCs w:val="24"/>
              </w:rPr>
            </w:pPr>
          </w:p>
        </w:tc>
      </w:tr>
      <w:tr w:rsidR="0095546E" w:rsidRPr="009728BD" w:rsidTr="00EC124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Total</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70</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105</w:t>
            </w:r>
          </w:p>
        </w:tc>
        <w:tc>
          <w:tcPr>
            <w:tcW w:w="1915"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w:t>
            </w:r>
          </w:p>
        </w:tc>
        <w:tc>
          <w:tcPr>
            <w:tcW w:w="1916" w:type="dxa"/>
            <w:vAlign w:val="center"/>
          </w:tcPr>
          <w:p w:rsidR="0095546E" w:rsidRPr="0095546E" w:rsidRDefault="0095546E" w:rsidP="00EC124C">
            <w:pPr>
              <w:pStyle w:val="bodytextpsg"/>
              <w:spacing w:after="0" w:line="240" w:lineRule="auto"/>
              <w:ind w:firstLine="0"/>
              <w:jc w:val="center"/>
              <w:rPr>
                <w:b/>
                <w:sz w:val="24"/>
                <w:szCs w:val="24"/>
              </w:rPr>
            </w:pPr>
            <w:r w:rsidRPr="0095546E">
              <w:rPr>
                <w:b/>
                <w:sz w:val="24"/>
                <w:szCs w:val="24"/>
              </w:rPr>
              <w:t>63</w:t>
            </w:r>
          </w:p>
        </w:tc>
      </w:tr>
    </w:tbl>
    <w:p w:rsidR="007452D6" w:rsidRDefault="007452D6">
      <w:pPr>
        <w:rPr>
          <w:b/>
        </w:rPr>
      </w:pPr>
    </w:p>
    <w:p w:rsidR="006546C1" w:rsidRPr="00D56304" w:rsidRDefault="006546C1" w:rsidP="006546C1">
      <w:r>
        <w:rPr>
          <w:b/>
        </w:rPr>
        <w:t xml:space="preserve">FEDERAL COST:  </w:t>
      </w:r>
      <w:r>
        <w:t>The estimated annual cost to the Federal government is $</w:t>
      </w:r>
      <w:r w:rsidR="00D56304" w:rsidRPr="00D56304">
        <w:t>155,881</w:t>
      </w:r>
      <w:r>
        <w:t>.</w:t>
      </w:r>
    </w:p>
    <w:p w:rsidR="007452D6" w:rsidRDefault="007452D6">
      <w:pPr>
        <w:pStyle w:val="BodyTextIndent"/>
        <w:tabs>
          <w:tab w:val="left" w:pos="360"/>
        </w:tabs>
        <w:ind w:left="0"/>
        <w:rPr>
          <w:b/>
          <w:bCs/>
          <w:sz w:val="24"/>
          <w:u w:val="single"/>
        </w:rPr>
      </w:pPr>
    </w:p>
    <w:p w:rsidR="00A45C29" w:rsidRDefault="00A45C29">
      <w:pPr>
        <w:rPr>
          <w:b/>
          <w:bCs/>
          <w:szCs w:val="20"/>
          <w:u w:val="single"/>
          <w:lang w:eastAsia="zh-CN"/>
        </w:rPr>
      </w:pPr>
      <w:r>
        <w:rPr>
          <w:b/>
          <w:bCs/>
          <w:u w:val="single"/>
        </w:rPr>
        <w:br w:type="page"/>
      </w:r>
    </w:p>
    <w:p w:rsidR="007452D6" w:rsidRDefault="007452D6">
      <w:pPr>
        <w:pStyle w:val="BodyTextIndent"/>
        <w:tabs>
          <w:tab w:val="left" w:pos="360"/>
        </w:tabs>
        <w:ind w:left="0"/>
        <w:rPr>
          <w:b/>
          <w:bCs/>
          <w:sz w:val="24"/>
        </w:rPr>
      </w:pPr>
      <w:r>
        <w:rPr>
          <w:b/>
          <w:bCs/>
          <w:sz w:val="24"/>
          <w:u w:val="single"/>
        </w:rPr>
        <w:lastRenderedPageBreak/>
        <w:t>STATISTICAL INFORMATION</w:t>
      </w:r>
      <w:r>
        <w:rPr>
          <w:b/>
          <w:bCs/>
          <w:sz w:val="24"/>
        </w:rPr>
        <w:t xml:space="preserve"> </w:t>
      </w:r>
    </w:p>
    <w:p w:rsidR="007452D6" w:rsidRDefault="007452D6">
      <w:pPr>
        <w:pStyle w:val="BodyTextIndent"/>
        <w:tabs>
          <w:tab w:val="left" w:pos="360"/>
        </w:tabs>
        <w:ind w:left="0"/>
        <w:rPr>
          <w:rFonts w:ascii="Arial" w:hAnsi="Arial" w:cs="Arial"/>
          <w:color w:val="000080"/>
          <w:lang w:eastAsia="en-US"/>
        </w:rPr>
      </w:pPr>
    </w:p>
    <w:p w:rsidR="0055548C" w:rsidRDefault="0055548C" w:rsidP="0055548C">
      <w:r w:rsidRPr="0055548C">
        <w:t>The focus groups to be held in Philadelphia, PA, will be held with representatives from 2-year and 4-year postsecondary institutions in the Philadelph</w:t>
      </w:r>
      <w:r>
        <w:t>ia area (focus groups 1 and 2).</w:t>
      </w:r>
    </w:p>
    <w:p w:rsidR="0055548C" w:rsidRPr="0055548C" w:rsidRDefault="0055548C" w:rsidP="0055548C"/>
    <w:p w:rsidR="0055548C" w:rsidRDefault="0055548C" w:rsidP="0055548C">
      <w:r w:rsidRPr="0055548C">
        <w:t>The focus groups to be held in Bethesda, MD, will be held with high school seniors and one of their parents for a total of 4 student/parent pairs (focus group 3) and with high school guidan</w:t>
      </w:r>
      <w:r>
        <w:t>ce counselors (focus group 4).</w:t>
      </w:r>
    </w:p>
    <w:p w:rsidR="007452D6" w:rsidRDefault="007452D6"/>
    <w:p w:rsidR="007452D6" w:rsidRDefault="007452D6">
      <w:pPr>
        <w:rPr>
          <w:b/>
        </w:rPr>
      </w:pPr>
      <w:r>
        <w:rPr>
          <w:b/>
        </w:rPr>
        <w:t>REQUESTED APPROVAL DATE:</w:t>
      </w:r>
      <w:r>
        <w:rPr>
          <w:b/>
        </w:rPr>
        <w:tab/>
      </w:r>
      <w:r w:rsidR="00EF1DCF">
        <w:rPr>
          <w:b/>
        </w:rPr>
        <w:t>January</w:t>
      </w:r>
      <w:r w:rsidR="00182F7F">
        <w:rPr>
          <w:b/>
        </w:rPr>
        <w:t xml:space="preserve"> </w:t>
      </w:r>
      <w:r w:rsidR="00EF1DCF">
        <w:rPr>
          <w:b/>
        </w:rPr>
        <w:t>2</w:t>
      </w:r>
      <w:r w:rsidR="00182F7F">
        <w:rPr>
          <w:b/>
        </w:rPr>
        <w:t>1, 2011</w:t>
      </w:r>
    </w:p>
    <w:p w:rsidR="007452D6" w:rsidRDefault="007452D6">
      <w:pPr>
        <w:rPr>
          <w:b/>
        </w:rPr>
      </w:pPr>
    </w:p>
    <w:p w:rsidR="007452D6" w:rsidRDefault="007452D6">
      <w:pPr>
        <w:rPr>
          <w:bCs/>
        </w:rPr>
      </w:pPr>
      <w:r>
        <w:rPr>
          <w:b/>
        </w:rPr>
        <w:t xml:space="preserve">NAME OF CONTACT PERSON:  </w:t>
      </w:r>
      <w:r w:rsidR="00182F7F">
        <w:rPr>
          <w:b/>
        </w:rPr>
        <w:t>Kashka Kub</w:t>
      </w:r>
      <w:r w:rsidR="00A42C28">
        <w:rPr>
          <w:b/>
        </w:rPr>
        <w:t>z</w:t>
      </w:r>
      <w:r w:rsidR="00182F7F">
        <w:rPr>
          <w:b/>
        </w:rPr>
        <w:t>d</w:t>
      </w:r>
      <w:r w:rsidR="00A42C28">
        <w:rPr>
          <w:b/>
        </w:rPr>
        <w:t>ela</w:t>
      </w:r>
    </w:p>
    <w:p w:rsidR="007452D6" w:rsidRDefault="007452D6"/>
    <w:p w:rsidR="007452D6" w:rsidRDefault="007452D6">
      <w:pPr>
        <w:rPr>
          <w:b/>
        </w:rPr>
      </w:pPr>
      <w:r>
        <w:rPr>
          <w:b/>
        </w:rPr>
        <w:t>TELEPHONE NUMBER:</w:t>
      </w:r>
      <w:r>
        <w:rPr>
          <w:b/>
        </w:rPr>
        <w:tab/>
      </w:r>
      <w:r w:rsidR="00A42C28">
        <w:rPr>
          <w:b/>
        </w:rPr>
        <w:t>202-502-7411</w:t>
      </w:r>
    </w:p>
    <w:p w:rsidR="007452D6" w:rsidRDefault="007452D6">
      <w:pPr>
        <w:ind w:left="2160" w:firstLine="720"/>
      </w:pPr>
    </w:p>
    <w:p w:rsidR="007452D6" w:rsidRPr="00F32F61" w:rsidRDefault="007452D6">
      <w:pPr>
        <w:tabs>
          <w:tab w:val="left" w:pos="5670"/>
        </w:tabs>
        <w:suppressAutoHyphens/>
        <w:rPr>
          <w:b/>
        </w:rPr>
      </w:pPr>
      <w:r>
        <w:rPr>
          <w:b/>
        </w:rPr>
        <w:t>ED DEPARTMENT, OFFICE:</w:t>
      </w:r>
      <w:r w:rsidR="00A42C28">
        <w:rPr>
          <w:b/>
        </w:rPr>
        <w:t xml:space="preserve"> NCES</w:t>
      </w:r>
      <w:r>
        <w:t xml:space="preserve"> </w:t>
      </w:r>
    </w:p>
    <w:sectPr w:rsidR="007452D6" w:rsidRPr="00F32F61" w:rsidSect="00A45C29">
      <w:foot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2D6" w:rsidRDefault="007452D6">
      <w:r>
        <w:separator/>
      </w:r>
    </w:p>
  </w:endnote>
  <w:endnote w:type="continuationSeparator" w:id="0">
    <w:p w:rsidR="007452D6" w:rsidRDefault="00745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D6" w:rsidRDefault="008953D2">
    <w:pPr>
      <w:pStyle w:val="Footer"/>
      <w:tabs>
        <w:tab w:val="clear" w:pos="8640"/>
        <w:tab w:val="right" w:pos="9000"/>
      </w:tabs>
      <w:jc w:val="center"/>
      <w:rPr>
        <w:iCs/>
        <w:sz w:val="20"/>
        <w:szCs w:val="20"/>
      </w:rPr>
    </w:pPr>
    <w:r>
      <w:rPr>
        <w:rStyle w:val="PageNumber"/>
        <w:sz w:val="20"/>
        <w:szCs w:val="20"/>
      </w:rPr>
      <w:fldChar w:fldCharType="begin"/>
    </w:r>
    <w:r w:rsidR="007452D6">
      <w:rPr>
        <w:rStyle w:val="PageNumber"/>
        <w:sz w:val="20"/>
        <w:szCs w:val="20"/>
      </w:rPr>
      <w:instrText xml:space="preserve"> PAGE </w:instrText>
    </w:r>
    <w:r>
      <w:rPr>
        <w:rStyle w:val="PageNumber"/>
        <w:sz w:val="20"/>
        <w:szCs w:val="20"/>
      </w:rPr>
      <w:fldChar w:fldCharType="separate"/>
    </w:r>
    <w:r w:rsidR="00C11287">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2D6" w:rsidRDefault="007452D6">
      <w:r>
        <w:separator/>
      </w:r>
    </w:p>
  </w:footnote>
  <w:footnote w:type="continuationSeparator" w:id="0">
    <w:p w:rsidR="007452D6" w:rsidRDefault="00745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3"/>
  </w:num>
  <w:num w:numId="6">
    <w:abstractNumId w:val="1"/>
  </w:num>
  <w:num w:numId="7">
    <w:abstractNumId w:val="6"/>
  </w:num>
  <w:num w:numId="8">
    <w:abstractNumId w:val="9"/>
  </w:num>
  <w:num w:numId="9">
    <w:abstractNumId w:val="7"/>
  </w:num>
  <w:num w:numId="10">
    <w:abstractNumId w:val="2"/>
  </w:num>
  <w:num w:numId="11">
    <w:abstractNumId w:val="4"/>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32DE7"/>
    <w:rsid w:val="00032DE7"/>
    <w:rsid w:val="00156DB5"/>
    <w:rsid w:val="00182F7F"/>
    <w:rsid w:val="001A113D"/>
    <w:rsid w:val="002A64B5"/>
    <w:rsid w:val="0031262E"/>
    <w:rsid w:val="00484163"/>
    <w:rsid w:val="0055548C"/>
    <w:rsid w:val="00561B00"/>
    <w:rsid w:val="006546C1"/>
    <w:rsid w:val="007452D6"/>
    <w:rsid w:val="007D6528"/>
    <w:rsid w:val="008669A3"/>
    <w:rsid w:val="008953D2"/>
    <w:rsid w:val="008A5DA5"/>
    <w:rsid w:val="0095546E"/>
    <w:rsid w:val="00A42C28"/>
    <w:rsid w:val="00A45C29"/>
    <w:rsid w:val="00A84FB8"/>
    <w:rsid w:val="00C11287"/>
    <w:rsid w:val="00C54EF3"/>
    <w:rsid w:val="00D06BDF"/>
    <w:rsid w:val="00D56304"/>
    <w:rsid w:val="00DD4821"/>
    <w:rsid w:val="00EF1DCF"/>
    <w:rsid w:val="00F32F61"/>
    <w:rsid w:val="00F77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83"/>
    <w:rPr>
      <w:sz w:val="24"/>
      <w:szCs w:val="24"/>
    </w:rPr>
  </w:style>
  <w:style w:type="paragraph" w:styleId="Heading1">
    <w:name w:val="heading 1"/>
    <w:basedOn w:val="Normal"/>
    <w:next w:val="Normal"/>
    <w:qFormat/>
    <w:rsid w:val="00F77D83"/>
    <w:pPr>
      <w:keepNext/>
      <w:ind w:right="-360"/>
      <w:outlineLvl w:val="0"/>
    </w:pPr>
    <w:rPr>
      <w:b/>
      <w:bCs/>
    </w:rPr>
  </w:style>
  <w:style w:type="paragraph" w:styleId="Heading2">
    <w:name w:val="heading 2"/>
    <w:basedOn w:val="Normal"/>
    <w:next w:val="Normal"/>
    <w:qFormat/>
    <w:rsid w:val="00F77D83"/>
    <w:pPr>
      <w:keepNext/>
      <w:jc w:val="center"/>
      <w:outlineLvl w:val="1"/>
    </w:pPr>
    <w:rPr>
      <w:b/>
      <w:bCs/>
    </w:rPr>
  </w:style>
  <w:style w:type="paragraph" w:styleId="Heading3">
    <w:name w:val="heading 3"/>
    <w:basedOn w:val="Normal"/>
    <w:next w:val="Normal"/>
    <w:qFormat/>
    <w:rsid w:val="00F77D83"/>
    <w:pPr>
      <w:keepNext/>
      <w:outlineLvl w:val="2"/>
    </w:pPr>
    <w:rPr>
      <w:b/>
      <w:bCs/>
    </w:rPr>
  </w:style>
  <w:style w:type="paragraph" w:styleId="Heading4">
    <w:name w:val="heading 4"/>
    <w:basedOn w:val="Normal"/>
    <w:next w:val="Normal"/>
    <w:qFormat/>
    <w:rsid w:val="00F77D83"/>
    <w:pPr>
      <w:keepNext/>
      <w:outlineLvl w:val="3"/>
    </w:pPr>
    <w:rPr>
      <w:b/>
      <w:bCs/>
      <w:u w:val="single"/>
    </w:rPr>
  </w:style>
  <w:style w:type="paragraph" w:styleId="Heading5">
    <w:name w:val="heading 5"/>
    <w:basedOn w:val="Normal"/>
    <w:next w:val="Normal"/>
    <w:qFormat/>
    <w:rsid w:val="00F77D83"/>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77D83"/>
    <w:pPr>
      <w:widowControl w:val="0"/>
      <w:tabs>
        <w:tab w:val="center" w:pos="4320"/>
        <w:tab w:val="right" w:pos="8640"/>
      </w:tabs>
    </w:pPr>
    <w:rPr>
      <w:snapToGrid w:val="0"/>
    </w:rPr>
  </w:style>
  <w:style w:type="paragraph" w:styleId="BodyText">
    <w:name w:val="Body Text"/>
    <w:basedOn w:val="Normal"/>
    <w:semiHidden/>
    <w:rsid w:val="00F77D83"/>
    <w:pPr>
      <w:widowControl w:val="0"/>
    </w:pPr>
    <w:rPr>
      <w:i/>
      <w:iCs/>
      <w:snapToGrid w:val="0"/>
      <w:sz w:val="20"/>
      <w:szCs w:val="20"/>
    </w:rPr>
  </w:style>
  <w:style w:type="paragraph" w:styleId="Footer">
    <w:name w:val="footer"/>
    <w:basedOn w:val="Normal"/>
    <w:semiHidden/>
    <w:rsid w:val="00F77D83"/>
    <w:pPr>
      <w:tabs>
        <w:tab w:val="center" w:pos="4320"/>
        <w:tab w:val="right" w:pos="8640"/>
      </w:tabs>
    </w:pPr>
  </w:style>
  <w:style w:type="character" w:styleId="PageNumber">
    <w:name w:val="page number"/>
    <w:basedOn w:val="DefaultParagraphFont"/>
    <w:semiHidden/>
    <w:rsid w:val="00F77D83"/>
  </w:style>
  <w:style w:type="paragraph" w:styleId="BodyTextIndent">
    <w:name w:val="Body Text Indent"/>
    <w:basedOn w:val="Normal"/>
    <w:semiHidden/>
    <w:rsid w:val="00F77D83"/>
    <w:pPr>
      <w:ind w:left="288"/>
    </w:pPr>
    <w:rPr>
      <w:sz w:val="20"/>
      <w:szCs w:val="20"/>
      <w:lang w:eastAsia="zh-CN"/>
    </w:rPr>
  </w:style>
  <w:style w:type="paragraph" w:styleId="BodyTextIndent3">
    <w:name w:val="Body Text Indent 3"/>
    <w:basedOn w:val="Normal"/>
    <w:semiHidden/>
    <w:rsid w:val="00F77D83"/>
    <w:pPr>
      <w:ind w:left="1440" w:hanging="720"/>
    </w:pPr>
    <w:rPr>
      <w:lang w:eastAsia="zh-CN"/>
    </w:rPr>
  </w:style>
  <w:style w:type="paragraph" w:styleId="NormalWeb">
    <w:name w:val="Normal (Web)"/>
    <w:basedOn w:val="Normal"/>
    <w:semiHidden/>
    <w:rsid w:val="00F77D83"/>
    <w:pPr>
      <w:spacing w:before="100" w:beforeAutospacing="1" w:after="100" w:afterAutospacing="1"/>
    </w:pPr>
    <w:rPr>
      <w:color w:val="000000"/>
    </w:rPr>
  </w:style>
  <w:style w:type="paragraph" w:styleId="BalloonText">
    <w:name w:val="Balloon Text"/>
    <w:basedOn w:val="Normal"/>
    <w:semiHidden/>
    <w:rsid w:val="00F77D83"/>
    <w:rPr>
      <w:rFonts w:ascii="Tahoma" w:hAnsi="Tahoma" w:cs="Tahoma"/>
      <w:sz w:val="16"/>
      <w:szCs w:val="16"/>
    </w:rPr>
  </w:style>
  <w:style w:type="paragraph" w:customStyle="1" w:styleId="BodyText1">
    <w:name w:val="Body Text1"/>
    <w:basedOn w:val="Normal"/>
    <w:uiPriority w:val="99"/>
    <w:rsid w:val="008669A3"/>
    <w:pPr>
      <w:spacing w:after="120" w:line="360" w:lineRule="auto"/>
      <w:ind w:firstLine="720"/>
    </w:pPr>
    <w:rPr>
      <w:szCs w:val="20"/>
    </w:rPr>
  </w:style>
  <w:style w:type="paragraph" w:customStyle="1" w:styleId="bodytextpsg">
    <w:name w:val="body text_psg"/>
    <w:basedOn w:val="Normal"/>
    <w:link w:val="bodytextpsgChar"/>
    <w:uiPriority w:val="99"/>
    <w:rsid w:val="0095546E"/>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95546E"/>
    <w:rPr>
      <w:sz w:val="22"/>
      <w:szCs w:val="22"/>
    </w:rPr>
  </w:style>
  <w:style w:type="table" w:styleId="TableGrid">
    <w:name w:val="Table Grid"/>
    <w:basedOn w:val="TableNormal"/>
    <w:uiPriority w:val="59"/>
    <w:rsid w:val="00955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83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kathy.axt</cp:lastModifiedBy>
  <cp:revision>2</cp:revision>
  <cp:lastPrinted>2006-12-19T19:41:00Z</cp:lastPrinted>
  <dcterms:created xsi:type="dcterms:W3CDTF">2012-01-17T14:08:00Z</dcterms:created>
  <dcterms:modified xsi:type="dcterms:W3CDTF">2012-01-17T14:08:00Z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