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7A" w:rsidRDefault="003F1C7A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3F1C7A" w:rsidRDefault="003F1C7A">
      <w:pPr>
        <w:jc w:val="center"/>
      </w:pPr>
      <w:r>
        <w:rPr>
          <w:b/>
          <w:sz w:val="28"/>
        </w:rPr>
        <w:t xml:space="preserve">OF CUSTOMER SERVICE SATISFACTION COLLECTIONS </w:t>
      </w:r>
    </w:p>
    <w:p w:rsidR="003F1C7A" w:rsidRDefault="003F1C7A"/>
    <w:p w:rsidR="003F1C7A" w:rsidRDefault="005315D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3F1C7A" w:rsidRDefault="003F1C7A">
      <w:pPr>
        <w:spacing w:before="120"/>
        <w:rPr>
          <w:bCs/>
        </w:rPr>
      </w:pPr>
      <w:r>
        <w:rPr>
          <w:b/>
        </w:rPr>
        <w:t>TITLE OF INFORMATION COLLECTION:</w:t>
      </w:r>
      <w:r>
        <w:t xml:space="preserve">  </w:t>
      </w:r>
    </w:p>
    <w:p w:rsidR="003F1C7A" w:rsidRDefault="003F1C7A"/>
    <w:p w:rsidR="003F1C7A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  <w:u w:val="single"/>
        </w:rPr>
      </w:pPr>
      <w:r>
        <w:rPr>
          <w:b/>
          <w:bCs/>
          <w:sz w:val="24"/>
        </w:rPr>
        <w:t xml:space="preserve">[] </w:t>
      </w:r>
      <w:r>
        <w:rPr>
          <w:b/>
          <w:bCs/>
          <w:sz w:val="24"/>
          <w:u w:val="single"/>
        </w:rPr>
        <w:t>SURVEY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ab/>
        <w:t xml:space="preserve">  [ ] </w:t>
      </w:r>
      <w:r>
        <w:rPr>
          <w:b/>
          <w:bCs/>
          <w:sz w:val="24"/>
          <w:u w:val="single"/>
        </w:rPr>
        <w:t>FOCUS GROUP</w:t>
      </w:r>
      <w:r>
        <w:rPr>
          <w:b/>
          <w:bCs/>
          <w:sz w:val="24"/>
        </w:rPr>
        <w:t xml:space="preserve">      [ ] </w:t>
      </w:r>
      <w:r>
        <w:rPr>
          <w:b/>
          <w:bCs/>
          <w:sz w:val="24"/>
          <w:u w:val="single"/>
        </w:rPr>
        <w:t>SOFTWARE USABILITY TESTING</w:t>
      </w:r>
      <w:r>
        <w:rPr>
          <w:b/>
          <w:bCs/>
          <w:sz w:val="24"/>
        </w:rPr>
        <w:t xml:space="preserve">   </w:t>
      </w:r>
    </w:p>
    <w:p w:rsidR="003F1C7A" w:rsidRDefault="003F1C7A">
      <w:pPr>
        <w:rPr>
          <w:b/>
        </w:rPr>
      </w:pPr>
    </w:p>
    <w:p w:rsidR="003F1C7A" w:rsidRDefault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AB4FD9" w:rsidRDefault="00AB4FD9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>Intended purpose:</w:t>
      </w:r>
      <w:r>
        <w:t xml:space="preserve">  </w:t>
      </w:r>
      <w:r w:rsidRPr="007F230D">
        <w:t xml:space="preserve">Assess </w:t>
      </w:r>
      <w:r>
        <w:rPr>
          <w:bCs/>
        </w:rPr>
        <w:t>t</w:t>
      </w:r>
      <w:r w:rsidRPr="000115EB">
        <w:rPr>
          <w:bCs/>
        </w:rPr>
        <w:t xml:space="preserve">he </w:t>
      </w:r>
      <w:r w:rsidR="00174C30">
        <w:t>MSIX usage</w:t>
      </w:r>
      <w:r w:rsidR="00C4224C">
        <w:t xml:space="preserve">, MSIX </w:t>
      </w:r>
      <w:proofErr w:type="gramStart"/>
      <w:r w:rsidR="00C4224C">
        <w:t>Training,</w:t>
      </w:r>
      <w:proofErr w:type="gramEnd"/>
      <w:r w:rsidR="00C4224C">
        <w:t xml:space="preserve"> MSIX and REACTS help desk effectiveness and Communications quality and frequency</w:t>
      </w:r>
      <w:r w:rsidR="00174C30">
        <w:t xml:space="preserve"> in each State from the </w:t>
      </w:r>
      <w:r w:rsidR="00C4224C">
        <w:t>MSIX user</w:t>
      </w:r>
      <w:r w:rsidR="00174C30">
        <w:t xml:space="preserve"> perspective</w:t>
      </w:r>
      <w:r>
        <w:t>.</w:t>
      </w:r>
      <w:r w:rsidR="00174C30">
        <w:t xml:space="preserve"> The form is a</w:t>
      </w:r>
      <w:r w:rsidR="00F25F5C">
        <w:t>n</w:t>
      </w:r>
      <w:r w:rsidR="00174C30">
        <w:t xml:space="preserve"> opportunity for each </w:t>
      </w:r>
      <w:r w:rsidR="00C4224C">
        <w:t>MSIX user</w:t>
      </w:r>
      <w:r w:rsidR="00174C30">
        <w:t xml:space="preserve"> to assess the extent of </w:t>
      </w:r>
      <w:r w:rsidR="00C4224C">
        <w:t xml:space="preserve">knowledge, </w:t>
      </w:r>
      <w:r w:rsidR="00174C30">
        <w:t xml:space="preserve">usage and implementation of the MSIX system in their areas. </w:t>
      </w:r>
    </w:p>
    <w:p w:rsidR="00AB4FD9" w:rsidRDefault="00AB4FD9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>Need for the collection:</w:t>
      </w:r>
      <w:r>
        <w:t xml:space="preserve">  </w:t>
      </w:r>
      <w:r w:rsidR="00C4224C">
        <w:t>MSIX and REACTS are</w:t>
      </w:r>
      <w:r>
        <w:t xml:space="preserve"> Major IT Investmen</w:t>
      </w:r>
      <w:r w:rsidR="004C2F9D">
        <w:t>t</w:t>
      </w:r>
      <w:r w:rsidR="00C4224C">
        <w:t>s</w:t>
      </w:r>
      <w:r w:rsidR="004C2F9D">
        <w:t xml:space="preserve"> and </w:t>
      </w:r>
      <w:r w:rsidR="00C4224C">
        <w:t>are</w:t>
      </w:r>
      <w:r w:rsidR="004C2F9D">
        <w:t xml:space="preserve"> required to perform analysis of overall usage based on feedback from users of the system</w:t>
      </w:r>
      <w:r>
        <w:t xml:space="preserve">.  As part of this </w:t>
      </w:r>
      <w:r w:rsidR="004C2F9D">
        <w:t>research and analysis</w:t>
      </w:r>
      <w:r>
        <w:t xml:space="preserve">, the </w:t>
      </w:r>
      <w:r w:rsidR="00C4224C">
        <w:t xml:space="preserve">MSIX and </w:t>
      </w:r>
      <w:r>
        <w:t>REAC</w:t>
      </w:r>
      <w:r w:rsidR="00C4224C">
        <w:t>TS contractors,</w:t>
      </w:r>
      <w:r w:rsidR="00174C30">
        <w:t xml:space="preserve"> </w:t>
      </w:r>
      <w:r w:rsidR="00C4224C">
        <w:t>are</w:t>
      </w:r>
      <w:r w:rsidR="00174C30">
        <w:t xml:space="preserve"> required to promote penetration of usage of MSIX and REACTs in each state and monitor progress of the implementation and help move each state further along in the process</w:t>
      </w:r>
      <w:r>
        <w:t>.</w:t>
      </w:r>
    </w:p>
    <w:p w:rsidR="00AB4FD9" w:rsidRDefault="00AB4FD9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>Planned use of the data:</w:t>
      </w:r>
      <w:r>
        <w:t xml:space="preserve"> The contractor will collect and collate the data</w:t>
      </w:r>
      <w:r w:rsidRPr="007F230D">
        <w:t xml:space="preserve"> and include</w:t>
      </w:r>
      <w:r>
        <w:t xml:space="preserve"> it</w:t>
      </w:r>
      <w:r w:rsidR="004C2F9D">
        <w:t xml:space="preserve"> in the System Usage Research and </w:t>
      </w:r>
      <w:r w:rsidRPr="007F230D">
        <w:t>Analysis Report</w:t>
      </w:r>
      <w:r>
        <w:t xml:space="preserve">. </w:t>
      </w:r>
    </w:p>
    <w:p w:rsidR="00AB4FD9" w:rsidRDefault="00AB4FD9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046D79">
        <w:rPr>
          <w:b/>
        </w:rPr>
        <w:t xml:space="preserve">Date(s) and location(s).  </w:t>
      </w:r>
      <w:r w:rsidR="006D75F8" w:rsidRPr="006D75F8">
        <w:t>Upon IC approval,</w:t>
      </w:r>
      <w:r w:rsidR="006D75F8">
        <w:rPr>
          <w:b/>
        </w:rPr>
        <w:t xml:space="preserve"> </w:t>
      </w:r>
      <w:r w:rsidR="006D75F8">
        <w:t>t</w:t>
      </w:r>
      <w:r w:rsidR="005315D6">
        <w:t>his form is uploaded to Survey Monkey and the link to the survey is forwarded to everyone (via email) on a mailing list (of MSIX users)</w:t>
      </w:r>
      <w:r w:rsidR="00174C30">
        <w:rPr>
          <w:b/>
        </w:rPr>
        <w:t xml:space="preserve">. </w:t>
      </w:r>
      <w:r w:rsidR="00174C30">
        <w:t>T</w:t>
      </w:r>
      <w:r>
        <w:t xml:space="preserve">he contractor will distribute </w:t>
      </w:r>
      <w:r w:rsidR="00174C30">
        <w:t xml:space="preserve">the form </w:t>
      </w:r>
      <w:r>
        <w:t>electronically</w:t>
      </w:r>
      <w:r w:rsidR="00174C30">
        <w:t xml:space="preserve"> and receive responses electronically also.</w:t>
      </w:r>
    </w:p>
    <w:p w:rsidR="00AB4FD9" w:rsidRPr="00AB4FD9" w:rsidRDefault="003F1C7A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E26798">
        <w:rPr>
          <w:b/>
        </w:rPr>
        <w:t>Collection procedures</w:t>
      </w:r>
      <w:r>
        <w:t xml:space="preserve">. </w:t>
      </w:r>
      <w:r w:rsidR="00AB4FD9">
        <w:t>The contractor will perform the following:</w:t>
      </w:r>
    </w:p>
    <w:p w:rsidR="006D75F8" w:rsidRPr="006D75F8" w:rsidRDefault="00174C30" w:rsidP="00AB4FD9">
      <w:pPr>
        <w:numPr>
          <w:ilvl w:val="1"/>
          <w:numId w:val="15"/>
        </w:numPr>
        <w:spacing w:before="120" w:after="120"/>
        <w:rPr>
          <w:b/>
        </w:rPr>
      </w:pPr>
      <w:r>
        <w:t xml:space="preserve">The </w:t>
      </w:r>
      <w:r w:rsidR="006D75F8">
        <w:t xml:space="preserve">link to this survey </w:t>
      </w:r>
      <w:r>
        <w:t xml:space="preserve">form will </w:t>
      </w:r>
      <w:r w:rsidR="00AB4FD9">
        <w:t xml:space="preserve">be emailed to </w:t>
      </w:r>
      <w:r w:rsidR="006D75F8">
        <w:t>all MSIX users</w:t>
      </w:r>
      <w:r>
        <w:t xml:space="preserve"> </w:t>
      </w:r>
    </w:p>
    <w:p w:rsidR="00AB4FD9" w:rsidRPr="006D75F8" w:rsidRDefault="006D75F8" w:rsidP="00AB4FD9">
      <w:pPr>
        <w:numPr>
          <w:ilvl w:val="1"/>
          <w:numId w:val="15"/>
        </w:numPr>
        <w:spacing w:before="120" w:after="120"/>
        <w:rPr>
          <w:b/>
        </w:rPr>
      </w:pPr>
      <w:r>
        <w:t>An email reminder will be sent again with the link</w:t>
      </w:r>
      <w:r w:rsidR="00174C30">
        <w:t xml:space="preserve"> (abou</w:t>
      </w:r>
      <w:r>
        <w:t>t 1</w:t>
      </w:r>
      <w:r w:rsidR="00174C30">
        <w:t>-</w:t>
      </w:r>
      <w:r>
        <w:t>2</w:t>
      </w:r>
      <w:r w:rsidR="00174C30">
        <w:t xml:space="preserve"> weeks </w:t>
      </w:r>
      <w:r>
        <w:t>after the initial email</w:t>
      </w:r>
      <w:r w:rsidR="00174C30">
        <w:t>)</w:t>
      </w:r>
    </w:p>
    <w:p w:rsidR="00AB4FD9" w:rsidRPr="00174C30" w:rsidRDefault="00174C30" w:rsidP="00AB4FD9">
      <w:pPr>
        <w:numPr>
          <w:ilvl w:val="1"/>
          <w:numId w:val="15"/>
        </w:numPr>
        <w:spacing w:before="120" w:after="120"/>
        <w:rPr>
          <w:b/>
        </w:rPr>
      </w:pPr>
      <w:r>
        <w:t>Responses a</w:t>
      </w:r>
      <w:r w:rsidR="006D75F8">
        <w:t>re expected to be completed 2 weeks after second email</w:t>
      </w:r>
    </w:p>
    <w:p w:rsidR="00174C30" w:rsidRPr="00174C30" w:rsidRDefault="00174C30" w:rsidP="00AB4FD9">
      <w:pPr>
        <w:numPr>
          <w:ilvl w:val="1"/>
          <w:numId w:val="15"/>
        </w:numPr>
        <w:spacing w:before="120" w:after="120"/>
        <w:rPr>
          <w:b/>
        </w:rPr>
      </w:pPr>
      <w:r>
        <w:t>Responses will be analyzed by an independen</w:t>
      </w:r>
      <w:r w:rsidR="006D75F8">
        <w:t>t Research/Analysis team (REACTS/MSIX</w:t>
      </w:r>
      <w:r>
        <w:t xml:space="preserve">) and included in </w:t>
      </w:r>
      <w:r w:rsidRPr="007F230D">
        <w:t xml:space="preserve">the </w:t>
      </w:r>
      <w:r>
        <w:t xml:space="preserve">System Usage Research and </w:t>
      </w:r>
      <w:r w:rsidRPr="007F230D">
        <w:t>Analysis Report</w:t>
      </w:r>
      <w:r>
        <w:t>.</w:t>
      </w:r>
    </w:p>
    <w:p w:rsidR="00174C30" w:rsidRPr="00046D79" w:rsidRDefault="00174C30" w:rsidP="00174C30">
      <w:pPr>
        <w:spacing w:before="120" w:after="120"/>
        <w:ind w:left="1656"/>
        <w:rPr>
          <w:b/>
        </w:rPr>
      </w:pPr>
    </w:p>
    <w:p w:rsidR="003F1C7A" w:rsidRDefault="003F1C7A" w:rsidP="00E26798">
      <w:pPr>
        <w:numPr>
          <w:ilvl w:val="0"/>
          <w:numId w:val="15"/>
        </w:numPr>
        <w:tabs>
          <w:tab w:val="clear" w:pos="1296"/>
          <w:tab w:val="num" w:pos="720"/>
        </w:tabs>
        <w:spacing w:after="120"/>
        <w:ind w:left="720"/>
      </w:pPr>
      <w:r w:rsidRPr="00E26798">
        <w:rPr>
          <w:b/>
        </w:rPr>
        <w:t xml:space="preserve">Number of focus groups, surveys, usability testing sessions.  </w:t>
      </w:r>
    </w:p>
    <w:p w:rsidR="00AB4FD9" w:rsidRPr="00046D79" w:rsidRDefault="002A36D6" w:rsidP="00AB4FD9">
      <w:pPr>
        <w:spacing w:before="120" w:after="120"/>
        <w:ind w:left="720"/>
        <w:rPr>
          <w:b/>
        </w:rPr>
      </w:pPr>
      <w:r>
        <w:t>We expect greater 4</w:t>
      </w:r>
      <w:r w:rsidR="006D75F8">
        <w:t xml:space="preserve">00 MSIX users will </w:t>
      </w:r>
      <w:r>
        <w:t>respond (out of approximately 8</w:t>
      </w:r>
      <w:r w:rsidR="006D75F8">
        <w:t>00 recipients of the surveys)</w:t>
      </w:r>
    </w:p>
    <w:p w:rsidR="00AB4FD9" w:rsidRPr="00AB4FD9" w:rsidRDefault="003F1C7A" w:rsidP="00AB4FD9">
      <w:pPr>
        <w:numPr>
          <w:ilvl w:val="0"/>
          <w:numId w:val="15"/>
        </w:numPr>
        <w:tabs>
          <w:tab w:val="clear" w:pos="1296"/>
          <w:tab w:val="num" w:pos="720"/>
        </w:tabs>
        <w:spacing w:before="120" w:after="120"/>
        <w:ind w:left="720"/>
        <w:rPr>
          <w:b/>
        </w:rPr>
      </w:pPr>
      <w:r w:rsidRPr="00E26798">
        <w:rPr>
          <w:b/>
        </w:rPr>
        <w:t>Description of respondents/participants.</w:t>
      </w:r>
      <w:r>
        <w:t xml:space="preserve">  </w:t>
      </w:r>
      <w:r w:rsidR="00AB4FD9">
        <w:t>There are 40+ States that have data in the Production Environment of MSIX/REACTS.  The survey will be sent to</w:t>
      </w:r>
      <w:r w:rsidR="00AB4FD9" w:rsidRPr="000468DD">
        <w:t xml:space="preserve"> </w:t>
      </w:r>
      <w:r w:rsidR="006D75F8">
        <w:t>all users of the MSIX system</w:t>
      </w:r>
      <w:r w:rsidR="00174C30">
        <w:t xml:space="preserve"> </w:t>
      </w:r>
      <w:r w:rsidR="00AB4FD9">
        <w:t>from these States</w:t>
      </w:r>
      <w:r w:rsidR="00AB4FD9" w:rsidRPr="000468DD">
        <w:t>.</w:t>
      </w:r>
    </w:p>
    <w:p w:rsidR="00E26798" w:rsidRDefault="00E26798" w:rsidP="00E26798">
      <w:pPr>
        <w:pStyle w:val="ListParagraph"/>
        <w:rPr>
          <w:b/>
        </w:rPr>
      </w:pPr>
    </w:p>
    <w:p w:rsidR="002E14A5" w:rsidRDefault="002E14A5" w:rsidP="00E26798">
      <w:pPr>
        <w:pStyle w:val="ListParagraph"/>
        <w:rPr>
          <w:b/>
        </w:rPr>
      </w:pPr>
    </w:p>
    <w:p w:rsidR="002E14A5" w:rsidRDefault="002E14A5" w:rsidP="00E26798">
      <w:pPr>
        <w:pStyle w:val="ListParagraph"/>
        <w:rPr>
          <w:b/>
        </w:rPr>
      </w:pPr>
    </w:p>
    <w:p w:rsidR="003F1C7A" w:rsidRPr="00E26798" w:rsidRDefault="003F1C7A" w:rsidP="00E26798">
      <w:pPr>
        <w:spacing w:before="120" w:after="120"/>
        <w:rPr>
          <w:b/>
        </w:rPr>
      </w:pPr>
      <w:r w:rsidRPr="00E26798">
        <w:rPr>
          <w:b/>
        </w:rPr>
        <w:lastRenderedPageBreak/>
        <w:t>AMOUNT OF ANY PROPOSED STIPEND OR INCENTIVE</w:t>
      </w:r>
    </w:p>
    <w:p w:rsidR="003F1C7A" w:rsidRDefault="003F1C7A"/>
    <w:p w:rsidR="003F1C7A" w:rsidRDefault="003F1C7A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3F1C7A" w:rsidRDefault="003F1C7A">
      <w:pPr>
        <w:keepNext/>
        <w:keepLines/>
        <w:rPr>
          <w:b/>
        </w:rPr>
      </w:pPr>
    </w:p>
    <w:tbl>
      <w:tblPr>
        <w:tblW w:w="7985" w:type="dxa"/>
        <w:jc w:val="center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93"/>
        <w:gridCol w:w="1619"/>
        <w:gridCol w:w="1877"/>
      </w:tblGrid>
      <w:tr w:rsidR="003F1C7A">
        <w:trPr>
          <w:trHeight w:val="274"/>
          <w:jc w:val="center"/>
        </w:trPr>
        <w:tc>
          <w:tcPr>
            <w:tcW w:w="2696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793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619" w:type="dxa"/>
            <w:shd w:val="clear" w:color="auto" w:fill="E0E0E0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:rsidRDefault="003F1C7A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:rsidR="00AB4FD9" w:rsidTr="00174C30">
        <w:trPr>
          <w:trHeight w:val="89"/>
          <w:jc w:val="center"/>
        </w:trPr>
        <w:tc>
          <w:tcPr>
            <w:tcW w:w="2696" w:type="dxa"/>
          </w:tcPr>
          <w:p w:rsidR="00AB4FD9" w:rsidRDefault="002E14A5" w:rsidP="0016241E">
            <w:pPr>
              <w:jc w:val="center"/>
            </w:pPr>
            <w:r>
              <w:t>MSIX Users</w:t>
            </w:r>
          </w:p>
        </w:tc>
        <w:tc>
          <w:tcPr>
            <w:tcW w:w="1793" w:type="dxa"/>
          </w:tcPr>
          <w:p w:rsidR="00AB4FD9" w:rsidRDefault="002A36D6" w:rsidP="0016241E">
            <w:pPr>
              <w:jc w:val="center"/>
            </w:pPr>
            <w:r>
              <w:t>4</w:t>
            </w:r>
            <w:r w:rsidR="002E14A5">
              <w:t>0</w:t>
            </w:r>
            <w:r w:rsidR="005C3935">
              <w:t>0</w:t>
            </w:r>
          </w:p>
        </w:tc>
        <w:tc>
          <w:tcPr>
            <w:tcW w:w="1619" w:type="dxa"/>
          </w:tcPr>
          <w:p w:rsidR="00AB4FD9" w:rsidRDefault="002E14A5" w:rsidP="0016241E">
            <w:pPr>
              <w:jc w:val="center"/>
            </w:pPr>
            <w:r>
              <w:t>15 minutes</w:t>
            </w:r>
          </w:p>
        </w:tc>
        <w:tc>
          <w:tcPr>
            <w:tcW w:w="1877" w:type="dxa"/>
          </w:tcPr>
          <w:p w:rsidR="00AB4FD9" w:rsidRDefault="002A36D6" w:rsidP="0016241E">
            <w:pPr>
              <w:jc w:val="center"/>
            </w:pPr>
            <w:r>
              <w:t>100</w:t>
            </w:r>
            <w:r w:rsidR="00AB4FD9">
              <w:t xml:space="preserve"> hours</w:t>
            </w:r>
          </w:p>
        </w:tc>
      </w:tr>
    </w:tbl>
    <w:p w:rsidR="003F1C7A" w:rsidRDefault="003F1C7A"/>
    <w:p w:rsidR="003F1C7A" w:rsidRDefault="003F1C7A">
      <w:pPr>
        <w:spacing w:after="120"/>
        <w:rPr>
          <w:b/>
        </w:rPr>
      </w:pPr>
      <w:r>
        <w:rPr>
          <w:b/>
        </w:rPr>
        <w:t>BURDEN COST COMPUTATION</w:t>
      </w:r>
    </w:p>
    <w:tbl>
      <w:tblPr>
        <w:tblW w:w="7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523"/>
        <w:gridCol w:w="1085"/>
        <w:gridCol w:w="1260"/>
        <w:gridCol w:w="2354"/>
      </w:tblGrid>
      <w:tr w:rsidR="003F1C7A">
        <w:trPr>
          <w:trHeight w:val="274"/>
          <w:jc w:val="center"/>
        </w:trPr>
        <w:tc>
          <w:tcPr>
            <w:tcW w:w="1727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23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085" w:type="dxa"/>
            <w:shd w:val="clear" w:color="auto" w:fill="E0E0E0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3F1C7A" w:rsidRDefault="003F1C7A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260" w:type="dxa"/>
            <w:shd w:val="clear" w:color="auto" w:fill="E0E0E0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2354" w:type="dxa"/>
            <w:shd w:val="clear" w:color="auto" w:fill="E0E0E0"/>
            <w:vAlign w:val="bottom"/>
          </w:tcPr>
          <w:p w:rsidR="003F1C7A" w:rsidRDefault="003F1C7A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AB4FD9" w:rsidTr="003A5955">
        <w:trPr>
          <w:trHeight w:val="274"/>
          <w:jc w:val="center"/>
        </w:trPr>
        <w:tc>
          <w:tcPr>
            <w:tcW w:w="1727" w:type="dxa"/>
          </w:tcPr>
          <w:p w:rsidR="00AB4FD9" w:rsidRDefault="002E14A5" w:rsidP="0016241E">
            <w:pPr>
              <w:jc w:val="center"/>
            </w:pPr>
            <w:r>
              <w:t>MSIX Users</w:t>
            </w:r>
          </w:p>
        </w:tc>
        <w:tc>
          <w:tcPr>
            <w:tcW w:w="1523" w:type="dxa"/>
          </w:tcPr>
          <w:p w:rsidR="00AB4FD9" w:rsidRDefault="002A36D6" w:rsidP="0016241E">
            <w:pPr>
              <w:jc w:val="center"/>
            </w:pPr>
            <w:r>
              <w:t>4</w:t>
            </w:r>
            <w:r w:rsidR="002E14A5">
              <w:t>0</w:t>
            </w:r>
            <w:r w:rsidR="00AB4FD9">
              <w:t>0</w:t>
            </w:r>
          </w:p>
        </w:tc>
        <w:tc>
          <w:tcPr>
            <w:tcW w:w="1085" w:type="dxa"/>
          </w:tcPr>
          <w:p w:rsidR="00AB4FD9" w:rsidRDefault="00AB4FD9" w:rsidP="0016241E">
            <w:pPr>
              <w:jc w:val="center"/>
            </w:pPr>
            <w:r>
              <w:t xml:space="preserve">$ </w:t>
            </w:r>
            <w:r w:rsidR="005C3935">
              <w:t>45.05</w:t>
            </w:r>
            <w:r>
              <w:t>*</w:t>
            </w:r>
          </w:p>
        </w:tc>
        <w:tc>
          <w:tcPr>
            <w:tcW w:w="1260" w:type="dxa"/>
          </w:tcPr>
          <w:p w:rsidR="00AB4FD9" w:rsidRDefault="002E14A5" w:rsidP="0016241E">
            <w:pPr>
              <w:jc w:val="center"/>
            </w:pPr>
            <w:r>
              <w:t>15 minutes</w:t>
            </w:r>
          </w:p>
        </w:tc>
        <w:tc>
          <w:tcPr>
            <w:tcW w:w="2354" w:type="dxa"/>
          </w:tcPr>
          <w:p w:rsidR="00AB4FD9" w:rsidRDefault="00AB4FD9" w:rsidP="002E14A5">
            <w:pPr>
              <w:jc w:val="center"/>
            </w:pPr>
            <w:r>
              <w:t>$</w:t>
            </w:r>
            <w:r w:rsidR="002A36D6">
              <w:t>4505</w:t>
            </w:r>
            <w:r w:rsidR="00120633">
              <w:t>.</w:t>
            </w:r>
            <w:r w:rsidR="002A36D6">
              <w:t>00</w:t>
            </w:r>
            <w:bookmarkStart w:id="0" w:name="_GoBack"/>
            <w:bookmarkEnd w:id="0"/>
          </w:p>
        </w:tc>
      </w:tr>
    </w:tbl>
    <w:p w:rsidR="00AB4FD9" w:rsidRDefault="00AB4FD9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  <w:u w:val="single"/>
        </w:rPr>
      </w:pPr>
    </w:p>
    <w:p w:rsidR="00EE3E91" w:rsidRPr="00DB64A6" w:rsidRDefault="00EE3E91" w:rsidP="00EE3E91">
      <w:pPr>
        <w:pStyle w:val="BodyTextIndent"/>
        <w:tabs>
          <w:tab w:val="left" w:pos="360"/>
        </w:tabs>
        <w:spacing w:before="120" w:after="120"/>
        <w:ind w:left="720"/>
        <w:rPr>
          <w:bCs/>
          <w:sz w:val="24"/>
        </w:rPr>
      </w:pPr>
      <w:r w:rsidRPr="00DB64A6">
        <w:rPr>
          <w:bCs/>
          <w:sz w:val="24"/>
        </w:rPr>
        <w:t xml:space="preserve">*Averaged at </w:t>
      </w:r>
      <w:r w:rsidR="005C3935">
        <w:t>GS-13/5</w:t>
      </w:r>
      <w:r w:rsidRPr="00DB64A6">
        <w:rPr>
          <w:bCs/>
          <w:sz w:val="24"/>
        </w:rPr>
        <w:t>, Step 1 hourly rate.</w:t>
      </w:r>
    </w:p>
    <w:p w:rsidR="00AB4FD9" w:rsidRDefault="00AB4FD9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  <w:u w:val="single"/>
        </w:rPr>
      </w:pPr>
    </w:p>
    <w:p w:rsidR="003F1C7A" w:rsidRDefault="003F1C7A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STATISTICAL INFORMATION</w:t>
      </w:r>
      <w:r>
        <w:rPr>
          <w:b/>
          <w:bCs/>
          <w:sz w:val="24"/>
        </w:rPr>
        <w:t xml:space="preserve"> </w:t>
      </w:r>
    </w:p>
    <w:p w:rsidR="003F1C7A" w:rsidRDefault="003F1C7A">
      <w:pPr>
        <w:pStyle w:val="Header"/>
        <w:widowControl/>
        <w:tabs>
          <w:tab w:val="clear" w:pos="4320"/>
          <w:tab w:val="clear" w:pos="8640"/>
        </w:tabs>
        <w:rPr>
          <w:snapToGrid/>
        </w:rPr>
      </w:pPr>
    </w:p>
    <w:p w:rsidR="00EE3E91" w:rsidRDefault="00EE3E91" w:rsidP="00EE3E91">
      <w:pPr>
        <w:rPr>
          <w:b/>
        </w:rPr>
      </w:pPr>
      <w:r>
        <w:rPr>
          <w:b/>
        </w:rPr>
        <w:t xml:space="preserve">REQUESTED APPROVAL DATE:  </w:t>
      </w:r>
      <w:r w:rsidR="002E14A5">
        <w:t>3</w:t>
      </w:r>
      <w:r>
        <w:t>/</w:t>
      </w:r>
      <w:r w:rsidR="002E14A5">
        <w:t>1/2012</w:t>
      </w:r>
    </w:p>
    <w:p w:rsidR="00EE3E91" w:rsidRDefault="00EE3E91" w:rsidP="00EE3E91">
      <w:pPr>
        <w:rPr>
          <w:bCs/>
        </w:rPr>
      </w:pPr>
      <w:r>
        <w:rPr>
          <w:b/>
        </w:rPr>
        <w:t xml:space="preserve">NAME OF CONTACT PERSON:  </w:t>
      </w:r>
      <w:r>
        <w:t>Jennifer Dozier</w:t>
      </w:r>
    </w:p>
    <w:p w:rsidR="00EE3E91" w:rsidRDefault="00EE3E91" w:rsidP="00EE3E91"/>
    <w:p w:rsidR="00EE3E91" w:rsidRDefault="00EE3E91" w:rsidP="00EE3E91">
      <w:r>
        <w:rPr>
          <w:b/>
        </w:rPr>
        <w:t>TELEPHONE NUMBER:</w:t>
      </w:r>
      <w:r>
        <w:rPr>
          <w:b/>
        </w:rPr>
        <w:tab/>
      </w:r>
      <w:r>
        <w:rPr>
          <w:rFonts w:ascii="Tahoma" w:hAnsi="Tahoma" w:cs="Tahoma"/>
          <w:color w:val="1F497D"/>
          <w:sz w:val="18"/>
          <w:szCs w:val="18"/>
        </w:rPr>
        <w:t>(</w:t>
      </w:r>
      <w:r w:rsidRPr="00EE3E91">
        <w:t>202) 205-4421</w:t>
      </w:r>
    </w:p>
    <w:p w:rsidR="00EE3E91" w:rsidRDefault="00EE3E91" w:rsidP="00EE3E91">
      <w:pPr>
        <w:tabs>
          <w:tab w:val="left" w:pos="2880"/>
        </w:tabs>
      </w:pPr>
      <w:r>
        <w:rPr>
          <w:b/>
        </w:rPr>
        <w:t>MAILING LOCATION:</w:t>
      </w:r>
      <w:r>
        <w:rPr>
          <w:b/>
        </w:rPr>
        <w:tab/>
        <w:t xml:space="preserve"> </w:t>
      </w:r>
      <w:r w:rsidRPr="002D2969">
        <w:t>LBJ 3E339 (400 Maryland Ave, SW, Washington, DC 20202)</w:t>
      </w:r>
    </w:p>
    <w:p w:rsidR="00EE3E91" w:rsidRDefault="00EE3E91" w:rsidP="00EE3E91">
      <w:pPr>
        <w:ind w:left="2160" w:firstLine="720"/>
      </w:pPr>
    </w:p>
    <w:p w:rsidR="00EE3E91" w:rsidRDefault="00EE3E91" w:rsidP="00EE3E91">
      <w:pPr>
        <w:tabs>
          <w:tab w:val="left" w:pos="5670"/>
        </w:tabs>
        <w:suppressAutoHyphens/>
      </w:pPr>
      <w:r>
        <w:rPr>
          <w:b/>
        </w:rPr>
        <w:t xml:space="preserve">ED DEPARTMENT, OFFICE: </w:t>
      </w:r>
      <w:r w:rsidRPr="002D2969">
        <w:t>OESE/OME</w:t>
      </w:r>
    </w:p>
    <w:p w:rsidR="003F1C7A" w:rsidRDefault="003F1C7A" w:rsidP="00EE3E91"/>
    <w:sectPr w:rsidR="003F1C7A" w:rsidSect="007A1C88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4A" w:rsidRDefault="004F444A">
      <w:r>
        <w:separator/>
      </w:r>
    </w:p>
  </w:endnote>
  <w:endnote w:type="continuationSeparator" w:id="0">
    <w:p w:rsidR="004F444A" w:rsidRDefault="004F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C7A" w:rsidRDefault="00AB18F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F1C7A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A36D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4A" w:rsidRDefault="004F444A">
      <w:r>
        <w:separator/>
      </w:r>
    </w:p>
  </w:footnote>
  <w:footnote w:type="continuationSeparator" w:id="0">
    <w:p w:rsidR="004F444A" w:rsidRDefault="004F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224A1"/>
    <w:rsid w:val="00050810"/>
    <w:rsid w:val="00053BC3"/>
    <w:rsid w:val="00120633"/>
    <w:rsid w:val="00151301"/>
    <w:rsid w:val="00174C30"/>
    <w:rsid w:val="002069C8"/>
    <w:rsid w:val="002957AB"/>
    <w:rsid w:val="002A36D6"/>
    <w:rsid w:val="002E14A5"/>
    <w:rsid w:val="003F1C7A"/>
    <w:rsid w:val="004C2F9D"/>
    <w:rsid w:val="004F444A"/>
    <w:rsid w:val="005315D6"/>
    <w:rsid w:val="005C3935"/>
    <w:rsid w:val="006D75F8"/>
    <w:rsid w:val="00744F5B"/>
    <w:rsid w:val="007A1C88"/>
    <w:rsid w:val="0096127F"/>
    <w:rsid w:val="00AB18F2"/>
    <w:rsid w:val="00AB4FD9"/>
    <w:rsid w:val="00C4224C"/>
    <w:rsid w:val="00E26798"/>
    <w:rsid w:val="00EE3E91"/>
    <w:rsid w:val="00F2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88"/>
    <w:rPr>
      <w:sz w:val="24"/>
      <w:szCs w:val="24"/>
    </w:rPr>
  </w:style>
  <w:style w:type="paragraph" w:styleId="Heading1">
    <w:name w:val="heading 1"/>
    <w:basedOn w:val="Normal"/>
    <w:next w:val="Normal"/>
    <w:qFormat/>
    <w:rsid w:val="007A1C88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A1C8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A1C8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A1C88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7A1C88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A1C88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rsid w:val="007A1C88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rsid w:val="007A1C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A1C88"/>
  </w:style>
  <w:style w:type="paragraph" w:styleId="BodyTextIndent">
    <w:name w:val="Body Text Indent"/>
    <w:basedOn w:val="Normal"/>
    <w:semiHidden/>
    <w:rsid w:val="007A1C88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rsid w:val="007A1C88"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rsid w:val="007A1C88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7A1C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7A1C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88"/>
    <w:rPr>
      <w:sz w:val="24"/>
      <w:szCs w:val="24"/>
    </w:rPr>
  </w:style>
  <w:style w:type="paragraph" w:styleId="Heading1">
    <w:name w:val="heading 1"/>
    <w:basedOn w:val="Normal"/>
    <w:next w:val="Normal"/>
    <w:qFormat/>
    <w:rsid w:val="007A1C88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A1C8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A1C8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A1C88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7A1C88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A1C88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rsid w:val="007A1C88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rsid w:val="007A1C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A1C88"/>
  </w:style>
  <w:style w:type="paragraph" w:styleId="BodyTextIndent">
    <w:name w:val="Body Text Indent"/>
    <w:basedOn w:val="Normal"/>
    <w:semiHidden/>
    <w:rsid w:val="007A1C88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rsid w:val="007A1C88"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rsid w:val="007A1C88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7A1C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rsid w:val="007A1C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Owner</cp:lastModifiedBy>
  <cp:revision>5</cp:revision>
  <cp:lastPrinted>2008-05-28T12:57:00Z</cp:lastPrinted>
  <dcterms:created xsi:type="dcterms:W3CDTF">2012-02-21T16:32:00Z</dcterms:created>
  <dcterms:modified xsi:type="dcterms:W3CDTF">2012-02-21T18:11:00Z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