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F6F" w:rsidRDefault="007C6F6F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DOCUMENTATION FOR THE GENERIC CLEARANCE</w:t>
      </w:r>
    </w:p>
    <w:p w:rsidR="007C6F6F" w:rsidRDefault="007C6F6F">
      <w:pPr>
        <w:rPr>
          <w:b/>
          <w:bCs/>
          <w:sz w:val="32"/>
        </w:rPr>
      </w:pPr>
      <w:bookmarkStart w:id="0" w:name="_Toc171497109"/>
      <w:bookmarkStart w:id="1" w:name="_Toc171497759"/>
      <w:bookmarkStart w:id="2" w:name="_Toc171498120"/>
      <w:bookmarkStart w:id="3" w:name="_Toc171500030"/>
      <w:bookmarkStart w:id="4" w:name="_Toc171503045"/>
      <w:r>
        <w:rPr>
          <w:rFonts w:ascii="Arial" w:hAnsi="Arial" w:cs="Arial"/>
          <w:b/>
          <w:bCs/>
          <w:sz w:val="32"/>
        </w:rPr>
        <w:t>OF CUSTOMER SERVICE SATISFACTION COLLECTIONS</w:t>
      </w:r>
      <w:bookmarkEnd w:id="0"/>
      <w:bookmarkEnd w:id="1"/>
      <w:bookmarkEnd w:id="2"/>
      <w:bookmarkEnd w:id="3"/>
      <w:bookmarkEnd w:id="4"/>
    </w:p>
    <w:p w:rsidR="007C6F6F" w:rsidRDefault="007C6F6F">
      <w:pPr>
        <w:jc w:val="both"/>
      </w:pPr>
    </w:p>
    <w:p w:rsidR="007C6F6F" w:rsidRDefault="003F19E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JqeUA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7C6F6F" w:rsidRDefault="007C6F6F">
      <w:pPr>
        <w:jc w:val="both"/>
        <w:rPr>
          <w:rFonts w:ascii="Arial" w:hAnsi="Arial" w:cs="Arial"/>
          <w:b/>
          <w:bCs/>
        </w:rPr>
      </w:pPr>
      <w:bookmarkStart w:id="5" w:name="_Toc171496880"/>
      <w:r>
        <w:rPr>
          <w:rFonts w:ascii="Arial" w:hAnsi="Arial" w:cs="Arial"/>
          <w:b/>
          <w:bCs/>
        </w:rPr>
        <w:t>TITLE OF INFORMATION COLLECTION:</w:t>
      </w:r>
      <w:bookmarkEnd w:id="5"/>
      <w:r>
        <w:rPr>
          <w:rFonts w:ascii="Arial" w:hAnsi="Arial" w:cs="Arial"/>
          <w:b/>
          <w:bCs/>
        </w:rPr>
        <w:t xml:space="preserve">  </w:t>
      </w:r>
    </w:p>
    <w:p w:rsidR="009B23C6" w:rsidRDefault="009B23C6">
      <w:pPr>
        <w:jc w:val="both"/>
        <w:rPr>
          <w:rFonts w:ascii="Arial" w:hAnsi="Arial" w:cs="Arial"/>
          <w:b/>
          <w:bCs/>
        </w:rPr>
      </w:pPr>
    </w:p>
    <w:p w:rsidR="00614912" w:rsidRDefault="00614912" w:rsidP="00614912">
      <w:pPr>
        <w:rPr>
          <w:b/>
          <w:i/>
        </w:rPr>
      </w:pPr>
      <w:r w:rsidRPr="007E4D76">
        <w:rPr>
          <w:b/>
          <w:i/>
        </w:rPr>
        <w:t xml:space="preserve">Master Class One: </w:t>
      </w:r>
      <w:r>
        <w:rPr>
          <w:b/>
          <w:i/>
        </w:rPr>
        <w:t>Sustainable Support for High Quality Charter Schools</w:t>
      </w:r>
    </w:p>
    <w:p w:rsidR="00614912" w:rsidRDefault="00614912" w:rsidP="00614912">
      <w:pPr>
        <w:rPr>
          <w:b/>
          <w:i/>
        </w:rPr>
      </w:pPr>
      <w:r w:rsidRPr="007E4D76">
        <w:rPr>
          <w:b/>
          <w:i/>
        </w:rPr>
        <w:t>Strategic Review of the CSO Model: sustainability, shared services,</w:t>
      </w:r>
      <w:r>
        <w:rPr>
          <w:b/>
          <w:i/>
        </w:rPr>
        <w:t xml:space="preserve"> and</w:t>
      </w:r>
      <w:r w:rsidRPr="007E4D76">
        <w:rPr>
          <w:b/>
          <w:i/>
        </w:rPr>
        <w:t xml:space="preserve"> regional/cross state cooperation</w:t>
      </w:r>
    </w:p>
    <w:p w:rsidR="009B23C6" w:rsidRDefault="009B23C6">
      <w:pPr>
        <w:jc w:val="both"/>
      </w:pPr>
    </w:p>
    <w:p w:rsidR="007C6F6F" w:rsidRDefault="007C6F6F">
      <w:pPr>
        <w:pStyle w:val="BodyTextIndent"/>
        <w:tabs>
          <w:tab w:val="left" w:pos="360"/>
        </w:tabs>
        <w:ind w:left="0"/>
        <w:jc w:val="both"/>
        <w:rPr>
          <w:rFonts w:ascii="Arial" w:hAnsi="Arial" w:cs="Arial"/>
          <w:b/>
          <w:bCs/>
          <w:u w:val="single"/>
        </w:rPr>
      </w:pPr>
      <w:proofErr w:type="gramStart"/>
      <w:r>
        <w:rPr>
          <w:rFonts w:ascii="Arial" w:hAnsi="Arial" w:cs="Arial"/>
          <w:b/>
          <w:bCs/>
        </w:rPr>
        <w:t xml:space="preserve">[ </w:t>
      </w:r>
      <w:r w:rsidR="0078170A">
        <w:rPr>
          <w:rFonts w:ascii="Arial" w:hAnsi="Arial" w:cs="Arial"/>
          <w:b/>
          <w:bCs/>
        </w:rPr>
        <w:t>X</w:t>
      </w:r>
      <w:proofErr w:type="gramEnd"/>
      <w:r>
        <w:rPr>
          <w:rFonts w:ascii="Arial" w:hAnsi="Arial" w:cs="Arial"/>
          <w:b/>
          <w:bCs/>
        </w:rPr>
        <w:t xml:space="preserve">] </w:t>
      </w:r>
      <w:r>
        <w:rPr>
          <w:rFonts w:ascii="Arial" w:hAnsi="Arial" w:cs="Arial"/>
          <w:b/>
          <w:bCs/>
          <w:u w:val="single"/>
        </w:rPr>
        <w:t>SURVEY</w:t>
      </w:r>
      <w:r w:rsidR="0078170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[ ] </w:t>
      </w:r>
      <w:r>
        <w:rPr>
          <w:rFonts w:ascii="Arial" w:hAnsi="Arial" w:cs="Arial"/>
          <w:b/>
          <w:bCs/>
          <w:u w:val="single"/>
        </w:rPr>
        <w:t>FOCUS GROUP</w:t>
      </w:r>
      <w:r>
        <w:rPr>
          <w:rFonts w:ascii="Arial" w:hAnsi="Arial" w:cs="Arial"/>
          <w:b/>
          <w:bCs/>
        </w:rPr>
        <w:t xml:space="preserve">      [ ] </w:t>
      </w:r>
      <w:r>
        <w:rPr>
          <w:rFonts w:ascii="Arial" w:hAnsi="Arial" w:cs="Arial"/>
          <w:b/>
          <w:bCs/>
          <w:u w:val="single"/>
        </w:rPr>
        <w:t>SOFTWARE USABILITY TESTING</w:t>
      </w:r>
      <w:r>
        <w:rPr>
          <w:rFonts w:ascii="Arial" w:hAnsi="Arial" w:cs="Arial"/>
          <w:b/>
          <w:bCs/>
        </w:rPr>
        <w:t xml:space="preserve">   </w:t>
      </w:r>
    </w:p>
    <w:p w:rsidR="007C6F6F" w:rsidRDefault="007C6F6F">
      <w:pPr>
        <w:jc w:val="both"/>
        <w:rPr>
          <w:rFonts w:ascii="Arial" w:hAnsi="Arial" w:cs="Arial"/>
          <w:b/>
        </w:rPr>
      </w:pPr>
    </w:p>
    <w:p w:rsidR="007C6F6F" w:rsidRDefault="007C6F6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DESCRIPTION OF THIS SPECIFIC COLLECTION</w:t>
      </w:r>
      <w:r>
        <w:rPr>
          <w:rFonts w:ascii="Arial" w:hAnsi="Arial" w:cs="Arial"/>
        </w:rPr>
        <w:t xml:space="preserve"> </w:t>
      </w:r>
    </w:p>
    <w:p w:rsidR="00E30288" w:rsidRDefault="00E30288" w:rsidP="00E30288">
      <w:r>
        <w:t xml:space="preserve">The U.S. Department of Education (ED) has as one of its many policy goals expanding the number high-quality public school choice options.  Specifically, according to Part B section 5201 of the Elementary and Secondary Education Act, two of the established purposes of the Charter School Program (CSP) office are: evaluating the effects of such schools, including the effects on students, student academic achievement, staff and parents, and expanding the number of high-quality charter schools available to students across the nation. </w:t>
      </w:r>
    </w:p>
    <w:p w:rsidR="00E30288" w:rsidRDefault="00E30288" w:rsidP="00E30288"/>
    <w:p w:rsidR="00E30288" w:rsidRDefault="00E30288" w:rsidP="00E30288">
      <w:pPr>
        <w:rPr>
          <w:color w:val="000000"/>
        </w:rPr>
      </w:pPr>
      <w:r>
        <w:t>The</w:t>
      </w:r>
      <w:r w:rsidRPr="00975604">
        <w:t xml:space="preserve"> Charter School Program’s Resource Center is </w:t>
      </w:r>
      <w:r w:rsidR="0039378A">
        <w:t>holding a</w:t>
      </w:r>
      <w:r w:rsidR="00CC02CC">
        <w:t xml:space="preserve"> convening </w:t>
      </w:r>
      <w:r w:rsidR="0039378A">
        <w:t xml:space="preserve">to discuss </w:t>
      </w:r>
      <w:r w:rsidR="00CC02CC">
        <w:t>English learners’ recruitment, enrollment and opportunities in charter schools</w:t>
      </w:r>
      <w:r w:rsidR="0039378A">
        <w:t xml:space="preserve">.  </w:t>
      </w:r>
    </w:p>
    <w:p w:rsidR="00E30288" w:rsidRDefault="00E30288" w:rsidP="00E30288">
      <w:pPr>
        <w:pStyle w:val="Default"/>
        <w:rPr>
          <w:bCs/>
        </w:rPr>
      </w:pPr>
    </w:p>
    <w:p w:rsidR="00E30288" w:rsidRPr="004A3ADB" w:rsidRDefault="00E30288" w:rsidP="00E30288">
      <w:pPr>
        <w:pStyle w:val="Default"/>
        <w:rPr>
          <w:bCs/>
        </w:rPr>
      </w:pPr>
      <w:r>
        <w:rPr>
          <w:bCs/>
        </w:rPr>
        <w:t xml:space="preserve">Surveys will measure satisfaction with the event, and will be performed in person during the conference.    Respondents will be participants in the conference, and will be </w:t>
      </w:r>
      <w:r w:rsidR="00614912">
        <w:rPr>
          <w:bCs/>
        </w:rPr>
        <w:t>rep</w:t>
      </w:r>
      <w:r w:rsidR="00CC02CC">
        <w:rPr>
          <w:bCs/>
        </w:rPr>
        <w:t>resentatives from various charter school and English learner stakeholder groups</w:t>
      </w:r>
      <w:r>
        <w:rPr>
          <w:bCs/>
        </w:rPr>
        <w:t xml:space="preserve">.    </w:t>
      </w:r>
    </w:p>
    <w:p w:rsidR="007C6F6F" w:rsidRDefault="007C6F6F">
      <w:pPr>
        <w:pStyle w:val="Header"/>
        <w:tabs>
          <w:tab w:val="clear" w:pos="4320"/>
          <w:tab w:val="clear" w:pos="8640"/>
        </w:tabs>
        <w:jc w:val="both"/>
        <w:rPr>
          <w:rFonts w:ascii="Arial Narrow" w:hAnsi="Arial Narrow"/>
        </w:rPr>
      </w:pPr>
    </w:p>
    <w:p w:rsidR="007C6F6F" w:rsidRDefault="007C6F6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AMOUNT OF ANY PROPOSED STIPEND OR INCENTIVE</w:t>
      </w:r>
    </w:p>
    <w:p w:rsidR="00FC6137" w:rsidRDefault="00FC6137">
      <w:pPr>
        <w:rPr>
          <w:rFonts w:ascii="Arial Narrow" w:hAnsi="Arial Narrow"/>
        </w:rPr>
      </w:pPr>
    </w:p>
    <w:p w:rsidR="007C6F6F" w:rsidRDefault="00FC6137">
      <w:pPr>
        <w:rPr>
          <w:rFonts w:ascii="Arial Narrow" w:hAnsi="Arial Narrow"/>
        </w:rPr>
      </w:pPr>
      <w:r>
        <w:rPr>
          <w:rFonts w:ascii="Arial Narrow" w:hAnsi="Arial Narrow"/>
        </w:rPr>
        <w:t>No payments are planned.</w:t>
      </w:r>
    </w:p>
    <w:p w:rsidR="007C6F6F" w:rsidRDefault="007C6F6F">
      <w:pPr>
        <w:jc w:val="both"/>
        <w:rPr>
          <w:rFonts w:ascii="Arial Narrow" w:hAnsi="Arial Narrow"/>
        </w:rPr>
      </w:pPr>
      <w:bookmarkStart w:id="6" w:name="_GoBack"/>
      <w:bookmarkEnd w:id="6"/>
    </w:p>
    <w:p w:rsidR="007C6F6F" w:rsidRDefault="007C6F6F">
      <w:pPr>
        <w:jc w:val="both"/>
        <w:rPr>
          <w:rFonts w:ascii="Arial Narrow" w:hAnsi="Arial Narrow"/>
          <w:i/>
        </w:rPr>
      </w:pPr>
      <w:r>
        <w:rPr>
          <w:rFonts w:ascii="Arial" w:hAnsi="Arial" w:cs="Arial"/>
          <w:b/>
        </w:rPr>
        <w:t>BURDEN HOUR COMPUTATION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i/>
        </w:rPr>
        <w:t>(Number of responses (X) estimated response or participation time in minutes (/60) = annual burden hours):</w:t>
      </w:r>
    </w:p>
    <w:p w:rsidR="007C6F6F" w:rsidRDefault="007C6F6F">
      <w:pPr>
        <w:keepNext/>
        <w:keepLines/>
        <w:jc w:val="both"/>
        <w:rPr>
          <w:rFonts w:ascii="Arial Narrow" w:hAnsi="Arial Narrow"/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2"/>
        <w:gridCol w:w="2714"/>
        <w:gridCol w:w="2511"/>
        <w:gridCol w:w="1154"/>
      </w:tblGrid>
      <w:tr w:rsidR="007C6F6F">
        <w:trPr>
          <w:trHeight w:val="274"/>
        </w:trPr>
        <w:tc>
          <w:tcPr>
            <w:tcW w:w="0" w:type="auto"/>
          </w:tcPr>
          <w:p w:rsidR="007C6F6F" w:rsidRDefault="007C6F6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Category of Respondent </w:t>
            </w:r>
          </w:p>
        </w:tc>
        <w:tc>
          <w:tcPr>
            <w:tcW w:w="0" w:type="auto"/>
          </w:tcPr>
          <w:p w:rsidR="007C6F6F" w:rsidRDefault="007C6F6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 of Respondents</w:t>
            </w:r>
          </w:p>
        </w:tc>
        <w:tc>
          <w:tcPr>
            <w:tcW w:w="0" w:type="auto"/>
          </w:tcPr>
          <w:p w:rsidR="007C6F6F" w:rsidRDefault="007C6F6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Participation Time</w:t>
            </w:r>
          </w:p>
        </w:tc>
        <w:tc>
          <w:tcPr>
            <w:tcW w:w="0" w:type="auto"/>
          </w:tcPr>
          <w:p w:rsidR="007C6F6F" w:rsidRDefault="007C6F6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Burden</w:t>
            </w:r>
          </w:p>
        </w:tc>
      </w:tr>
      <w:tr w:rsidR="007C6F6F">
        <w:trPr>
          <w:trHeight w:val="274"/>
        </w:trPr>
        <w:tc>
          <w:tcPr>
            <w:tcW w:w="0" w:type="auto"/>
          </w:tcPr>
          <w:p w:rsidR="007C6F6F" w:rsidRDefault="00B721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Survey</w:t>
            </w:r>
          </w:p>
        </w:tc>
        <w:tc>
          <w:tcPr>
            <w:tcW w:w="0" w:type="auto"/>
          </w:tcPr>
          <w:p w:rsidR="007C6F6F" w:rsidRDefault="003F19EB" w:rsidP="00D546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0" w:type="auto"/>
          </w:tcPr>
          <w:p w:rsidR="007C6F6F" w:rsidRDefault="00D546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B721CE">
              <w:rPr>
                <w:rFonts w:ascii="Arial" w:hAnsi="Arial" w:cs="Arial"/>
              </w:rPr>
              <w:t xml:space="preserve"> minutes</w:t>
            </w:r>
            <w:r w:rsidR="007F3DC1">
              <w:rPr>
                <w:rFonts w:ascii="Arial" w:hAnsi="Arial" w:cs="Arial"/>
              </w:rPr>
              <w:t xml:space="preserve"> (.08)</w:t>
            </w:r>
          </w:p>
        </w:tc>
        <w:tc>
          <w:tcPr>
            <w:tcW w:w="0" w:type="auto"/>
          </w:tcPr>
          <w:p w:rsidR="007C6F6F" w:rsidRDefault="007F3D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  <w:r w:rsidR="00B721CE">
              <w:rPr>
                <w:rFonts w:ascii="Arial" w:hAnsi="Arial" w:cs="Arial"/>
              </w:rPr>
              <w:t xml:space="preserve"> </w:t>
            </w:r>
            <w:proofErr w:type="spellStart"/>
            <w:r w:rsidR="00B721CE">
              <w:rPr>
                <w:rFonts w:ascii="Arial" w:hAnsi="Arial" w:cs="Arial"/>
              </w:rPr>
              <w:t>hrs</w:t>
            </w:r>
            <w:proofErr w:type="spellEnd"/>
          </w:p>
        </w:tc>
      </w:tr>
      <w:tr w:rsidR="007C6F6F">
        <w:trPr>
          <w:trHeight w:val="274"/>
        </w:trPr>
        <w:tc>
          <w:tcPr>
            <w:tcW w:w="0" w:type="auto"/>
          </w:tcPr>
          <w:p w:rsidR="007C6F6F" w:rsidRDefault="007C6F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7C6F6F" w:rsidRDefault="007C6F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7C6F6F" w:rsidRDefault="007C6F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7C6F6F" w:rsidRDefault="007C6F6F">
            <w:pPr>
              <w:jc w:val="both"/>
              <w:rPr>
                <w:rFonts w:ascii="Arial" w:hAnsi="Arial" w:cs="Arial"/>
              </w:rPr>
            </w:pPr>
          </w:p>
        </w:tc>
      </w:tr>
      <w:tr w:rsidR="007C6F6F">
        <w:trPr>
          <w:trHeight w:val="289"/>
        </w:trPr>
        <w:tc>
          <w:tcPr>
            <w:tcW w:w="0" w:type="auto"/>
          </w:tcPr>
          <w:p w:rsidR="007C6F6F" w:rsidRDefault="007C6F6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Totals</w:t>
            </w:r>
          </w:p>
        </w:tc>
        <w:tc>
          <w:tcPr>
            <w:tcW w:w="0" w:type="auto"/>
          </w:tcPr>
          <w:p w:rsidR="007C6F6F" w:rsidRDefault="003F19E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61491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0" w:type="auto"/>
          </w:tcPr>
          <w:p w:rsidR="007C6F6F" w:rsidRPr="00BB0CAF" w:rsidRDefault="008F2AF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B721CE" w:rsidRPr="00BB0CAF">
              <w:rPr>
                <w:rFonts w:ascii="Arial" w:hAnsi="Arial" w:cs="Arial"/>
                <w:b/>
              </w:rPr>
              <w:t xml:space="preserve"> minutes</w:t>
            </w:r>
          </w:p>
        </w:tc>
        <w:tc>
          <w:tcPr>
            <w:tcW w:w="0" w:type="auto"/>
          </w:tcPr>
          <w:p w:rsidR="007C6F6F" w:rsidRDefault="007F3DC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3.2</w:t>
            </w:r>
            <w:r w:rsidR="00B721C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B721CE">
              <w:rPr>
                <w:rFonts w:ascii="Arial" w:hAnsi="Arial" w:cs="Arial"/>
                <w:b/>
              </w:rPr>
              <w:t>hrs</w:t>
            </w:r>
            <w:proofErr w:type="spellEnd"/>
          </w:p>
        </w:tc>
      </w:tr>
    </w:tbl>
    <w:p w:rsidR="007C6F6F" w:rsidRDefault="007C6F6F">
      <w:pPr>
        <w:jc w:val="both"/>
        <w:rPr>
          <w:rFonts w:ascii="Arial" w:hAnsi="Arial" w:cs="Arial"/>
        </w:rPr>
      </w:pPr>
    </w:p>
    <w:p w:rsidR="007C6F6F" w:rsidRDefault="007C6F6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BURDEN COST COMPUTATION</w:t>
      </w: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2547"/>
        <w:gridCol w:w="1620"/>
        <w:gridCol w:w="1364"/>
        <w:gridCol w:w="1176"/>
      </w:tblGrid>
      <w:tr w:rsidR="007C6F6F" w:rsidTr="00BB0CAF">
        <w:trPr>
          <w:trHeight w:val="274"/>
        </w:trPr>
        <w:tc>
          <w:tcPr>
            <w:tcW w:w="2966" w:type="dxa"/>
          </w:tcPr>
          <w:p w:rsidR="007C6F6F" w:rsidRDefault="007C6F6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Category of Respondent </w:t>
            </w:r>
          </w:p>
        </w:tc>
        <w:tc>
          <w:tcPr>
            <w:tcW w:w="2547" w:type="dxa"/>
          </w:tcPr>
          <w:p w:rsidR="007C6F6F" w:rsidRDefault="007C6F6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 of Respondents</w:t>
            </w:r>
          </w:p>
        </w:tc>
        <w:tc>
          <w:tcPr>
            <w:tcW w:w="1620" w:type="dxa"/>
          </w:tcPr>
          <w:p w:rsidR="007C6F6F" w:rsidRDefault="007C6F6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Hourly </w:t>
            </w:r>
          </w:p>
          <w:p w:rsidR="007C6F6F" w:rsidRDefault="007C6F6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Rate</w:t>
            </w:r>
          </w:p>
        </w:tc>
        <w:tc>
          <w:tcPr>
            <w:tcW w:w="1364" w:type="dxa"/>
          </w:tcPr>
          <w:p w:rsidR="007C6F6F" w:rsidRDefault="007C6F6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Response Time</w:t>
            </w:r>
          </w:p>
        </w:tc>
        <w:tc>
          <w:tcPr>
            <w:tcW w:w="1176" w:type="dxa"/>
          </w:tcPr>
          <w:p w:rsidR="007C6F6F" w:rsidRDefault="007C6F6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</w:tr>
      <w:tr w:rsidR="007C6F6F" w:rsidTr="00BB0CAF">
        <w:trPr>
          <w:trHeight w:val="274"/>
        </w:trPr>
        <w:tc>
          <w:tcPr>
            <w:tcW w:w="2966" w:type="dxa"/>
          </w:tcPr>
          <w:p w:rsidR="007C6F6F" w:rsidRDefault="00B721CE">
            <w:pPr>
              <w:jc w:val="both"/>
            </w:pPr>
            <w:r>
              <w:t>Survey</w:t>
            </w:r>
          </w:p>
        </w:tc>
        <w:tc>
          <w:tcPr>
            <w:tcW w:w="2547" w:type="dxa"/>
          </w:tcPr>
          <w:p w:rsidR="007C6F6F" w:rsidRDefault="00CC02CC">
            <w:pPr>
              <w:jc w:val="both"/>
            </w:pPr>
            <w:r>
              <w:t>4</w:t>
            </w:r>
            <w:r w:rsidR="0039378A">
              <w:t>0</w:t>
            </w:r>
          </w:p>
        </w:tc>
        <w:tc>
          <w:tcPr>
            <w:tcW w:w="1620" w:type="dxa"/>
          </w:tcPr>
          <w:p w:rsidR="007C6F6F" w:rsidRDefault="00B721CE">
            <w:pPr>
              <w:jc w:val="both"/>
            </w:pPr>
            <w:r>
              <w:t>$35.00</w:t>
            </w:r>
          </w:p>
        </w:tc>
        <w:tc>
          <w:tcPr>
            <w:tcW w:w="1364" w:type="dxa"/>
          </w:tcPr>
          <w:p w:rsidR="007C6F6F" w:rsidRDefault="003F19EB">
            <w:pPr>
              <w:jc w:val="both"/>
            </w:pPr>
            <w:r>
              <w:t>10</w:t>
            </w:r>
            <w:r w:rsidR="00BB0CAF">
              <w:t xml:space="preserve"> </w:t>
            </w:r>
            <w:proofErr w:type="spellStart"/>
            <w:r w:rsidR="00BB0CAF">
              <w:t>hrs</w:t>
            </w:r>
            <w:proofErr w:type="spellEnd"/>
          </w:p>
        </w:tc>
        <w:tc>
          <w:tcPr>
            <w:tcW w:w="1176" w:type="dxa"/>
          </w:tcPr>
          <w:p w:rsidR="007C6F6F" w:rsidRDefault="004231DF" w:rsidP="003F19EB">
            <w:pPr>
              <w:jc w:val="both"/>
            </w:pPr>
            <w:r>
              <w:t>$</w:t>
            </w:r>
            <w:r w:rsidR="003F19EB">
              <w:t>350.00</w:t>
            </w:r>
          </w:p>
        </w:tc>
      </w:tr>
      <w:tr w:rsidR="007C6F6F" w:rsidTr="00BB0CAF">
        <w:trPr>
          <w:trHeight w:val="274"/>
        </w:trPr>
        <w:tc>
          <w:tcPr>
            <w:tcW w:w="2966" w:type="dxa"/>
          </w:tcPr>
          <w:p w:rsidR="007C6F6F" w:rsidRDefault="007C6F6F">
            <w:pPr>
              <w:jc w:val="both"/>
            </w:pPr>
          </w:p>
        </w:tc>
        <w:tc>
          <w:tcPr>
            <w:tcW w:w="2547" w:type="dxa"/>
          </w:tcPr>
          <w:p w:rsidR="007C6F6F" w:rsidRDefault="007C6F6F">
            <w:pPr>
              <w:jc w:val="both"/>
            </w:pPr>
          </w:p>
        </w:tc>
        <w:tc>
          <w:tcPr>
            <w:tcW w:w="1620" w:type="dxa"/>
          </w:tcPr>
          <w:p w:rsidR="007C6F6F" w:rsidRDefault="007C6F6F">
            <w:pPr>
              <w:jc w:val="both"/>
            </w:pPr>
          </w:p>
        </w:tc>
        <w:tc>
          <w:tcPr>
            <w:tcW w:w="1364" w:type="dxa"/>
          </w:tcPr>
          <w:p w:rsidR="007C6F6F" w:rsidRDefault="007C6F6F">
            <w:pPr>
              <w:jc w:val="both"/>
            </w:pPr>
          </w:p>
        </w:tc>
        <w:tc>
          <w:tcPr>
            <w:tcW w:w="1176" w:type="dxa"/>
          </w:tcPr>
          <w:p w:rsidR="007C6F6F" w:rsidRDefault="007C6F6F">
            <w:pPr>
              <w:jc w:val="both"/>
            </w:pPr>
          </w:p>
        </w:tc>
      </w:tr>
      <w:tr w:rsidR="00E30288" w:rsidTr="00BB0CAF">
        <w:trPr>
          <w:trHeight w:val="289"/>
        </w:trPr>
        <w:tc>
          <w:tcPr>
            <w:tcW w:w="2966" w:type="dxa"/>
          </w:tcPr>
          <w:p w:rsidR="00E30288" w:rsidRDefault="00E3028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Totals</w:t>
            </w:r>
          </w:p>
        </w:tc>
        <w:tc>
          <w:tcPr>
            <w:tcW w:w="2547" w:type="dxa"/>
          </w:tcPr>
          <w:p w:rsidR="00E30288" w:rsidRPr="00BB0CAF" w:rsidRDefault="00CC02CC" w:rsidP="007C6F6F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39378A">
              <w:rPr>
                <w:b/>
              </w:rPr>
              <w:t>0</w:t>
            </w:r>
          </w:p>
        </w:tc>
        <w:tc>
          <w:tcPr>
            <w:tcW w:w="1620" w:type="dxa"/>
          </w:tcPr>
          <w:p w:rsidR="00E30288" w:rsidRPr="00BB0CAF" w:rsidRDefault="00E30288" w:rsidP="007C6F6F">
            <w:pPr>
              <w:jc w:val="both"/>
              <w:rPr>
                <w:b/>
              </w:rPr>
            </w:pPr>
            <w:r w:rsidRPr="00BB0CAF">
              <w:rPr>
                <w:b/>
              </w:rPr>
              <w:t>$35.00</w:t>
            </w:r>
          </w:p>
        </w:tc>
        <w:tc>
          <w:tcPr>
            <w:tcW w:w="1364" w:type="dxa"/>
          </w:tcPr>
          <w:p w:rsidR="00E30288" w:rsidRPr="00BB0CAF" w:rsidRDefault="003F19EB" w:rsidP="007C6F6F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E30288" w:rsidRPr="00BB0CAF">
              <w:rPr>
                <w:b/>
              </w:rPr>
              <w:t xml:space="preserve"> </w:t>
            </w:r>
            <w:proofErr w:type="spellStart"/>
            <w:r w:rsidR="00E30288" w:rsidRPr="00BB0CAF">
              <w:rPr>
                <w:b/>
              </w:rPr>
              <w:t>hrs</w:t>
            </w:r>
            <w:proofErr w:type="spellEnd"/>
          </w:p>
        </w:tc>
        <w:tc>
          <w:tcPr>
            <w:tcW w:w="1176" w:type="dxa"/>
          </w:tcPr>
          <w:p w:rsidR="00E30288" w:rsidRDefault="00E30288" w:rsidP="003F19EB">
            <w:pPr>
              <w:jc w:val="both"/>
            </w:pPr>
            <w:r>
              <w:t>$</w:t>
            </w:r>
            <w:r w:rsidR="003F19EB">
              <w:t>350.00</w:t>
            </w:r>
          </w:p>
        </w:tc>
      </w:tr>
    </w:tbl>
    <w:p w:rsidR="007C6F6F" w:rsidRDefault="007C6F6F">
      <w:pPr>
        <w:jc w:val="both"/>
        <w:rPr>
          <w:b/>
        </w:rPr>
      </w:pPr>
    </w:p>
    <w:p w:rsidR="007C6F6F" w:rsidRDefault="007C6F6F">
      <w:pPr>
        <w:pStyle w:val="BodyTextIndent"/>
        <w:tabs>
          <w:tab w:val="left" w:pos="360"/>
        </w:tabs>
        <w:ind w:left="0"/>
        <w:jc w:val="both"/>
        <w:rPr>
          <w:b/>
          <w:bCs/>
          <w:u w:val="single"/>
        </w:rPr>
      </w:pPr>
    </w:p>
    <w:p w:rsidR="007C6F6F" w:rsidRDefault="007C6F6F">
      <w:pPr>
        <w:pStyle w:val="BodyTextIndent"/>
        <w:tabs>
          <w:tab w:val="left" w:pos="360"/>
        </w:tabs>
        <w:ind w:left="0"/>
        <w:jc w:val="both"/>
        <w:rPr>
          <w:b/>
          <w:bCs/>
          <w:u w:val="single"/>
        </w:rPr>
      </w:pPr>
    </w:p>
    <w:p w:rsidR="007C6F6F" w:rsidRDefault="007C6F6F">
      <w:pPr>
        <w:pStyle w:val="BodyTextIndent"/>
        <w:tabs>
          <w:tab w:val="left" w:pos="360"/>
        </w:tabs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STATISTICAL INFORMATION</w:t>
      </w:r>
      <w:r>
        <w:rPr>
          <w:rFonts w:ascii="Arial" w:hAnsi="Arial" w:cs="Arial"/>
          <w:b/>
          <w:bCs/>
        </w:rPr>
        <w:t xml:space="preserve"> </w:t>
      </w:r>
    </w:p>
    <w:p w:rsidR="007C6F6F" w:rsidRDefault="006153FB">
      <w:pPr>
        <w:rPr>
          <w:rFonts w:ascii="Arial" w:hAnsi="Arial" w:cs="Arial"/>
        </w:rPr>
      </w:pPr>
      <w:r>
        <w:rPr>
          <w:rFonts w:ascii="Arial" w:hAnsi="Arial" w:cs="Arial"/>
        </w:rPr>
        <w:t>Only participation rates and frequency w</w:t>
      </w:r>
      <w:r w:rsidR="007F3DC1">
        <w:rPr>
          <w:rFonts w:ascii="Arial" w:hAnsi="Arial" w:cs="Arial"/>
        </w:rPr>
        <w:t xml:space="preserve">ill be determined statistically, there are no reports published. </w:t>
      </w:r>
    </w:p>
    <w:p w:rsidR="00FB14D0" w:rsidRDefault="00FB14D0">
      <w:pPr>
        <w:rPr>
          <w:rFonts w:ascii="Arial" w:hAnsi="Arial" w:cs="Arial"/>
        </w:rPr>
      </w:pPr>
    </w:p>
    <w:p w:rsidR="007C6F6F" w:rsidRDefault="007C6F6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REQUESTED APPROVAL DATE:</w:t>
      </w:r>
      <w:r w:rsidR="0078170A">
        <w:rPr>
          <w:rFonts w:ascii="Arial" w:hAnsi="Arial" w:cs="Arial"/>
          <w:b/>
        </w:rPr>
        <w:t xml:space="preserve">  </w:t>
      </w:r>
      <w:r w:rsidR="007F3DC1">
        <w:rPr>
          <w:rFonts w:ascii="Arial" w:hAnsi="Arial" w:cs="Arial"/>
          <w:b/>
        </w:rPr>
        <w:t>5/6/2014</w:t>
      </w:r>
    </w:p>
    <w:p w:rsidR="007C6F6F" w:rsidRDefault="007C6F6F">
      <w:pPr>
        <w:jc w:val="both"/>
        <w:rPr>
          <w:rFonts w:ascii="Arial" w:hAnsi="Arial" w:cs="Arial"/>
          <w:b/>
        </w:rPr>
      </w:pPr>
    </w:p>
    <w:p w:rsidR="007C6F6F" w:rsidRDefault="007C6F6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NAME OF CONTACT PERSON:  </w:t>
      </w:r>
      <w:r w:rsidR="003F19EB">
        <w:rPr>
          <w:rFonts w:ascii="Arial" w:hAnsi="Arial" w:cs="Arial"/>
          <w:b/>
        </w:rPr>
        <w:t>Soumya Sathya</w:t>
      </w:r>
    </w:p>
    <w:p w:rsidR="007C6F6F" w:rsidRDefault="007C6F6F">
      <w:pPr>
        <w:jc w:val="both"/>
        <w:rPr>
          <w:rFonts w:ascii="Arial" w:hAnsi="Arial" w:cs="Arial"/>
        </w:rPr>
      </w:pPr>
    </w:p>
    <w:p w:rsidR="007C6F6F" w:rsidRDefault="007C6F6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TELEPHONE NUMBER:</w:t>
      </w:r>
      <w:r>
        <w:rPr>
          <w:rFonts w:ascii="Arial" w:hAnsi="Arial" w:cs="Arial"/>
          <w:b/>
        </w:rPr>
        <w:tab/>
      </w:r>
      <w:r w:rsidR="0078170A">
        <w:rPr>
          <w:rFonts w:ascii="Arial" w:hAnsi="Arial" w:cs="Arial"/>
          <w:b/>
        </w:rPr>
        <w:t>202-</w:t>
      </w:r>
      <w:r w:rsidR="003F19EB">
        <w:rPr>
          <w:rFonts w:ascii="Arial" w:hAnsi="Arial" w:cs="Arial"/>
          <w:b/>
        </w:rPr>
        <w:t>260-0819</w:t>
      </w:r>
      <w:r w:rsidR="0078170A">
        <w:rPr>
          <w:rFonts w:ascii="Arial" w:hAnsi="Arial" w:cs="Arial"/>
          <w:b/>
        </w:rPr>
        <w:tab/>
      </w:r>
    </w:p>
    <w:p w:rsidR="007C6F6F" w:rsidRDefault="007C6F6F">
      <w:pPr>
        <w:jc w:val="both"/>
        <w:rPr>
          <w:rFonts w:ascii="Arial" w:hAnsi="Arial" w:cs="Arial"/>
        </w:rPr>
      </w:pPr>
    </w:p>
    <w:p w:rsidR="007C6F6F" w:rsidRDefault="007C6F6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MAILING LOCATION:</w:t>
      </w:r>
      <w:r w:rsidR="0078170A">
        <w:rPr>
          <w:rFonts w:ascii="Arial" w:hAnsi="Arial" w:cs="Arial"/>
          <w:b/>
        </w:rPr>
        <w:t xml:space="preserve">  400 Mary</w:t>
      </w:r>
      <w:r w:rsidR="00FB14D0">
        <w:rPr>
          <w:rFonts w:ascii="Arial" w:hAnsi="Arial" w:cs="Arial"/>
          <w:b/>
        </w:rPr>
        <w:t>land Ave, SW, Washington, DC  20202-5970</w:t>
      </w:r>
    </w:p>
    <w:p w:rsidR="007C6F6F" w:rsidRDefault="007C6F6F">
      <w:pPr>
        <w:ind w:left="2160" w:firstLine="720"/>
        <w:jc w:val="both"/>
        <w:rPr>
          <w:rFonts w:ascii="Arial" w:hAnsi="Arial" w:cs="Arial"/>
        </w:rPr>
      </w:pPr>
    </w:p>
    <w:p w:rsidR="007C6F6F" w:rsidRDefault="007C6F6F">
      <w:pPr>
        <w:tabs>
          <w:tab w:val="left" w:pos="5670"/>
        </w:tabs>
        <w:suppressAutoHyphens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 DEPARTMENT, OFFICE:</w:t>
      </w:r>
      <w:r w:rsidR="00FB14D0">
        <w:rPr>
          <w:rFonts w:ascii="Arial" w:hAnsi="Arial" w:cs="Arial"/>
          <w:b/>
        </w:rPr>
        <w:t xml:space="preserve"> OII, Charter Schools Program</w:t>
      </w:r>
    </w:p>
    <w:p w:rsidR="007C6F6F" w:rsidRDefault="007C6F6F">
      <w:pPr>
        <w:tabs>
          <w:tab w:val="left" w:pos="5670"/>
        </w:tabs>
        <w:suppressAutoHyphens/>
        <w:jc w:val="both"/>
        <w:rPr>
          <w:rFonts w:ascii="Arial" w:hAnsi="Arial" w:cs="Arial"/>
          <w:b/>
        </w:rPr>
      </w:pPr>
    </w:p>
    <w:p w:rsidR="007C6F6F" w:rsidRDefault="007C6F6F"/>
    <w:sectPr w:rsidR="007C6F6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137"/>
    <w:rsid w:val="00355285"/>
    <w:rsid w:val="00361395"/>
    <w:rsid w:val="0039378A"/>
    <w:rsid w:val="003C0490"/>
    <w:rsid w:val="003F19EB"/>
    <w:rsid w:val="00402741"/>
    <w:rsid w:val="004231DF"/>
    <w:rsid w:val="004A3ADB"/>
    <w:rsid w:val="004E2B26"/>
    <w:rsid w:val="00512AD3"/>
    <w:rsid w:val="00614912"/>
    <w:rsid w:val="006153FB"/>
    <w:rsid w:val="006903A8"/>
    <w:rsid w:val="0078170A"/>
    <w:rsid w:val="007C6F6F"/>
    <w:rsid w:val="007F3DC1"/>
    <w:rsid w:val="008F2AF5"/>
    <w:rsid w:val="009B23C6"/>
    <w:rsid w:val="00A35D81"/>
    <w:rsid w:val="00B721CE"/>
    <w:rsid w:val="00BB0CAF"/>
    <w:rsid w:val="00CA24A1"/>
    <w:rsid w:val="00CC02CC"/>
    <w:rsid w:val="00D54668"/>
    <w:rsid w:val="00D96423"/>
    <w:rsid w:val="00E30288"/>
    <w:rsid w:val="00E44281"/>
    <w:rsid w:val="00F26F55"/>
    <w:rsid w:val="00FB14D0"/>
    <w:rsid w:val="00FC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1,Letterhead Heading"/>
    <w:basedOn w:val="Normal"/>
    <w:semiHidden/>
    <w:pPr>
      <w:tabs>
        <w:tab w:val="center" w:pos="4320"/>
        <w:tab w:val="right" w:pos="8640"/>
      </w:tabs>
    </w:pPr>
    <w:rPr>
      <w:szCs w:val="20"/>
    </w:rPr>
  </w:style>
  <w:style w:type="paragraph" w:styleId="BodyTextIndent">
    <w:name w:val="Body Text Indent"/>
    <w:basedOn w:val="Normal"/>
    <w:semiHidden/>
    <w:pPr>
      <w:ind w:left="360"/>
    </w:pPr>
    <w:rPr>
      <w:snapToGrid w:val="0"/>
      <w:szCs w:val="20"/>
    </w:rPr>
  </w:style>
  <w:style w:type="paragraph" w:customStyle="1" w:styleId="Default">
    <w:name w:val="Default"/>
    <w:rsid w:val="00FC613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1,Letterhead Heading"/>
    <w:basedOn w:val="Normal"/>
    <w:semiHidden/>
    <w:pPr>
      <w:tabs>
        <w:tab w:val="center" w:pos="4320"/>
        <w:tab w:val="right" w:pos="8640"/>
      </w:tabs>
    </w:pPr>
    <w:rPr>
      <w:szCs w:val="20"/>
    </w:rPr>
  </w:style>
  <w:style w:type="paragraph" w:styleId="BodyTextIndent">
    <w:name w:val="Body Text Indent"/>
    <w:basedOn w:val="Normal"/>
    <w:semiHidden/>
    <w:pPr>
      <w:ind w:left="360"/>
    </w:pPr>
    <w:rPr>
      <w:snapToGrid w:val="0"/>
      <w:szCs w:val="20"/>
    </w:rPr>
  </w:style>
  <w:style w:type="paragraph" w:customStyle="1" w:styleId="Default">
    <w:name w:val="Default"/>
    <w:rsid w:val="00FC613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DoED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Tomakie.Washington</dc:creator>
  <cp:lastModifiedBy>Tomakie Washington</cp:lastModifiedBy>
  <cp:revision>3</cp:revision>
  <dcterms:created xsi:type="dcterms:W3CDTF">2014-04-22T21:25:00Z</dcterms:created>
  <dcterms:modified xsi:type="dcterms:W3CDTF">2014-04-22T21:38:00Z</dcterms:modified>
</cp:coreProperties>
</file>