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BDD" w:rsidRDefault="000B6BDD" w:rsidP="00DC1044">
      <w:pPr>
        <w:pStyle w:val="C2-CtrSglSp"/>
        <w:rPr>
          <w:rFonts w:ascii="Franklin Gothic Medium" w:hAnsi="Franklin Gothic Medium"/>
          <w:sz w:val="40"/>
        </w:rPr>
      </w:pPr>
      <w:r>
        <w:rPr>
          <w:rFonts w:ascii="Franklin Gothic Medium" w:hAnsi="Franklin Gothic Medium"/>
          <w:sz w:val="40"/>
        </w:rPr>
        <w:t>Appendix G</w:t>
      </w:r>
      <w:r>
        <w:rPr>
          <w:rFonts w:ascii="Franklin Gothic Medium" w:hAnsi="Franklin Gothic Medium"/>
          <w:sz w:val="40"/>
        </w:rPr>
        <w:br/>
      </w:r>
      <w:r>
        <w:rPr>
          <w:rFonts w:ascii="Franklin Gothic Medium" w:hAnsi="Franklin Gothic Medium"/>
          <w:sz w:val="40"/>
        </w:rPr>
        <w:br/>
        <w:t>Design and Analysis</w:t>
      </w:r>
      <w:r>
        <w:rPr>
          <w:rFonts w:ascii="Franklin Gothic Medium" w:hAnsi="Franklin Gothic Medium"/>
          <w:sz w:val="40"/>
        </w:rPr>
        <w:br/>
        <w:t>of Incentive Experiment</w:t>
      </w:r>
    </w:p>
    <w:p w:rsidR="000B6BDD" w:rsidRDefault="000B6BDD" w:rsidP="00DC1044">
      <w:pPr>
        <w:pStyle w:val="C2-CtrSglSp"/>
        <w:rPr>
          <w:rFonts w:ascii="Franklin Gothic Medium" w:hAnsi="Franklin Gothic Medium"/>
          <w:sz w:val="40"/>
        </w:rPr>
        <w:sectPr w:rsidR="000B6BDD" w:rsidSect="0037170C">
          <w:pgSz w:w="12240" w:h="15840" w:code="1"/>
          <w:pgMar w:top="1440" w:right="1440" w:bottom="1440" w:left="1440" w:header="720" w:footer="576" w:gutter="0"/>
          <w:pgBorders>
            <w:top w:val="threeDEngrave" w:sz="48" w:space="1" w:color="auto"/>
            <w:left w:val="threeDEngrave" w:sz="48" w:space="4" w:color="auto"/>
            <w:bottom w:val="threeDEmboss" w:sz="48" w:space="1" w:color="auto"/>
            <w:right w:val="threeDEmboss" w:sz="48" w:space="4" w:color="auto"/>
          </w:pgBorders>
          <w:cols w:space="720"/>
          <w:vAlign w:val="center"/>
        </w:sectPr>
      </w:pPr>
    </w:p>
    <w:p w:rsidR="000B6BDD" w:rsidRDefault="000B6BDD" w:rsidP="0077660B">
      <w:pPr>
        <w:pStyle w:val="Heading0"/>
      </w:pPr>
      <w:r>
        <w:t>Appendix G</w:t>
      </w:r>
      <w:r>
        <w:br/>
        <w:t>Design and Analysis of Incentive Experiment</w:t>
      </w:r>
    </w:p>
    <w:p w:rsidR="000B6BDD" w:rsidRDefault="000B6BDD" w:rsidP="0077660B">
      <w:pPr>
        <w:pStyle w:val="Heading0"/>
      </w:pPr>
    </w:p>
    <w:p w:rsidR="000B6BDD" w:rsidRPr="00865A23" w:rsidRDefault="000B6BDD" w:rsidP="00DC1044">
      <w:pPr>
        <w:pStyle w:val="Heading1"/>
      </w:pPr>
      <w:r>
        <w:t>G.1</w:t>
      </w:r>
      <w:r>
        <w:tab/>
      </w:r>
      <w:r w:rsidRPr="00865A23">
        <w:t>Experiment Design</w:t>
      </w:r>
    </w:p>
    <w:p w:rsidR="000B6BDD" w:rsidRDefault="000B6BDD" w:rsidP="009963F3">
      <w:pPr>
        <w:pStyle w:val="L1-FlLSp12"/>
      </w:pPr>
      <w:r>
        <w:t>As explained in Statement A, t</w:t>
      </w:r>
      <w:r w:rsidRPr="00F0440A">
        <w:t>he PIAAC field test included an experiment to evaluate the impact of increasing the incentive amount from $35 to $50.</w:t>
      </w:r>
      <w:r>
        <w:t xml:space="preserve">  This appendix describes this </w:t>
      </w:r>
      <w:r w:rsidRPr="00F0440A">
        <w:t>incentive experiment</w:t>
      </w:r>
      <w:r>
        <w:t xml:space="preserve">.  </w:t>
      </w:r>
    </w:p>
    <w:p w:rsidR="000B6BDD" w:rsidRDefault="000B6BDD" w:rsidP="009963F3">
      <w:pPr>
        <w:pStyle w:val="L1-FlLSp12"/>
      </w:pPr>
    </w:p>
    <w:p w:rsidR="000B6BDD" w:rsidRDefault="000B6BDD" w:rsidP="00DC1044">
      <w:pPr>
        <w:pStyle w:val="L1-FlLSp12"/>
      </w:pPr>
      <w:r>
        <w:t xml:space="preserve">The experiment </w:t>
      </w:r>
      <w:r w:rsidRPr="00F0440A">
        <w:t>was conducted at the segment level (clusters of dwelling units (DUs) within Primary sampling units (PSUs))</w:t>
      </w:r>
      <w:r>
        <w:t xml:space="preserve"> rather than </w:t>
      </w:r>
      <w:r w:rsidRPr="00F0440A">
        <w:t xml:space="preserve">at the DU level because </w:t>
      </w:r>
      <w:r>
        <w:t xml:space="preserve">(1) </w:t>
      </w:r>
      <w:r w:rsidRPr="00F0440A">
        <w:t xml:space="preserve">such designs have an increased chance of introducing error in administering the incentives to the respondents, and </w:t>
      </w:r>
      <w:r>
        <w:t>(2) such designs introduce the</w:t>
      </w:r>
      <w:r w:rsidRPr="00F0440A">
        <w:t xml:space="preserve"> risk of spreading information about different incentive amounts in </w:t>
      </w:r>
      <w:r>
        <w:t>a single neighborhood</w:t>
      </w:r>
      <w:r w:rsidRPr="00F0440A">
        <w:t>.</w:t>
      </w:r>
      <w:r>
        <w:t xml:space="preserve">  Incentive payments were randomly assigned to each segment. The assignment was done systematically by sorting the segments by PSU and geographical location of the segment within the PSU and then alternating the assignment of the $35 payment and the $50 payment to the segments. After the assignment, quality checks ensured that each incentive group was balanced in terms of demographic characteristics (poverty status, educational attainment, percent Black and/or Hispanic, and geographic region).</w:t>
      </w:r>
    </w:p>
    <w:p w:rsidR="000B6BDD" w:rsidRDefault="000B6BDD" w:rsidP="00DC1044">
      <w:pPr>
        <w:pStyle w:val="L1-FlLSp12"/>
      </w:pPr>
    </w:p>
    <w:p w:rsidR="000B6BDD" w:rsidRDefault="000B6BDD" w:rsidP="00DC1044">
      <w:pPr>
        <w:pStyle w:val="L1-FlLSp12"/>
      </w:pPr>
      <w:r>
        <w:t>The following highlights other major aspects of the incentive experiment design.</w:t>
      </w:r>
    </w:p>
    <w:p w:rsidR="000B6BDD" w:rsidRDefault="000B6BDD" w:rsidP="00DC1044">
      <w:pPr>
        <w:pStyle w:val="L1-FlLSp12"/>
      </w:pPr>
    </w:p>
    <w:p w:rsidR="000B6BDD" w:rsidRDefault="000B6BDD" w:rsidP="00DC1044">
      <w:pPr>
        <w:pStyle w:val="N1-1stBullet"/>
        <w:numPr>
          <w:numberingChange w:id="0" w:author="Unknown" w:date="2011-04-29T16:46:00Z" w:original=""/>
        </w:numPr>
      </w:pPr>
      <w:r>
        <w:t>Interviewers were given both $35 and $50 segments to minimize any interviewer impact on the incentive payment effect.</w:t>
      </w:r>
      <w:r w:rsidRPr="005B4BD5">
        <w:t xml:space="preserve"> </w:t>
      </w:r>
    </w:p>
    <w:p w:rsidR="000B6BDD" w:rsidRDefault="000B6BDD" w:rsidP="00DC1044">
      <w:pPr>
        <w:pStyle w:val="N1-1stBullet"/>
        <w:numPr>
          <w:numberingChange w:id="1" w:author="Unknown" w:date="2011-04-29T16:46:00Z" w:original=""/>
        </w:numPr>
      </w:pPr>
      <w:r>
        <w:t>Incentive assignment to segments with common boundaries, or in close proximity, followed its natural probability-based assignment. Therefore, there was no special re-allocation of the incentive groups in order to have the same incentive amount for segments close in proximity.</w:t>
      </w:r>
      <w:r w:rsidRPr="005B4BD5">
        <w:t xml:space="preserve"> </w:t>
      </w:r>
    </w:p>
    <w:p w:rsidR="000B6BDD" w:rsidRDefault="000B6BDD" w:rsidP="00DC1044">
      <w:pPr>
        <w:pStyle w:val="N1-1stBullet"/>
        <w:numPr>
          <w:numberingChange w:id="2" w:author="Unknown" w:date="2011-04-29T16:46:00Z" w:original=""/>
        </w:numPr>
      </w:pPr>
      <w:r>
        <w:t>The official sample for the incentive experiment were the 3,581 DUs that were released originally after the de-selection process occurred.</w:t>
      </w:r>
      <w:r>
        <w:rPr>
          <w:rStyle w:val="FootnoteReference"/>
        </w:rPr>
        <w:footnoteReference w:id="1"/>
      </w:r>
      <w:r>
        <w:t xml:space="preserve"> The released cases from additional reserve sample</w:t>
      </w:r>
      <w:r>
        <w:rPr>
          <w:rStyle w:val="FootnoteReference"/>
        </w:rPr>
        <w:footnoteReference w:id="2"/>
      </w:r>
      <w:r>
        <w:t xml:space="preserve"> were excluded because the resulting nonrespondents may not have been worked fully to meet PIAAC standards. </w:t>
      </w:r>
    </w:p>
    <w:p w:rsidR="000B6BDD" w:rsidRDefault="000B6BDD" w:rsidP="00613F08">
      <w:pPr>
        <w:pStyle w:val="L1-FlLSp12"/>
        <w:rPr>
          <w:noProof/>
        </w:rPr>
      </w:pPr>
    </w:p>
    <w:p w:rsidR="000B6BDD" w:rsidRDefault="000B6BDD" w:rsidP="00613F08">
      <w:pPr>
        <w:pStyle w:val="Heading1"/>
        <w:rPr>
          <w:noProof/>
        </w:rPr>
      </w:pPr>
      <w:r>
        <w:rPr>
          <w:noProof/>
        </w:rPr>
        <w:t>G.2</w:t>
      </w:r>
      <w:r>
        <w:rPr>
          <w:noProof/>
        </w:rPr>
        <w:tab/>
        <w:t xml:space="preserve">Method of </w:t>
      </w:r>
      <w:r w:rsidRPr="00AA0373">
        <w:rPr>
          <w:noProof/>
        </w:rPr>
        <w:t xml:space="preserve">Analysis </w:t>
      </w:r>
    </w:p>
    <w:p w:rsidR="000B6BDD" w:rsidRDefault="000B6BDD" w:rsidP="00613F08">
      <w:pPr>
        <w:pStyle w:val="L1-FlLSp12"/>
      </w:pPr>
      <w:r>
        <w:t xml:space="preserve">Statistical analyses were conducted to examine differences between the following rates at the two incentive levels:  </w:t>
      </w:r>
    </w:p>
    <w:p w:rsidR="000B6BDD" w:rsidRDefault="000B6BDD">
      <w:pPr>
        <w:pStyle w:val="L1-FlLSp12"/>
        <w:numPr>
          <w:ilvl w:val="0"/>
          <w:numId w:val="25"/>
          <w:numberingChange w:id="3" w:author="Unknown" w:date="2011-04-29T16:46:00Z" w:original=""/>
        </w:numPr>
      </w:pPr>
      <w:r>
        <w:t xml:space="preserve">Refusal rates for the screener, </w:t>
      </w:r>
    </w:p>
    <w:p w:rsidR="000B6BDD" w:rsidRDefault="000B6BDD">
      <w:pPr>
        <w:pStyle w:val="L1-FlLSp12"/>
        <w:numPr>
          <w:ilvl w:val="0"/>
          <w:numId w:val="25"/>
          <w:numberingChange w:id="4" w:author="Unknown" w:date="2011-04-29T16:46:00Z" w:original=""/>
        </w:numPr>
      </w:pPr>
      <w:r>
        <w:t>Refusal rates for the BQ,</w:t>
      </w:r>
    </w:p>
    <w:p w:rsidR="000B6BDD" w:rsidRDefault="000B6BDD">
      <w:pPr>
        <w:pStyle w:val="L1-FlLSp12"/>
        <w:numPr>
          <w:ilvl w:val="0"/>
          <w:numId w:val="25"/>
          <w:numberingChange w:id="5" w:author="Unknown" w:date="2011-04-29T16:46:00Z" w:original=""/>
        </w:numPr>
      </w:pPr>
      <w:r>
        <w:t xml:space="preserve">Refusal rates for the screener and BQ combined (referred to as “overall” in this document). </w:t>
      </w:r>
    </w:p>
    <w:p w:rsidR="000B6BDD" w:rsidRDefault="000B6BDD" w:rsidP="00613F08">
      <w:pPr>
        <w:pStyle w:val="L1-FlLSp12"/>
      </w:pPr>
    </w:p>
    <w:p w:rsidR="000B6BDD" w:rsidRDefault="000B6BDD" w:rsidP="008D33B1">
      <w:pPr>
        <w:tabs>
          <w:tab w:val="left" w:pos="1152"/>
        </w:tabs>
        <w:spacing w:line="360" w:lineRule="atLeast"/>
      </w:pPr>
      <w:r>
        <w:t xml:space="preserve">As explained in Part A, the refusal rate (the complement of the experiment response rate) was selected for the analysis (instead of the unweighted initial response rate). The reason again for not using the unadjusted response rate was that it does not take into account (1) the fact </w:t>
      </w:r>
      <w:r w:rsidRPr="00F0440A">
        <w:t xml:space="preserve">the field test sample was </w:t>
      </w:r>
      <w:r>
        <w:t xml:space="preserve">purposefully </w:t>
      </w:r>
      <w:r w:rsidRPr="00F0440A">
        <w:t>selected from areas with high computer literac</w:t>
      </w:r>
      <w:r>
        <w:t>y</w:t>
      </w:r>
      <w:r w:rsidRPr="00FE0480">
        <w:rPr>
          <w:rStyle w:val="FootnoteReference"/>
          <w:rFonts w:ascii="Calibri" w:hAnsi="Calibri"/>
          <w:sz w:val="22"/>
          <w:szCs w:val="22"/>
        </w:rPr>
        <w:footnoteReference w:id="3"/>
      </w:r>
      <w:r>
        <w:t xml:space="preserve"> and (2) the fact that not </w:t>
      </w:r>
      <w:r w:rsidRPr="006159DF">
        <w:t xml:space="preserve">all persons selected into the sample became aware of the incentive </w:t>
      </w:r>
      <w:r>
        <w:t>offered to them (</w:t>
      </w:r>
      <w:r w:rsidRPr="006159DF">
        <w:t>even though advanced letters were mailed to all households</w:t>
      </w:r>
      <w:r>
        <w:t xml:space="preserve"> explaining the incentive).</w:t>
      </w:r>
      <w:r>
        <w:rPr>
          <w:rStyle w:val="FootnoteReference"/>
        </w:rPr>
        <w:footnoteReference w:id="4"/>
      </w:r>
      <w:r>
        <w:t xml:space="preserve">  The reason the refusal rate was adopted instead of the experiment response rate was to avoid the potential for confusion in having two different sets of field test response rates in various documents. The </w:t>
      </w:r>
      <w:r w:rsidRPr="00F244B4">
        <w:rPr>
          <w:i/>
        </w:rPr>
        <w:t>refusal rate</w:t>
      </w:r>
      <w:r>
        <w:t xml:space="preserve"> is defined as:</w:t>
      </w:r>
    </w:p>
    <w:p w:rsidR="000B6BDD" w:rsidRDefault="000B6BDD" w:rsidP="008D33B1">
      <w:pPr>
        <w:tabs>
          <w:tab w:val="left" w:pos="1152"/>
        </w:tabs>
        <w:spacing w:line="360" w:lineRule="atLeast"/>
        <w:ind w:left="720"/>
      </w:pPr>
      <w:r>
        <w:tab/>
        <w:t xml:space="preserve">refusal rate </w:t>
      </w:r>
      <w:r>
        <w:tab/>
        <w:t xml:space="preserve">= </w:t>
      </w:r>
      <w:r>
        <w:tab/>
        <w:t xml:space="preserve">1 – experiment response rate </w:t>
      </w:r>
    </w:p>
    <w:p w:rsidR="000B6BDD" w:rsidRPr="00DF7819" w:rsidRDefault="000B6BDD" w:rsidP="00DF7819">
      <w:pPr>
        <w:tabs>
          <w:tab w:val="left" w:pos="1152"/>
        </w:tabs>
        <w:ind w:left="720"/>
        <w:rPr>
          <w:sz w:val="12"/>
          <w:szCs w:val="12"/>
        </w:rPr>
      </w:pPr>
    </w:p>
    <w:p w:rsidR="000B6BDD" w:rsidRDefault="000B6BDD" w:rsidP="00DF7819">
      <w:pPr>
        <w:tabs>
          <w:tab w:val="left" w:pos="1152"/>
        </w:tabs>
        <w:spacing w:line="360" w:lineRule="atLeast"/>
      </w:pPr>
      <w:r>
        <w:t>which is to say,</w:t>
      </w:r>
    </w:p>
    <w:p w:rsidR="000B6BDD" w:rsidRPr="00DF7819" w:rsidRDefault="000B6BDD" w:rsidP="00DF7819">
      <w:pPr>
        <w:tabs>
          <w:tab w:val="left" w:pos="1152"/>
        </w:tabs>
        <w:ind w:left="720"/>
        <w:rPr>
          <w:sz w:val="12"/>
          <w:szCs w:val="12"/>
        </w:rPr>
      </w:pPr>
    </w:p>
    <w:p w:rsidR="000B6BDD" w:rsidRPr="00F244B4" w:rsidRDefault="000B6BDD" w:rsidP="008D33B1">
      <w:pPr>
        <w:tabs>
          <w:tab w:val="left" w:pos="1152"/>
        </w:tabs>
        <w:spacing w:line="360" w:lineRule="atLeast"/>
        <w:ind w:left="720"/>
        <w:rPr>
          <w:u w:val="single"/>
        </w:rPr>
      </w:pPr>
      <w:r>
        <w:tab/>
        <w:t>refusal rate</w:t>
      </w:r>
      <w:r>
        <w:tab/>
        <w:t xml:space="preserve">= </w:t>
      </w:r>
      <w:r>
        <w:tab/>
      </w:r>
      <w:r w:rsidRPr="00B92AC6">
        <w:rPr>
          <w:u w:val="single"/>
        </w:rPr>
        <w:tab/>
      </w:r>
      <w:r>
        <w:rPr>
          <w:u w:val="single"/>
        </w:rPr>
        <w:t>[</w:t>
      </w:r>
      <w:r w:rsidRPr="00F244B4">
        <w:rPr>
          <w:u w:val="single"/>
        </w:rPr>
        <w:t>refusals</w:t>
      </w:r>
      <w:r>
        <w:rPr>
          <w:u w:val="single"/>
        </w:rPr>
        <w:t xml:space="preserve"> + partial complete or </w:t>
      </w:r>
      <w:r w:rsidRPr="00F244B4">
        <w:rPr>
          <w:u w:val="single"/>
        </w:rPr>
        <w:t>breakoffs</w:t>
      </w:r>
      <w:r>
        <w:rPr>
          <w:u w:val="single"/>
        </w:rPr>
        <w:t>]</w:t>
      </w:r>
      <w:r>
        <w:rPr>
          <w:u w:val="single"/>
        </w:rPr>
        <w:tab/>
      </w:r>
    </w:p>
    <w:p w:rsidR="000B6BDD" w:rsidRDefault="000B6BDD" w:rsidP="008D33B1">
      <w:pPr>
        <w:tabs>
          <w:tab w:val="left" w:pos="1152"/>
        </w:tabs>
        <w:spacing w:line="360" w:lineRule="atLeast"/>
        <w:ind w:left="720"/>
      </w:pPr>
      <w:r>
        <w:tab/>
      </w:r>
      <w:r>
        <w:tab/>
      </w:r>
      <w:r>
        <w:tab/>
      </w:r>
      <w:r>
        <w:tab/>
      </w:r>
      <w:r>
        <w:tab/>
        <w:t>[completes + refusals + partial complete or breakoffs]</w:t>
      </w:r>
    </w:p>
    <w:p w:rsidR="000B6BDD" w:rsidRDefault="000B6BDD" w:rsidP="00613F08">
      <w:pPr>
        <w:pStyle w:val="L1-FlLSp12"/>
      </w:pPr>
    </w:p>
    <w:p w:rsidR="000B6BDD" w:rsidRDefault="000B6BDD" w:rsidP="00613F08">
      <w:pPr>
        <w:pStyle w:val="L1-FlLSp12"/>
      </w:pPr>
      <w:r>
        <w:t>Logistic regression modeling was used to test the null hypothesis of no impact on the chance for refusal between $35 and $50 incentives, after controlling for other variables in the model. In addition to measuring the incentive payment effect on refusal rates, the model also estimates effects of other variables on refusal rates. A</w:t>
      </w:r>
      <w:r w:rsidRPr="00096EB2">
        <w:t xml:space="preserve"> stepwise logistic regression was processed to determine the best </w:t>
      </w:r>
      <w:r>
        <w:t>explanatory variables for the model</w:t>
      </w:r>
      <w:r w:rsidRPr="00096EB2">
        <w:t>.</w:t>
      </w:r>
      <w:r>
        <w:t xml:space="preserve"> Explanatory variables, relating to race/ethnicity, education attainment, median income, Metropolitan Statistical Area status, and poverty status, were gathered from Census 2000 data at the segment level. Variables for the BQ level analysis also included age, sex and </w:t>
      </w:r>
      <w:r w:rsidRPr="00985834">
        <w:t>race/ethnicity</w:t>
      </w:r>
      <w:r>
        <w:t>. The stepwise regression helped to address any issues with multicollinearity, which would violate modeling assumptions relating to the independent effects among explanatory variables. Once the set of explanatory variables were selected, a</w:t>
      </w:r>
      <w:r w:rsidRPr="00096EB2">
        <w:t xml:space="preserve"> logistic regression</w:t>
      </w:r>
      <w:r>
        <w:t xml:space="preserve"> model that incorporates clustering effects and weights was processed.</w:t>
      </w:r>
    </w:p>
    <w:p w:rsidR="000B6BDD" w:rsidRDefault="000B6BDD" w:rsidP="00613F08">
      <w:pPr>
        <w:pStyle w:val="L1-FlLSp12"/>
      </w:pPr>
    </w:p>
    <w:p w:rsidR="000B6BDD" w:rsidRPr="00096EB2" w:rsidRDefault="000B6BDD" w:rsidP="00613F08">
      <w:pPr>
        <w:pStyle w:val="L1-FlLSp12"/>
      </w:pPr>
      <w:r>
        <w:t xml:space="preserve">The modeling approach measures the overall impact of incentive payments on refusal rates. To investigate the impact of different levels of incentives on each demographic subgroup (as defined below) individually, simultaneous statistical t-tests were conducted to test the null hypothesis of no difference between refusal rates for the two incentive amounts, by subgroups created based on demographic characteristics of the PSUs in the sample. The t-tests and the regression analysis were conducted using </w:t>
      </w:r>
      <w:r w:rsidRPr="00467EEA">
        <w:t>weights</w:t>
      </w:r>
      <w:r>
        <w:t>. The weights were set equal to one, except for cases in the Not-at-homes (NH) and Not-worked (NW) strata at the time of deselection of DUs during the data collection period. To account for the deselected cases, the weights for the retained NH and NW cases were set equal to the inverse of the subsampling rate (2/3)</w:t>
      </w:r>
      <w:r w:rsidRPr="00096EB2">
        <w:t>. In addition, since households are clustered within segments, and segments clustered within PSUs, replicate weights were created</w:t>
      </w:r>
      <w:r>
        <w:t xml:space="preserve"> for the analysis</w:t>
      </w:r>
      <w:r w:rsidRPr="00096EB2">
        <w:t xml:space="preserve"> to capture the clustering effect on variances. </w:t>
      </w:r>
      <w:r>
        <w:rPr>
          <w:szCs w:val="24"/>
          <w:lang w:val="en-GB" w:eastAsia="zh-CN"/>
        </w:rPr>
        <w:t xml:space="preserve">The paired jackknife replication approach, </w:t>
      </w:r>
      <w:r w:rsidRPr="00096EB2">
        <w:rPr>
          <w:szCs w:val="24"/>
          <w:lang w:val="en-GB" w:eastAsia="zh-CN"/>
        </w:rPr>
        <w:t>also referred to as JK2</w:t>
      </w:r>
      <w:r>
        <w:rPr>
          <w:szCs w:val="24"/>
          <w:lang w:val="en-GB" w:eastAsia="zh-CN"/>
        </w:rPr>
        <w:t>,</w:t>
      </w:r>
      <w:r w:rsidRPr="00096EB2">
        <w:rPr>
          <w:szCs w:val="24"/>
          <w:lang w:val="en-GB" w:eastAsia="zh-CN"/>
        </w:rPr>
        <w:t xml:space="preserve"> </w:t>
      </w:r>
      <w:r>
        <w:rPr>
          <w:szCs w:val="24"/>
          <w:lang w:val="en-GB" w:eastAsia="zh-CN"/>
        </w:rPr>
        <w:t>was used to facilitate the variance estimation</w:t>
      </w:r>
      <w:r w:rsidRPr="00096EB2">
        <w:rPr>
          <w:szCs w:val="24"/>
          <w:lang w:val="en-GB" w:eastAsia="zh-CN"/>
        </w:rPr>
        <w:t>.</w:t>
      </w:r>
    </w:p>
    <w:p w:rsidR="000B6BDD" w:rsidRPr="00096EB2" w:rsidRDefault="000B6BDD" w:rsidP="00613F08">
      <w:pPr>
        <w:pStyle w:val="L1-FlLSp12"/>
      </w:pPr>
    </w:p>
    <w:p w:rsidR="000B6BDD" w:rsidRPr="00096EB2" w:rsidRDefault="000B6BDD" w:rsidP="00613F08">
      <w:pPr>
        <w:pStyle w:val="L1-FlLSp12"/>
      </w:pPr>
      <w:r>
        <w:t>All statistical tests were conducted at the 0.05 level of significance to be consistent with the NCES statistical standards. Also, the Bonferroni approach is used to control the level of Type I error when conducting simultaneous multiple comparisons.</w:t>
      </w:r>
    </w:p>
    <w:p w:rsidR="000B6BDD" w:rsidRDefault="000B6BDD" w:rsidP="00613F08">
      <w:pPr>
        <w:pStyle w:val="L1-FlLSp12"/>
      </w:pPr>
    </w:p>
    <w:p w:rsidR="000B6BDD" w:rsidRDefault="000B6BDD" w:rsidP="00613F08">
      <w:pPr>
        <w:pStyle w:val="L1-FlLSp12"/>
      </w:pPr>
    </w:p>
    <w:p w:rsidR="000B6BDD" w:rsidRDefault="000B6BDD" w:rsidP="00613F08">
      <w:pPr>
        <w:pStyle w:val="Heading2"/>
      </w:pPr>
      <w:r>
        <w:t>G.2.1</w:t>
      </w:r>
      <w:r>
        <w:tab/>
        <w:t>Analysis of Refusal Rates for the combined Screener and BQ stage</w:t>
      </w:r>
    </w:p>
    <w:p w:rsidR="000B6BDD" w:rsidRDefault="000B6BDD" w:rsidP="00613F08">
      <w:pPr>
        <w:pStyle w:val="L1-FlLSp12"/>
      </w:pPr>
      <w:r>
        <w:t xml:space="preserve">The analysis of the overall refusal rates (for the screener and BQ stage </w:t>
      </w:r>
      <w:r w:rsidRPr="0013774F">
        <w:rPr>
          <w:i/>
        </w:rPr>
        <w:t>combined</w:t>
      </w:r>
      <w:r>
        <w:t>) takes into account the cumulative impact of the incentive payment on refusal rates (i.e., refusal at either the screener or BQ stage</w:t>
      </w:r>
      <w:r w:rsidRPr="00385039">
        <w:t>)</w:t>
      </w:r>
      <w:r>
        <w:t xml:space="preserve">. </w:t>
      </w:r>
      <w:r w:rsidRPr="00BF3F5A">
        <w:t>Th</w:t>
      </w:r>
      <w:r>
        <w:t>e refusal rate is computed using the following definitions for the numerator and denominator of the ratio:</w:t>
      </w:r>
    </w:p>
    <w:p w:rsidR="000B6BDD" w:rsidRDefault="000B6BDD" w:rsidP="00613F08">
      <w:pPr>
        <w:pStyle w:val="L1-FlLSp12"/>
      </w:pPr>
    </w:p>
    <w:p w:rsidR="000B6BDD" w:rsidRDefault="000B6BDD" w:rsidP="00613F08">
      <w:pPr>
        <w:pStyle w:val="N1-1stBullet"/>
        <w:numPr>
          <w:numberingChange w:id="6" w:author="Unknown" w:date="2011-04-29T16:46:00Z" w:original=""/>
        </w:numPr>
      </w:pPr>
      <w:r w:rsidRPr="00B42DDB">
        <w:rPr>
          <w:i/>
        </w:rPr>
        <w:t>Numerator</w:t>
      </w:r>
      <w:r>
        <w:t>: Number of selected persons with status as: refusal or incomplete (i.e., partial-completes due to break-offs), and number of selected DUs with status as: refusal or incomplete.</w:t>
      </w:r>
    </w:p>
    <w:p w:rsidR="000B6BDD" w:rsidRDefault="000B6BDD" w:rsidP="00613F08">
      <w:pPr>
        <w:pStyle w:val="N1-1stBullet"/>
        <w:numPr>
          <w:numberingChange w:id="7" w:author="Unknown" w:date="2011-04-29T16:46:00Z" w:original=""/>
        </w:numPr>
      </w:pPr>
      <w:r w:rsidRPr="00B42DDB">
        <w:rPr>
          <w:i/>
        </w:rPr>
        <w:t>Denominator</w:t>
      </w:r>
      <w:r>
        <w:t>: The value of the numerator plus the number of selected persons with a completed BQ.</w:t>
      </w:r>
    </w:p>
    <w:p w:rsidR="000B6BDD" w:rsidRPr="003A4C55" w:rsidRDefault="000B6BDD" w:rsidP="00613F08">
      <w:pPr>
        <w:pStyle w:val="L1-FlLSp12"/>
      </w:pPr>
      <w:r w:rsidRPr="003A4C55">
        <w:t>The estimated difference in the overall refusal rates</w:t>
      </w:r>
      <w:r w:rsidRPr="003A4C55">
        <w:rPr>
          <w:rStyle w:val="FootnoteReference"/>
        </w:rPr>
        <w:footnoteReference w:id="5"/>
      </w:r>
      <w:r w:rsidRPr="003A4C55">
        <w:t xml:space="preserve"> between the $50 and $35 incentive amount is 6.8</w:t>
      </w:r>
      <w:r>
        <w:t xml:space="preserve"> percent</w:t>
      </w:r>
      <w:r w:rsidRPr="003A4C55">
        <w:t xml:space="preserve"> with an associated p-value of 0.018, indicating a </w:t>
      </w:r>
      <w:r>
        <w:t xml:space="preserve">statistically </w:t>
      </w:r>
      <w:r w:rsidRPr="003A4C55">
        <w:t>significant difference between refusal rates for the two incentive groups.</w:t>
      </w:r>
    </w:p>
    <w:p w:rsidR="000B6BDD" w:rsidRDefault="000B6BDD" w:rsidP="00613F08">
      <w:pPr>
        <w:pStyle w:val="L1-FlLSp12"/>
      </w:pPr>
    </w:p>
    <w:p w:rsidR="000B6BDD" w:rsidRDefault="000B6BDD" w:rsidP="00613F08">
      <w:pPr>
        <w:pStyle w:val="L1-FlLSp12"/>
      </w:pPr>
      <w:r>
        <w:t xml:space="preserve">The probability of a contacted person being a refusal or incomplete is estimated with the following logistic regression model, in which </w:t>
      </w:r>
      <w:r w:rsidRPr="0013774F">
        <w:rPr>
          <w:i/>
        </w:rPr>
        <w:t>Y</w:t>
      </w:r>
      <w:r>
        <w:t xml:space="preserve"> is a dichotomous variable with a value of 0 if the person is a complete (i.e., completed the BQ) and a value of 1 if the person is a refusal or incomplete. The logistic regression model estimates the probability of the occurrence of Y=1 for case </w:t>
      </w:r>
      <w:r w:rsidRPr="00794D8B">
        <w:rPr>
          <w:i/>
        </w:rPr>
        <w:t>i</w:t>
      </w:r>
      <w:r>
        <w:t xml:space="preserve"> by a function of </w:t>
      </w:r>
      <w:r w:rsidRPr="00794D8B">
        <w:rPr>
          <w:i/>
        </w:rPr>
        <w:t>k</w:t>
      </w:r>
      <w:r>
        <w:t xml:space="preserve"> explanatory variables, as follows:</w:t>
      </w:r>
    </w:p>
    <w:p w:rsidR="000B6BDD" w:rsidRDefault="000B6BDD" w:rsidP="00613F08">
      <w:pPr>
        <w:pStyle w:val="L1-FlLSp12"/>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75pt;height:153.75pt">
            <v:imagedata r:id="rId7" o:title=""/>
          </v:shape>
        </w:pict>
      </w:r>
    </w:p>
    <w:p w:rsidR="000B6BDD" w:rsidRDefault="000B6BDD" w:rsidP="00613F08">
      <w:pPr>
        <w:pStyle w:val="L1-FlLSp12"/>
      </w:pPr>
      <w:r>
        <w:t>Table G-1 contains the results of the logistic regression analysis. The incentive group has a p-value = 0.0006; strong evidence of a statistically significant difference in refusal rates between the two incentive groups. The significant effect implies a lower chance of refusal for the $50 incentive group. In addition, the model also shows that higher segment-level median income indicates a significantly higher chance for refusal, while living in the Midwest or in areas with lower concentrations of non-Hispanic blacks indicates a significantly lower chance for refusal.</w:t>
      </w:r>
    </w:p>
    <w:p w:rsidR="000B6BDD" w:rsidRDefault="000B6BDD" w:rsidP="00613F08">
      <w:pPr>
        <w:pStyle w:val="L1-FlLSp12"/>
      </w:pPr>
    </w:p>
    <w:p w:rsidR="000B6BDD" w:rsidRDefault="000B6BDD" w:rsidP="001456BD">
      <w:pPr>
        <w:pStyle w:val="TT-TableTitle"/>
      </w:pPr>
      <w:r>
        <w:t>Table G-1.</w:t>
      </w:r>
      <w:r>
        <w:tab/>
        <w:t>Logistic regression model parameters and significance levels for the overall refusal indicator</w:t>
      </w:r>
    </w:p>
    <w:p w:rsidR="000B6BDD" w:rsidRPr="001456BD" w:rsidRDefault="000B6BDD" w:rsidP="001456BD">
      <w:pPr>
        <w:pStyle w:val="TT-TableTitle"/>
      </w:pPr>
    </w:p>
    <w:tbl>
      <w:tblPr>
        <w:tblW w:w="5000" w:type="pct"/>
        <w:tblLook w:val="00A0"/>
      </w:tblPr>
      <w:tblGrid>
        <w:gridCol w:w="5066"/>
        <w:gridCol w:w="1482"/>
        <w:gridCol w:w="1915"/>
        <w:gridCol w:w="1113"/>
      </w:tblGrid>
      <w:tr w:rsidR="000B6BDD" w:rsidRPr="00613F08" w:rsidTr="001456BD">
        <w:trPr>
          <w:trHeight w:val="300"/>
        </w:trPr>
        <w:tc>
          <w:tcPr>
            <w:tcW w:w="2644" w:type="pct"/>
            <w:tcBorders>
              <w:top w:val="single" w:sz="4" w:space="0" w:color="auto"/>
              <w:left w:val="nil"/>
              <w:right w:val="nil"/>
            </w:tcBorders>
            <w:shd w:val="clear" w:color="auto" w:fill="AFBED7"/>
            <w:noWrap/>
            <w:vAlign w:val="bottom"/>
          </w:tcPr>
          <w:p w:rsidR="000B6BDD" w:rsidRPr="00613F08" w:rsidRDefault="000B6BDD" w:rsidP="00613F08">
            <w:pPr>
              <w:pStyle w:val="TH-TableHeading"/>
            </w:pPr>
          </w:p>
        </w:tc>
        <w:tc>
          <w:tcPr>
            <w:tcW w:w="774" w:type="pct"/>
            <w:tcBorders>
              <w:top w:val="single" w:sz="4" w:space="0" w:color="auto"/>
              <w:left w:val="nil"/>
              <w:right w:val="nil"/>
            </w:tcBorders>
            <w:shd w:val="clear" w:color="auto" w:fill="AFBED7"/>
            <w:noWrap/>
            <w:vAlign w:val="bottom"/>
          </w:tcPr>
          <w:p w:rsidR="000B6BDD" w:rsidRPr="00613F08" w:rsidRDefault="000B6BDD" w:rsidP="00613F08">
            <w:pPr>
              <w:pStyle w:val="TH-TableHeading"/>
            </w:pPr>
            <w:r w:rsidRPr="00613F08">
              <w:t>Parameter</w:t>
            </w:r>
          </w:p>
        </w:tc>
        <w:tc>
          <w:tcPr>
            <w:tcW w:w="1000" w:type="pct"/>
            <w:tcBorders>
              <w:top w:val="single" w:sz="4" w:space="0" w:color="auto"/>
              <w:left w:val="nil"/>
              <w:right w:val="nil"/>
            </w:tcBorders>
            <w:shd w:val="clear" w:color="auto" w:fill="AFBED7"/>
            <w:noWrap/>
            <w:vAlign w:val="bottom"/>
          </w:tcPr>
          <w:p w:rsidR="000B6BDD" w:rsidRPr="00613F08" w:rsidRDefault="000B6BDD" w:rsidP="00613F08">
            <w:pPr>
              <w:pStyle w:val="TH-TableHeading"/>
            </w:pPr>
          </w:p>
        </w:tc>
        <w:tc>
          <w:tcPr>
            <w:tcW w:w="581" w:type="pct"/>
            <w:tcBorders>
              <w:top w:val="single" w:sz="4" w:space="0" w:color="auto"/>
              <w:left w:val="nil"/>
              <w:right w:val="nil"/>
            </w:tcBorders>
            <w:shd w:val="clear" w:color="auto" w:fill="AFBED7"/>
            <w:noWrap/>
            <w:vAlign w:val="bottom"/>
          </w:tcPr>
          <w:p w:rsidR="000B6BDD" w:rsidRPr="00613F08" w:rsidRDefault="000B6BDD" w:rsidP="00613F08">
            <w:pPr>
              <w:pStyle w:val="TH-TableHeading"/>
            </w:pPr>
            <w:r w:rsidRPr="00613F08">
              <w:t xml:space="preserve"> </w:t>
            </w:r>
          </w:p>
        </w:tc>
      </w:tr>
      <w:tr w:rsidR="000B6BDD" w:rsidRPr="00613F08" w:rsidTr="001456BD">
        <w:trPr>
          <w:trHeight w:val="300"/>
        </w:trPr>
        <w:tc>
          <w:tcPr>
            <w:tcW w:w="2644" w:type="pct"/>
            <w:tcBorders>
              <w:top w:val="nil"/>
              <w:left w:val="nil"/>
              <w:bottom w:val="single" w:sz="4" w:space="0" w:color="auto"/>
              <w:right w:val="nil"/>
            </w:tcBorders>
            <w:shd w:val="clear" w:color="auto" w:fill="AFBED7"/>
            <w:noWrap/>
            <w:vAlign w:val="bottom"/>
          </w:tcPr>
          <w:p w:rsidR="000B6BDD" w:rsidRPr="00613F08" w:rsidRDefault="000B6BDD" w:rsidP="00613F08">
            <w:pPr>
              <w:pStyle w:val="TH-TableHeading"/>
            </w:pPr>
            <w:r w:rsidRPr="00613F08">
              <w:t>Parameter</w:t>
            </w:r>
          </w:p>
        </w:tc>
        <w:tc>
          <w:tcPr>
            <w:tcW w:w="774" w:type="pct"/>
            <w:tcBorders>
              <w:top w:val="nil"/>
              <w:left w:val="nil"/>
              <w:bottom w:val="single" w:sz="4" w:space="0" w:color="auto"/>
              <w:right w:val="nil"/>
            </w:tcBorders>
            <w:shd w:val="clear" w:color="auto" w:fill="AFBED7"/>
            <w:noWrap/>
            <w:vAlign w:val="bottom"/>
          </w:tcPr>
          <w:p w:rsidR="000B6BDD" w:rsidRPr="00613F08" w:rsidRDefault="000B6BDD" w:rsidP="00613F08">
            <w:pPr>
              <w:pStyle w:val="TH-TableHeading"/>
            </w:pPr>
            <w:r w:rsidRPr="00613F08">
              <w:t>Estimate</w:t>
            </w:r>
          </w:p>
        </w:tc>
        <w:tc>
          <w:tcPr>
            <w:tcW w:w="1000" w:type="pct"/>
            <w:tcBorders>
              <w:top w:val="nil"/>
              <w:left w:val="nil"/>
              <w:bottom w:val="single" w:sz="4" w:space="0" w:color="auto"/>
              <w:right w:val="nil"/>
            </w:tcBorders>
            <w:shd w:val="clear" w:color="auto" w:fill="AFBED7"/>
            <w:noWrap/>
            <w:vAlign w:val="bottom"/>
          </w:tcPr>
          <w:p w:rsidR="000B6BDD" w:rsidRPr="00613F08" w:rsidRDefault="000B6BDD" w:rsidP="00613F08">
            <w:pPr>
              <w:pStyle w:val="TH-TableHeading"/>
            </w:pPr>
            <w:r w:rsidRPr="00613F08">
              <w:t>Standard Error</w:t>
            </w:r>
          </w:p>
        </w:tc>
        <w:tc>
          <w:tcPr>
            <w:tcW w:w="581" w:type="pct"/>
            <w:tcBorders>
              <w:top w:val="nil"/>
              <w:left w:val="nil"/>
              <w:bottom w:val="single" w:sz="4" w:space="0" w:color="auto"/>
              <w:right w:val="nil"/>
            </w:tcBorders>
            <w:shd w:val="clear" w:color="auto" w:fill="AFBED7"/>
            <w:noWrap/>
            <w:vAlign w:val="bottom"/>
          </w:tcPr>
          <w:p w:rsidR="000B6BDD" w:rsidRPr="00613F08" w:rsidRDefault="000B6BDD" w:rsidP="00613F08">
            <w:pPr>
              <w:pStyle w:val="TH-TableHeading"/>
            </w:pPr>
            <w:r w:rsidRPr="00613F08">
              <w:t>P-value</w:t>
            </w:r>
          </w:p>
        </w:tc>
      </w:tr>
      <w:tr w:rsidR="000B6BDD" w:rsidRPr="004F5017" w:rsidTr="001456BD">
        <w:trPr>
          <w:trHeight w:val="300"/>
        </w:trPr>
        <w:tc>
          <w:tcPr>
            <w:tcW w:w="2644" w:type="pct"/>
            <w:tcBorders>
              <w:top w:val="single" w:sz="4" w:space="0" w:color="auto"/>
              <w:left w:val="nil"/>
              <w:bottom w:val="nil"/>
              <w:right w:val="nil"/>
            </w:tcBorders>
            <w:noWrap/>
            <w:vAlign w:val="bottom"/>
          </w:tcPr>
          <w:p w:rsidR="000B6BDD" w:rsidRPr="003F501A" w:rsidRDefault="000B6BDD" w:rsidP="001456BD">
            <w:pPr>
              <w:pStyle w:val="TX-TableText"/>
            </w:pPr>
            <w:r w:rsidRPr="003F501A">
              <w:t>Intercept</w:t>
            </w:r>
          </w:p>
        </w:tc>
        <w:tc>
          <w:tcPr>
            <w:tcW w:w="774" w:type="pct"/>
            <w:tcBorders>
              <w:top w:val="single" w:sz="4" w:space="0" w:color="auto"/>
              <w:left w:val="nil"/>
              <w:bottom w:val="nil"/>
              <w:right w:val="nil"/>
            </w:tcBorders>
            <w:noWrap/>
            <w:vAlign w:val="bottom"/>
          </w:tcPr>
          <w:p w:rsidR="000B6BDD" w:rsidRPr="003F501A" w:rsidRDefault="000B6BDD" w:rsidP="001456BD">
            <w:pPr>
              <w:pStyle w:val="TX-TableText"/>
              <w:ind w:right="432"/>
              <w:jc w:val="right"/>
            </w:pPr>
            <w:r w:rsidRPr="003F501A">
              <w:t>-1.35</w:t>
            </w:r>
          </w:p>
        </w:tc>
        <w:tc>
          <w:tcPr>
            <w:tcW w:w="1000" w:type="pct"/>
            <w:tcBorders>
              <w:top w:val="single" w:sz="4" w:space="0" w:color="auto"/>
              <w:left w:val="nil"/>
              <w:bottom w:val="nil"/>
              <w:right w:val="nil"/>
            </w:tcBorders>
            <w:noWrap/>
            <w:vAlign w:val="bottom"/>
          </w:tcPr>
          <w:p w:rsidR="000B6BDD" w:rsidRPr="003F501A" w:rsidRDefault="000B6BDD" w:rsidP="001456BD">
            <w:pPr>
              <w:pStyle w:val="TX-TableText"/>
              <w:ind w:right="576"/>
              <w:jc w:val="right"/>
            </w:pPr>
            <w:r w:rsidRPr="003F501A">
              <w:t>0.292</w:t>
            </w:r>
          </w:p>
        </w:tc>
        <w:tc>
          <w:tcPr>
            <w:tcW w:w="581" w:type="pct"/>
            <w:tcBorders>
              <w:top w:val="single" w:sz="4" w:space="0" w:color="auto"/>
              <w:left w:val="nil"/>
              <w:bottom w:val="nil"/>
              <w:right w:val="nil"/>
            </w:tcBorders>
            <w:noWrap/>
            <w:vAlign w:val="bottom"/>
          </w:tcPr>
          <w:p w:rsidR="000B6BDD" w:rsidRPr="003F501A" w:rsidRDefault="000B6BDD" w:rsidP="001456BD">
            <w:pPr>
              <w:pStyle w:val="TX-TableText"/>
              <w:ind w:right="144"/>
              <w:jc w:val="right"/>
            </w:pPr>
            <w:r w:rsidRPr="003F501A">
              <w:t>0.0001</w:t>
            </w:r>
          </w:p>
        </w:tc>
      </w:tr>
      <w:tr w:rsidR="000B6BDD" w:rsidRPr="004F5017" w:rsidTr="001456BD">
        <w:trPr>
          <w:trHeight w:val="300"/>
        </w:trPr>
        <w:tc>
          <w:tcPr>
            <w:tcW w:w="2644" w:type="pct"/>
            <w:tcBorders>
              <w:top w:val="nil"/>
              <w:left w:val="nil"/>
              <w:bottom w:val="nil"/>
              <w:right w:val="nil"/>
            </w:tcBorders>
            <w:noWrap/>
            <w:vAlign w:val="bottom"/>
          </w:tcPr>
          <w:p w:rsidR="000B6BDD" w:rsidRPr="003F501A" w:rsidRDefault="000B6BDD" w:rsidP="001456BD">
            <w:pPr>
              <w:pStyle w:val="TX-TableText"/>
            </w:pPr>
            <w:r w:rsidRPr="003F501A">
              <w:t>Incentive group</w:t>
            </w:r>
          </w:p>
        </w:tc>
        <w:tc>
          <w:tcPr>
            <w:tcW w:w="774" w:type="pct"/>
            <w:tcBorders>
              <w:top w:val="nil"/>
              <w:left w:val="nil"/>
              <w:bottom w:val="nil"/>
              <w:right w:val="nil"/>
            </w:tcBorders>
            <w:noWrap/>
            <w:vAlign w:val="bottom"/>
          </w:tcPr>
          <w:p w:rsidR="000B6BDD" w:rsidRPr="003F501A" w:rsidRDefault="000B6BDD" w:rsidP="001456BD">
            <w:pPr>
              <w:pStyle w:val="TX-TableText"/>
              <w:ind w:right="432"/>
              <w:jc w:val="right"/>
            </w:pPr>
            <w:r w:rsidRPr="003F501A">
              <w:t>-0.30</w:t>
            </w:r>
          </w:p>
        </w:tc>
        <w:tc>
          <w:tcPr>
            <w:tcW w:w="1000" w:type="pct"/>
            <w:tcBorders>
              <w:top w:val="nil"/>
              <w:left w:val="nil"/>
              <w:bottom w:val="nil"/>
              <w:right w:val="nil"/>
            </w:tcBorders>
            <w:noWrap/>
            <w:vAlign w:val="bottom"/>
          </w:tcPr>
          <w:p w:rsidR="000B6BDD" w:rsidRPr="003F501A" w:rsidRDefault="000B6BDD" w:rsidP="001456BD">
            <w:pPr>
              <w:pStyle w:val="TX-TableText"/>
              <w:ind w:right="576"/>
              <w:jc w:val="right"/>
            </w:pPr>
            <w:r w:rsidRPr="003F501A">
              <w:t>0.076</w:t>
            </w:r>
          </w:p>
        </w:tc>
        <w:tc>
          <w:tcPr>
            <w:tcW w:w="581" w:type="pct"/>
            <w:tcBorders>
              <w:top w:val="nil"/>
              <w:left w:val="nil"/>
              <w:bottom w:val="nil"/>
              <w:right w:val="nil"/>
            </w:tcBorders>
            <w:noWrap/>
            <w:vAlign w:val="bottom"/>
          </w:tcPr>
          <w:p w:rsidR="000B6BDD" w:rsidRPr="003F501A" w:rsidRDefault="000B6BDD" w:rsidP="001456BD">
            <w:pPr>
              <w:pStyle w:val="TX-TableText"/>
              <w:ind w:right="144"/>
              <w:jc w:val="right"/>
            </w:pPr>
            <w:r w:rsidRPr="003F501A">
              <w:t>0.0006</w:t>
            </w:r>
          </w:p>
        </w:tc>
      </w:tr>
      <w:tr w:rsidR="000B6BDD" w:rsidRPr="004F5017" w:rsidTr="001456BD">
        <w:trPr>
          <w:trHeight w:val="300"/>
        </w:trPr>
        <w:tc>
          <w:tcPr>
            <w:tcW w:w="2644" w:type="pct"/>
            <w:tcBorders>
              <w:top w:val="nil"/>
              <w:left w:val="nil"/>
              <w:bottom w:val="nil"/>
              <w:right w:val="nil"/>
            </w:tcBorders>
            <w:noWrap/>
            <w:vAlign w:val="bottom"/>
          </w:tcPr>
          <w:p w:rsidR="000B6BDD" w:rsidRPr="003F501A" w:rsidRDefault="000B6BDD" w:rsidP="001456BD">
            <w:pPr>
              <w:pStyle w:val="TX-TableText"/>
            </w:pPr>
            <w:r w:rsidRPr="003F501A">
              <w:t>High education</w:t>
            </w:r>
          </w:p>
        </w:tc>
        <w:tc>
          <w:tcPr>
            <w:tcW w:w="774" w:type="pct"/>
            <w:tcBorders>
              <w:top w:val="nil"/>
              <w:left w:val="nil"/>
              <w:bottom w:val="nil"/>
              <w:right w:val="nil"/>
            </w:tcBorders>
            <w:noWrap/>
            <w:vAlign w:val="bottom"/>
          </w:tcPr>
          <w:p w:rsidR="000B6BDD" w:rsidRPr="003F501A" w:rsidRDefault="000B6BDD" w:rsidP="001456BD">
            <w:pPr>
              <w:pStyle w:val="TX-TableText"/>
              <w:ind w:right="432"/>
              <w:jc w:val="right"/>
            </w:pPr>
            <w:r w:rsidRPr="003F501A">
              <w:t>-0.19</w:t>
            </w:r>
          </w:p>
        </w:tc>
        <w:tc>
          <w:tcPr>
            <w:tcW w:w="1000" w:type="pct"/>
            <w:tcBorders>
              <w:top w:val="nil"/>
              <w:left w:val="nil"/>
              <w:bottom w:val="nil"/>
              <w:right w:val="nil"/>
            </w:tcBorders>
            <w:noWrap/>
            <w:vAlign w:val="bottom"/>
          </w:tcPr>
          <w:p w:rsidR="000B6BDD" w:rsidRPr="003F501A" w:rsidRDefault="000B6BDD" w:rsidP="001456BD">
            <w:pPr>
              <w:pStyle w:val="TX-TableText"/>
              <w:ind w:right="576"/>
              <w:jc w:val="right"/>
            </w:pPr>
            <w:r w:rsidRPr="003F501A">
              <w:t>0.168</w:t>
            </w:r>
          </w:p>
        </w:tc>
        <w:tc>
          <w:tcPr>
            <w:tcW w:w="581" w:type="pct"/>
            <w:tcBorders>
              <w:top w:val="nil"/>
              <w:left w:val="nil"/>
              <w:bottom w:val="nil"/>
              <w:right w:val="nil"/>
            </w:tcBorders>
            <w:noWrap/>
            <w:vAlign w:val="bottom"/>
          </w:tcPr>
          <w:p w:rsidR="000B6BDD" w:rsidRPr="003F501A" w:rsidRDefault="000B6BDD" w:rsidP="001456BD">
            <w:pPr>
              <w:pStyle w:val="TX-TableText"/>
              <w:ind w:right="144"/>
              <w:jc w:val="right"/>
            </w:pPr>
            <w:r w:rsidRPr="003F501A">
              <w:t>0.2665</w:t>
            </w:r>
          </w:p>
        </w:tc>
      </w:tr>
      <w:tr w:rsidR="000B6BDD" w:rsidRPr="004F5017" w:rsidTr="001456BD">
        <w:trPr>
          <w:trHeight w:val="300"/>
        </w:trPr>
        <w:tc>
          <w:tcPr>
            <w:tcW w:w="2644" w:type="pct"/>
            <w:tcBorders>
              <w:top w:val="nil"/>
              <w:left w:val="nil"/>
              <w:bottom w:val="nil"/>
              <w:right w:val="nil"/>
            </w:tcBorders>
            <w:noWrap/>
            <w:vAlign w:val="bottom"/>
          </w:tcPr>
          <w:p w:rsidR="000B6BDD" w:rsidRPr="003F501A" w:rsidRDefault="000B6BDD" w:rsidP="001456BD">
            <w:pPr>
              <w:pStyle w:val="TX-TableText"/>
            </w:pPr>
            <w:r w:rsidRPr="003F501A">
              <w:t>Median income in segment</w:t>
            </w:r>
          </w:p>
        </w:tc>
        <w:tc>
          <w:tcPr>
            <w:tcW w:w="774" w:type="pct"/>
            <w:tcBorders>
              <w:top w:val="nil"/>
              <w:left w:val="nil"/>
              <w:bottom w:val="nil"/>
              <w:right w:val="nil"/>
            </w:tcBorders>
            <w:noWrap/>
            <w:vAlign w:val="bottom"/>
          </w:tcPr>
          <w:p w:rsidR="000B6BDD" w:rsidRPr="003F501A" w:rsidRDefault="000B6BDD" w:rsidP="001456BD">
            <w:pPr>
              <w:pStyle w:val="TX-TableText"/>
              <w:ind w:right="432"/>
              <w:jc w:val="right"/>
            </w:pPr>
            <w:r w:rsidRPr="003F501A">
              <w:t>0.03</w:t>
            </w:r>
          </w:p>
        </w:tc>
        <w:tc>
          <w:tcPr>
            <w:tcW w:w="1000" w:type="pct"/>
            <w:tcBorders>
              <w:top w:val="nil"/>
              <w:left w:val="nil"/>
              <w:bottom w:val="nil"/>
              <w:right w:val="nil"/>
            </w:tcBorders>
            <w:noWrap/>
            <w:vAlign w:val="bottom"/>
          </w:tcPr>
          <w:p w:rsidR="000B6BDD" w:rsidRPr="003F501A" w:rsidRDefault="000B6BDD" w:rsidP="001456BD">
            <w:pPr>
              <w:pStyle w:val="TX-TableText"/>
              <w:ind w:right="576"/>
              <w:jc w:val="right"/>
            </w:pPr>
            <w:r w:rsidRPr="003F501A">
              <w:t>0.005</w:t>
            </w:r>
          </w:p>
        </w:tc>
        <w:tc>
          <w:tcPr>
            <w:tcW w:w="581" w:type="pct"/>
            <w:tcBorders>
              <w:top w:val="nil"/>
              <w:left w:val="nil"/>
              <w:bottom w:val="nil"/>
              <w:right w:val="nil"/>
            </w:tcBorders>
            <w:noWrap/>
            <w:vAlign w:val="bottom"/>
          </w:tcPr>
          <w:p w:rsidR="000B6BDD" w:rsidRPr="003F501A" w:rsidRDefault="000B6BDD" w:rsidP="001456BD">
            <w:pPr>
              <w:pStyle w:val="TX-TableText"/>
              <w:ind w:right="144"/>
              <w:jc w:val="right"/>
            </w:pPr>
            <w:r w:rsidRPr="003F501A">
              <w:t>0.0000</w:t>
            </w:r>
          </w:p>
        </w:tc>
      </w:tr>
      <w:tr w:rsidR="000B6BDD" w:rsidRPr="004F5017" w:rsidTr="001456BD">
        <w:trPr>
          <w:trHeight w:val="300"/>
        </w:trPr>
        <w:tc>
          <w:tcPr>
            <w:tcW w:w="2644" w:type="pct"/>
            <w:tcBorders>
              <w:top w:val="nil"/>
              <w:left w:val="nil"/>
              <w:bottom w:val="nil"/>
              <w:right w:val="nil"/>
            </w:tcBorders>
            <w:noWrap/>
            <w:vAlign w:val="bottom"/>
          </w:tcPr>
          <w:p w:rsidR="000B6BDD" w:rsidRPr="003F501A" w:rsidRDefault="000B6BDD" w:rsidP="001456BD">
            <w:pPr>
              <w:pStyle w:val="TX-TableText"/>
            </w:pPr>
            <w:r w:rsidRPr="003F501A">
              <w:t>Midwest</w:t>
            </w:r>
          </w:p>
        </w:tc>
        <w:tc>
          <w:tcPr>
            <w:tcW w:w="774" w:type="pct"/>
            <w:tcBorders>
              <w:top w:val="nil"/>
              <w:left w:val="nil"/>
              <w:bottom w:val="nil"/>
              <w:right w:val="nil"/>
            </w:tcBorders>
            <w:noWrap/>
            <w:vAlign w:val="bottom"/>
          </w:tcPr>
          <w:p w:rsidR="000B6BDD" w:rsidRPr="003F501A" w:rsidRDefault="000B6BDD" w:rsidP="001456BD">
            <w:pPr>
              <w:pStyle w:val="TX-TableText"/>
              <w:ind w:right="432"/>
              <w:jc w:val="right"/>
            </w:pPr>
            <w:r w:rsidRPr="003F501A">
              <w:t>-0.30</w:t>
            </w:r>
          </w:p>
        </w:tc>
        <w:tc>
          <w:tcPr>
            <w:tcW w:w="1000" w:type="pct"/>
            <w:tcBorders>
              <w:top w:val="nil"/>
              <w:left w:val="nil"/>
              <w:bottom w:val="nil"/>
              <w:right w:val="nil"/>
            </w:tcBorders>
            <w:noWrap/>
            <w:vAlign w:val="bottom"/>
          </w:tcPr>
          <w:p w:rsidR="000B6BDD" w:rsidRPr="003F501A" w:rsidRDefault="000B6BDD" w:rsidP="001456BD">
            <w:pPr>
              <w:pStyle w:val="TX-TableText"/>
              <w:ind w:right="576"/>
              <w:jc w:val="right"/>
            </w:pPr>
            <w:r w:rsidRPr="003F501A">
              <w:t>0.137</w:t>
            </w:r>
          </w:p>
        </w:tc>
        <w:tc>
          <w:tcPr>
            <w:tcW w:w="581" w:type="pct"/>
            <w:tcBorders>
              <w:top w:val="nil"/>
              <w:left w:val="nil"/>
              <w:bottom w:val="nil"/>
              <w:right w:val="nil"/>
            </w:tcBorders>
            <w:noWrap/>
            <w:vAlign w:val="bottom"/>
          </w:tcPr>
          <w:p w:rsidR="000B6BDD" w:rsidRPr="003F501A" w:rsidRDefault="000B6BDD" w:rsidP="001456BD">
            <w:pPr>
              <w:pStyle w:val="TX-TableText"/>
              <w:ind w:right="144"/>
              <w:jc w:val="right"/>
            </w:pPr>
            <w:r w:rsidRPr="003F501A">
              <w:t>0.0377</w:t>
            </w:r>
          </w:p>
        </w:tc>
      </w:tr>
      <w:tr w:rsidR="000B6BDD" w:rsidRPr="004F5017" w:rsidTr="001456BD">
        <w:trPr>
          <w:trHeight w:val="300"/>
        </w:trPr>
        <w:tc>
          <w:tcPr>
            <w:tcW w:w="2644" w:type="pct"/>
            <w:tcBorders>
              <w:top w:val="nil"/>
              <w:left w:val="nil"/>
              <w:right w:val="nil"/>
            </w:tcBorders>
            <w:noWrap/>
            <w:vAlign w:val="bottom"/>
          </w:tcPr>
          <w:p w:rsidR="000B6BDD" w:rsidRPr="003F501A" w:rsidRDefault="000B6BDD" w:rsidP="001456BD">
            <w:pPr>
              <w:pStyle w:val="TX-TableText"/>
            </w:pPr>
            <w:r w:rsidRPr="003F501A">
              <w:t xml:space="preserve">Percentage </w:t>
            </w:r>
            <w:r>
              <w:t xml:space="preserve">earning </w:t>
            </w:r>
            <w:r w:rsidRPr="003F501A">
              <w:t xml:space="preserve">less than 150% </w:t>
            </w:r>
            <w:r>
              <w:t xml:space="preserve">of the </w:t>
            </w:r>
            <w:r w:rsidRPr="003F501A">
              <w:t>poverty line</w:t>
            </w:r>
          </w:p>
        </w:tc>
        <w:tc>
          <w:tcPr>
            <w:tcW w:w="774" w:type="pct"/>
            <w:tcBorders>
              <w:top w:val="nil"/>
              <w:left w:val="nil"/>
              <w:right w:val="nil"/>
            </w:tcBorders>
            <w:noWrap/>
            <w:vAlign w:val="bottom"/>
          </w:tcPr>
          <w:p w:rsidR="000B6BDD" w:rsidRPr="003F501A" w:rsidRDefault="000B6BDD" w:rsidP="001456BD">
            <w:pPr>
              <w:pStyle w:val="TX-TableText"/>
              <w:ind w:right="432"/>
              <w:jc w:val="right"/>
            </w:pPr>
            <w:r w:rsidRPr="003F501A">
              <w:t>-0.94</w:t>
            </w:r>
          </w:p>
        </w:tc>
        <w:tc>
          <w:tcPr>
            <w:tcW w:w="1000" w:type="pct"/>
            <w:tcBorders>
              <w:top w:val="nil"/>
              <w:left w:val="nil"/>
              <w:right w:val="nil"/>
            </w:tcBorders>
            <w:noWrap/>
            <w:vAlign w:val="bottom"/>
          </w:tcPr>
          <w:p w:rsidR="000B6BDD" w:rsidRPr="003F501A" w:rsidRDefault="000B6BDD" w:rsidP="001456BD">
            <w:pPr>
              <w:pStyle w:val="TX-TableText"/>
              <w:ind w:right="576"/>
              <w:jc w:val="right"/>
            </w:pPr>
            <w:r w:rsidRPr="003F501A">
              <w:t>0.463</w:t>
            </w:r>
          </w:p>
        </w:tc>
        <w:tc>
          <w:tcPr>
            <w:tcW w:w="581" w:type="pct"/>
            <w:tcBorders>
              <w:top w:val="nil"/>
              <w:left w:val="nil"/>
              <w:right w:val="nil"/>
            </w:tcBorders>
            <w:noWrap/>
            <w:vAlign w:val="bottom"/>
          </w:tcPr>
          <w:p w:rsidR="000B6BDD" w:rsidRPr="003F501A" w:rsidRDefault="000B6BDD" w:rsidP="001456BD">
            <w:pPr>
              <w:pStyle w:val="TX-TableText"/>
              <w:ind w:right="144"/>
              <w:jc w:val="right"/>
            </w:pPr>
            <w:r w:rsidRPr="003F501A">
              <w:t>0.0548</w:t>
            </w:r>
          </w:p>
        </w:tc>
      </w:tr>
      <w:tr w:rsidR="000B6BDD" w:rsidRPr="004F5017" w:rsidTr="001456BD">
        <w:trPr>
          <w:trHeight w:val="300"/>
        </w:trPr>
        <w:tc>
          <w:tcPr>
            <w:tcW w:w="2644" w:type="pct"/>
            <w:tcBorders>
              <w:top w:val="nil"/>
              <w:left w:val="nil"/>
              <w:bottom w:val="single" w:sz="4" w:space="0" w:color="auto"/>
              <w:right w:val="nil"/>
            </w:tcBorders>
            <w:noWrap/>
            <w:vAlign w:val="bottom"/>
          </w:tcPr>
          <w:p w:rsidR="000B6BDD" w:rsidRPr="003F501A" w:rsidRDefault="000B6BDD" w:rsidP="001456BD">
            <w:pPr>
              <w:pStyle w:val="TX-TableText"/>
            </w:pPr>
            <w:r w:rsidRPr="003F501A">
              <w:t>Percentage non-Hispanic black in segment</w:t>
            </w:r>
          </w:p>
        </w:tc>
        <w:tc>
          <w:tcPr>
            <w:tcW w:w="774" w:type="pct"/>
            <w:tcBorders>
              <w:top w:val="nil"/>
              <w:left w:val="nil"/>
              <w:bottom w:val="single" w:sz="4" w:space="0" w:color="auto"/>
              <w:right w:val="nil"/>
            </w:tcBorders>
            <w:noWrap/>
            <w:vAlign w:val="bottom"/>
          </w:tcPr>
          <w:p w:rsidR="000B6BDD" w:rsidRPr="003F501A" w:rsidRDefault="000B6BDD" w:rsidP="001456BD">
            <w:pPr>
              <w:pStyle w:val="TX-TableText"/>
              <w:ind w:right="432"/>
              <w:jc w:val="right"/>
            </w:pPr>
            <w:r w:rsidRPr="003F501A">
              <w:t>-0.82</w:t>
            </w:r>
          </w:p>
        </w:tc>
        <w:tc>
          <w:tcPr>
            <w:tcW w:w="1000" w:type="pct"/>
            <w:tcBorders>
              <w:top w:val="nil"/>
              <w:left w:val="nil"/>
              <w:bottom w:val="single" w:sz="4" w:space="0" w:color="auto"/>
              <w:right w:val="nil"/>
            </w:tcBorders>
            <w:noWrap/>
            <w:vAlign w:val="bottom"/>
          </w:tcPr>
          <w:p w:rsidR="000B6BDD" w:rsidRPr="003F501A" w:rsidRDefault="000B6BDD" w:rsidP="001456BD">
            <w:pPr>
              <w:pStyle w:val="TX-TableText"/>
              <w:ind w:right="576"/>
              <w:jc w:val="right"/>
            </w:pPr>
            <w:r w:rsidRPr="003F501A">
              <w:t>0.336</w:t>
            </w:r>
          </w:p>
        </w:tc>
        <w:tc>
          <w:tcPr>
            <w:tcW w:w="581" w:type="pct"/>
            <w:tcBorders>
              <w:top w:val="nil"/>
              <w:left w:val="nil"/>
              <w:bottom w:val="single" w:sz="4" w:space="0" w:color="auto"/>
              <w:right w:val="nil"/>
            </w:tcBorders>
            <w:noWrap/>
            <w:vAlign w:val="bottom"/>
          </w:tcPr>
          <w:p w:rsidR="000B6BDD" w:rsidRPr="003F501A" w:rsidRDefault="000B6BDD" w:rsidP="001456BD">
            <w:pPr>
              <w:pStyle w:val="TX-TableText"/>
              <w:ind w:right="144"/>
              <w:jc w:val="right"/>
            </w:pPr>
            <w:r w:rsidRPr="003F501A">
              <w:t>0.0227</w:t>
            </w:r>
          </w:p>
        </w:tc>
      </w:tr>
    </w:tbl>
    <w:p w:rsidR="000B6BDD" w:rsidRPr="002528B4" w:rsidRDefault="000B6BDD" w:rsidP="0091133E">
      <w:pPr>
        <w:pStyle w:val="TF-TblFN"/>
        <w:rPr>
          <w:szCs w:val="16"/>
        </w:rPr>
      </w:pPr>
      <w:r w:rsidRPr="002528B4">
        <w:rPr>
          <w:szCs w:val="16"/>
        </w:rPr>
        <w:t>Source: 2010 Programme for the International Assessment of Adult Competencies Field Test</w:t>
      </w:r>
    </w:p>
    <w:p w:rsidR="000B6BDD" w:rsidRPr="002528B4" w:rsidRDefault="000B6BDD" w:rsidP="0091133E">
      <w:pPr>
        <w:pStyle w:val="ListParagraph"/>
        <w:ind w:left="0"/>
        <w:rPr>
          <w:rFonts w:ascii="Franklin Gothic Medium" w:hAnsi="Franklin Gothic Medium"/>
          <w:sz w:val="16"/>
          <w:szCs w:val="16"/>
        </w:rPr>
      </w:pPr>
      <w:r w:rsidRPr="002528B4">
        <w:rPr>
          <w:rFonts w:ascii="Franklin Gothic Medium" w:hAnsi="Franklin Gothic Medium"/>
          <w:sz w:val="16"/>
          <w:szCs w:val="16"/>
        </w:rPr>
        <w:t>Note: Median income was divided by 1000.</w:t>
      </w:r>
    </w:p>
    <w:p w:rsidR="000B6BDD" w:rsidRDefault="000B6BDD" w:rsidP="001456BD">
      <w:pPr>
        <w:pStyle w:val="L1-FlLSp12"/>
      </w:pPr>
    </w:p>
    <w:p w:rsidR="000B6BDD" w:rsidRDefault="000B6BDD" w:rsidP="00EB66B8">
      <w:pPr>
        <w:pStyle w:val="L1-FlLSp12"/>
      </w:pPr>
      <w:r>
        <w:t xml:space="preserve">In addition, simultaneous t-tests were conducted to evaluate the impact of the higher incentive amount on refusal rates for various subgroups individually, based on demographic characteristics of the PSUs. Table G-2 shows the refusal rates for each incentive group, their standard errors, the estimated difference between the refusal rates (and the standard error), and the p-value for the statistical test. The subgroups listed in Table G-2 are defined using data from the 2000 Census for each PSU. </w:t>
      </w:r>
    </w:p>
    <w:p w:rsidR="000B6BDD" w:rsidRDefault="000B6BDD" w:rsidP="00EB66B8">
      <w:pPr>
        <w:pStyle w:val="L1-FlLSp12"/>
      </w:pPr>
    </w:p>
    <w:p w:rsidR="000B6BDD" w:rsidRDefault="000B6BDD" w:rsidP="00EB66B8">
      <w:pPr>
        <w:pStyle w:val="L1-FlLSp12"/>
      </w:pPr>
      <w:r>
        <w:t>The assignment of PSUs to each subgroup was accomplished in the following way:</w:t>
      </w:r>
    </w:p>
    <w:p w:rsidR="000B6BDD" w:rsidRDefault="000B6BDD" w:rsidP="00EB66B8">
      <w:pPr>
        <w:pStyle w:val="L1-FlLSp12"/>
      </w:pPr>
    </w:p>
    <w:p w:rsidR="000B6BDD" w:rsidRDefault="000B6BDD" w:rsidP="00EB66B8">
      <w:pPr>
        <w:pStyle w:val="N1-1stBullet"/>
        <w:numPr>
          <w:numberingChange w:id="8" w:author="Unknown" w:date="2011-04-29T16:46:00Z" w:original=""/>
        </w:numPr>
      </w:pPr>
      <w:r>
        <w:t xml:space="preserve">A PSU is classified as </w:t>
      </w:r>
      <w:r w:rsidRPr="0013774F">
        <w:rPr>
          <w:i/>
        </w:rPr>
        <w:t>high poverty</w:t>
      </w:r>
      <w:r>
        <w:t xml:space="preserve"> if the population percentage earning below 150 percent of the poverty line is greater than 21.4 percent. It is </w:t>
      </w:r>
      <w:r w:rsidRPr="0013774F">
        <w:rPr>
          <w:i/>
        </w:rPr>
        <w:t>low poverty</w:t>
      </w:r>
      <w:r>
        <w:t xml:space="preserve"> otherwise. </w:t>
      </w:r>
    </w:p>
    <w:p w:rsidR="000B6BDD" w:rsidRDefault="000B6BDD" w:rsidP="00EB66B8">
      <w:pPr>
        <w:pStyle w:val="N1-1stBullet"/>
        <w:numPr>
          <w:numberingChange w:id="9" w:author="Unknown" w:date="2011-04-29T16:46:00Z" w:original=""/>
        </w:numPr>
      </w:pPr>
      <w:r>
        <w:t xml:space="preserve">A PSU is </w:t>
      </w:r>
      <w:r w:rsidRPr="0013774F">
        <w:rPr>
          <w:i/>
        </w:rPr>
        <w:t>high education</w:t>
      </w:r>
      <w:r>
        <w:t xml:space="preserve"> if the population percentage with no more than a high school education is less than 50.9 percent. It is </w:t>
      </w:r>
      <w:r w:rsidRPr="0013774F">
        <w:rPr>
          <w:i/>
        </w:rPr>
        <w:t>low education</w:t>
      </w:r>
      <w:r>
        <w:t xml:space="preserve"> otherwise. </w:t>
      </w:r>
    </w:p>
    <w:p w:rsidR="000B6BDD" w:rsidRDefault="000B6BDD" w:rsidP="00EB66B8">
      <w:pPr>
        <w:pStyle w:val="N1-1stBullet"/>
        <w:numPr>
          <w:numberingChange w:id="10" w:author="Unknown" w:date="2011-04-29T16:46:00Z" w:original=""/>
        </w:numPr>
      </w:pPr>
      <w:r>
        <w:t xml:space="preserve">A PSU is </w:t>
      </w:r>
      <w:r w:rsidRPr="0013774F">
        <w:rPr>
          <w:i/>
        </w:rPr>
        <w:t>high black</w:t>
      </w:r>
      <w:r>
        <w:t xml:space="preserve"> if the population percentage non-Hispanic black is greater than 11.6 percent. It is </w:t>
      </w:r>
      <w:r w:rsidRPr="0013774F">
        <w:rPr>
          <w:i/>
        </w:rPr>
        <w:t>low black</w:t>
      </w:r>
      <w:r>
        <w:t xml:space="preserve"> otherwise. </w:t>
      </w:r>
    </w:p>
    <w:p w:rsidR="000B6BDD" w:rsidRDefault="000B6BDD" w:rsidP="00EB66B8">
      <w:pPr>
        <w:pStyle w:val="N1-1stBullet"/>
        <w:numPr>
          <w:numberingChange w:id="11" w:author="Unknown" w:date="2011-04-29T16:46:00Z" w:original=""/>
        </w:numPr>
      </w:pPr>
      <w:r>
        <w:t xml:space="preserve">A PSU is </w:t>
      </w:r>
      <w:r w:rsidRPr="0013774F">
        <w:rPr>
          <w:i/>
        </w:rPr>
        <w:t>high Hispanic</w:t>
      </w:r>
      <w:r>
        <w:t xml:space="preserve"> if the population percentage Hispanic is greater than 7.5 percent. It is </w:t>
      </w:r>
      <w:r w:rsidRPr="0013774F">
        <w:rPr>
          <w:i/>
        </w:rPr>
        <w:t>low Hispanic</w:t>
      </w:r>
      <w:r>
        <w:t xml:space="preserve"> otherwise. </w:t>
      </w:r>
    </w:p>
    <w:p w:rsidR="000B6BDD" w:rsidRDefault="000B6BDD" w:rsidP="00EB66B8">
      <w:pPr>
        <w:pStyle w:val="N1-1stBullet"/>
        <w:numPr>
          <w:numberingChange w:id="12" w:author="Unknown" w:date="2011-04-29T16:46:00Z" w:original=""/>
        </w:numPr>
      </w:pPr>
      <w:r>
        <w:t xml:space="preserve">Regions are also used as well as Metropolitan Statistical Area (MSA) status. </w:t>
      </w:r>
    </w:p>
    <w:p w:rsidR="000B6BDD" w:rsidRPr="003A4C55" w:rsidRDefault="000B6BDD" w:rsidP="00EB66B8">
      <w:pPr>
        <w:pStyle w:val="L1-FlLSp12"/>
      </w:pPr>
      <w:r>
        <w:t>The following area-level subgroups demonstrate statistically significant differences (at the Bonferroni family of statistical testing level of 0.05) in refusal rates between incentive groups (all having lower refusal rates for the $50 incentive amount): PSUs in low poverty areas, high education areas, high black areas, low Hispanic areas, and PSUs in the West, and in MSAs</w:t>
      </w:r>
      <w:r w:rsidRPr="003A4C55">
        <w:t xml:space="preserve">. </w:t>
      </w:r>
      <w:r>
        <w:t xml:space="preserve"> Although, some of these </w:t>
      </w:r>
      <w:r w:rsidRPr="003A4C55">
        <w:t>subgroup</w:t>
      </w:r>
      <w:r>
        <w:t xml:space="preserve">s demonstrated a significant drop in refusal rates between the $35 and $50 incentive groups, while others did not, </w:t>
      </w:r>
      <w:r w:rsidRPr="003A4C55">
        <w:t>the estimated subgroup differences in refusal rates are fairly steady</w:t>
      </w:r>
      <w:r>
        <w:t>:</w:t>
      </w:r>
      <w:r w:rsidRPr="003A4C55">
        <w:t xml:space="preserve"> between 4 and 8 percentage points reduction with the higher incentive</w:t>
      </w:r>
      <w:r>
        <w:t xml:space="preserve"> level</w:t>
      </w:r>
      <w:r w:rsidRPr="003A4C55">
        <w:t xml:space="preserve">. </w:t>
      </w:r>
      <w:r>
        <w:t xml:space="preserve">The results indicate the impact of smaller sample sizes and clustering on the stability of the estimated standard errors for each subgroup. </w:t>
      </w:r>
    </w:p>
    <w:p w:rsidR="000B6BDD" w:rsidRDefault="000B6BDD" w:rsidP="00EB66B8">
      <w:pPr>
        <w:pStyle w:val="L1-FlLSp12"/>
      </w:pPr>
    </w:p>
    <w:p w:rsidR="000B6BDD" w:rsidRDefault="000B6BDD" w:rsidP="00EB66B8">
      <w:pPr>
        <w:pStyle w:val="TT-TableTitle"/>
      </w:pPr>
      <w:r>
        <w:t>Table G-2.</w:t>
      </w:r>
      <w:r>
        <w:tab/>
        <w:t xml:space="preserve">Overall refusal rates and standard errors by incentive amount, including estimated differences and the p-values </w:t>
      </w:r>
    </w:p>
    <w:p w:rsidR="000B6BDD" w:rsidRDefault="000B6BDD" w:rsidP="00EB66B8">
      <w:pPr>
        <w:pStyle w:val="TT-TableTitle"/>
      </w:pPr>
    </w:p>
    <w:tbl>
      <w:tblPr>
        <w:tblW w:w="5000" w:type="pct"/>
        <w:tblCellMar>
          <w:left w:w="0" w:type="dxa"/>
          <w:right w:w="0" w:type="dxa"/>
        </w:tblCellMar>
        <w:tblLook w:val="00A0"/>
      </w:tblPr>
      <w:tblGrid>
        <w:gridCol w:w="1294"/>
        <w:gridCol w:w="708"/>
        <w:gridCol w:w="1227"/>
        <w:gridCol w:w="1252"/>
        <w:gridCol w:w="795"/>
        <w:gridCol w:w="1252"/>
        <w:gridCol w:w="894"/>
        <w:gridCol w:w="1247"/>
        <w:gridCol w:w="691"/>
      </w:tblGrid>
      <w:tr w:rsidR="000B6BDD" w:rsidRPr="007522FC" w:rsidTr="00EB66B8">
        <w:trPr>
          <w:trHeight w:val="300"/>
        </w:trPr>
        <w:tc>
          <w:tcPr>
            <w:tcW w:w="667" w:type="pct"/>
            <w:tcBorders>
              <w:top w:val="single" w:sz="4" w:space="0" w:color="auto"/>
              <w:left w:val="nil"/>
              <w:bottom w:val="nil"/>
            </w:tcBorders>
            <w:shd w:val="clear" w:color="auto" w:fill="AFBED7"/>
            <w:noWrap/>
            <w:vAlign w:val="bottom"/>
          </w:tcPr>
          <w:p w:rsidR="000B6BDD" w:rsidRPr="007522FC" w:rsidRDefault="000B6BDD" w:rsidP="00EB66B8">
            <w:pPr>
              <w:pStyle w:val="TH-TableHeading"/>
            </w:pPr>
          </w:p>
        </w:tc>
        <w:tc>
          <w:tcPr>
            <w:tcW w:w="395" w:type="pct"/>
            <w:tcBorders>
              <w:top w:val="single" w:sz="4" w:space="0" w:color="auto"/>
              <w:bottom w:val="nil"/>
            </w:tcBorders>
            <w:shd w:val="clear" w:color="auto" w:fill="AFBED7"/>
          </w:tcPr>
          <w:p w:rsidR="000B6BDD" w:rsidRDefault="000B6BDD" w:rsidP="00EB66B8">
            <w:pPr>
              <w:pStyle w:val="TX-TableText"/>
              <w:jc w:val="center"/>
            </w:pPr>
          </w:p>
        </w:tc>
        <w:tc>
          <w:tcPr>
            <w:tcW w:w="1320" w:type="pct"/>
            <w:gridSpan w:val="2"/>
            <w:tcBorders>
              <w:top w:val="single" w:sz="4" w:space="0" w:color="auto"/>
              <w:bottom w:val="nil"/>
            </w:tcBorders>
            <w:shd w:val="clear" w:color="auto" w:fill="AFBED7"/>
            <w:noWrap/>
            <w:vAlign w:val="bottom"/>
          </w:tcPr>
          <w:p w:rsidR="000B6BDD" w:rsidRPr="007522FC" w:rsidRDefault="000B6BDD" w:rsidP="00EB66B8">
            <w:pPr>
              <w:pStyle w:val="TX-TableText"/>
              <w:jc w:val="center"/>
            </w:pPr>
            <w:r>
              <w:t>$35 Incentive group</w:t>
            </w:r>
          </w:p>
        </w:tc>
        <w:tc>
          <w:tcPr>
            <w:tcW w:w="1089" w:type="pct"/>
            <w:gridSpan w:val="2"/>
            <w:tcBorders>
              <w:top w:val="single" w:sz="4" w:space="0" w:color="auto"/>
              <w:bottom w:val="nil"/>
            </w:tcBorders>
            <w:shd w:val="clear" w:color="auto" w:fill="AFBED7"/>
            <w:noWrap/>
            <w:vAlign w:val="bottom"/>
          </w:tcPr>
          <w:p w:rsidR="000B6BDD" w:rsidRPr="007522FC" w:rsidRDefault="000B6BDD" w:rsidP="00EB66B8">
            <w:pPr>
              <w:pStyle w:val="TX-TableText"/>
              <w:jc w:val="center"/>
            </w:pPr>
            <w:r>
              <w:t>$50 Incentive group</w:t>
            </w:r>
          </w:p>
        </w:tc>
        <w:tc>
          <w:tcPr>
            <w:tcW w:w="494" w:type="pct"/>
            <w:tcBorders>
              <w:top w:val="single" w:sz="4" w:space="0" w:color="auto"/>
              <w:bottom w:val="nil"/>
            </w:tcBorders>
            <w:shd w:val="clear" w:color="auto" w:fill="AFBED7"/>
            <w:noWrap/>
            <w:vAlign w:val="bottom"/>
          </w:tcPr>
          <w:p w:rsidR="000B6BDD" w:rsidRPr="007522FC" w:rsidRDefault="000B6BDD" w:rsidP="00EB66B8">
            <w:pPr>
              <w:pStyle w:val="TX-TableText"/>
              <w:jc w:val="center"/>
            </w:pPr>
          </w:p>
        </w:tc>
        <w:tc>
          <w:tcPr>
            <w:tcW w:w="648" w:type="pct"/>
            <w:tcBorders>
              <w:top w:val="single" w:sz="4" w:space="0" w:color="auto"/>
              <w:bottom w:val="nil"/>
            </w:tcBorders>
            <w:shd w:val="clear" w:color="auto" w:fill="AFBED7"/>
            <w:noWrap/>
            <w:vAlign w:val="bottom"/>
          </w:tcPr>
          <w:p w:rsidR="000B6BDD" w:rsidRPr="007522FC" w:rsidRDefault="000B6BDD" w:rsidP="00EB66B8">
            <w:pPr>
              <w:pStyle w:val="TX-TableText"/>
              <w:jc w:val="center"/>
            </w:pPr>
          </w:p>
        </w:tc>
        <w:tc>
          <w:tcPr>
            <w:tcW w:w="385" w:type="pct"/>
            <w:tcBorders>
              <w:top w:val="single" w:sz="4" w:space="0" w:color="auto"/>
              <w:bottom w:val="nil"/>
              <w:right w:val="nil"/>
            </w:tcBorders>
            <w:shd w:val="clear" w:color="auto" w:fill="AFBED7"/>
            <w:noWrap/>
            <w:vAlign w:val="bottom"/>
          </w:tcPr>
          <w:p w:rsidR="000B6BDD" w:rsidRPr="007522FC" w:rsidRDefault="000B6BDD" w:rsidP="00EB66B8">
            <w:pPr>
              <w:pStyle w:val="TX-TableText"/>
              <w:jc w:val="center"/>
            </w:pPr>
          </w:p>
        </w:tc>
      </w:tr>
      <w:tr w:rsidR="000B6BDD" w:rsidRPr="007522FC" w:rsidTr="00EB66B8">
        <w:trPr>
          <w:trHeight w:val="300"/>
        </w:trPr>
        <w:tc>
          <w:tcPr>
            <w:tcW w:w="667" w:type="pct"/>
            <w:tcBorders>
              <w:top w:val="nil"/>
              <w:left w:val="nil"/>
              <w:bottom w:val="single" w:sz="4" w:space="0" w:color="auto"/>
              <w:right w:val="nil"/>
            </w:tcBorders>
            <w:shd w:val="clear" w:color="auto" w:fill="AFBED7"/>
            <w:noWrap/>
            <w:vAlign w:val="bottom"/>
          </w:tcPr>
          <w:p w:rsidR="000B6BDD" w:rsidRPr="007522FC" w:rsidRDefault="000B6BDD" w:rsidP="00EB66B8">
            <w:pPr>
              <w:pStyle w:val="TX-TableText"/>
              <w:jc w:val="center"/>
            </w:pPr>
          </w:p>
        </w:tc>
        <w:tc>
          <w:tcPr>
            <w:tcW w:w="395" w:type="pct"/>
            <w:tcBorders>
              <w:top w:val="nil"/>
              <w:left w:val="single" w:sz="4" w:space="0" w:color="auto"/>
              <w:bottom w:val="single" w:sz="4" w:space="0" w:color="auto"/>
              <w:right w:val="single" w:sz="4" w:space="0" w:color="auto"/>
            </w:tcBorders>
            <w:shd w:val="clear" w:color="auto" w:fill="AFBED7"/>
            <w:vAlign w:val="bottom"/>
          </w:tcPr>
          <w:p w:rsidR="000B6BDD" w:rsidRPr="007522FC" w:rsidRDefault="000B6BDD" w:rsidP="00EB66B8">
            <w:pPr>
              <w:pStyle w:val="TX-TableText"/>
              <w:jc w:val="center"/>
            </w:pPr>
            <w:r>
              <w:t>Sample Size</w:t>
            </w:r>
          </w:p>
        </w:tc>
        <w:tc>
          <w:tcPr>
            <w:tcW w:w="672" w:type="pct"/>
            <w:tcBorders>
              <w:top w:val="nil"/>
              <w:left w:val="single" w:sz="4" w:space="0" w:color="auto"/>
              <w:bottom w:val="single" w:sz="4" w:space="0" w:color="auto"/>
              <w:right w:val="nil"/>
            </w:tcBorders>
            <w:shd w:val="clear" w:color="auto" w:fill="AFBED7"/>
            <w:noWrap/>
            <w:vAlign w:val="bottom"/>
          </w:tcPr>
          <w:p w:rsidR="000B6BDD" w:rsidRPr="007522FC" w:rsidRDefault="000B6BDD" w:rsidP="00EB66B8">
            <w:pPr>
              <w:pStyle w:val="TX-TableText"/>
              <w:jc w:val="center"/>
            </w:pPr>
            <w:r w:rsidRPr="007522FC">
              <w:t>Estimate</w:t>
            </w:r>
          </w:p>
        </w:tc>
        <w:tc>
          <w:tcPr>
            <w:tcW w:w="648" w:type="pct"/>
            <w:tcBorders>
              <w:top w:val="nil"/>
              <w:left w:val="nil"/>
              <w:bottom w:val="single" w:sz="4" w:space="0" w:color="auto"/>
              <w:right w:val="nil"/>
            </w:tcBorders>
            <w:shd w:val="clear" w:color="auto" w:fill="AFBED7"/>
            <w:noWrap/>
            <w:vAlign w:val="bottom"/>
          </w:tcPr>
          <w:p w:rsidR="000B6BDD" w:rsidRPr="007522FC" w:rsidRDefault="000B6BDD" w:rsidP="00EB66B8">
            <w:pPr>
              <w:pStyle w:val="TX-TableText"/>
              <w:jc w:val="center"/>
            </w:pPr>
            <w:r w:rsidRPr="007522FC">
              <w:t>Standard Error</w:t>
            </w:r>
          </w:p>
        </w:tc>
        <w:tc>
          <w:tcPr>
            <w:tcW w:w="441" w:type="pct"/>
            <w:tcBorders>
              <w:top w:val="nil"/>
              <w:left w:val="single" w:sz="4" w:space="0" w:color="auto"/>
              <w:bottom w:val="single" w:sz="4" w:space="0" w:color="auto"/>
              <w:right w:val="nil"/>
            </w:tcBorders>
            <w:shd w:val="clear" w:color="auto" w:fill="AFBED7"/>
            <w:noWrap/>
            <w:vAlign w:val="bottom"/>
          </w:tcPr>
          <w:p w:rsidR="000B6BDD" w:rsidRPr="007522FC" w:rsidRDefault="000B6BDD" w:rsidP="00EB66B8">
            <w:pPr>
              <w:pStyle w:val="TX-TableText"/>
              <w:jc w:val="center"/>
            </w:pPr>
            <w:r w:rsidRPr="007522FC">
              <w:t>Estimate</w:t>
            </w:r>
          </w:p>
        </w:tc>
        <w:tc>
          <w:tcPr>
            <w:tcW w:w="648" w:type="pct"/>
            <w:tcBorders>
              <w:top w:val="nil"/>
              <w:left w:val="nil"/>
              <w:bottom w:val="single" w:sz="4" w:space="0" w:color="auto"/>
              <w:right w:val="nil"/>
            </w:tcBorders>
            <w:shd w:val="clear" w:color="auto" w:fill="AFBED7"/>
            <w:noWrap/>
            <w:vAlign w:val="bottom"/>
          </w:tcPr>
          <w:p w:rsidR="000B6BDD" w:rsidRPr="007522FC" w:rsidRDefault="000B6BDD" w:rsidP="00EB66B8">
            <w:pPr>
              <w:pStyle w:val="TX-TableText"/>
              <w:jc w:val="center"/>
            </w:pPr>
            <w:r w:rsidRPr="007522FC">
              <w:t>Standard Error</w:t>
            </w:r>
          </w:p>
        </w:tc>
        <w:tc>
          <w:tcPr>
            <w:tcW w:w="494" w:type="pct"/>
            <w:tcBorders>
              <w:top w:val="nil"/>
              <w:left w:val="single" w:sz="4" w:space="0" w:color="auto"/>
              <w:bottom w:val="single" w:sz="4" w:space="0" w:color="auto"/>
              <w:right w:val="nil"/>
            </w:tcBorders>
            <w:shd w:val="clear" w:color="auto" w:fill="AFBED7"/>
            <w:noWrap/>
            <w:vAlign w:val="bottom"/>
          </w:tcPr>
          <w:p w:rsidR="000B6BDD" w:rsidRPr="007522FC" w:rsidRDefault="000B6BDD" w:rsidP="00EB66B8">
            <w:pPr>
              <w:pStyle w:val="TX-TableText"/>
              <w:jc w:val="center"/>
            </w:pPr>
            <w:r>
              <w:t>Difference</w:t>
            </w:r>
          </w:p>
        </w:tc>
        <w:tc>
          <w:tcPr>
            <w:tcW w:w="648" w:type="pct"/>
            <w:tcBorders>
              <w:top w:val="nil"/>
              <w:left w:val="nil"/>
              <w:bottom w:val="single" w:sz="4" w:space="0" w:color="auto"/>
              <w:right w:val="nil"/>
            </w:tcBorders>
            <w:shd w:val="clear" w:color="auto" w:fill="AFBED7"/>
            <w:noWrap/>
            <w:vAlign w:val="bottom"/>
          </w:tcPr>
          <w:p w:rsidR="000B6BDD" w:rsidRPr="007522FC" w:rsidRDefault="000B6BDD" w:rsidP="00EB66B8">
            <w:pPr>
              <w:pStyle w:val="TX-TableText"/>
              <w:jc w:val="center"/>
            </w:pPr>
            <w:r w:rsidRPr="007522FC">
              <w:t>Standard Error</w:t>
            </w:r>
          </w:p>
        </w:tc>
        <w:tc>
          <w:tcPr>
            <w:tcW w:w="385" w:type="pct"/>
            <w:tcBorders>
              <w:top w:val="nil"/>
              <w:left w:val="nil"/>
              <w:bottom w:val="single" w:sz="4" w:space="0" w:color="auto"/>
              <w:right w:val="nil"/>
            </w:tcBorders>
            <w:shd w:val="clear" w:color="auto" w:fill="AFBED7"/>
            <w:noWrap/>
            <w:vAlign w:val="bottom"/>
          </w:tcPr>
          <w:p w:rsidR="000B6BDD" w:rsidRPr="007522FC" w:rsidRDefault="000B6BDD" w:rsidP="00EB66B8">
            <w:pPr>
              <w:pStyle w:val="TX-TableText"/>
              <w:jc w:val="center"/>
            </w:pPr>
            <w:r w:rsidRPr="007522FC">
              <w:t>p-value</w:t>
            </w:r>
          </w:p>
        </w:tc>
      </w:tr>
      <w:tr w:rsidR="000B6BDD" w:rsidRPr="007522FC" w:rsidTr="00EB66B8">
        <w:trPr>
          <w:trHeight w:val="300"/>
        </w:trPr>
        <w:tc>
          <w:tcPr>
            <w:tcW w:w="667" w:type="pct"/>
            <w:tcBorders>
              <w:top w:val="nil"/>
              <w:left w:val="nil"/>
              <w:bottom w:val="nil"/>
              <w:right w:val="nil"/>
            </w:tcBorders>
            <w:noWrap/>
            <w:vAlign w:val="bottom"/>
          </w:tcPr>
          <w:p w:rsidR="000B6BDD" w:rsidRPr="00CB5596" w:rsidRDefault="000B6BDD" w:rsidP="00EB66B8">
            <w:pPr>
              <w:pStyle w:val="TX-TableText"/>
            </w:pPr>
            <w:r>
              <w:t>High poverty</w:t>
            </w:r>
          </w:p>
        </w:tc>
        <w:tc>
          <w:tcPr>
            <w:tcW w:w="395" w:type="pct"/>
            <w:tcBorders>
              <w:top w:val="nil"/>
              <w:left w:val="single" w:sz="4" w:space="0" w:color="auto"/>
              <w:bottom w:val="nil"/>
              <w:right w:val="single" w:sz="4" w:space="0" w:color="auto"/>
            </w:tcBorders>
            <w:vAlign w:val="bottom"/>
          </w:tcPr>
          <w:p w:rsidR="000B6BDD" w:rsidRPr="00265738" w:rsidRDefault="000B6BDD" w:rsidP="00EB66B8">
            <w:pPr>
              <w:pStyle w:val="TX-TableText"/>
              <w:jc w:val="center"/>
            </w:pPr>
            <w:r>
              <w:t>903</w:t>
            </w:r>
          </w:p>
        </w:tc>
        <w:tc>
          <w:tcPr>
            <w:tcW w:w="672" w:type="pct"/>
            <w:tcBorders>
              <w:top w:val="nil"/>
              <w:left w:val="single" w:sz="4" w:space="0" w:color="auto"/>
              <w:bottom w:val="nil"/>
              <w:right w:val="nil"/>
            </w:tcBorders>
            <w:noWrap/>
            <w:vAlign w:val="bottom"/>
          </w:tcPr>
          <w:p w:rsidR="000B6BDD" w:rsidRPr="00265738" w:rsidRDefault="000B6BDD" w:rsidP="00EB66B8">
            <w:pPr>
              <w:pStyle w:val="TX-TableText"/>
              <w:jc w:val="center"/>
            </w:pPr>
            <w:r w:rsidRPr="00265738">
              <w:t>36.3%</w:t>
            </w:r>
          </w:p>
        </w:tc>
        <w:tc>
          <w:tcPr>
            <w:tcW w:w="648" w:type="pct"/>
            <w:tcBorders>
              <w:top w:val="nil"/>
              <w:left w:val="nil"/>
              <w:bottom w:val="nil"/>
              <w:right w:val="nil"/>
            </w:tcBorders>
            <w:noWrap/>
            <w:vAlign w:val="bottom"/>
          </w:tcPr>
          <w:p w:rsidR="000B6BDD" w:rsidRPr="00265738" w:rsidRDefault="000B6BDD" w:rsidP="00EB66B8">
            <w:pPr>
              <w:pStyle w:val="TX-TableText"/>
              <w:jc w:val="center"/>
            </w:pPr>
            <w:r w:rsidRPr="00265738">
              <w:t>1.92%</w:t>
            </w:r>
          </w:p>
        </w:tc>
        <w:tc>
          <w:tcPr>
            <w:tcW w:w="441" w:type="pct"/>
            <w:tcBorders>
              <w:top w:val="nil"/>
              <w:left w:val="single" w:sz="4" w:space="0" w:color="auto"/>
              <w:bottom w:val="nil"/>
              <w:right w:val="nil"/>
            </w:tcBorders>
            <w:noWrap/>
            <w:vAlign w:val="bottom"/>
          </w:tcPr>
          <w:p w:rsidR="000B6BDD" w:rsidRPr="00265738" w:rsidRDefault="000B6BDD" w:rsidP="00EB66B8">
            <w:pPr>
              <w:pStyle w:val="TX-TableText"/>
              <w:jc w:val="center"/>
            </w:pPr>
            <w:r w:rsidRPr="00265738">
              <w:t>31.4%</w:t>
            </w:r>
          </w:p>
        </w:tc>
        <w:tc>
          <w:tcPr>
            <w:tcW w:w="648" w:type="pct"/>
            <w:tcBorders>
              <w:top w:val="nil"/>
              <w:left w:val="nil"/>
              <w:bottom w:val="nil"/>
              <w:right w:val="nil"/>
            </w:tcBorders>
            <w:noWrap/>
            <w:vAlign w:val="bottom"/>
          </w:tcPr>
          <w:p w:rsidR="000B6BDD" w:rsidRPr="00265738" w:rsidRDefault="000B6BDD" w:rsidP="00EB66B8">
            <w:pPr>
              <w:pStyle w:val="TX-TableText"/>
              <w:jc w:val="center"/>
            </w:pPr>
            <w:r w:rsidRPr="00265738">
              <w:t>3.38%</w:t>
            </w:r>
          </w:p>
        </w:tc>
        <w:tc>
          <w:tcPr>
            <w:tcW w:w="494" w:type="pct"/>
            <w:tcBorders>
              <w:top w:val="nil"/>
              <w:left w:val="single" w:sz="4" w:space="0" w:color="auto"/>
              <w:bottom w:val="nil"/>
              <w:right w:val="nil"/>
            </w:tcBorders>
            <w:noWrap/>
            <w:vAlign w:val="bottom"/>
          </w:tcPr>
          <w:p w:rsidR="000B6BDD" w:rsidRPr="00265738" w:rsidRDefault="000B6BDD" w:rsidP="00EB66B8">
            <w:pPr>
              <w:pStyle w:val="TX-TableText"/>
              <w:jc w:val="center"/>
            </w:pPr>
            <w:r w:rsidRPr="00265738">
              <w:t>4.9%</w:t>
            </w:r>
          </w:p>
        </w:tc>
        <w:tc>
          <w:tcPr>
            <w:tcW w:w="648" w:type="pct"/>
            <w:tcBorders>
              <w:top w:val="nil"/>
              <w:left w:val="nil"/>
              <w:bottom w:val="nil"/>
              <w:right w:val="nil"/>
            </w:tcBorders>
            <w:noWrap/>
            <w:vAlign w:val="bottom"/>
          </w:tcPr>
          <w:p w:rsidR="000B6BDD" w:rsidRPr="00265738" w:rsidRDefault="000B6BDD" w:rsidP="00EB66B8">
            <w:pPr>
              <w:pStyle w:val="TX-TableText"/>
              <w:jc w:val="center"/>
            </w:pPr>
            <w:r w:rsidRPr="00265738">
              <w:t>3.14%</w:t>
            </w:r>
          </w:p>
        </w:tc>
        <w:tc>
          <w:tcPr>
            <w:tcW w:w="385" w:type="pct"/>
            <w:tcBorders>
              <w:top w:val="nil"/>
              <w:left w:val="nil"/>
              <w:bottom w:val="nil"/>
              <w:right w:val="nil"/>
            </w:tcBorders>
            <w:noWrap/>
            <w:vAlign w:val="bottom"/>
          </w:tcPr>
          <w:p w:rsidR="000B6BDD" w:rsidRPr="00265738" w:rsidRDefault="000B6BDD" w:rsidP="00EB66B8">
            <w:pPr>
              <w:pStyle w:val="TX-TableText"/>
              <w:jc w:val="center"/>
            </w:pPr>
            <w:r w:rsidRPr="00265738">
              <w:t>0.1354</w:t>
            </w:r>
          </w:p>
        </w:tc>
      </w:tr>
      <w:tr w:rsidR="000B6BDD" w:rsidRPr="007522FC" w:rsidTr="00EB66B8">
        <w:trPr>
          <w:trHeight w:val="300"/>
        </w:trPr>
        <w:tc>
          <w:tcPr>
            <w:tcW w:w="667" w:type="pct"/>
            <w:tcBorders>
              <w:top w:val="nil"/>
              <w:left w:val="nil"/>
              <w:bottom w:val="nil"/>
              <w:right w:val="nil"/>
            </w:tcBorders>
            <w:noWrap/>
            <w:vAlign w:val="bottom"/>
          </w:tcPr>
          <w:p w:rsidR="000B6BDD" w:rsidRPr="00CB5596" w:rsidRDefault="000B6BDD" w:rsidP="00EB66B8">
            <w:pPr>
              <w:pStyle w:val="TX-TableText"/>
            </w:pPr>
            <w:r>
              <w:t>Low poverty</w:t>
            </w:r>
          </w:p>
        </w:tc>
        <w:tc>
          <w:tcPr>
            <w:tcW w:w="395" w:type="pct"/>
            <w:tcBorders>
              <w:top w:val="nil"/>
              <w:left w:val="single" w:sz="4" w:space="0" w:color="auto"/>
              <w:bottom w:val="nil"/>
              <w:right w:val="single" w:sz="4" w:space="0" w:color="auto"/>
            </w:tcBorders>
            <w:vAlign w:val="bottom"/>
          </w:tcPr>
          <w:p w:rsidR="000B6BDD" w:rsidRPr="00265738" w:rsidRDefault="000B6BDD" w:rsidP="00EB66B8">
            <w:pPr>
              <w:pStyle w:val="TX-TableText"/>
              <w:jc w:val="center"/>
            </w:pPr>
            <w:r>
              <w:t>1357</w:t>
            </w:r>
          </w:p>
        </w:tc>
        <w:tc>
          <w:tcPr>
            <w:tcW w:w="672" w:type="pct"/>
            <w:tcBorders>
              <w:top w:val="nil"/>
              <w:left w:val="single" w:sz="4" w:space="0" w:color="auto"/>
              <w:bottom w:val="nil"/>
              <w:right w:val="nil"/>
            </w:tcBorders>
            <w:noWrap/>
            <w:vAlign w:val="bottom"/>
          </w:tcPr>
          <w:p w:rsidR="000B6BDD" w:rsidRPr="00265738" w:rsidRDefault="000B6BDD" w:rsidP="00EB66B8">
            <w:pPr>
              <w:pStyle w:val="TX-TableText"/>
              <w:jc w:val="center"/>
            </w:pPr>
            <w:r w:rsidRPr="00265738">
              <w:t>38.5%</w:t>
            </w:r>
          </w:p>
        </w:tc>
        <w:tc>
          <w:tcPr>
            <w:tcW w:w="648" w:type="pct"/>
            <w:tcBorders>
              <w:top w:val="nil"/>
              <w:left w:val="nil"/>
              <w:bottom w:val="nil"/>
              <w:right w:val="nil"/>
            </w:tcBorders>
            <w:noWrap/>
            <w:vAlign w:val="bottom"/>
          </w:tcPr>
          <w:p w:rsidR="000B6BDD" w:rsidRPr="00265738" w:rsidRDefault="000B6BDD" w:rsidP="00EB66B8">
            <w:pPr>
              <w:pStyle w:val="TX-TableText"/>
              <w:jc w:val="center"/>
            </w:pPr>
            <w:r w:rsidRPr="00265738">
              <w:t>1.66%</w:t>
            </w:r>
          </w:p>
        </w:tc>
        <w:tc>
          <w:tcPr>
            <w:tcW w:w="441" w:type="pct"/>
            <w:tcBorders>
              <w:top w:val="nil"/>
              <w:left w:val="single" w:sz="4" w:space="0" w:color="auto"/>
              <w:bottom w:val="nil"/>
              <w:right w:val="nil"/>
            </w:tcBorders>
            <w:noWrap/>
            <w:vAlign w:val="bottom"/>
          </w:tcPr>
          <w:p w:rsidR="000B6BDD" w:rsidRPr="00265738" w:rsidRDefault="000B6BDD" w:rsidP="00EB66B8">
            <w:pPr>
              <w:pStyle w:val="TX-TableText"/>
              <w:jc w:val="center"/>
            </w:pPr>
            <w:r w:rsidRPr="00265738">
              <w:t>31.0%</w:t>
            </w:r>
          </w:p>
        </w:tc>
        <w:tc>
          <w:tcPr>
            <w:tcW w:w="648" w:type="pct"/>
            <w:tcBorders>
              <w:top w:val="nil"/>
              <w:left w:val="nil"/>
              <w:bottom w:val="nil"/>
              <w:right w:val="nil"/>
            </w:tcBorders>
            <w:noWrap/>
            <w:vAlign w:val="bottom"/>
          </w:tcPr>
          <w:p w:rsidR="000B6BDD" w:rsidRPr="00265738" w:rsidRDefault="000B6BDD" w:rsidP="00EB66B8">
            <w:pPr>
              <w:pStyle w:val="TX-TableText"/>
              <w:jc w:val="center"/>
            </w:pPr>
            <w:r w:rsidRPr="00265738">
              <w:t>1.97%</w:t>
            </w:r>
          </w:p>
        </w:tc>
        <w:tc>
          <w:tcPr>
            <w:tcW w:w="494" w:type="pct"/>
            <w:tcBorders>
              <w:top w:val="nil"/>
              <w:left w:val="single" w:sz="4" w:space="0" w:color="auto"/>
              <w:bottom w:val="nil"/>
              <w:right w:val="nil"/>
            </w:tcBorders>
            <w:noWrap/>
            <w:vAlign w:val="bottom"/>
          </w:tcPr>
          <w:p w:rsidR="000B6BDD" w:rsidRPr="00265738" w:rsidRDefault="000B6BDD" w:rsidP="00EB66B8">
            <w:pPr>
              <w:pStyle w:val="TX-TableText"/>
              <w:jc w:val="center"/>
            </w:pPr>
            <w:r w:rsidRPr="00265738">
              <w:t>7.5%</w:t>
            </w:r>
          </w:p>
        </w:tc>
        <w:tc>
          <w:tcPr>
            <w:tcW w:w="648" w:type="pct"/>
            <w:tcBorders>
              <w:top w:val="nil"/>
              <w:left w:val="nil"/>
              <w:bottom w:val="nil"/>
              <w:right w:val="nil"/>
            </w:tcBorders>
            <w:noWrap/>
            <w:vAlign w:val="bottom"/>
          </w:tcPr>
          <w:p w:rsidR="000B6BDD" w:rsidRPr="00265738" w:rsidRDefault="000B6BDD" w:rsidP="00EB66B8">
            <w:pPr>
              <w:pStyle w:val="TX-TableText"/>
              <w:jc w:val="center"/>
            </w:pPr>
            <w:r w:rsidRPr="00265738">
              <w:t>2.38%</w:t>
            </w:r>
          </w:p>
        </w:tc>
        <w:tc>
          <w:tcPr>
            <w:tcW w:w="385" w:type="pct"/>
            <w:tcBorders>
              <w:top w:val="nil"/>
              <w:left w:val="nil"/>
              <w:bottom w:val="nil"/>
              <w:right w:val="nil"/>
            </w:tcBorders>
            <w:noWrap/>
            <w:vAlign w:val="bottom"/>
          </w:tcPr>
          <w:p w:rsidR="000B6BDD" w:rsidRPr="00265738" w:rsidRDefault="000B6BDD" w:rsidP="00EB66B8">
            <w:pPr>
              <w:pStyle w:val="TX-TableText"/>
              <w:jc w:val="center"/>
            </w:pPr>
            <w:r w:rsidRPr="00265738">
              <w:t>0.0046</w:t>
            </w:r>
          </w:p>
        </w:tc>
      </w:tr>
      <w:tr w:rsidR="000B6BDD" w:rsidRPr="007522FC" w:rsidTr="00EB66B8">
        <w:trPr>
          <w:trHeight w:val="300"/>
        </w:trPr>
        <w:tc>
          <w:tcPr>
            <w:tcW w:w="667" w:type="pct"/>
            <w:tcBorders>
              <w:top w:val="nil"/>
              <w:left w:val="nil"/>
              <w:bottom w:val="nil"/>
              <w:right w:val="nil"/>
            </w:tcBorders>
            <w:noWrap/>
            <w:vAlign w:val="bottom"/>
          </w:tcPr>
          <w:p w:rsidR="000B6BDD" w:rsidRDefault="000B6BDD" w:rsidP="00EB66B8">
            <w:pPr>
              <w:pStyle w:val="TX-TableText"/>
            </w:pPr>
            <w:r>
              <w:t>High education</w:t>
            </w:r>
          </w:p>
        </w:tc>
        <w:tc>
          <w:tcPr>
            <w:tcW w:w="395" w:type="pct"/>
            <w:tcBorders>
              <w:top w:val="nil"/>
              <w:left w:val="single" w:sz="4" w:space="0" w:color="auto"/>
              <w:bottom w:val="nil"/>
              <w:right w:val="single" w:sz="4" w:space="0" w:color="auto"/>
            </w:tcBorders>
            <w:vAlign w:val="bottom"/>
          </w:tcPr>
          <w:p w:rsidR="000B6BDD" w:rsidRDefault="000B6BDD" w:rsidP="00EB66B8">
            <w:pPr>
              <w:pStyle w:val="TX-TableText"/>
              <w:jc w:val="center"/>
            </w:pPr>
            <w:r>
              <w:t>1535</w:t>
            </w:r>
          </w:p>
        </w:tc>
        <w:tc>
          <w:tcPr>
            <w:tcW w:w="672" w:type="pct"/>
            <w:tcBorders>
              <w:top w:val="nil"/>
              <w:left w:val="single" w:sz="4" w:space="0" w:color="auto"/>
              <w:bottom w:val="nil"/>
              <w:right w:val="nil"/>
            </w:tcBorders>
            <w:noWrap/>
            <w:vAlign w:val="bottom"/>
          </w:tcPr>
          <w:p w:rsidR="000B6BDD" w:rsidRPr="00265738" w:rsidRDefault="000B6BDD" w:rsidP="00EB66B8">
            <w:pPr>
              <w:pStyle w:val="TX-TableText"/>
              <w:jc w:val="center"/>
            </w:pPr>
            <w:r w:rsidRPr="00265738">
              <w:t>39.0%</w:t>
            </w:r>
          </w:p>
        </w:tc>
        <w:tc>
          <w:tcPr>
            <w:tcW w:w="648" w:type="pct"/>
            <w:tcBorders>
              <w:top w:val="nil"/>
              <w:left w:val="nil"/>
              <w:bottom w:val="nil"/>
              <w:right w:val="nil"/>
            </w:tcBorders>
            <w:noWrap/>
            <w:vAlign w:val="bottom"/>
          </w:tcPr>
          <w:p w:rsidR="000B6BDD" w:rsidRPr="00265738" w:rsidRDefault="000B6BDD" w:rsidP="00EB66B8">
            <w:pPr>
              <w:pStyle w:val="TX-TableText"/>
              <w:jc w:val="center"/>
            </w:pPr>
            <w:r w:rsidRPr="00265738">
              <w:t>1.47%</w:t>
            </w:r>
          </w:p>
        </w:tc>
        <w:tc>
          <w:tcPr>
            <w:tcW w:w="441" w:type="pct"/>
            <w:tcBorders>
              <w:top w:val="nil"/>
              <w:left w:val="single" w:sz="4" w:space="0" w:color="auto"/>
              <w:bottom w:val="nil"/>
              <w:right w:val="nil"/>
            </w:tcBorders>
            <w:noWrap/>
            <w:vAlign w:val="bottom"/>
          </w:tcPr>
          <w:p w:rsidR="000B6BDD" w:rsidRPr="00265738" w:rsidRDefault="000B6BDD" w:rsidP="00EB66B8">
            <w:pPr>
              <w:pStyle w:val="TX-TableText"/>
              <w:jc w:val="center"/>
            </w:pPr>
            <w:r w:rsidRPr="00265738">
              <w:t>31.7%</w:t>
            </w:r>
          </w:p>
        </w:tc>
        <w:tc>
          <w:tcPr>
            <w:tcW w:w="648" w:type="pct"/>
            <w:tcBorders>
              <w:top w:val="nil"/>
              <w:left w:val="nil"/>
              <w:bottom w:val="nil"/>
              <w:right w:val="nil"/>
            </w:tcBorders>
            <w:noWrap/>
            <w:vAlign w:val="bottom"/>
          </w:tcPr>
          <w:p w:rsidR="000B6BDD" w:rsidRPr="00265738" w:rsidRDefault="000B6BDD" w:rsidP="00EB66B8">
            <w:pPr>
              <w:pStyle w:val="TX-TableText"/>
              <w:jc w:val="center"/>
            </w:pPr>
            <w:r w:rsidRPr="00265738">
              <w:t>1.73%</w:t>
            </w:r>
          </w:p>
        </w:tc>
        <w:tc>
          <w:tcPr>
            <w:tcW w:w="494" w:type="pct"/>
            <w:tcBorders>
              <w:top w:val="nil"/>
              <w:left w:val="single" w:sz="4" w:space="0" w:color="auto"/>
              <w:bottom w:val="nil"/>
              <w:right w:val="nil"/>
            </w:tcBorders>
            <w:noWrap/>
            <w:vAlign w:val="bottom"/>
          </w:tcPr>
          <w:p w:rsidR="000B6BDD" w:rsidRPr="00265738" w:rsidRDefault="000B6BDD" w:rsidP="00EB66B8">
            <w:pPr>
              <w:pStyle w:val="TX-TableText"/>
              <w:jc w:val="center"/>
            </w:pPr>
            <w:r w:rsidRPr="00265738">
              <w:t>7.3%</w:t>
            </w:r>
          </w:p>
        </w:tc>
        <w:tc>
          <w:tcPr>
            <w:tcW w:w="648" w:type="pct"/>
            <w:tcBorders>
              <w:top w:val="nil"/>
              <w:left w:val="nil"/>
              <w:bottom w:val="nil"/>
              <w:right w:val="nil"/>
            </w:tcBorders>
            <w:noWrap/>
            <w:vAlign w:val="bottom"/>
          </w:tcPr>
          <w:p w:rsidR="000B6BDD" w:rsidRPr="00265738" w:rsidRDefault="000B6BDD" w:rsidP="00EB66B8">
            <w:pPr>
              <w:pStyle w:val="TX-TableText"/>
              <w:jc w:val="center"/>
            </w:pPr>
            <w:r w:rsidRPr="00265738">
              <w:t>2.10%</w:t>
            </w:r>
          </w:p>
        </w:tc>
        <w:tc>
          <w:tcPr>
            <w:tcW w:w="385" w:type="pct"/>
            <w:tcBorders>
              <w:top w:val="nil"/>
              <w:left w:val="nil"/>
              <w:bottom w:val="nil"/>
              <w:right w:val="nil"/>
            </w:tcBorders>
            <w:noWrap/>
            <w:vAlign w:val="bottom"/>
          </w:tcPr>
          <w:p w:rsidR="000B6BDD" w:rsidRPr="00265738" w:rsidRDefault="000B6BDD" w:rsidP="00EB66B8">
            <w:pPr>
              <w:pStyle w:val="TX-TableText"/>
              <w:jc w:val="center"/>
            </w:pPr>
            <w:r w:rsidRPr="00265738">
              <w:t>0.0022</w:t>
            </w:r>
          </w:p>
        </w:tc>
      </w:tr>
      <w:tr w:rsidR="000B6BDD" w:rsidRPr="007522FC" w:rsidTr="00EB66B8">
        <w:trPr>
          <w:trHeight w:val="300"/>
        </w:trPr>
        <w:tc>
          <w:tcPr>
            <w:tcW w:w="667" w:type="pct"/>
            <w:tcBorders>
              <w:top w:val="nil"/>
              <w:left w:val="nil"/>
              <w:bottom w:val="nil"/>
              <w:right w:val="nil"/>
            </w:tcBorders>
            <w:noWrap/>
            <w:vAlign w:val="bottom"/>
          </w:tcPr>
          <w:p w:rsidR="000B6BDD" w:rsidRPr="00CB5596" w:rsidRDefault="000B6BDD" w:rsidP="00EB66B8">
            <w:pPr>
              <w:pStyle w:val="TX-TableText"/>
            </w:pPr>
            <w:r>
              <w:t>Low education</w:t>
            </w:r>
          </w:p>
        </w:tc>
        <w:tc>
          <w:tcPr>
            <w:tcW w:w="395" w:type="pct"/>
            <w:tcBorders>
              <w:top w:val="nil"/>
              <w:left w:val="single" w:sz="4" w:space="0" w:color="auto"/>
              <w:bottom w:val="nil"/>
              <w:right w:val="single" w:sz="4" w:space="0" w:color="auto"/>
            </w:tcBorders>
            <w:vAlign w:val="bottom"/>
          </w:tcPr>
          <w:p w:rsidR="000B6BDD" w:rsidRPr="00265738" w:rsidRDefault="000B6BDD" w:rsidP="00EB66B8">
            <w:pPr>
              <w:pStyle w:val="TX-TableText"/>
              <w:jc w:val="center"/>
            </w:pPr>
            <w:r>
              <w:t>725</w:t>
            </w:r>
          </w:p>
        </w:tc>
        <w:tc>
          <w:tcPr>
            <w:tcW w:w="672" w:type="pct"/>
            <w:tcBorders>
              <w:top w:val="nil"/>
              <w:left w:val="single" w:sz="4" w:space="0" w:color="auto"/>
              <w:bottom w:val="nil"/>
              <w:right w:val="nil"/>
            </w:tcBorders>
            <w:noWrap/>
            <w:vAlign w:val="bottom"/>
          </w:tcPr>
          <w:p w:rsidR="000B6BDD" w:rsidRPr="00265738" w:rsidRDefault="000B6BDD" w:rsidP="00EB66B8">
            <w:pPr>
              <w:pStyle w:val="TX-TableText"/>
              <w:jc w:val="center"/>
            </w:pPr>
            <w:r w:rsidRPr="00265738">
              <w:t>34.4%</w:t>
            </w:r>
          </w:p>
        </w:tc>
        <w:tc>
          <w:tcPr>
            <w:tcW w:w="648" w:type="pct"/>
            <w:tcBorders>
              <w:top w:val="nil"/>
              <w:left w:val="nil"/>
              <w:bottom w:val="nil"/>
              <w:right w:val="nil"/>
            </w:tcBorders>
            <w:noWrap/>
            <w:vAlign w:val="bottom"/>
          </w:tcPr>
          <w:p w:rsidR="000B6BDD" w:rsidRPr="00265738" w:rsidRDefault="000B6BDD" w:rsidP="00EB66B8">
            <w:pPr>
              <w:pStyle w:val="TX-TableText"/>
              <w:jc w:val="center"/>
            </w:pPr>
            <w:r w:rsidRPr="00265738">
              <w:t>2.42%</w:t>
            </w:r>
          </w:p>
        </w:tc>
        <w:tc>
          <w:tcPr>
            <w:tcW w:w="441" w:type="pct"/>
            <w:tcBorders>
              <w:top w:val="nil"/>
              <w:left w:val="single" w:sz="4" w:space="0" w:color="auto"/>
              <w:bottom w:val="nil"/>
              <w:right w:val="nil"/>
            </w:tcBorders>
            <w:noWrap/>
            <w:vAlign w:val="bottom"/>
          </w:tcPr>
          <w:p w:rsidR="000B6BDD" w:rsidRPr="00265738" w:rsidRDefault="000B6BDD" w:rsidP="00EB66B8">
            <w:pPr>
              <w:pStyle w:val="TX-TableText"/>
              <w:jc w:val="center"/>
            </w:pPr>
            <w:r w:rsidRPr="00265738">
              <w:t>30.1%</w:t>
            </w:r>
          </w:p>
        </w:tc>
        <w:tc>
          <w:tcPr>
            <w:tcW w:w="648" w:type="pct"/>
            <w:tcBorders>
              <w:top w:val="nil"/>
              <w:left w:val="nil"/>
              <w:bottom w:val="nil"/>
              <w:right w:val="nil"/>
            </w:tcBorders>
            <w:noWrap/>
            <w:vAlign w:val="bottom"/>
          </w:tcPr>
          <w:p w:rsidR="000B6BDD" w:rsidRPr="00265738" w:rsidRDefault="000B6BDD" w:rsidP="00EB66B8">
            <w:pPr>
              <w:pStyle w:val="TX-TableText"/>
              <w:jc w:val="center"/>
            </w:pPr>
            <w:r w:rsidRPr="00265738">
              <w:t>4.08%</w:t>
            </w:r>
          </w:p>
        </w:tc>
        <w:tc>
          <w:tcPr>
            <w:tcW w:w="494" w:type="pct"/>
            <w:tcBorders>
              <w:top w:val="nil"/>
              <w:left w:val="single" w:sz="4" w:space="0" w:color="auto"/>
              <w:bottom w:val="nil"/>
              <w:right w:val="nil"/>
            </w:tcBorders>
            <w:noWrap/>
            <w:vAlign w:val="bottom"/>
          </w:tcPr>
          <w:p w:rsidR="000B6BDD" w:rsidRPr="00265738" w:rsidRDefault="000B6BDD" w:rsidP="00EB66B8">
            <w:pPr>
              <w:pStyle w:val="TX-TableText"/>
              <w:jc w:val="center"/>
            </w:pPr>
            <w:r w:rsidRPr="00265738">
              <w:t>4.4%</w:t>
            </w:r>
          </w:p>
        </w:tc>
        <w:tc>
          <w:tcPr>
            <w:tcW w:w="648" w:type="pct"/>
            <w:tcBorders>
              <w:top w:val="nil"/>
              <w:left w:val="nil"/>
              <w:bottom w:val="nil"/>
              <w:right w:val="nil"/>
            </w:tcBorders>
            <w:noWrap/>
            <w:vAlign w:val="bottom"/>
          </w:tcPr>
          <w:p w:rsidR="000B6BDD" w:rsidRPr="00265738" w:rsidRDefault="000B6BDD" w:rsidP="00EB66B8">
            <w:pPr>
              <w:pStyle w:val="TX-TableText"/>
              <w:jc w:val="center"/>
            </w:pPr>
            <w:r w:rsidRPr="00265738">
              <w:t>3.53%</w:t>
            </w:r>
          </w:p>
        </w:tc>
        <w:tc>
          <w:tcPr>
            <w:tcW w:w="385" w:type="pct"/>
            <w:tcBorders>
              <w:top w:val="nil"/>
              <w:left w:val="nil"/>
              <w:bottom w:val="nil"/>
              <w:right w:val="nil"/>
            </w:tcBorders>
            <w:noWrap/>
            <w:vAlign w:val="bottom"/>
          </w:tcPr>
          <w:p w:rsidR="000B6BDD" w:rsidRPr="00265738" w:rsidRDefault="000B6BDD" w:rsidP="00EB66B8">
            <w:pPr>
              <w:pStyle w:val="TX-TableText"/>
              <w:jc w:val="center"/>
            </w:pPr>
            <w:r w:rsidRPr="00265738">
              <w:t>0.2282</w:t>
            </w:r>
          </w:p>
        </w:tc>
      </w:tr>
      <w:tr w:rsidR="000B6BDD" w:rsidRPr="007522FC" w:rsidTr="00EB66B8">
        <w:trPr>
          <w:trHeight w:val="300"/>
        </w:trPr>
        <w:tc>
          <w:tcPr>
            <w:tcW w:w="667" w:type="pct"/>
            <w:tcBorders>
              <w:top w:val="nil"/>
              <w:left w:val="nil"/>
              <w:bottom w:val="nil"/>
              <w:right w:val="nil"/>
            </w:tcBorders>
            <w:noWrap/>
            <w:vAlign w:val="bottom"/>
          </w:tcPr>
          <w:p w:rsidR="000B6BDD" w:rsidRPr="00CB5596" w:rsidRDefault="000B6BDD" w:rsidP="00EB66B8">
            <w:pPr>
              <w:pStyle w:val="TX-TableText"/>
            </w:pPr>
            <w:r>
              <w:t>High black</w:t>
            </w:r>
          </w:p>
        </w:tc>
        <w:tc>
          <w:tcPr>
            <w:tcW w:w="395" w:type="pct"/>
            <w:tcBorders>
              <w:top w:val="nil"/>
              <w:left w:val="single" w:sz="4" w:space="0" w:color="auto"/>
              <w:bottom w:val="nil"/>
              <w:right w:val="single" w:sz="4" w:space="0" w:color="auto"/>
            </w:tcBorders>
            <w:vAlign w:val="bottom"/>
          </w:tcPr>
          <w:p w:rsidR="000B6BDD" w:rsidRPr="00265738" w:rsidRDefault="000B6BDD" w:rsidP="00EB66B8">
            <w:pPr>
              <w:pStyle w:val="TX-TableText"/>
              <w:jc w:val="center"/>
            </w:pPr>
            <w:r>
              <w:t>1248</w:t>
            </w:r>
          </w:p>
        </w:tc>
        <w:tc>
          <w:tcPr>
            <w:tcW w:w="672" w:type="pct"/>
            <w:tcBorders>
              <w:top w:val="nil"/>
              <w:left w:val="single" w:sz="4" w:space="0" w:color="auto"/>
              <w:bottom w:val="nil"/>
              <w:right w:val="nil"/>
            </w:tcBorders>
            <w:noWrap/>
            <w:vAlign w:val="bottom"/>
          </w:tcPr>
          <w:p w:rsidR="000B6BDD" w:rsidRPr="00265738" w:rsidRDefault="000B6BDD" w:rsidP="00EB66B8">
            <w:pPr>
              <w:pStyle w:val="TX-TableText"/>
              <w:jc w:val="center"/>
            </w:pPr>
            <w:r w:rsidRPr="00265738">
              <w:t>35.1%</w:t>
            </w:r>
          </w:p>
        </w:tc>
        <w:tc>
          <w:tcPr>
            <w:tcW w:w="648" w:type="pct"/>
            <w:tcBorders>
              <w:top w:val="nil"/>
              <w:left w:val="nil"/>
              <w:bottom w:val="nil"/>
              <w:right w:val="nil"/>
            </w:tcBorders>
            <w:noWrap/>
            <w:vAlign w:val="bottom"/>
          </w:tcPr>
          <w:p w:rsidR="000B6BDD" w:rsidRPr="00265738" w:rsidRDefault="000B6BDD" w:rsidP="00EB66B8">
            <w:pPr>
              <w:pStyle w:val="TX-TableText"/>
              <w:jc w:val="center"/>
            </w:pPr>
            <w:r w:rsidRPr="00265738">
              <w:t>1.85%</w:t>
            </w:r>
          </w:p>
        </w:tc>
        <w:tc>
          <w:tcPr>
            <w:tcW w:w="441" w:type="pct"/>
            <w:tcBorders>
              <w:top w:val="nil"/>
              <w:left w:val="single" w:sz="4" w:space="0" w:color="auto"/>
              <w:bottom w:val="nil"/>
              <w:right w:val="nil"/>
            </w:tcBorders>
            <w:noWrap/>
            <w:vAlign w:val="bottom"/>
          </w:tcPr>
          <w:p w:rsidR="000B6BDD" w:rsidRPr="00265738" w:rsidRDefault="000B6BDD" w:rsidP="00EB66B8">
            <w:pPr>
              <w:pStyle w:val="TX-TableText"/>
              <w:jc w:val="center"/>
            </w:pPr>
            <w:r w:rsidRPr="00265738">
              <w:t>27.8%</w:t>
            </w:r>
          </w:p>
        </w:tc>
        <w:tc>
          <w:tcPr>
            <w:tcW w:w="648" w:type="pct"/>
            <w:tcBorders>
              <w:top w:val="nil"/>
              <w:left w:val="nil"/>
              <w:bottom w:val="nil"/>
              <w:right w:val="nil"/>
            </w:tcBorders>
            <w:noWrap/>
            <w:vAlign w:val="bottom"/>
          </w:tcPr>
          <w:p w:rsidR="000B6BDD" w:rsidRPr="00265738" w:rsidRDefault="000B6BDD" w:rsidP="00EB66B8">
            <w:pPr>
              <w:pStyle w:val="TX-TableText"/>
              <w:jc w:val="center"/>
            </w:pPr>
            <w:r w:rsidRPr="00265738">
              <w:t>2.23%</w:t>
            </w:r>
          </w:p>
        </w:tc>
        <w:tc>
          <w:tcPr>
            <w:tcW w:w="494" w:type="pct"/>
            <w:tcBorders>
              <w:top w:val="nil"/>
              <w:left w:val="single" w:sz="4" w:space="0" w:color="auto"/>
              <w:bottom w:val="nil"/>
              <w:right w:val="nil"/>
            </w:tcBorders>
            <w:noWrap/>
            <w:vAlign w:val="bottom"/>
          </w:tcPr>
          <w:p w:rsidR="000B6BDD" w:rsidRPr="00265738" w:rsidRDefault="000B6BDD" w:rsidP="00EB66B8">
            <w:pPr>
              <w:pStyle w:val="TX-TableText"/>
              <w:jc w:val="center"/>
            </w:pPr>
            <w:r w:rsidRPr="00265738">
              <w:t>7.2%</w:t>
            </w:r>
          </w:p>
        </w:tc>
        <w:tc>
          <w:tcPr>
            <w:tcW w:w="648" w:type="pct"/>
            <w:tcBorders>
              <w:top w:val="nil"/>
              <w:left w:val="nil"/>
              <w:bottom w:val="nil"/>
              <w:right w:val="nil"/>
            </w:tcBorders>
            <w:noWrap/>
            <w:vAlign w:val="bottom"/>
          </w:tcPr>
          <w:p w:rsidR="000B6BDD" w:rsidRPr="00265738" w:rsidRDefault="000B6BDD" w:rsidP="00EB66B8">
            <w:pPr>
              <w:pStyle w:val="TX-TableText"/>
              <w:jc w:val="center"/>
            </w:pPr>
            <w:r w:rsidRPr="00265738">
              <w:t>2.62%</w:t>
            </w:r>
          </w:p>
        </w:tc>
        <w:tc>
          <w:tcPr>
            <w:tcW w:w="385" w:type="pct"/>
            <w:tcBorders>
              <w:top w:val="nil"/>
              <w:left w:val="nil"/>
              <w:bottom w:val="nil"/>
              <w:right w:val="nil"/>
            </w:tcBorders>
            <w:noWrap/>
            <w:vAlign w:val="bottom"/>
          </w:tcPr>
          <w:p w:rsidR="000B6BDD" w:rsidRPr="00265738" w:rsidRDefault="000B6BDD" w:rsidP="00EB66B8">
            <w:pPr>
              <w:pStyle w:val="TX-TableText"/>
              <w:jc w:val="center"/>
            </w:pPr>
            <w:r w:rsidRPr="00265738">
              <w:t>0.0114</w:t>
            </w:r>
          </w:p>
        </w:tc>
      </w:tr>
      <w:tr w:rsidR="000B6BDD" w:rsidRPr="007522FC" w:rsidTr="00EB66B8">
        <w:trPr>
          <w:trHeight w:val="300"/>
        </w:trPr>
        <w:tc>
          <w:tcPr>
            <w:tcW w:w="667" w:type="pct"/>
            <w:tcBorders>
              <w:top w:val="nil"/>
              <w:left w:val="nil"/>
              <w:bottom w:val="nil"/>
              <w:right w:val="nil"/>
            </w:tcBorders>
            <w:noWrap/>
            <w:vAlign w:val="bottom"/>
          </w:tcPr>
          <w:p w:rsidR="000B6BDD" w:rsidRPr="00CB5596" w:rsidRDefault="000B6BDD" w:rsidP="00EB66B8">
            <w:pPr>
              <w:pStyle w:val="TX-TableText"/>
            </w:pPr>
            <w:r>
              <w:t>Low black</w:t>
            </w:r>
          </w:p>
        </w:tc>
        <w:tc>
          <w:tcPr>
            <w:tcW w:w="395" w:type="pct"/>
            <w:tcBorders>
              <w:top w:val="nil"/>
              <w:left w:val="single" w:sz="4" w:space="0" w:color="auto"/>
              <w:bottom w:val="nil"/>
              <w:right w:val="single" w:sz="4" w:space="0" w:color="auto"/>
            </w:tcBorders>
            <w:vAlign w:val="bottom"/>
          </w:tcPr>
          <w:p w:rsidR="000B6BDD" w:rsidRPr="00265738" w:rsidRDefault="000B6BDD" w:rsidP="00EB66B8">
            <w:pPr>
              <w:pStyle w:val="TX-TableText"/>
              <w:jc w:val="center"/>
            </w:pPr>
            <w:r>
              <w:t>1012</w:t>
            </w:r>
          </w:p>
        </w:tc>
        <w:tc>
          <w:tcPr>
            <w:tcW w:w="672" w:type="pct"/>
            <w:tcBorders>
              <w:top w:val="nil"/>
              <w:left w:val="single" w:sz="4" w:space="0" w:color="auto"/>
              <w:bottom w:val="nil"/>
              <w:right w:val="nil"/>
            </w:tcBorders>
            <w:noWrap/>
            <w:vAlign w:val="bottom"/>
          </w:tcPr>
          <w:p w:rsidR="000B6BDD" w:rsidRPr="00265738" w:rsidRDefault="000B6BDD" w:rsidP="00EB66B8">
            <w:pPr>
              <w:pStyle w:val="TX-TableText"/>
              <w:jc w:val="center"/>
            </w:pPr>
            <w:r w:rsidRPr="00265738">
              <w:t>40.7%</w:t>
            </w:r>
          </w:p>
        </w:tc>
        <w:tc>
          <w:tcPr>
            <w:tcW w:w="648" w:type="pct"/>
            <w:tcBorders>
              <w:top w:val="nil"/>
              <w:left w:val="nil"/>
              <w:bottom w:val="nil"/>
              <w:right w:val="nil"/>
            </w:tcBorders>
            <w:noWrap/>
            <w:vAlign w:val="bottom"/>
          </w:tcPr>
          <w:p w:rsidR="000B6BDD" w:rsidRPr="00265738" w:rsidRDefault="000B6BDD" w:rsidP="00EB66B8">
            <w:pPr>
              <w:pStyle w:val="TX-TableText"/>
              <w:jc w:val="center"/>
            </w:pPr>
            <w:r w:rsidRPr="00265738">
              <w:t>1.74%</w:t>
            </w:r>
          </w:p>
        </w:tc>
        <w:tc>
          <w:tcPr>
            <w:tcW w:w="441" w:type="pct"/>
            <w:tcBorders>
              <w:top w:val="nil"/>
              <w:left w:val="single" w:sz="4" w:space="0" w:color="auto"/>
              <w:bottom w:val="nil"/>
              <w:right w:val="nil"/>
            </w:tcBorders>
            <w:noWrap/>
            <w:vAlign w:val="bottom"/>
          </w:tcPr>
          <w:p w:rsidR="000B6BDD" w:rsidRPr="00265738" w:rsidRDefault="000B6BDD" w:rsidP="00EB66B8">
            <w:pPr>
              <w:pStyle w:val="TX-TableText"/>
              <w:jc w:val="center"/>
            </w:pPr>
            <w:r w:rsidRPr="00265738">
              <w:t>35.4%</w:t>
            </w:r>
          </w:p>
        </w:tc>
        <w:tc>
          <w:tcPr>
            <w:tcW w:w="648" w:type="pct"/>
            <w:tcBorders>
              <w:top w:val="nil"/>
              <w:left w:val="nil"/>
              <w:bottom w:val="nil"/>
              <w:right w:val="nil"/>
            </w:tcBorders>
            <w:noWrap/>
            <w:vAlign w:val="bottom"/>
          </w:tcPr>
          <w:p w:rsidR="000B6BDD" w:rsidRPr="00265738" w:rsidRDefault="000B6BDD" w:rsidP="00EB66B8">
            <w:pPr>
              <w:pStyle w:val="TX-TableText"/>
              <w:jc w:val="center"/>
            </w:pPr>
            <w:r w:rsidRPr="00265738">
              <w:t>2.70%</w:t>
            </w:r>
          </w:p>
        </w:tc>
        <w:tc>
          <w:tcPr>
            <w:tcW w:w="494" w:type="pct"/>
            <w:tcBorders>
              <w:top w:val="nil"/>
              <w:left w:val="single" w:sz="4" w:space="0" w:color="auto"/>
              <w:bottom w:val="nil"/>
              <w:right w:val="nil"/>
            </w:tcBorders>
            <w:noWrap/>
            <w:vAlign w:val="bottom"/>
          </w:tcPr>
          <w:p w:rsidR="000B6BDD" w:rsidRPr="00265738" w:rsidRDefault="000B6BDD" w:rsidP="00EB66B8">
            <w:pPr>
              <w:pStyle w:val="TX-TableText"/>
              <w:jc w:val="center"/>
            </w:pPr>
            <w:r w:rsidRPr="00265738">
              <w:t>5.3%</w:t>
            </w:r>
          </w:p>
        </w:tc>
        <w:tc>
          <w:tcPr>
            <w:tcW w:w="648" w:type="pct"/>
            <w:tcBorders>
              <w:top w:val="nil"/>
              <w:left w:val="nil"/>
              <w:bottom w:val="nil"/>
              <w:right w:val="nil"/>
            </w:tcBorders>
            <w:noWrap/>
            <w:vAlign w:val="bottom"/>
          </w:tcPr>
          <w:p w:rsidR="000B6BDD" w:rsidRPr="00265738" w:rsidRDefault="000B6BDD" w:rsidP="00EB66B8">
            <w:pPr>
              <w:pStyle w:val="TX-TableText"/>
              <w:jc w:val="center"/>
            </w:pPr>
            <w:r w:rsidRPr="00265738">
              <w:t>2.94%</w:t>
            </w:r>
          </w:p>
        </w:tc>
        <w:tc>
          <w:tcPr>
            <w:tcW w:w="385" w:type="pct"/>
            <w:tcBorders>
              <w:top w:val="nil"/>
              <w:left w:val="nil"/>
              <w:bottom w:val="nil"/>
              <w:right w:val="nil"/>
            </w:tcBorders>
            <w:noWrap/>
            <w:vAlign w:val="bottom"/>
          </w:tcPr>
          <w:p w:rsidR="000B6BDD" w:rsidRPr="00265738" w:rsidRDefault="000B6BDD" w:rsidP="00EB66B8">
            <w:pPr>
              <w:pStyle w:val="TX-TableText"/>
              <w:jc w:val="center"/>
            </w:pPr>
            <w:r w:rsidRPr="00265738">
              <w:t>0.0866</w:t>
            </w:r>
          </w:p>
        </w:tc>
      </w:tr>
      <w:tr w:rsidR="000B6BDD" w:rsidRPr="007522FC" w:rsidTr="00EB66B8">
        <w:trPr>
          <w:trHeight w:val="300"/>
        </w:trPr>
        <w:tc>
          <w:tcPr>
            <w:tcW w:w="667" w:type="pct"/>
            <w:tcBorders>
              <w:top w:val="nil"/>
              <w:left w:val="nil"/>
              <w:bottom w:val="nil"/>
              <w:right w:val="nil"/>
            </w:tcBorders>
            <w:noWrap/>
            <w:vAlign w:val="bottom"/>
          </w:tcPr>
          <w:p w:rsidR="000B6BDD" w:rsidRPr="00CB5596" w:rsidRDefault="000B6BDD" w:rsidP="00EB66B8">
            <w:pPr>
              <w:pStyle w:val="TX-TableText"/>
            </w:pPr>
            <w:r>
              <w:t>High Hispanic</w:t>
            </w:r>
          </w:p>
        </w:tc>
        <w:tc>
          <w:tcPr>
            <w:tcW w:w="395" w:type="pct"/>
            <w:tcBorders>
              <w:top w:val="nil"/>
              <w:left w:val="single" w:sz="4" w:space="0" w:color="auto"/>
              <w:bottom w:val="nil"/>
              <w:right w:val="single" w:sz="4" w:space="0" w:color="auto"/>
            </w:tcBorders>
            <w:vAlign w:val="bottom"/>
          </w:tcPr>
          <w:p w:rsidR="000B6BDD" w:rsidRPr="00265738" w:rsidRDefault="000B6BDD" w:rsidP="00EB66B8">
            <w:pPr>
              <w:pStyle w:val="TX-TableText"/>
              <w:jc w:val="center"/>
            </w:pPr>
            <w:r>
              <w:t>850</w:t>
            </w:r>
          </w:p>
        </w:tc>
        <w:tc>
          <w:tcPr>
            <w:tcW w:w="672" w:type="pct"/>
            <w:tcBorders>
              <w:top w:val="nil"/>
              <w:left w:val="single" w:sz="4" w:space="0" w:color="auto"/>
              <w:bottom w:val="nil"/>
              <w:right w:val="nil"/>
            </w:tcBorders>
            <w:noWrap/>
            <w:vAlign w:val="bottom"/>
          </w:tcPr>
          <w:p w:rsidR="000B6BDD" w:rsidRPr="00265738" w:rsidRDefault="000B6BDD" w:rsidP="00EB66B8">
            <w:pPr>
              <w:pStyle w:val="TX-TableText"/>
              <w:jc w:val="center"/>
            </w:pPr>
            <w:r w:rsidRPr="00265738">
              <w:t>41.3%</w:t>
            </w:r>
          </w:p>
        </w:tc>
        <w:tc>
          <w:tcPr>
            <w:tcW w:w="648" w:type="pct"/>
            <w:tcBorders>
              <w:top w:val="nil"/>
              <w:left w:val="nil"/>
              <w:bottom w:val="nil"/>
              <w:right w:val="nil"/>
            </w:tcBorders>
            <w:noWrap/>
            <w:vAlign w:val="bottom"/>
          </w:tcPr>
          <w:p w:rsidR="000B6BDD" w:rsidRPr="00265738" w:rsidRDefault="000B6BDD" w:rsidP="00EB66B8">
            <w:pPr>
              <w:pStyle w:val="TX-TableText"/>
              <w:jc w:val="center"/>
            </w:pPr>
            <w:r w:rsidRPr="00265738">
              <w:t>2.10%</w:t>
            </w:r>
          </w:p>
        </w:tc>
        <w:tc>
          <w:tcPr>
            <w:tcW w:w="441" w:type="pct"/>
            <w:tcBorders>
              <w:top w:val="nil"/>
              <w:left w:val="single" w:sz="4" w:space="0" w:color="auto"/>
              <w:bottom w:val="nil"/>
              <w:right w:val="nil"/>
            </w:tcBorders>
            <w:noWrap/>
            <w:vAlign w:val="bottom"/>
          </w:tcPr>
          <w:p w:rsidR="000B6BDD" w:rsidRPr="00265738" w:rsidRDefault="000B6BDD" w:rsidP="00EB66B8">
            <w:pPr>
              <w:pStyle w:val="TX-TableText"/>
              <w:jc w:val="center"/>
            </w:pPr>
            <w:r w:rsidRPr="00265738">
              <w:t>34.1%</w:t>
            </w:r>
          </w:p>
        </w:tc>
        <w:tc>
          <w:tcPr>
            <w:tcW w:w="648" w:type="pct"/>
            <w:tcBorders>
              <w:top w:val="nil"/>
              <w:left w:val="nil"/>
              <w:bottom w:val="nil"/>
              <w:right w:val="nil"/>
            </w:tcBorders>
            <w:noWrap/>
            <w:vAlign w:val="bottom"/>
          </w:tcPr>
          <w:p w:rsidR="000B6BDD" w:rsidRPr="00265738" w:rsidRDefault="000B6BDD" w:rsidP="00EB66B8">
            <w:pPr>
              <w:pStyle w:val="TX-TableText"/>
              <w:jc w:val="center"/>
            </w:pPr>
            <w:r w:rsidRPr="00265738">
              <w:t>3.50%</w:t>
            </w:r>
          </w:p>
        </w:tc>
        <w:tc>
          <w:tcPr>
            <w:tcW w:w="494" w:type="pct"/>
            <w:tcBorders>
              <w:top w:val="nil"/>
              <w:left w:val="single" w:sz="4" w:space="0" w:color="auto"/>
              <w:bottom w:val="nil"/>
              <w:right w:val="nil"/>
            </w:tcBorders>
            <w:noWrap/>
            <w:vAlign w:val="bottom"/>
          </w:tcPr>
          <w:p w:rsidR="000B6BDD" w:rsidRPr="00265738" w:rsidRDefault="000B6BDD" w:rsidP="00EB66B8">
            <w:pPr>
              <w:pStyle w:val="TX-TableText"/>
              <w:jc w:val="center"/>
            </w:pPr>
            <w:r w:rsidRPr="00265738">
              <w:t>7.2%</w:t>
            </w:r>
          </w:p>
        </w:tc>
        <w:tc>
          <w:tcPr>
            <w:tcW w:w="648" w:type="pct"/>
            <w:tcBorders>
              <w:top w:val="nil"/>
              <w:left w:val="nil"/>
              <w:bottom w:val="nil"/>
              <w:right w:val="nil"/>
            </w:tcBorders>
            <w:noWrap/>
            <w:vAlign w:val="bottom"/>
          </w:tcPr>
          <w:p w:rsidR="000B6BDD" w:rsidRPr="00265738" w:rsidRDefault="000B6BDD" w:rsidP="00EB66B8">
            <w:pPr>
              <w:pStyle w:val="TX-TableText"/>
              <w:jc w:val="center"/>
            </w:pPr>
            <w:r w:rsidRPr="00265738">
              <w:t>4.15%</w:t>
            </w:r>
          </w:p>
        </w:tc>
        <w:tc>
          <w:tcPr>
            <w:tcW w:w="385" w:type="pct"/>
            <w:tcBorders>
              <w:top w:val="nil"/>
              <w:left w:val="nil"/>
              <w:bottom w:val="nil"/>
              <w:right w:val="nil"/>
            </w:tcBorders>
            <w:noWrap/>
            <w:vAlign w:val="bottom"/>
          </w:tcPr>
          <w:p w:rsidR="000B6BDD" w:rsidRPr="00265738" w:rsidRDefault="000B6BDD" w:rsidP="00EB66B8">
            <w:pPr>
              <w:pStyle w:val="TX-TableText"/>
              <w:jc w:val="center"/>
            </w:pPr>
            <w:r w:rsidRPr="00265738">
              <w:t>0.0968</w:t>
            </w:r>
          </w:p>
        </w:tc>
      </w:tr>
      <w:tr w:rsidR="000B6BDD" w:rsidRPr="007522FC" w:rsidTr="00EB66B8">
        <w:trPr>
          <w:trHeight w:val="300"/>
        </w:trPr>
        <w:tc>
          <w:tcPr>
            <w:tcW w:w="667" w:type="pct"/>
            <w:tcBorders>
              <w:top w:val="nil"/>
              <w:left w:val="nil"/>
              <w:bottom w:val="nil"/>
              <w:right w:val="nil"/>
            </w:tcBorders>
            <w:noWrap/>
            <w:vAlign w:val="bottom"/>
          </w:tcPr>
          <w:p w:rsidR="000B6BDD" w:rsidRPr="00CB5596" w:rsidRDefault="000B6BDD" w:rsidP="00EB66B8">
            <w:pPr>
              <w:pStyle w:val="TX-TableText"/>
            </w:pPr>
            <w:r>
              <w:t>Low Hispanic</w:t>
            </w:r>
          </w:p>
        </w:tc>
        <w:tc>
          <w:tcPr>
            <w:tcW w:w="395" w:type="pct"/>
            <w:tcBorders>
              <w:top w:val="nil"/>
              <w:left w:val="single" w:sz="4" w:space="0" w:color="auto"/>
              <w:bottom w:val="nil"/>
              <w:right w:val="single" w:sz="4" w:space="0" w:color="auto"/>
            </w:tcBorders>
            <w:vAlign w:val="bottom"/>
          </w:tcPr>
          <w:p w:rsidR="000B6BDD" w:rsidRPr="00265738" w:rsidRDefault="000B6BDD" w:rsidP="00EB66B8">
            <w:pPr>
              <w:pStyle w:val="TX-TableText"/>
              <w:jc w:val="center"/>
            </w:pPr>
            <w:r>
              <w:t>1410</w:t>
            </w:r>
          </w:p>
        </w:tc>
        <w:tc>
          <w:tcPr>
            <w:tcW w:w="672" w:type="pct"/>
            <w:tcBorders>
              <w:top w:val="nil"/>
              <w:left w:val="single" w:sz="4" w:space="0" w:color="auto"/>
              <w:bottom w:val="nil"/>
              <w:right w:val="nil"/>
            </w:tcBorders>
            <w:noWrap/>
            <w:vAlign w:val="bottom"/>
          </w:tcPr>
          <w:p w:rsidR="000B6BDD" w:rsidRPr="00265738" w:rsidRDefault="000B6BDD" w:rsidP="00EB66B8">
            <w:pPr>
              <w:pStyle w:val="TX-TableText"/>
              <w:jc w:val="center"/>
            </w:pPr>
            <w:r w:rsidRPr="00265738">
              <w:t>35.4%</w:t>
            </w:r>
          </w:p>
        </w:tc>
        <w:tc>
          <w:tcPr>
            <w:tcW w:w="648" w:type="pct"/>
            <w:tcBorders>
              <w:top w:val="nil"/>
              <w:left w:val="nil"/>
              <w:bottom w:val="nil"/>
              <w:right w:val="nil"/>
            </w:tcBorders>
            <w:noWrap/>
            <w:vAlign w:val="bottom"/>
          </w:tcPr>
          <w:p w:rsidR="000B6BDD" w:rsidRPr="00265738" w:rsidRDefault="000B6BDD" w:rsidP="00EB66B8">
            <w:pPr>
              <w:pStyle w:val="TX-TableText"/>
              <w:jc w:val="center"/>
            </w:pPr>
            <w:r w:rsidRPr="00265738">
              <w:t>1.61%</w:t>
            </w:r>
          </w:p>
        </w:tc>
        <w:tc>
          <w:tcPr>
            <w:tcW w:w="441" w:type="pct"/>
            <w:tcBorders>
              <w:top w:val="nil"/>
              <w:left w:val="single" w:sz="4" w:space="0" w:color="auto"/>
              <w:bottom w:val="nil"/>
              <w:right w:val="nil"/>
            </w:tcBorders>
            <w:noWrap/>
            <w:vAlign w:val="bottom"/>
          </w:tcPr>
          <w:p w:rsidR="000B6BDD" w:rsidRPr="00265738" w:rsidRDefault="000B6BDD" w:rsidP="00EB66B8">
            <w:pPr>
              <w:pStyle w:val="TX-TableText"/>
              <w:jc w:val="center"/>
            </w:pPr>
            <w:r w:rsidRPr="00265738">
              <w:t>29.5%</w:t>
            </w:r>
          </w:p>
        </w:tc>
        <w:tc>
          <w:tcPr>
            <w:tcW w:w="648" w:type="pct"/>
            <w:tcBorders>
              <w:top w:val="nil"/>
              <w:left w:val="nil"/>
              <w:bottom w:val="nil"/>
              <w:right w:val="nil"/>
            </w:tcBorders>
            <w:noWrap/>
            <w:vAlign w:val="bottom"/>
          </w:tcPr>
          <w:p w:rsidR="000B6BDD" w:rsidRPr="00265738" w:rsidRDefault="000B6BDD" w:rsidP="00EB66B8">
            <w:pPr>
              <w:pStyle w:val="TX-TableText"/>
              <w:jc w:val="center"/>
            </w:pPr>
            <w:r w:rsidRPr="00265738">
              <w:t>1.96%</w:t>
            </w:r>
          </w:p>
        </w:tc>
        <w:tc>
          <w:tcPr>
            <w:tcW w:w="494" w:type="pct"/>
            <w:tcBorders>
              <w:top w:val="nil"/>
              <w:left w:val="single" w:sz="4" w:space="0" w:color="auto"/>
              <w:bottom w:val="nil"/>
              <w:right w:val="nil"/>
            </w:tcBorders>
            <w:noWrap/>
            <w:vAlign w:val="bottom"/>
          </w:tcPr>
          <w:p w:rsidR="000B6BDD" w:rsidRPr="00265738" w:rsidRDefault="000B6BDD" w:rsidP="00EB66B8">
            <w:pPr>
              <w:pStyle w:val="TX-TableText"/>
              <w:jc w:val="center"/>
            </w:pPr>
            <w:r w:rsidRPr="00265738">
              <w:t>6.0%</w:t>
            </w:r>
          </w:p>
        </w:tc>
        <w:tc>
          <w:tcPr>
            <w:tcW w:w="648" w:type="pct"/>
            <w:tcBorders>
              <w:top w:val="nil"/>
              <w:left w:val="nil"/>
              <w:bottom w:val="nil"/>
              <w:right w:val="nil"/>
            </w:tcBorders>
            <w:noWrap/>
            <w:vAlign w:val="bottom"/>
          </w:tcPr>
          <w:p w:rsidR="000B6BDD" w:rsidRPr="00265738" w:rsidRDefault="000B6BDD" w:rsidP="00EB66B8">
            <w:pPr>
              <w:pStyle w:val="TX-TableText"/>
              <w:jc w:val="center"/>
            </w:pPr>
            <w:r w:rsidRPr="00265738">
              <w:t>1.91%</w:t>
            </w:r>
          </w:p>
        </w:tc>
        <w:tc>
          <w:tcPr>
            <w:tcW w:w="385" w:type="pct"/>
            <w:tcBorders>
              <w:top w:val="nil"/>
              <w:left w:val="nil"/>
              <w:bottom w:val="nil"/>
              <w:right w:val="nil"/>
            </w:tcBorders>
            <w:noWrap/>
            <w:vAlign w:val="bottom"/>
          </w:tcPr>
          <w:p w:rsidR="000B6BDD" w:rsidRPr="00265738" w:rsidRDefault="000B6BDD" w:rsidP="00EB66B8">
            <w:pPr>
              <w:pStyle w:val="TX-TableText"/>
              <w:jc w:val="center"/>
            </w:pPr>
            <w:r w:rsidRPr="00265738">
              <w:t>0.0049</w:t>
            </w:r>
          </w:p>
        </w:tc>
      </w:tr>
      <w:tr w:rsidR="000B6BDD" w:rsidRPr="007522FC" w:rsidTr="00EB66B8">
        <w:trPr>
          <w:trHeight w:val="300"/>
        </w:trPr>
        <w:tc>
          <w:tcPr>
            <w:tcW w:w="667" w:type="pct"/>
            <w:tcBorders>
              <w:top w:val="nil"/>
              <w:left w:val="nil"/>
              <w:bottom w:val="nil"/>
              <w:right w:val="nil"/>
            </w:tcBorders>
            <w:noWrap/>
            <w:vAlign w:val="bottom"/>
          </w:tcPr>
          <w:p w:rsidR="000B6BDD" w:rsidRPr="00CB5596" w:rsidRDefault="000B6BDD" w:rsidP="00EB66B8">
            <w:pPr>
              <w:pStyle w:val="TX-TableText"/>
            </w:pPr>
            <w:r>
              <w:t>Northeast</w:t>
            </w:r>
          </w:p>
        </w:tc>
        <w:tc>
          <w:tcPr>
            <w:tcW w:w="395" w:type="pct"/>
            <w:tcBorders>
              <w:top w:val="nil"/>
              <w:left w:val="single" w:sz="4" w:space="0" w:color="auto"/>
              <w:bottom w:val="nil"/>
              <w:right w:val="single" w:sz="4" w:space="0" w:color="auto"/>
            </w:tcBorders>
            <w:vAlign w:val="bottom"/>
          </w:tcPr>
          <w:p w:rsidR="000B6BDD" w:rsidRPr="00265738" w:rsidRDefault="000B6BDD" w:rsidP="00EB66B8">
            <w:pPr>
              <w:pStyle w:val="TX-TableText"/>
              <w:jc w:val="center"/>
            </w:pPr>
            <w:r>
              <w:t>273</w:t>
            </w:r>
          </w:p>
        </w:tc>
        <w:tc>
          <w:tcPr>
            <w:tcW w:w="672" w:type="pct"/>
            <w:tcBorders>
              <w:top w:val="nil"/>
              <w:left w:val="single" w:sz="4" w:space="0" w:color="auto"/>
              <w:bottom w:val="nil"/>
              <w:right w:val="nil"/>
            </w:tcBorders>
            <w:noWrap/>
            <w:vAlign w:val="bottom"/>
          </w:tcPr>
          <w:p w:rsidR="000B6BDD" w:rsidRPr="00265738" w:rsidRDefault="000B6BDD" w:rsidP="00EB66B8">
            <w:pPr>
              <w:pStyle w:val="TX-TableText"/>
              <w:jc w:val="center"/>
            </w:pPr>
            <w:r w:rsidRPr="00265738">
              <w:t>49.5%</w:t>
            </w:r>
          </w:p>
        </w:tc>
        <w:tc>
          <w:tcPr>
            <w:tcW w:w="648" w:type="pct"/>
            <w:tcBorders>
              <w:top w:val="nil"/>
              <w:left w:val="nil"/>
              <w:bottom w:val="nil"/>
              <w:right w:val="nil"/>
            </w:tcBorders>
            <w:noWrap/>
            <w:vAlign w:val="bottom"/>
          </w:tcPr>
          <w:p w:rsidR="000B6BDD" w:rsidRPr="00265738" w:rsidRDefault="000B6BDD" w:rsidP="00EB66B8">
            <w:pPr>
              <w:pStyle w:val="TX-TableText"/>
              <w:jc w:val="center"/>
            </w:pPr>
            <w:r w:rsidRPr="00265738">
              <w:t>1.16%</w:t>
            </w:r>
          </w:p>
        </w:tc>
        <w:tc>
          <w:tcPr>
            <w:tcW w:w="441" w:type="pct"/>
            <w:tcBorders>
              <w:top w:val="nil"/>
              <w:left w:val="single" w:sz="4" w:space="0" w:color="auto"/>
              <w:bottom w:val="nil"/>
              <w:right w:val="nil"/>
            </w:tcBorders>
            <w:noWrap/>
            <w:vAlign w:val="bottom"/>
          </w:tcPr>
          <w:p w:rsidR="000B6BDD" w:rsidRPr="00265738" w:rsidRDefault="000B6BDD" w:rsidP="00EB66B8">
            <w:pPr>
              <w:pStyle w:val="TX-TableText"/>
              <w:jc w:val="center"/>
            </w:pPr>
            <w:r w:rsidRPr="00265738">
              <w:t>41.3%</w:t>
            </w:r>
          </w:p>
        </w:tc>
        <w:tc>
          <w:tcPr>
            <w:tcW w:w="648" w:type="pct"/>
            <w:tcBorders>
              <w:top w:val="nil"/>
              <w:left w:val="nil"/>
              <w:bottom w:val="nil"/>
              <w:right w:val="nil"/>
            </w:tcBorders>
            <w:noWrap/>
            <w:vAlign w:val="bottom"/>
          </w:tcPr>
          <w:p w:rsidR="000B6BDD" w:rsidRPr="00265738" w:rsidRDefault="000B6BDD" w:rsidP="00EB66B8">
            <w:pPr>
              <w:pStyle w:val="TX-TableText"/>
              <w:jc w:val="center"/>
            </w:pPr>
            <w:r w:rsidRPr="00265738">
              <w:t>6.15%</w:t>
            </w:r>
          </w:p>
        </w:tc>
        <w:tc>
          <w:tcPr>
            <w:tcW w:w="494" w:type="pct"/>
            <w:tcBorders>
              <w:top w:val="nil"/>
              <w:left w:val="single" w:sz="4" w:space="0" w:color="auto"/>
              <w:bottom w:val="nil"/>
              <w:right w:val="nil"/>
            </w:tcBorders>
            <w:noWrap/>
            <w:vAlign w:val="bottom"/>
          </w:tcPr>
          <w:p w:rsidR="000B6BDD" w:rsidRPr="00265738" w:rsidRDefault="000B6BDD" w:rsidP="00EB66B8">
            <w:pPr>
              <w:pStyle w:val="TX-TableText"/>
              <w:jc w:val="center"/>
            </w:pPr>
            <w:r w:rsidRPr="00265738">
              <w:t>8.2%</w:t>
            </w:r>
          </w:p>
        </w:tc>
        <w:tc>
          <w:tcPr>
            <w:tcW w:w="648" w:type="pct"/>
            <w:tcBorders>
              <w:top w:val="nil"/>
              <w:left w:val="nil"/>
              <w:bottom w:val="nil"/>
              <w:right w:val="nil"/>
            </w:tcBorders>
            <w:noWrap/>
            <w:vAlign w:val="bottom"/>
          </w:tcPr>
          <w:p w:rsidR="000B6BDD" w:rsidRPr="00265738" w:rsidRDefault="000B6BDD" w:rsidP="00EB66B8">
            <w:pPr>
              <w:pStyle w:val="TX-TableText"/>
              <w:jc w:val="center"/>
            </w:pPr>
            <w:r w:rsidRPr="00265738">
              <w:t>5.02%</w:t>
            </w:r>
          </w:p>
        </w:tc>
        <w:tc>
          <w:tcPr>
            <w:tcW w:w="385" w:type="pct"/>
            <w:tcBorders>
              <w:top w:val="nil"/>
              <w:left w:val="nil"/>
              <w:bottom w:val="nil"/>
              <w:right w:val="nil"/>
            </w:tcBorders>
            <w:noWrap/>
            <w:vAlign w:val="bottom"/>
          </w:tcPr>
          <w:p w:rsidR="000B6BDD" w:rsidRPr="00265738" w:rsidRDefault="000B6BDD" w:rsidP="00EB66B8">
            <w:pPr>
              <w:pStyle w:val="TX-TableText"/>
              <w:jc w:val="center"/>
            </w:pPr>
            <w:r w:rsidRPr="00265738">
              <w:t>0.1190</w:t>
            </w:r>
          </w:p>
        </w:tc>
      </w:tr>
      <w:tr w:rsidR="000B6BDD" w:rsidRPr="007522FC" w:rsidTr="00EB66B8">
        <w:trPr>
          <w:trHeight w:val="300"/>
        </w:trPr>
        <w:tc>
          <w:tcPr>
            <w:tcW w:w="667" w:type="pct"/>
            <w:tcBorders>
              <w:top w:val="nil"/>
              <w:left w:val="nil"/>
              <w:bottom w:val="nil"/>
              <w:right w:val="nil"/>
            </w:tcBorders>
            <w:noWrap/>
            <w:vAlign w:val="bottom"/>
          </w:tcPr>
          <w:p w:rsidR="000B6BDD" w:rsidRPr="00CB5596" w:rsidRDefault="000B6BDD" w:rsidP="00EB66B8">
            <w:pPr>
              <w:pStyle w:val="TX-TableText"/>
            </w:pPr>
            <w:r>
              <w:t>Midwest</w:t>
            </w:r>
          </w:p>
        </w:tc>
        <w:tc>
          <w:tcPr>
            <w:tcW w:w="395" w:type="pct"/>
            <w:tcBorders>
              <w:top w:val="nil"/>
              <w:left w:val="single" w:sz="4" w:space="0" w:color="auto"/>
              <w:bottom w:val="nil"/>
              <w:right w:val="single" w:sz="4" w:space="0" w:color="auto"/>
            </w:tcBorders>
            <w:vAlign w:val="bottom"/>
          </w:tcPr>
          <w:p w:rsidR="000B6BDD" w:rsidRPr="00265738" w:rsidRDefault="000B6BDD" w:rsidP="00EB66B8">
            <w:pPr>
              <w:pStyle w:val="TX-TableText"/>
              <w:jc w:val="center"/>
            </w:pPr>
            <w:r>
              <w:t>782</w:t>
            </w:r>
          </w:p>
        </w:tc>
        <w:tc>
          <w:tcPr>
            <w:tcW w:w="672" w:type="pct"/>
            <w:tcBorders>
              <w:top w:val="nil"/>
              <w:left w:val="single" w:sz="4" w:space="0" w:color="auto"/>
              <w:bottom w:val="nil"/>
              <w:right w:val="nil"/>
            </w:tcBorders>
            <w:noWrap/>
            <w:vAlign w:val="bottom"/>
          </w:tcPr>
          <w:p w:rsidR="000B6BDD" w:rsidRPr="00265738" w:rsidRDefault="000B6BDD" w:rsidP="00EB66B8">
            <w:pPr>
              <w:pStyle w:val="TX-TableText"/>
              <w:jc w:val="center"/>
            </w:pPr>
            <w:r w:rsidRPr="00265738">
              <w:t>34.3%</w:t>
            </w:r>
          </w:p>
        </w:tc>
        <w:tc>
          <w:tcPr>
            <w:tcW w:w="648" w:type="pct"/>
            <w:tcBorders>
              <w:top w:val="nil"/>
              <w:left w:val="nil"/>
              <w:bottom w:val="nil"/>
              <w:right w:val="nil"/>
            </w:tcBorders>
            <w:noWrap/>
            <w:vAlign w:val="bottom"/>
          </w:tcPr>
          <w:p w:rsidR="000B6BDD" w:rsidRPr="00265738" w:rsidRDefault="000B6BDD" w:rsidP="00EB66B8">
            <w:pPr>
              <w:pStyle w:val="TX-TableText"/>
              <w:jc w:val="center"/>
            </w:pPr>
            <w:r w:rsidRPr="00265738">
              <w:t>2.39%</w:t>
            </w:r>
          </w:p>
        </w:tc>
        <w:tc>
          <w:tcPr>
            <w:tcW w:w="441" w:type="pct"/>
            <w:tcBorders>
              <w:top w:val="nil"/>
              <w:left w:val="single" w:sz="4" w:space="0" w:color="auto"/>
              <w:bottom w:val="nil"/>
              <w:right w:val="nil"/>
            </w:tcBorders>
            <w:noWrap/>
            <w:vAlign w:val="bottom"/>
          </w:tcPr>
          <w:p w:rsidR="000B6BDD" w:rsidRPr="00265738" w:rsidRDefault="000B6BDD" w:rsidP="00EB66B8">
            <w:pPr>
              <w:pStyle w:val="TX-TableText"/>
              <w:jc w:val="center"/>
            </w:pPr>
            <w:r w:rsidRPr="00265738">
              <w:t>28.9%</w:t>
            </w:r>
          </w:p>
        </w:tc>
        <w:tc>
          <w:tcPr>
            <w:tcW w:w="648" w:type="pct"/>
            <w:tcBorders>
              <w:top w:val="nil"/>
              <w:left w:val="nil"/>
              <w:bottom w:val="nil"/>
              <w:right w:val="nil"/>
            </w:tcBorders>
            <w:noWrap/>
            <w:vAlign w:val="bottom"/>
          </w:tcPr>
          <w:p w:rsidR="000B6BDD" w:rsidRPr="00265738" w:rsidRDefault="000B6BDD" w:rsidP="00EB66B8">
            <w:pPr>
              <w:pStyle w:val="TX-TableText"/>
              <w:jc w:val="center"/>
            </w:pPr>
            <w:r w:rsidRPr="00265738">
              <w:t>3.44%</w:t>
            </w:r>
          </w:p>
        </w:tc>
        <w:tc>
          <w:tcPr>
            <w:tcW w:w="494" w:type="pct"/>
            <w:tcBorders>
              <w:top w:val="nil"/>
              <w:left w:val="single" w:sz="4" w:space="0" w:color="auto"/>
              <w:bottom w:val="nil"/>
              <w:right w:val="nil"/>
            </w:tcBorders>
            <w:noWrap/>
            <w:vAlign w:val="bottom"/>
          </w:tcPr>
          <w:p w:rsidR="000B6BDD" w:rsidRPr="00265738" w:rsidRDefault="000B6BDD" w:rsidP="00EB66B8">
            <w:pPr>
              <w:pStyle w:val="TX-TableText"/>
              <w:jc w:val="center"/>
            </w:pPr>
            <w:r w:rsidRPr="00265738">
              <w:t>5.4%</w:t>
            </w:r>
          </w:p>
        </w:tc>
        <w:tc>
          <w:tcPr>
            <w:tcW w:w="648" w:type="pct"/>
            <w:tcBorders>
              <w:top w:val="nil"/>
              <w:left w:val="nil"/>
              <w:bottom w:val="nil"/>
              <w:right w:val="nil"/>
            </w:tcBorders>
            <w:noWrap/>
            <w:vAlign w:val="bottom"/>
          </w:tcPr>
          <w:p w:rsidR="000B6BDD" w:rsidRPr="00265738" w:rsidRDefault="000B6BDD" w:rsidP="00EB66B8">
            <w:pPr>
              <w:pStyle w:val="TX-TableText"/>
              <w:jc w:val="center"/>
            </w:pPr>
            <w:r w:rsidRPr="00265738">
              <w:t>2.88%</w:t>
            </w:r>
          </w:p>
        </w:tc>
        <w:tc>
          <w:tcPr>
            <w:tcW w:w="385" w:type="pct"/>
            <w:tcBorders>
              <w:top w:val="nil"/>
              <w:left w:val="nil"/>
              <w:bottom w:val="nil"/>
              <w:right w:val="nil"/>
            </w:tcBorders>
            <w:noWrap/>
            <w:vAlign w:val="bottom"/>
          </w:tcPr>
          <w:p w:rsidR="000B6BDD" w:rsidRPr="00265738" w:rsidRDefault="000B6BDD" w:rsidP="00EB66B8">
            <w:pPr>
              <w:pStyle w:val="TX-TableText"/>
              <w:jc w:val="center"/>
            </w:pPr>
            <w:r w:rsidRPr="00265738">
              <w:t>0.0726</w:t>
            </w:r>
          </w:p>
        </w:tc>
      </w:tr>
      <w:tr w:rsidR="000B6BDD" w:rsidRPr="007522FC" w:rsidTr="00EB66B8">
        <w:trPr>
          <w:trHeight w:val="300"/>
        </w:trPr>
        <w:tc>
          <w:tcPr>
            <w:tcW w:w="667" w:type="pct"/>
            <w:tcBorders>
              <w:top w:val="nil"/>
              <w:left w:val="nil"/>
              <w:bottom w:val="nil"/>
              <w:right w:val="nil"/>
            </w:tcBorders>
            <w:noWrap/>
            <w:vAlign w:val="bottom"/>
          </w:tcPr>
          <w:p w:rsidR="000B6BDD" w:rsidRPr="00CB5596" w:rsidRDefault="000B6BDD" w:rsidP="00EB66B8">
            <w:pPr>
              <w:pStyle w:val="TX-TableText"/>
            </w:pPr>
            <w:r>
              <w:t>South</w:t>
            </w:r>
          </w:p>
        </w:tc>
        <w:tc>
          <w:tcPr>
            <w:tcW w:w="395" w:type="pct"/>
            <w:tcBorders>
              <w:top w:val="nil"/>
              <w:left w:val="single" w:sz="4" w:space="0" w:color="auto"/>
              <w:bottom w:val="nil"/>
              <w:right w:val="single" w:sz="4" w:space="0" w:color="auto"/>
            </w:tcBorders>
            <w:vAlign w:val="bottom"/>
          </w:tcPr>
          <w:p w:rsidR="000B6BDD" w:rsidRPr="00265738" w:rsidRDefault="000B6BDD" w:rsidP="00EB66B8">
            <w:pPr>
              <w:pStyle w:val="TX-TableText"/>
              <w:jc w:val="center"/>
            </w:pPr>
            <w:r>
              <w:t>756</w:t>
            </w:r>
          </w:p>
        </w:tc>
        <w:tc>
          <w:tcPr>
            <w:tcW w:w="672" w:type="pct"/>
            <w:tcBorders>
              <w:top w:val="nil"/>
              <w:left w:val="single" w:sz="4" w:space="0" w:color="auto"/>
              <w:bottom w:val="nil"/>
              <w:right w:val="nil"/>
            </w:tcBorders>
            <w:noWrap/>
            <w:vAlign w:val="bottom"/>
          </w:tcPr>
          <w:p w:rsidR="000B6BDD" w:rsidRPr="00265738" w:rsidRDefault="000B6BDD" w:rsidP="00EB66B8">
            <w:pPr>
              <w:pStyle w:val="TX-TableText"/>
              <w:jc w:val="center"/>
            </w:pPr>
            <w:r w:rsidRPr="00265738">
              <w:t>35.6%</w:t>
            </w:r>
          </w:p>
        </w:tc>
        <w:tc>
          <w:tcPr>
            <w:tcW w:w="648" w:type="pct"/>
            <w:tcBorders>
              <w:top w:val="nil"/>
              <w:left w:val="nil"/>
              <w:bottom w:val="nil"/>
              <w:right w:val="nil"/>
            </w:tcBorders>
            <w:noWrap/>
            <w:vAlign w:val="bottom"/>
          </w:tcPr>
          <w:p w:rsidR="000B6BDD" w:rsidRPr="00265738" w:rsidRDefault="000B6BDD" w:rsidP="00EB66B8">
            <w:pPr>
              <w:pStyle w:val="TX-TableText"/>
              <w:jc w:val="center"/>
            </w:pPr>
            <w:r w:rsidRPr="00265738">
              <w:t>2.25%</w:t>
            </w:r>
          </w:p>
        </w:tc>
        <w:tc>
          <w:tcPr>
            <w:tcW w:w="441" w:type="pct"/>
            <w:tcBorders>
              <w:top w:val="nil"/>
              <w:left w:val="single" w:sz="4" w:space="0" w:color="auto"/>
              <w:bottom w:val="nil"/>
              <w:right w:val="nil"/>
            </w:tcBorders>
            <w:noWrap/>
            <w:vAlign w:val="bottom"/>
          </w:tcPr>
          <w:p w:rsidR="000B6BDD" w:rsidRPr="00265738" w:rsidRDefault="000B6BDD" w:rsidP="00EB66B8">
            <w:pPr>
              <w:pStyle w:val="TX-TableText"/>
              <w:jc w:val="center"/>
            </w:pPr>
            <w:r w:rsidRPr="00265738">
              <w:t>28.9%</w:t>
            </w:r>
          </w:p>
        </w:tc>
        <w:tc>
          <w:tcPr>
            <w:tcW w:w="648" w:type="pct"/>
            <w:tcBorders>
              <w:top w:val="nil"/>
              <w:left w:val="nil"/>
              <w:bottom w:val="nil"/>
              <w:right w:val="nil"/>
            </w:tcBorders>
            <w:noWrap/>
            <w:vAlign w:val="bottom"/>
          </w:tcPr>
          <w:p w:rsidR="000B6BDD" w:rsidRPr="00265738" w:rsidRDefault="000B6BDD" w:rsidP="00EB66B8">
            <w:pPr>
              <w:pStyle w:val="TX-TableText"/>
              <w:jc w:val="center"/>
            </w:pPr>
            <w:r w:rsidRPr="00265738">
              <w:t>2.57%</w:t>
            </w:r>
          </w:p>
        </w:tc>
        <w:tc>
          <w:tcPr>
            <w:tcW w:w="494" w:type="pct"/>
            <w:tcBorders>
              <w:top w:val="nil"/>
              <w:left w:val="single" w:sz="4" w:space="0" w:color="auto"/>
              <w:bottom w:val="nil"/>
              <w:right w:val="nil"/>
            </w:tcBorders>
            <w:noWrap/>
            <w:vAlign w:val="bottom"/>
          </w:tcPr>
          <w:p w:rsidR="000B6BDD" w:rsidRPr="00265738" w:rsidRDefault="000B6BDD" w:rsidP="00EB66B8">
            <w:pPr>
              <w:pStyle w:val="TX-TableText"/>
              <w:jc w:val="center"/>
            </w:pPr>
            <w:r w:rsidRPr="00265738">
              <w:t>6.6%</w:t>
            </w:r>
          </w:p>
        </w:tc>
        <w:tc>
          <w:tcPr>
            <w:tcW w:w="648" w:type="pct"/>
            <w:tcBorders>
              <w:top w:val="nil"/>
              <w:left w:val="nil"/>
              <w:bottom w:val="nil"/>
              <w:right w:val="nil"/>
            </w:tcBorders>
            <w:noWrap/>
            <w:vAlign w:val="bottom"/>
          </w:tcPr>
          <w:p w:rsidR="000B6BDD" w:rsidRPr="00265738" w:rsidRDefault="000B6BDD" w:rsidP="00EB66B8">
            <w:pPr>
              <w:pStyle w:val="TX-TableText"/>
              <w:jc w:val="center"/>
            </w:pPr>
            <w:r w:rsidRPr="00265738">
              <w:t>4.09%</w:t>
            </w:r>
          </w:p>
        </w:tc>
        <w:tc>
          <w:tcPr>
            <w:tcW w:w="385" w:type="pct"/>
            <w:tcBorders>
              <w:top w:val="nil"/>
              <w:left w:val="nil"/>
              <w:bottom w:val="nil"/>
              <w:right w:val="nil"/>
            </w:tcBorders>
            <w:noWrap/>
            <w:vAlign w:val="bottom"/>
          </w:tcPr>
          <w:p w:rsidR="000B6BDD" w:rsidRPr="00265738" w:rsidRDefault="000B6BDD" w:rsidP="00EB66B8">
            <w:pPr>
              <w:pStyle w:val="TX-TableText"/>
              <w:jc w:val="center"/>
            </w:pPr>
            <w:r w:rsidRPr="00265738">
              <w:t>0.1193</w:t>
            </w:r>
          </w:p>
        </w:tc>
      </w:tr>
      <w:tr w:rsidR="000B6BDD" w:rsidRPr="007522FC" w:rsidTr="00EB66B8">
        <w:trPr>
          <w:trHeight w:val="300"/>
        </w:trPr>
        <w:tc>
          <w:tcPr>
            <w:tcW w:w="667" w:type="pct"/>
            <w:tcBorders>
              <w:top w:val="nil"/>
              <w:left w:val="nil"/>
              <w:bottom w:val="nil"/>
              <w:right w:val="nil"/>
            </w:tcBorders>
            <w:noWrap/>
            <w:vAlign w:val="bottom"/>
          </w:tcPr>
          <w:p w:rsidR="000B6BDD" w:rsidRPr="00CB5596" w:rsidRDefault="000B6BDD" w:rsidP="00EB66B8">
            <w:pPr>
              <w:pStyle w:val="TX-TableText"/>
            </w:pPr>
            <w:r>
              <w:t>West</w:t>
            </w:r>
          </w:p>
        </w:tc>
        <w:tc>
          <w:tcPr>
            <w:tcW w:w="395" w:type="pct"/>
            <w:tcBorders>
              <w:top w:val="nil"/>
              <w:left w:val="single" w:sz="4" w:space="0" w:color="auto"/>
              <w:bottom w:val="nil"/>
              <w:right w:val="single" w:sz="4" w:space="0" w:color="auto"/>
            </w:tcBorders>
            <w:vAlign w:val="bottom"/>
          </w:tcPr>
          <w:p w:rsidR="000B6BDD" w:rsidRPr="00265738" w:rsidRDefault="000B6BDD" w:rsidP="00EB66B8">
            <w:pPr>
              <w:pStyle w:val="TX-TableText"/>
              <w:jc w:val="center"/>
            </w:pPr>
            <w:r>
              <w:t>449</w:t>
            </w:r>
          </w:p>
        </w:tc>
        <w:tc>
          <w:tcPr>
            <w:tcW w:w="672" w:type="pct"/>
            <w:tcBorders>
              <w:top w:val="nil"/>
              <w:left w:val="single" w:sz="4" w:space="0" w:color="auto"/>
              <w:bottom w:val="nil"/>
              <w:right w:val="nil"/>
            </w:tcBorders>
            <w:noWrap/>
            <w:vAlign w:val="bottom"/>
          </w:tcPr>
          <w:p w:rsidR="000B6BDD" w:rsidRPr="00265738" w:rsidRDefault="000B6BDD" w:rsidP="00EB66B8">
            <w:pPr>
              <w:pStyle w:val="TX-TableText"/>
              <w:jc w:val="center"/>
            </w:pPr>
            <w:r w:rsidRPr="00265738">
              <w:t>39.5%</w:t>
            </w:r>
          </w:p>
        </w:tc>
        <w:tc>
          <w:tcPr>
            <w:tcW w:w="648" w:type="pct"/>
            <w:tcBorders>
              <w:top w:val="nil"/>
              <w:left w:val="nil"/>
              <w:bottom w:val="nil"/>
              <w:right w:val="nil"/>
            </w:tcBorders>
            <w:noWrap/>
            <w:vAlign w:val="bottom"/>
          </w:tcPr>
          <w:p w:rsidR="000B6BDD" w:rsidRPr="00265738" w:rsidRDefault="000B6BDD" w:rsidP="00EB66B8">
            <w:pPr>
              <w:pStyle w:val="TX-TableText"/>
              <w:jc w:val="center"/>
            </w:pPr>
            <w:r w:rsidRPr="00265738">
              <w:t>2.79%</w:t>
            </w:r>
          </w:p>
        </w:tc>
        <w:tc>
          <w:tcPr>
            <w:tcW w:w="441" w:type="pct"/>
            <w:tcBorders>
              <w:top w:val="nil"/>
              <w:left w:val="single" w:sz="4" w:space="0" w:color="auto"/>
              <w:bottom w:val="nil"/>
              <w:right w:val="nil"/>
            </w:tcBorders>
            <w:noWrap/>
            <w:vAlign w:val="bottom"/>
          </w:tcPr>
          <w:p w:rsidR="000B6BDD" w:rsidRPr="00265738" w:rsidRDefault="000B6BDD" w:rsidP="00EB66B8">
            <w:pPr>
              <w:pStyle w:val="TX-TableText"/>
              <w:jc w:val="center"/>
            </w:pPr>
            <w:r w:rsidRPr="00265738">
              <w:t>33.3%</w:t>
            </w:r>
          </w:p>
        </w:tc>
        <w:tc>
          <w:tcPr>
            <w:tcW w:w="648" w:type="pct"/>
            <w:tcBorders>
              <w:top w:val="nil"/>
              <w:left w:val="nil"/>
              <w:bottom w:val="nil"/>
              <w:right w:val="nil"/>
            </w:tcBorders>
            <w:noWrap/>
            <w:vAlign w:val="bottom"/>
          </w:tcPr>
          <w:p w:rsidR="000B6BDD" w:rsidRPr="00265738" w:rsidRDefault="000B6BDD" w:rsidP="00EB66B8">
            <w:pPr>
              <w:pStyle w:val="TX-TableText"/>
              <w:jc w:val="center"/>
            </w:pPr>
            <w:r w:rsidRPr="00265738">
              <w:t>2.22%</w:t>
            </w:r>
          </w:p>
        </w:tc>
        <w:tc>
          <w:tcPr>
            <w:tcW w:w="494" w:type="pct"/>
            <w:tcBorders>
              <w:top w:val="nil"/>
              <w:left w:val="single" w:sz="4" w:space="0" w:color="auto"/>
              <w:bottom w:val="nil"/>
              <w:right w:val="nil"/>
            </w:tcBorders>
            <w:noWrap/>
            <w:vAlign w:val="bottom"/>
          </w:tcPr>
          <w:p w:rsidR="000B6BDD" w:rsidRPr="00265738" w:rsidRDefault="000B6BDD" w:rsidP="00EB66B8">
            <w:pPr>
              <w:pStyle w:val="TX-TableText"/>
              <w:jc w:val="center"/>
            </w:pPr>
            <w:r w:rsidRPr="00265738">
              <w:t>6.2%</w:t>
            </w:r>
          </w:p>
        </w:tc>
        <w:tc>
          <w:tcPr>
            <w:tcW w:w="648" w:type="pct"/>
            <w:tcBorders>
              <w:top w:val="nil"/>
              <w:left w:val="nil"/>
              <w:bottom w:val="nil"/>
              <w:right w:val="nil"/>
            </w:tcBorders>
            <w:noWrap/>
            <w:vAlign w:val="bottom"/>
          </w:tcPr>
          <w:p w:rsidR="000B6BDD" w:rsidRPr="00265738" w:rsidRDefault="000B6BDD" w:rsidP="00EB66B8">
            <w:pPr>
              <w:pStyle w:val="TX-TableText"/>
              <w:jc w:val="center"/>
            </w:pPr>
            <w:r w:rsidRPr="00265738">
              <w:t>2.28%</w:t>
            </w:r>
          </w:p>
        </w:tc>
        <w:tc>
          <w:tcPr>
            <w:tcW w:w="385" w:type="pct"/>
            <w:tcBorders>
              <w:top w:val="nil"/>
              <w:left w:val="nil"/>
              <w:bottom w:val="nil"/>
              <w:right w:val="nil"/>
            </w:tcBorders>
            <w:noWrap/>
            <w:vAlign w:val="bottom"/>
          </w:tcPr>
          <w:p w:rsidR="000B6BDD" w:rsidRPr="00265738" w:rsidRDefault="000B6BDD" w:rsidP="00EB66B8">
            <w:pPr>
              <w:pStyle w:val="TX-TableText"/>
              <w:jc w:val="center"/>
            </w:pPr>
            <w:r w:rsidRPr="00265738">
              <w:t>0.0128</w:t>
            </w:r>
          </w:p>
        </w:tc>
      </w:tr>
      <w:tr w:rsidR="000B6BDD" w:rsidRPr="007522FC" w:rsidTr="00EB66B8">
        <w:trPr>
          <w:trHeight w:val="300"/>
        </w:trPr>
        <w:tc>
          <w:tcPr>
            <w:tcW w:w="667" w:type="pct"/>
            <w:tcBorders>
              <w:top w:val="nil"/>
              <w:left w:val="nil"/>
              <w:bottom w:val="nil"/>
              <w:right w:val="nil"/>
            </w:tcBorders>
            <w:noWrap/>
            <w:vAlign w:val="bottom"/>
          </w:tcPr>
          <w:p w:rsidR="000B6BDD" w:rsidRPr="00CB5596" w:rsidRDefault="000B6BDD" w:rsidP="00EB66B8">
            <w:pPr>
              <w:pStyle w:val="TX-TableText"/>
            </w:pPr>
            <w:r>
              <w:t>NonMSA</w:t>
            </w:r>
          </w:p>
        </w:tc>
        <w:tc>
          <w:tcPr>
            <w:tcW w:w="395" w:type="pct"/>
            <w:tcBorders>
              <w:top w:val="nil"/>
              <w:left w:val="single" w:sz="4" w:space="0" w:color="auto"/>
              <w:bottom w:val="nil"/>
              <w:right w:val="single" w:sz="4" w:space="0" w:color="auto"/>
            </w:tcBorders>
            <w:vAlign w:val="bottom"/>
          </w:tcPr>
          <w:p w:rsidR="000B6BDD" w:rsidRPr="00265738" w:rsidRDefault="000B6BDD" w:rsidP="00EB66B8">
            <w:pPr>
              <w:pStyle w:val="TX-TableText"/>
              <w:jc w:val="center"/>
            </w:pPr>
            <w:r>
              <w:t>339</w:t>
            </w:r>
          </w:p>
        </w:tc>
        <w:tc>
          <w:tcPr>
            <w:tcW w:w="672" w:type="pct"/>
            <w:tcBorders>
              <w:top w:val="nil"/>
              <w:left w:val="single" w:sz="4" w:space="0" w:color="auto"/>
              <w:bottom w:val="nil"/>
              <w:right w:val="nil"/>
            </w:tcBorders>
            <w:noWrap/>
            <w:vAlign w:val="bottom"/>
          </w:tcPr>
          <w:p w:rsidR="000B6BDD" w:rsidRPr="00265738" w:rsidRDefault="000B6BDD" w:rsidP="00EB66B8">
            <w:pPr>
              <w:pStyle w:val="TX-TableText"/>
              <w:jc w:val="center"/>
            </w:pPr>
            <w:r w:rsidRPr="00265738">
              <w:t>32.2%</w:t>
            </w:r>
          </w:p>
        </w:tc>
        <w:tc>
          <w:tcPr>
            <w:tcW w:w="648" w:type="pct"/>
            <w:tcBorders>
              <w:top w:val="nil"/>
              <w:left w:val="nil"/>
              <w:bottom w:val="nil"/>
              <w:right w:val="nil"/>
            </w:tcBorders>
            <w:noWrap/>
            <w:vAlign w:val="bottom"/>
          </w:tcPr>
          <w:p w:rsidR="000B6BDD" w:rsidRPr="00265738" w:rsidRDefault="000B6BDD" w:rsidP="00EB66B8">
            <w:pPr>
              <w:pStyle w:val="TX-TableText"/>
              <w:jc w:val="center"/>
            </w:pPr>
            <w:r w:rsidRPr="00265738">
              <w:t>4.12%</w:t>
            </w:r>
          </w:p>
        </w:tc>
        <w:tc>
          <w:tcPr>
            <w:tcW w:w="441" w:type="pct"/>
            <w:tcBorders>
              <w:top w:val="nil"/>
              <w:left w:val="single" w:sz="4" w:space="0" w:color="auto"/>
              <w:bottom w:val="nil"/>
              <w:right w:val="nil"/>
            </w:tcBorders>
            <w:noWrap/>
            <w:vAlign w:val="bottom"/>
          </w:tcPr>
          <w:p w:rsidR="000B6BDD" w:rsidRPr="00265738" w:rsidRDefault="000B6BDD" w:rsidP="00EB66B8">
            <w:pPr>
              <w:pStyle w:val="TX-TableText"/>
              <w:jc w:val="center"/>
            </w:pPr>
            <w:r w:rsidRPr="00265738">
              <w:t>30.1%</w:t>
            </w:r>
          </w:p>
        </w:tc>
        <w:tc>
          <w:tcPr>
            <w:tcW w:w="648" w:type="pct"/>
            <w:tcBorders>
              <w:top w:val="nil"/>
              <w:left w:val="nil"/>
              <w:bottom w:val="nil"/>
              <w:right w:val="nil"/>
            </w:tcBorders>
            <w:noWrap/>
            <w:vAlign w:val="bottom"/>
          </w:tcPr>
          <w:p w:rsidR="000B6BDD" w:rsidRPr="00265738" w:rsidRDefault="000B6BDD" w:rsidP="00EB66B8">
            <w:pPr>
              <w:pStyle w:val="TX-TableText"/>
              <w:jc w:val="center"/>
            </w:pPr>
            <w:r w:rsidRPr="00265738">
              <w:t>3.49%</w:t>
            </w:r>
          </w:p>
        </w:tc>
        <w:tc>
          <w:tcPr>
            <w:tcW w:w="494" w:type="pct"/>
            <w:tcBorders>
              <w:top w:val="nil"/>
              <w:left w:val="single" w:sz="4" w:space="0" w:color="auto"/>
              <w:bottom w:val="nil"/>
              <w:right w:val="nil"/>
            </w:tcBorders>
            <w:noWrap/>
            <w:vAlign w:val="bottom"/>
          </w:tcPr>
          <w:p w:rsidR="000B6BDD" w:rsidRPr="00265738" w:rsidRDefault="000B6BDD" w:rsidP="00EB66B8">
            <w:pPr>
              <w:pStyle w:val="TX-TableText"/>
              <w:jc w:val="center"/>
            </w:pPr>
            <w:r w:rsidRPr="00265738">
              <w:t>2.1%</w:t>
            </w:r>
          </w:p>
        </w:tc>
        <w:tc>
          <w:tcPr>
            <w:tcW w:w="648" w:type="pct"/>
            <w:tcBorders>
              <w:top w:val="nil"/>
              <w:left w:val="nil"/>
              <w:bottom w:val="nil"/>
              <w:right w:val="nil"/>
            </w:tcBorders>
            <w:noWrap/>
            <w:vAlign w:val="bottom"/>
          </w:tcPr>
          <w:p w:rsidR="000B6BDD" w:rsidRPr="00265738" w:rsidRDefault="000B6BDD" w:rsidP="00EB66B8">
            <w:pPr>
              <w:pStyle w:val="TX-TableText"/>
              <w:jc w:val="center"/>
            </w:pPr>
            <w:r w:rsidRPr="00265738">
              <w:t>4.18%</w:t>
            </w:r>
          </w:p>
        </w:tc>
        <w:tc>
          <w:tcPr>
            <w:tcW w:w="385" w:type="pct"/>
            <w:tcBorders>
              <w:top w:val="nil"/>
              <w:left w:val="nil"/>
              <w:bottom w:val="nil"/>
              <w:right w:val="nil"/>
            </w:tcBorders>
            <w:noWrap/>
            <w:vAlign w:val="bottom"/>
          </w:tcPr>
          <w:p w:rsidR="000B6BDD" w:rsidRPr="00265738" w:rsidRDefault="000B6BDD" w:rsidP="00EB66B8">
            <w:pPr>
              <w:pStyle w:val="TX-TableText"/>
              <w:jc w:val="center"/>
            </w:pPr>
            <w:r w:rsidRPr="00265738">
              <w:t>0.6190</w:t>
            </w:r>
          </w:p>
        </w:tc>
      </w:tr>
      <w:tr w:rsidR="000B6BDD" w:rsidRPr="007522FC" w:rsidTr="00EB66B8">
        <w:trPr>
          <w:trHeight w:val="300"/>
        </w:trPr>
        <w:tc>
          <w:tcPr>
            <w:tcW w:w="667" w:type="pct"/>
            <w:tcBorders>
              <w:top w:val="nil"/>
              <w:left w:val="nil"/>
              <w:bottom w:val="single" w:sz="4" w:space="0" w:color="auto"/>
              <w:right w:val="nil"/>
            </w:tcBorders>
            <w:noWrap/>
            <w:vAlign w:val="bottom"/>
          </w:tcPr>
          <w:p w:rsidR="000B6BDD" w:rsidRPr="00CB5596" w:rsidRDefault="000B6BDD" w:rsidP="00EB66B8">
            <w:pPr>
              <w:pStyle w:val="TX-TableText"/>
            </w:pPr>
            <w:r>
              <w:t>MSA</w:t>
            </w:r>
          </w:p>
        </w:tc>
        <w:tc>
          <w:tcPr>
            <w:tcW w:w="395" w:type="pct"/>
            <w:tcBorders>
              <w:top w:val="nil"/>
              <w:left w:val="single" w:sz="4" w:space="0" w:color="auto"/>
              <w:bottom w:val="single" w:sz="4" w:space="0" w:color="auto"/>
              <w:right w:val="single" w:sz="4" w:space="0" w:color="auto"/>
            </w:tcBorders>
            <w:vAlign w:val="bottom"/>
          </w:tcPr>
          <w:p w:rsidR="000B6BDD" w:rsidRPr="00265738" w:rsidRDefault="000B6BDD" w:rsidP="00EB66B8">
            <w:pPr>
              <w:pStyle w:val="TX-TableText"/>
              <w:jc w:val="center"/>
            </w:pPr>
            <w:r>
              <w:t>1921</w:t>
            </w:r>
          </w:p>
        </w:tc>
        <w:tc>
          <w:tcPr>
            <w:tcW w:w="672" w:type="pct"/>
            <w:tcBorders>
              <w:top w:val="nil"/>
              <w:left w:val="single" w:sz="4" w:space="0" w:color="auto"/>
              <w:bottom w:val="single" w:sz="4" w:space="0" w:color="auto"/>
              <w:right w:val="nil"/>
            </w:tcBorders>
            <w:noWrap/>
            <w:vAlign w:val="bottom"/>
          </w:tcPr>
          <w:p w:rsidR="000B6BDD" w:rsidRPr="00265738" w:rsidRDefault="000B6BDD" w:rsidP="00EB66B8">
            <w:pPr>
              <w:pStyle w:val="TX-TableText"/>
              <w:jc w:val="center"/>
            </w:pPr>
            <w:r w:rsidRPr="00265738">
              <w:t>38.5%</w:t>
            </w:r>
          </w:p>
        </w:tc>
        <w:tc>
          <w:tcPr>
            <w:tcW w:w="648" w:type="pct"/>
            <w:tcBorders>
              <w:top w:val="nil"/>
              <w:left w:val="nil"/>
              <w:bottom w:val="single" w:sz="4" w:space="0" w:color="auto"/>
              <w:right w:val="nil"/>
            </w:tcBorders>
            <w:noWrap/>
            <w:vAlign w:val="bottom"/>
          </w:tcPr>
          <w:p w:rsidR="000B6BDD" w:rsidRPr="00265738" w:rsidRDefault="000B6BDD" w:rsidP="00EB66B8">
            <w:pPr>
              <w:pStyle w:val="TX-TableText"/>
              <w:jc w:val="center"/>
            </w:pPr>
            <w:r w:rsidRPr="00265738">
              <w:t>1.35%</w:t>
            </w:r>
          </w:p>
        </w:tc>
        <w:tc>
          <w:tcPr>
            <w:tcW w:w="441" w:type="pct"/>
            <w:tcBorders>
              <w:top w:val="nil"/>
              <w:left w:val="single" w:sz="4" w:space="0" w:color="auto"/>
              <w:bottom w:val="single" w:sz="4" w:space="0" w:color="auto"/>
              <w:right w:val="nil"/>
            </w:tcBorders>
            <w:noWrap/>
            <w:vAlign w:val="bottom"/>
          </w:tcPr>
          <w:p w:rsidR="000B6BDD" w:rsidRPr="00265738" w:rsidRDefault="000B6BDD" w:rsidP="00EB66B8">
            <w:pPr>
              <w:pStyle w:val="TX-TableText"/>
              <w:jc w:val="center"/>
            </w:pPr>
            <w:r w:rsidRPr="00265738">
              <w:t>31.4%</w:t>
            </w:r>
          </w:p>
        </w:tc>
        <w:tc>
          <w:tcPr>
            <w:tcW w:w="648" w:type="pct"/>
            <w:tcBorders>
              <w:top w:val="nil"/>
              <w:left w:val="nil"/>
              <w:bottom w:val="single" w:sz="4" w:space="0" w:color="auto"/>
              <w:right w:val="nil"/>
            </w:tcBorders>
            <w:noWrap/>
            <w:vAlign w:val="bottom"/>
          </w:tcPr>
          <w:p w:rsidR="000B6BDD" w:rsidRPr="00265738" w:rsidRDefault="000B6BDD" w:rsidP="00EB66B8">
            <w:pPr>
              <w:pStyle w:val="TX-TableText"/>
              <w:jc w:val="center"/>
            </w:pPr>
            <w:r w:rsidRPr="00265738">
              <w:t>2.01%</w:t>
            </w:r>
          </w:p>
        </w:tc>
        <w:tc>
          <w:tcPr>
            <w:tcW w:w="494" w:type="pct"/>
            <w:tcBorders>
              <w:top w:val="nil"/>
              <w:left w:val="single" w:sz="4" w:space="0" w:color="auto"/>
              <w:bottom w:val="single" w:sz="4" w:space="0" w:color="auto"/>
              <w:right w:val="nil"/>
            </w:tcBorders>
            <w:noWrap/>
            <w:vAlign w:val="bottom"/>
          </w:tcPr>
          <w:p w:rsidR="000B6BDD" w:rsidRPr="00265738" w:rsidRDefault="000B6BDD" w:rsidP="00EB66B8">
            <w:pPr>
              <w:pStyle w:val="TX-TableText"/>
              <w:jc w:val="center"/>
            </w:pPr>
            <w:r w:rsidRPr="00265738">
              <w:t>7.2%</w:t>
            </w:r>
          </w:p>
        </w:tc>
        <w:tc>
          <w:tcPr>
            <w:tcW w:w="648" w:type="pct"/>
            <w:tcBorders>
              <w:top w:val="nil"/>
              <w:left w:val="nil"/>
              <w:bottom w:val="single" w:sz="4" w:space="0" w:color="auto"/>
              <w:right w:val="nil"/>
            </w:tcBorders>
            <w:noWrap/>
            <w:vAlign w:val="bottom"/>
          </w:tcPr>
          <w:p w:rsidR="000B6BDD" w:rsidRPr="00265738" w:rsidRDefault="000B6BDD" w:rsidP="00EB66B8">
            <w:pPr>
              <w:pStyle w:val="TX-TableText"/>
              <w:jc w:val="center"/>
            </w:pPr>
            <w:r w:rsidRPr="00265738">
              <w:t>2.16%</w:t>
            </w:r>
          </w:p>
        </w:tc>
        <w:tc>
          <w:tcPr>
            <w:tcW w:w="385" w:type="pct"/>
            <w:tcBorders>
              <w:top w:val="nil"/>
              <w:left w:val="nil"/>
              <w:bottom w:val="single" w:sz="4" w:space="0" w:color="auto"/>
              <w:right w:val="nil"/>
            </w:tcBorders>
            <w:noWrap/>
            <w:vAlign w:val="bottom"/>
          </w:tcPr>
          <w:p w:rsidR="000B6BDD" w:rsidRPr="00265738" w:rsidRDefault="000B6BDD" w:rsidP="00EB66B8">
            <w:pPr>
              <w:pStyle w:val="TX-TableText"/>
              <w:jc w:val="center"/>
            </w:pPr>
            <w:r w:rsidRPr="00265738">
              <w:t>0.0031</w:t>
            </w:r>
          </w:p>
        </w:tc>
      </w:tr>
    </w:tbl>
    <w:p w:rsidR="000B6BDD" w:rsidRDefault="000B6BDD" w:rsidP="00AA27DB">
      <w:pPr>
        <w:pStyle w:val="ListParagraph"/>
        <w:ind w:left="0"/>
        <w:rPr>
          <w:sz w:val="16"/>
          <w:szCs w:val="16"/>
        </w:rPr>
      </w:pPr>
      <w:r w:rsidRPr="00684FE2">
        <w:rPr>
          <w:sz w:val="16"/>
          <w:szCs w:val="16"/>
        </w:rPr>
        <w:t>Source: 2010 Programme for the International Assessment of Adult Competencies Field Test</w:t>
      </w:r>
    </w:p>
    <w:p w:rsidR="000B6BDD" w:rsidRPr="00684FE2" w:rsidRDefault="000B6BDD" w:rsidP="00AA27DB">
      <w:pPr>
        <w:pStyle w:val="ListParagraph"/>
        <w:ind w:left="0"/>
        <w:rPr>
          <w:sz w:val="16"/>
          <w:szCs w:val="16"/>
        </w:rPr>
      </w:pPr>
      <w:r>
        <w:rPr>
          <w:sz w:val="16"/>
          <w:szCs w:val="16"/>
        </w:rPr>
        <w:t>Note: n= 2260</w:t>
      </w:r>
    </w:p>
    <w:p w:rsidR="000B6BDD" w:rsidRPr="00684FE2" w:rsidRDefault="000B6BDD" w:rsidP="00EB66B8">
      <w:pPr>
        <w:pStyle w:val="L1-FlLSp12"/>
      </w:pPr>
    </w:p>
    <w:p w:rsidR="000B6BDD" w:rsidRDefault="000B6BDD" w:rsidP="00EB66B8">
      <w:pPr>
        <w:pStyle w:val="L1-FlLSp12"/>
      </w:pPr>
      <w:r>
        <w:t>The following provides the results of the analysis of refusal rates separately for the screener and the BQ stage.</w:t>
      </w:r>
    </w:p>
    <w:p w:rsidR="000B6BDD" w:rsidRDefault="000B6BDD" w:rsidP="00EB66B8">
      <w:pPr>
        <w:pStyle w:val="L1-FlLSp12"/>
      </w:pPr>
    </w:p>
    <w:p w:rsidR="000B6BDD" w:rsidRDefault="000B6BDD" w:rsidP="00EB66B8">
      <w:pPr>
        <w:pStyle w:val="L1-FlLSp12"/>
      </w:pPr>
    </w:p>
    <w:p w:rsidR="000B6BDD" w:rsidRDefault="000B6BDD" w:rsidP="00EB66B8">
      <w:pPr>
        <w:pStyle w:val="Heading2"/>
      </w:pPr>
      <w:r>
        <w:t>G.2.2</w:t>
      </w:r>
      <w:r>
        <w:tab/>
        <w:t>Screener</w:t>
      </w:r>
    </w:p>
    <w:p w:rsidR="000B6BDD" w:rsidRDefault="000B6BDD" w:rsidP="00EB66B8">
      <w:pPr>
        <w:pStyle w:val="L1-FlLSp12"/>
      </w:pPr>
      <w:r>
        <w:t>The refusal rate is computed for the screener with the numerator and denominator defined as follows:</w:t>
      </w:r>
    </w:p>
    <w:p w:rsidR="000B6BDD" w:rsidRDefault="000B6BDD" w:rsidP="00EB66B8">
      <w:pPr>
        <w:pStyle w:val="L1-FlLSp12"/>
      </w:pPr>
    </w:p>
    <w:p w:rsidR="000B6BDD" w:rsidRDefault="000B6BDD" w:rsidP="00EB66B8">
      <w:pPr>
        <w:pStyle w:val="N1-1stBullet"/>
        <w:numPr>
          <w:numberingChange w:id="13" w:author="Unknown" w:date="2011-04-29T16:46:00Z" w:original=""/>
        </w:numPr>
      </w:pPr>
      <w:r w:rsidRPr="00B42DDB">
        <w:rPr>
          <w:i/>
        </w:rPr>
        <w:t>Numerator</w:t>
      </w:r>
      <w:r>
        <w:t>: Number of refusals or incompletes (i.e., partial-completes due to break-offs).</w:t>
      </w:r>
    </w:p>
    <w:p w:rsidR="000B6BDD" w:rsidRDefault="000B6BDD" w:rsidP="00EB66B8">
      <w:pPr>
        <w:pStyle w:val="N1-1stBullet"/>
        <w:numPr>
          <w:numberingChange w:id="14" w:author="Unknown" w:date="2011-04-29T16:46:00Z" w:original=""/>
        </w:numPr>
      </w:pPr>
      <w:r w:rsidRPr="00B42DDB">
        <w:rPr>
          <w:i/>
        </w:rPr>
        <w:t>Denominator</w:t>
      </w:r>
      <w:r>
        <w:t>: The value of the numerator plus the number of completed screeners (including age eligible or not).</w:t>
      </w:r>
    </w:p>
    <w:p w:rsidR="000B6BDD" w:rsidRDefault="000B6BDD" w:rsidP="00EB66B8">
      <w:pPr>
        <w:pStyle w:val="L1-FlLSp12"/>
      </w:pPr>
      <w:r>
        <w:t xml:space="preserve">The denominator excludes the following cases for which it is assumed that the incentive payment has no impact: language problem, refusal-gatekeeper, learning/mental disability, impairments (hearing, blindness/vision, speech) disabilities (physical, other), other unusual circumstances, vacant/not DU/under construction, maximum number of calls, temporarily absent. </w:t>
      </w:r>
    </w:p>
    <w:p w:rsidR="000B6BDD" w:rsidRDefault="000B6BDD" w:rsidP="00EB66B8">
      <w:pPr>
        <w:pStyle w:val="L1-FlLSp12"/>
      </w:pPr>
    </w:p>
    <w:p w:rsidR="000B6BDD" w:rsidRDefault="000B6BDD" w:rsidP="00EB66B8">
      <w:pPr>
        <w:pStyle w:val="L1-FlLSp12"/>
      </w:pPr>
      <w:r w:rsidRPr="003A5477">
        <w:t>The difference in refusal rates</w:t>
      </w:r>
      <w:r w:rsidRPr="003A5477">
        <w:rPr>
          <w:rStyle w:val="FootnoteReference"/>
        </w:rPr>
        <w:footnoteReference w:id="6"/>
      </w:r>
      <w:r w:rsidRPr="003A5477">
        <w:t xml:space="preserve"> for the two incentive groups </w:t>
      </w:r>
      <w:r>
        <w:t>(</w:t>
      </w:r>
      <w:r w:rsidRPr="003A5477">
        <w:t>0.6</w:t>
      </w:r>
      <w:r>
        <w:t xml:space="preserve"> percent)</w:t>
      </w:r>
      <w:r w:rsidRPr="003A5477">
        <w:t xml:space="preserve"> is not statistically significant.</w:t>
      </w:r>
      <w:r>
        <w:t xml:space="preserve"> </w:t>
      </w:r>
    </w:p>
    <w:p w:rsidR="000B6BDD" w:rsidRDefault="000B6BDD" w:rsidP="00EB66B8">
      <w:pPr>
        <w:pStyle w:val="L1-FlLSp12"/>
      </w:pPr>
    </w:p>
    <w:p w:rsidR="000B6BDD" w:rsidRDefault="000B6BDD" w:rsidP="00EB66B8">
      <w:pPr>
        <w:pStyle w:val="L1-FlLSp12"/>
      </w:pPr>
      <w:r>
        <w:t xml:space="preserve">Table G-3 provides the analysis results from the logistic regression model. As shown below, the p-value for the incentive group is 0.0725. Although the p-value is significant at 0.10 level, there is not enough evidence to show a significant incentive group effect on the refusal indicator under the NCES standard significance level of 0.05. The model also shows that there is a significantly higher chance for refusal (at </w:t>
      </w:r>
      <w:r w:rsidRPr="00466EAE">
        <w:t>the.05 level</w:t>
      </w:r>
      <w:r>
        <w:t>) for those with higher segment-level median income, while living in the Midwest indicates a significantly lower chance for refusal.</w:t>
      </w:r>
    </w:p>
    <w:p w:rsidR="000B6BDD" w:rsidRDefault="000B6BDD" w:rsidP="00EB66B8">
      <w:pPr>
        <w:pStyle w:val="L1-FlLSp12"/>
      </w:pPr>
    </w:p>
    <w:p w:rsidR="000B6BDD" w:rsidRDefault="000B6BDD" w:rsidP="00EB66B8">
      <w:pPr>
        <w:pStyle w:val="TT-TableTitle"/>
      </w:pPr>
      <w:r>
        <w:t>Table G-3.</w:t>
      </w:r>
      <w:r>
        <w:tab/>
        <w:t>Screener level logistic regression results on the refusal indicator</w:t>
      </w:r>
    </w:p>
    <w:p w:rsidR="000B6BDD" w:rsidRDefault="000B6BDD" w:rsidP="00EB66B8">
      <w:pPr>
        <w:pStyle w:val="TT-TableTitle"/>
      </w:pPr>
    </w:p>
    <w:tbl>
      <w:tblPr>
        <w:tblW w:w="5000" w:type="pct"/>
        <w:tblLook w:val="00A0"/>
      </w:tblPr>
      <w:tblGrid>
        <w:gridCol w:w="5673"/>
        <w:gridCol w:w="1272"/>
        <w:gridCol w:w="1643"/>
        <w:gridCol w:w="988"/>
      </w:tblGrid>
      <w:tr w:rsidR="000B6BDD" w:rsidRPr="004F5017" w:rsidTr="00EB66B8">
        <w:trPr>
          <w:trHeight w:val="300"/>
        </w:trPr>
        <w:tc>
          <w:tcPr>
            <w:tcW w:w="2961" w:type="pct"/>
            <w:tcBorders>
              <w:top w:val="single" w:sz="4" w:space="0" w:color="auto"/>
              <w:left w:val="nil"/>
              <w:right w:val="nil"/>
            </w:tcBorders>
            <w:shd w:val="clear" w:color="auto" w:fill="AFBED7"/>
            <w:noWrap/>
            <w:vAlign w:val="bottom"/>
          </w:tcPr>
          <w:p w:rsidR="000B6BDD" w:rsidRPr="00EB66B8" w:rsidRDefault="000B6BDD" w:rsidP="00EB66B8">
            <w:pPr>
              <w:pStyle w:val="TH-TableHeading"/>
            </w:pPr>
          </w:p>
        </w:tc>
        <w:tc>
          <w:tcPr>
            <w:tcW w:w="664" w:type="pct"/>
            <w:tcBorders>
              <w:top w:val="single" w:sz="4" w:space="0" w:color="auto"/>
              <w:left w:val="nil"/>
              <w:right w:val="nil"/>
            </w:tcBorders>
            <w:shd w:val="clear" w:color="auto" w:fill="AFBED7"/>
            <w:noWrap/>
            <w:vAlign w:val="bottom"/>
          </w:tcPr>
          <w:p w:rsidR="000B6BDD" w:rsidRPr="003F501A" w:rsidRDefault="000B6BDD" w:rsidP="00EB66B8">
            <w:pPr>
              <w:pStyle w:val="TH-TableHeading"/>
            </w:pPr>
            <w:r w:rsidRPr="003F501A">
              <w:t>Parameter</w:t>
            </w:r>
          </w:p>
        </w:tc>
        <w:tc>
          <w:tcPr>
            <w:tcW w:w="858" w:type="pct"/>
            <w:tcBorders>
              <w:top w:val="single" w:sz="4" w:space="0" w:color="auto"/>
              <w:left w:val="nil"/>
              <w:right w:val="nil"/>
            </w:tcBorders>
            <w:shd w:val="clear" w:color="auto" w:fill="AFBED7"/>
            <w:noWrap/>
            <w:vAlign w:val="bottom"/>
          </w:tcPr>
          <w:p w:rsidR="000B6BDD" w:rsidRPr="003F501A" w:rsidRDefault="000B6BDD" w:rsidP="00EB66B8">
            <w:pPr>
              <w:pStyle w:val="TH-TableHeading"/>
            </w:pPr>
          </w:p>
        </w:tc>
        <w:tc>
          <w:tcPr>
            <w:tcW w:w="516" w:type="pct"/>
            <w:tcBorders>
              <w:top w:val="single" w:sz="4" w:space="0" w:color="auto"/>
              <w:left w:val="nil"/>
              <w:right w:val="nil"/>
            </w:tcBorders>
            <w:shd w:val="clear" w:color="auto" w:fill="AFBED7"/>
            <w:noWrap/>
            <w:vAlign w:val="bottom"/>
          </w:tcPr>
          <w:p w:rsidR="000B6BDD" w:rsidRPr="003F501A" w:rsidRDefault="000B6BDD" w:rsidP="00EB66B8">
            <w:pPr>
              <w:pStyle w:val="TH-TableHeading"/>
            </w:pPr>
            <w:r w:rsidRPr="003F501A">
              <w:t xml:space="preserve"> </w:t>
            </w:r>
          </w:p>
        </w:tc>
      </w:tr>
      <w:tr w:rsidR="000B6BDD" w:rsidRPr="004F5017" w:rsidTr="00EB66B8">
        <w:trPr>
          <w:trHeight w:val="300"/>
        </w:trPr>
        <w:tc>
          <w:tcPr>
            <w:tcW w:w="2961" w:type="pct"/>
            <w:tcBorders>
              <w:top w:val="nil"/>
              <w:left w:val="nil"/>
              <w:bottom w:val="single" w:sz="4" w:space="0" w:color="auto"/>
              <w:right w:val="nil"/>
            </w:tcBorders>
            <w:shd w:val="clear" w:color="auto" w:fill="AFBED7"/>
            <w:noWrap/>
            <w:vAlign w:val="bottom"/>
          </w:tcPr>
          <w:p w:rsidR="000B6BDD" w:rsidRPr="003F501A" w:rsidRDefault="000B6BDD" w:rsidP="00EB66B8">
            <w:pPr>
              <w:pStyle w:val="TH-TableHeading"/>
            </w:pPr>
            <w:r w:rsidRPr="003F501A">
              <w:t>Parameter</w:t>
            </w:r>
          </w:p>
        </w:tc>
        <w:tc>
          <w:tcPr>
            <w:tcW w:w="664" w:type="pct"/>
            <w:tcBorders>
              <w:top w:val="nil"/>
              <w:left w:val="nil"/>
              <w:bottom w:val="single" w:sz="4" w:space="0" w:color="auto"/>
              <w:right w:val="nil"/>
            </w:tcBorders>
            <w:shd w:val="clear" w:color="auto" w:fill="AFBED7"/>
            <w:noWrap/>
            <w:vAlign w:val="bottom"/>
          </w:tcPr>
          <w:p w:rsidR="000B6BDD" w:rsidRPr="003F501A" w:rsidRDefault="000B6BDD" w:rsidP="00EB66B8">
            <w:pPr>
              <w:pStyle w:val="TH-TableHeading"/>
            </w:pPr>
            <w:r w:rsidRPr="003F501A">
              <w:t>Estimate</w:t>
            </w:r>
          </w:p>
        </w:tc>
        <w:tc>
          <w:tcPr>
            <w:tcW w:w="858" w:type="pct"/>
            <w:tcBorders>
              <w:top w:val="nil"/>
              <w:left w:val="nil"/>
              <w:bottom w:val="single" w:sz="4" w:space="0" w:color="auto"/>
              <w:right w:val="nil"/>
            </w:tcBorders>
            <w:shd w:val="clear" w:color="auto" w:fill="AFBED7"/>
            <w:noWrap/>
            <w:vAlign w:val="bottom"/>
          </w:tcPr>
          <w:p w:rsidR="000B6BDD" w:rsidRPr="003F501A" w:rsidRDefault="000B6BDD" w:rsidP="00EB66B8">
            <w:pPr>
              <w:pStyle w:val="TH-TableHeading"/>
            </w:pPr>
            <w:r w:rsidRPr="003F501A">
              <w:t>Standard Error</w:t>
            </w:r>
          </w:p>
        </w:tc>
        <w:tc>
          <w:tcPr>
            <w:tcW w:w="516" w:type="pct"/>
            <w:tcBorders>
              <w:top w:val="nil"/>
              <w:left w:val="nil"/>
              <w:bottom w:val="single" w:sz="4" w:space="0" w:color="auto"/>
              <w:right w:val="nil"/>
            </w:tcBorders>
            <w:shd w:val="clear" w:color="auto" w:fill="AFBED7"/>
            <w:noWrap/>
            <w:vAlign w:val="bottom"/>
          </w:tcPr>
          <w:p w:rsidR="000B6BDD" w:rsidRPr="003F501A" w:rsidRDefault="000B6BDD" w:rsidP="00EB66B8">
            <w:pPr>
              <w:pStyle w:val="TH-TableHeading"/>
            </w:pPr>
            <w:r w:rsidRPr="003F501A">
              <w:t>P-value</w:t>
            </w:r>
          </w:p>
        </w:tc>
      </w:tr>
      <w:tr w:rsidR="000B6BDD" w:rsidRPr="004F5017" w:rsidTr="00EB66B8">
        <w:trPr>
          <w:trHeight w:val="300"/>
        </w:trPr>
        <w:tc>
          <w:tcPr>
            <w:tcW w:w="2961" w:type="pct"/>
            <w:tcBorders>
              <w:top w:val="single" w:sz="4" w:space="0" w:color="auto"/>
              <w:left w:val="nil"/>
              <w:bottom w:val="nil"/>
              <w:right w:val="nil"/>
            </w:tcBorders>
            <w:noWrap/>
            <w:vAlign w:val="bottom"/>
          </w:tcPr>
          <w:p w:rsidR="000B6BDD" w:rsidRPr="003F501A" w:rsidRDefault="000B6BDD" w:rsidP="0065121E">
            <w:pPr>
              <w:pStyle w:val="TX-TableText"/>
              <w:keepNext/>
            </w:pPr>
            <w:r w:rsidRPr="003F501A">
              <w:t>Intercept</w:t>
            </w:r>
          </w:p>
        </w:tc>
        <w:tc>
          <w:tcPr>
            <w:tcW w:w="664" w:type="pct"/>
            <w:tcBorders>
              <w:top w:val="single" w:sz="4" w:space="0" w:color="auto"/>
              <w:left w:val="nil"/>
              <w:bottom w:val="nil"/>
              <w:right w:val="nil"/>
            </w:tcBorders>
            <w:noWrap/>
            <w:vAlign w:val="bottom"/>
          </w:tcPr>
          <w:p w:rsidR="000B6BDD" w:rsidRPr="003F501A" w:rsidRDefault="000B6BDD" w:rsidP="0065121E">
            <w:pPr>
              <w:pStyle w:val="TX-TableText"/>
              <w:keepNext/>
              <w:ind w:right="360"/>
              <w:jc w:val="right"/>
            </w:pPr>
            <w:r w:rsidRPr="003F501A">
              <w:t>-2.64</w:t>
            </w:r>
          </w:p>
        </w:tc>
        <w:tc>
          <w:tcPr>
            <w:tcW w:w="858" w:type="pct"/>
            <w:tcBorders>
              <w:top w:val="single" w:sz="4" w:space="0" w:color="auto"/>
              <w:left w:val="nil"/>
              <w:bottom w:val="nil"/>
              <w:right w:val="nil"/>
            </w:tcBorders>
            <w:noWrap/>
            <w:vAlign w:val="bottom"/>
          </w:tcPr>
          <w:p w:rsidR="000B6BDD" w:rsidRPr="003F501A" w:rsidRDefault="000B6BDD" w:rsidP="0065121E">
            <w:pPr>
              <w:pStyle w:val="TX-TableText"/>
              <w:keepNext/>
              <w:ind w:right="432"/>
              <w:jc w:val="right"/>
            </w:pPr>
            <w:r w:rsidRPr="003F501A">
              <w:t>0.393</w:t>
            </w:r>
          </w:p>
        </w:tc>
        <w:tc>
          <w:tcPr>
            <w:tcW w:w="516" w:type="pct"/>
            <w:tcBorders>
              <w:top w:val="single" w:sz="4" w:space="0" w:color="auto"/>
              <w:left w:val="nil"/>
              <w:bottom w:val="nil"/>
              <w:right w:val="nil"/>
            </w:tcBorders>
            <w:noWrap/>
            <w:vAlign w:val="bottom"/>
          </w:tcPr>
          <w:p w:rsidR="000B6BDD" w:rsidRPr="003F501A" w:rsidRDefault="000B6BDD" w:rsidP="0065121E">
            <w:pPr>
              <w:pStyle w:val="TX-TableText"/>
              <w:keepNext/>
              <w:jc w:val="center"/>
            </w:pPr>
            <w:r w:rsidRPr="003F501A">
              <w:t>0.0000</w:t>
            </w:r>
          </w:p>
        </w:tc>
      </w:tr>
      <w:tr w:rsidR="000B6BDD" w:rsidRPr="004F5017" w:rsidTr="00EB66B8">
        <w:trPr>
          <w:trHeight w:val="300"/>
        </w:trPr>
        <w:tc>
          <w:tcPr>
            <w:tcW w:w="2961" w:type="pct"/>
            <w:tcBorders>
              <w:top w:val="nil"/>
              <w:left w:val="nil"/>
              <w:bottom w:val="nil"/>
              <w:right w:val="nil"/>
            </w:tcBorders>
            <w:noWrap/>
            <w:vAlign w:val="bottom"/>
          </w:tcPr>
          <w:p w:rsidR="000B6BDD" w:rsidRPr="003F501A" w:rsidRDefault="000B6BDD" w:rsidP="0065121E">
            <w:pPr>
              <w:pStyle w:val="TX-TableText"/>
              <w:keepNext/>
            </w:pPr>
            <w:r w:rsidRPr="003F501A">
              <w:t>Incentive group</w:t>
            </w:r>
          </w:p>
        </w:tc>
        <w:tc>
          <w:tcPr>
            <w:tcW w:w="664" w:type="pct"/>
            <w:tcBorders>
              <w:top w:val="nil"/>
              <w:left w:val="nil"/>
              <w:bottom w:val="nil"/>
              <w:right w:val="nil"/>
            </w:tcBorders>
            <w:noWrap/>
            <w:vAlign w:val="bottom"/>
          </w:tcPr>
          <w:p w:rsidR="000B6BDD" w:rsidRPr="003F501A" w:rsidRDefault="000B6BDD" w:rsidP="0065121E">
            <w:pPr>
              <w:pStyle w:val="TX-TableText"/>
              <w:keepNext/>
              <w:ind w:right="360"/>
              <w:jc w:val="right"/>
            </w:pPr>
            <w:r w:rsidRPr="003F501A">
              <w:t>-0.20</w:t>
            </w:r>
          </w:p>
        </w:tc>
        <w:tc>
          <w:tcPr>
            <w:tcW w:w="858" w:type="pct"/>
            <w:tcBorders>
              <w:top w:val="nil"/>
              <w:left w:val="nil"/>
              <w:bottom w:val="nil"/>
              <w:right w:val="nil"/>
            </w:tcBorders>
            <w:noWrap/>
            <w:vAlign w:val="bottom"/>
          </w:tcPr>
          <w:p w:rsidR="000B6BDD" w:rsidRPr="003F501A" w:rsidRDefault="000B6BDD" w:rsidP="0065121E">
            <w:pPr>
              <w:pStyle w:val="TX-TableText"/>
              <w:keepNext/>
              <w:ind w:right="432"/>
              <w:jc w:val="right"/>
            </w:pPr>
            <w:r w:rsidRPr="003F501A">
              <w:t>0.105</w:t>
            </w:r>
          </w:p>
        </w:tc>
        <w:tc>
          <w:tcPr>
            <w:tcW w:w="516" w:type="pct"/>
            <w:tcBorders>
              <w:top w:val="nil"/>
              <w:left w:val="nil"/>
              <w:bottom w:val="nil"/>
              <w:right w:val="nil"/>
            </w:tcBorders>
            <w:noWrap/>
            <w:vAlign w:val="bottom"/>
          </w:tcPr>
          <w:p w:rsidR="000B6BDD" w:rsidRPr="003F501A" w:rsidRDefault="000B6BDD" w:rsidP="0065121E">
            <w:pPr>
              <w:pStyle w:val="TX-TableText"/>
              <w:keepNext/>
              <w:jc w:val="center"/>
            </w:pPr>
            <w:r w:rsidRPr="003F501A">
              <w:t>0.0725</w:t>
            </w:r>
          </w:p>
        </w:tc>
      </w:tr>
      <w:tr w:rsidR="000B6BDD" w:rsidRPr="004F5017" w:rsidTr="00EB66B8">
        <w:trPr>
          <w:trHeight w:val="300"/>
        </w:trPr>
        <w:tc>
          <w:tcPr>
            <w:tcW w:w="2961" w:type="pct"/>
            <w:tcBorders>
              <w:top w:val="nil"/>
              <w:left w:val="nil"/>
              <w:bottom w:val="nil"/>
              <w:right w:val="nil"/>
            </w:tcBorders>
            <w:noWrap/>
            <w:vAlign w:val="bottom"/>
          </w:tcPr>
          <w:p w:rsidR="000B6BDD" w:rsidRPr="003F501A" w:rsidRDefault="000B6BDD" w:rsidP="0065121E">
            <w:pPr>
              <w:pStyle w:val="TX-TableText"/>
              <w:keepNext/>
            </w:pPr>
            <w:r w:rsidRPr="003F501A">
              <w:t>Median</w:t>
            </w:r>
            <w:r>
              <w:t xml:space="preserve"> income for the segment</w:t>
            </w:r>
          </w:p>
        </w:tc>
        <w:tc>
          <w:tcPr>
            <w:tcW w:w="664" w:type="pct"/>
            <w:tcBorders>
              <w:top w:val="nil"/>
              <w:left w:val="nil"/>
              <w:bottom w:val="nil"/>
              <w:right w:val="nil"/>
            </w:tcBorders>
            <w:noWrap/>
            <w:vAlign w:val="bottom"/>
          </w:tcPr>
          <w:p w:rsidR="000B6BDD" w:rsidRPr="003F501A" w:rsidRDefault="000B6BDD" w:rsidP="0065121E">
            <w:pPr>
              <w:pStyle w:val="TX-TableText"/>
              <w:keepNext/>
              <w:ind w:right="360"/>
              <w:jc w:val="right"/>
            </w:pPr>
            <w:r w:rsidRPr="003F501A">
              <w:t>0.03</w:t>
            </w:r>
          </w:p>
        </w:tc>
        <w:tc>
          <w:tcPr>
            <w:tcW w:w="858" w:type="pct"/>
            <w:tcBorders>
              <w:top w:val="nil"/>
              <w:left w:val="nil"/>
              <w:bottom w:val="nil"/>
              <w:right w:val="nil"/>
            </w:tcBorders>
            <w:noWrap/>
            <w:vAlign w:val="bottom"/>
          </w:tcPr>
          <w:p w:rsidR="000B6BDD" w:rsidRPr="003F501A" w:rsidRDefault="000B6BDD" w:rsidP="0065121E">
            <w:pPr>
              <w:pStyle w:val="TX-TableText"/>
              <w:keepNext/>
              <w:ind w:right="432"/>
              <w:jc w:val="right"/>
            </w:pPr>
            <w:r w:rsidRPr="003F501A">
              <w:t>0.009</w:t>
            </w:r>
          </w:p>
        </w:tc>
        <w:tc>
          <w:tcPr>
            <w:tcW w:w="516" w:type="pct"/>
            <w:tcBorders>
              <w:top w:val="nil"/>
              <w:left w:val="nil"/>
              <w:bottom w:val="nil"/>
              <w:right w:val="nil"/>
            </w:tcBorders>
            <w:noWrap/>
            <w:vAlign w:val="bottom"/>
          </w:tcPr>
          <w:p w:rsidR="000B6BDD" w:rsidRPr="003F501A" w:rsidRDefault="000B6BDD" w:rsidP="0065121E">
            <w:pPr>
              <w:pStyle w:val="TX-TableText"/>
              <w:keepNext/>
              <w:jc w:val="center"/>
            </w:pPr>
            <w:r w:rsidRPr="003F501A">
              <w:t>0.0011</w:t>
            </w:r>
          </w:p>
        </w:tc>
      </w:tr>
      <w:tr w:rsidR="000B6BDD" w:rsidRPr="004F5017" w:rsidTr="00EB66B8">
        <w:trPr>
          <w:trHeight w:val="300"/>
        </w:trPr>
        <w:tc>
          <w:tcPr>
            <w:tcW w:w="2961" w:type="pct"/>
            <w:tcBorders>
              <w:top w:val="nil"/>
              <w:left w:val="nil"/>
              <w:bottom w:val="nil"/>
              <w:right w:val="nil"/>
            </w:tcBorders>
            <w:noWrap/>
            <w:vAlign w:val="bottom"/>
          </w:tcPr>
          <w:p w:rsidR="000B6BDD" w:rsidRPr="003F501A" w:rsidRDefault="000B6BDD" w:rsidP="0065121E">
            <w:pPr>
              <w:pStyle w:val="TX-TableText"/>
              <w:keepNext/>
            </w:pPr>
            <w:r w:rsidRPr="003F501A">
              <w:t>Midwest</w:t>
            </w:r>
          </w:p>
        </w:tc>
        <w:tc>
          <w:tcPr>
            <w:tcW w:w="664" w:type="pct"/>
            <w:tcBorders>
              <w:top w:val="nil"/>
              <w:left w:val="nil"/>
              <w:bottom w:val="nil"/>
              <w:right w:val="nil"/>
            </w:tcBorders>
            <w:noWrap/>
            <w:vAlign w:val="bottom"/>
          </w:tcPr>
          <w:p w:rsidR="000B6BDD" w:rsidRPr="003F501A" w:rsidRDefault="000B6BDD" w:rsidP="0065121E">
            <w:pPr>
              <w:pStyle w:val="TX-TableText"/>
              <w:keepNext/>
              <w:ind w:right="360"/>
              <w:jc w:val="right"/>
            </w:pPr>
            <w:r w:rsidRPr="003F501A">
              <w:t>-0.39</w:t>
            </w:r>
          </w:p>
        </w:tc>
        <w:tc>
          <w:tcPr>
            <w:tcW w:w="858" w:type="pct"/>
            <w:tcBorders>
              <w:top w:val="nil"/>
              <w:left w:val="nil"/>
              <w:bottom w:val="nil"/>
              <w:right w:val="nil"/>
            </w:tcBorders>
            <w:noWrap/>
            <w:vAlign w:val="bottom"/>
          </w:tcPr>
          <w:p w:rsidR="000B6BDD" w:rsidRPr="003F501A" w:rsidRDefault="000B6BDD" w:rsidP="0065121E">
            <w:pPr>
              <w:pStyle w:val="TX-TableText"/>
              <w:keepNext/>
              <w:ind w:right="432"/>
              <w:jc w:val="right"/>
            </w:pPr>
            <w:r w:rsidRPr="003F501A">
              <w:t>0.137</w:t>
            </w:r>
          </w:p>
        </w:tc>
        <w:tc>
          <w:tcPr>
            <w:tcW w:w="516" w:type="pct"/>
            <w:tcBorders>
              <w:top w:val="nil"/>
              <w:left w:val="nil"/>
              <w:bottom w:val="nil"/>
              <w:right w:val="nil"/>
            </w:tcBorders>
            <w:noWrap/>
            <w:vAlign w:val="bottom"/>
          </w:tcPr>
          <w:p w:rsidR="000B6BDD" w:rsidRPr="003F501A" w:rsidRDefault="000B6BDD" w:rsidP="0065121E">
            <w:pPr>
              <w:pStyle w:val="TX-TableText"/>
              <w:keepNext/>
              <w:jc w:val="center"/>
            </w:pPr>
            <w:r w:rsidRPr="003F501A">
              <w:t>0.0086</w:t>
            </w:r>
          </w:p>
        </w:tc>
      </w:tr>
      <w:tr w:rsidR="000B6BDD" w:rsidRPr="004F5017" w:rsidTr="00EB66B8">
        <w:trPr>
          <w:trHeight w:val="300"/>
        </w:trPr>
        <w:tc>
          <w:tcPr>
            <w:tcW w:w="2961" w:type="pct"/>
            <w:tcBorders>
              <w:top w:val="nil"/>
              <w:left w:val="nil"/>
              <w:bottom w:val="nil"/>
              <w:right w:val="nil"/>
            </w:tcBorders>
            <w:noWrap/>
            <w:vAlign w:val="bottom"/>
          </w:tcPr>
          <w:p w:rsidR="000B6BDD" w:rsidRPr="003F501A" w:rsidRDefault="000B6BDD" w:rsidP="0065121E">
            <w:pPr>
              <w:pStyle w:val="TX-TableText"/>
              <w:keepNext/>
            </w:pPr>
            <w:r w:rsidRPr="003F501A">
              <w:t>Percentage less than high school attainment in segment</w:t>
            </w:r>
          </w:p>
        </w:tc>
        <w:tc>
          <w:tcPr>
            <w:tcW w:w="664" w:type="pct"/>
            <w:tcBorders>
              <w:top w:val="nil"/>
              <w:left w:val="nil"/>
              <w:bottom w:val="nil"/>
              <w:right w:val="nil"/>
            </w:tcBorders>
            <w:noWrap/>
            <w:vAlign w:val="bottom"/>
          </w:tcPr>
          <w:p w:rsidR="000B6BDD" w:rsidRPr="003F501A" w:rsidRDefault="000B6BDD" w:rsidP="0065121E">
            <w:pPr>
              <w:pStyle w:val="TX-TableText"/>
              <w:keepNext/>
              <w:ind w:right="360"/>
              <w:jc w:val="right"/>
            </w:pPr>
            <w:r w:rsidRPr="003F501A">
              <w:t>-1.11</w:t>
            </w:r>
          </w:p>
        </w:tc>
        <w:tc>
          <w:tcPr>
            <w:tcW w:w="858" w:type="pct"/>
            <w:tcBorders>
              <w:top w:val="nil"/>
              <w:left w:val="nil"/>
              <w:bottom w:val="nil"/>
              <w:right w:val="nil"/>
            </w:tcBorders>
            <w:noWrap/>
            <w:vAlign w:val="bottom"/>
          </w:tcPr>
          <w:p w:rsidR="000B6BDD" w:rsidRPr="003F501A" w:rsidRDefault="000B6BDD" w:rsidP="0065121E">
            <w:pPr>
              <w:pStyle w:val="TX-TableText"/>
              <w:keepNext/>
              <w:ind w:right="432"/>
              <w:jc w:val="right"/>
            </w:pPr>
            <w:r w:rsidRPr="003F501A">
              <w:t>0.641</w:t>
            </w:r>
          </w:p>
        </w:tc>
        <w:tc>
          <w:tcPr>
            <w:tcW w:w="516" w:type="pct"/>
            <w:tcBorders>
              <w:top w:val="nil"/>
              <w:left w:val="nil"/>
              <w:bottom w:val="nil"/>
              <w:right w:val="nil"/>
            </w:tcBorders>
            <w:noWrap/>
            <w:vAlign w:val="bottom"/>
          </w:tcPr>
          <w:p w:rsidR="000B6BDD" w:rsidRPr="003F501A" w:rsidRDefault="000B6BDD" w:rsidP="0065121E">
            <w:pPr>
              <w:pStyle w:val="TX-TableText"/>
              <w:keepNext/>
              <w:jc w:val="center"/>
            </w:pPr>
            <w:r w:rsidRPr="003F501A">
              <w:t>0.0976</w:t>
            </w:r>
          </w:p>
        </w:tc>
      </w:tr>
      <w:tr w:rsidR="000B6BDD" w:rsidRPr="004F5017" w:rsidTr="0065121E">
        <w:trPr>
          <w:trHeight w:val="300"/>
        </w:trPr>
        <w:tc>
          <w:tcPr>
            <w:tcW w:w="2961" w:type="pct"/>
            <w:tcBorders>
              <w:top w:val="nil"/>
              <w:left w:val="nil"/>
              <w:right w:val="nil"/>
            </w:tcBorders>
            <w:noWrap/>
            <w:vAlign w:val="bottom"/>
          </w:tcPr>
          <w:p w:rsidR="000B6BDD" w:rsidRPr="003F501A" w:rsidRDefault="000B6BDD" w:rsidP="0065121E">
            <w:pPr>
              <w:pStyle w:val="TX-TableText"/>
              <w:keepNext/>
            </w:pPr>
            <w:r w:rsidRPr="003F501A">
              <w:t>Percentag</w:t>
            </w:r>
            <w:r>
              <w:t>e non-Hispanic black in segment</w:t>
            </w:r>
          </w:p>
        </w:tc>
        <w:tc>
          <w:tcPr>
            <w:tcW w:w="664" w:type="pct"/>
            <w:tcBorders>
              <w:top w:val="nil"/>
              <w:left w:val="nil"/>
              <w:right w:val="nil"/>
            </w:tcBorders>
            <w:noWrap/>
            <w:vAlign w:val="bottom"/>
          </w:tcPr>
          <w:p w:rsidR="000B6BDD" w:rsidRPr="003F501A" w:rsidRDefault="000B6BDD" w:rsidP="0065121E">
            <w:pPr>
              <w:pStyle w:val="TX-TableText"/>
              <w:keepNext/>
              <w:ind w:right="360"/>
              <w:jc w:val="right"/>
            </w:pPr>
            <w:r w:rsidRPr="003F501A">
              <w:t>-0.66</w:t>
            </w:r>
          </w:p>
        </w:tc>
        <w:tc>
          <w:tcPr>
            <w:tcW w:w="858" w:type="pct"/>
            <w:tcBorders>
              <w:top w:val="nil"/>
              <w:left w:val="nil"/>
              <w:right w:val="nil"/>
            </w:tcBorders>
            <w:noWrap/>
            <w:vAlign w:val="bottom"/>
          </w:tcPr>
          <w:p w:rsidR="000B6BDD" w:rsidRPr="003F501A" w:rsidRDefault="000B6BDD" w:rsidP="0065121E">
            <w:pPr>
              <w:pStyle w:val="TX-TableText"/>
              <w:keepNext/>
              <w:ind w:right="432"/>
              <w:jc w:val="right"/>
            </w:pPr>
            <w:r w:rsidRPr="003F501A">
              <w:t>0.361</w:t>
            </w:r>
          </w:p>
        </w:tc>
        <w:tc>
          <w:tcPr>
            <w:tcW w:w="516" w:type="pct"/>
            <w:tcBorders>
              <w:top w:val="nil"/>
              <w:left w:val="nil"/>
              <w:right w:val="nil"/>
            </w:tcBorders>
            <w:noWrap/>
            <w:vAlign w:val="bottom"/>
          </w:tcPr>
          <w:p w:rsidR="000B6BDD" w:rsidRPr="003F501A" w:rsidRDefault="000B6BDD" w:rsidP="0065121E">
            <w:pPr>
              <w:pStyle w:val="TX-TableText"/>
              <w:keepNext/>
              <w:jc w:val="center"/>
            </w:pPr>
            <w:r w:rsidRPr="003F501A">
              <w:t>0.0810</w:t>
            </w:r>
          </w:p>
        </w:tc>
      </w:tr>
      <w:tr w:rsidR="000B6BDD" w:rsidRPr="004F5017" w:rsidTr="0065121E">
        <w:trPr>
          <w:trHeight w:val="300"/>
        </w:trPr>
        <w:tc>
          <w:tcPr>
            <w:tcW w:w="2961" w:type="pct"/>
            <w:tcBorders>
              <w:top w:val="nil"/>
              <w:left w:val="nil"/>
              <w:bottom w:val="single" w:sz="4" w:space="0" w:color="auto"/>
              <w:right w:val="nil"/>
            </w:tcBorders>
            <w:noWrap/>
            <w:vAlign w:val="bottom"/>
          </w:tcPr>
          <w:p w:rsidR="000B6BDD" w:rsidRPr="003F501A" w:rsidRDefault="000B6BDD" w:rsidP="0065121E">
            <w:pPr>
              <w:pStyle w:val="TX-TableText"/>
              <w:keepNext/>
            </w:pPr>
            <w:r w:rsidRPr="003F501A">
              <w:t xml:space="preserve">MSA status </w:t>
            </w:r>
          </w:p>
        </w:tc>
        <w:tc>
          <w:tcPr>
            <w:tcW w:w="664" w:type="pct"/>
            <w:tcBorders>
              <w:top w:val="nil"/>
              <w:left w:val="nil"/>
              <w:bottom w:val="single" w:sz="4" w:space="0" w:color="auto"/>
              <w:right w:val="nil"/>
            </w:tcBorders>
            <w:noWrap/>
            <w:vAlign w:val="bottom"/>
          </w:tcPr>
          <w:p w:rsidR="000B6BDD" w:rsidRPr="003F501A" w:rsidRDefault="000B6BDD" w:rsidP="0065121E">
            <w:pPr>
              <w:pStyle w:val="TX-TableText"/>
              <w:keepNext/>
              <w:ind w:right="360"/>
              <w:jc w:val="right"/>
            </w:pPr>
            <w:r w:rsidRPr="003F501A">
              <w:t>0.31</w:t>
            </w:r>
          </w:p>
        </w:tc>
        <w:tc>
          <w:tcPr>
            <w:tcW w:w="858" w:type="pct"/>
            <w:tcBorders>
              <w:top w:val="nil"/>
              <w:left w:val="nil"/>
              <w:bottom w:val="single" w:sz="4" w:space="0" w:color="auto"/>
              <w:right w:val="nil"/>
            </w:tcBorders>
            <w:noWrap/>
            <w:vAlign w:val="bottom"/>
          </w:tcPr>
          <w:p w:rsidR="000B6BDD" w:rsidRPr="003F501A" w:rsidRDefault="000B6BDD" w:rsidP="0065121E">
            <w:pPr>
              <w:pStyle w:val="TX-TableText"/>
              <w:keepNext/>
              <w:ind w:right="432"/>
              <w:jc w:val="right"/>
            </w:pPr>
            <w:r w:rsidRPr="003F501A">
              <w:t>0.171</w:t>
            </w:r>
          </w:p>
        </w:tc>
        <w:tc>
          <w:tcPr>
            <w:tcW w:w="516" w:type="pct"/>
            <w:tcBorders>
              <w:top w:val="nil"/>
              <w:left w:val="nil"/>
              <w:bottom w:val="single" w:sz="4" w:space="0" w:color="auto"/>
              <w:right w:val="nil"/>
            </w:tcBorders>
            <w:noWrap/>
            <w:vAlign w:val="bottom"/>
          </w:tcPr>
          <w:p w:rsidR="000B6BDD" w:rsidRPr="003F501A" w:rsidRDefault="000B6BDD" w:rsidP="0065121E">
            <w:pPr>
              <w:pStyle w:val="TX-TableText"/>
              <w:keepNext/>
              <w:jc w:val="center"/>
            </w:pPr>
            <w:r w:rsidRPr="003F501A">
              <w:t>0.0812</w:t>
            </w:r>
          </w:p>
        </w:tc>
      </w:tr>
    </w:tbl>
    <w:p w:rsidR="000B6BDD" w:rsidRPr="002528B4" w:rsidRDefault="000B6BDD" w:rsidP="0065121E">
      <w:pPr>
        <w:pStyle w:val="TF-TblFN"/>
        <w:keepNext/>
        <w:rPr>
          <w:szCs w:val="16"/>
        </w:rPr>
      </w:pPr>
      <w:r w:rsidRPr="002528B4">
        <w:rPr>
          <w:szCs w:val="16"/>
        </w:rPr>
        <w:t>Source: 2010 Programme for the International Assessment of Adult Competencies Field Test</w:t>
      </w:r>
    </w:p>
    <w:p w:rsidR="000B6BDD" w:rsidRPr="002528B4" w:rsidRDefault="000B6BDD" w:rsidP="005D1B93">
      <w:pPr>
        <w:pStyle w:val="ListParagraph"/>
        <w:ind w:left="0"/>
        <w:rPr>
          <w:rFonts w:ascii="Franklin Gothic Medium" w:hAnsi="Franklin Gothic Medium"/>
          <w:sz w:val="16"/>
          <w:szCs w:val="16"/>
        </w:rPr>
      </w:pPr>
      <w:r w:rsidRPr="002528B4">
        <w:rPr>
          <w:rFonts w:ascii="Franklin Gothic Medium" w:hAnsi="Franklin Gothic Medium"/>
          <w:sz w:val="16"/>
          <w:szCs w:val="16"/>
        </w:rPr>
        <w:t>Note: Median income was divided by 1000.</w:t>
      </w:r>
    </w:p>
    <w:p w:rsidR="000B6BDD" w:rsidRDefault="000B6BDD" w:rsidP="00346DD3">
      <w:pPr>
        <w:pStyle w:val="ListParagraph"/>
        <w:ind w:left="0"/>
      </w:pPr>
    </w:p>
    <w:p w:rsidR="000B6BDD" w:rsidRDefault="000B6BDD" w:rsidP="00927F73">
      <w:pPr>
        <w:pStyle w:val="L1-FlLSp12"/>
      </w:pPr>
      <w:r>
        <w:t>Table G-4 provides the results of simultaneous t-tests for testing the differences between incentive payments for each demographic subgroups individually. The sample size is not adequate enough to provide evidence to show significant differences under the NCES standard level of 0.05 for any of the subgroups.</w:t>
      </w:r>
    </w:p>
    <w:p w:rsidR="000B6BDD" w:rsidRDefault="000B6BDD" w:rsidP="00927F73">
      <w:pPr>
        <w:pStyle w:val="L1-FlLSp12"/>
      </w:pPr>
    </w:p>
    <w:p w:rsidR="000B6BDD" w:rsidRDefault="000B6BDD" w:rsidP="00AE1658">
      <w:pPr>
        <w:pStyle w:val="TT-TableTitle"/>
      </w:pPr>
      <w:r>
        <w:t>Table G-4.</w:t>
      </w:r>
      <w:r>
        <w:tab/>
        <w:t>Screener refusal rates and standard errors by incentive group, and estimated difference, with p-values</w:t>
      </w:r>
    </w:p>
    <w:p w:rsidR="000B6BDD" w:rsidRDefault="000B6BDD" w:rsidP="00AE1658">
      <w:pPr>
        <w:pStyle w:val="TT-TableTitle"/>
      </w:pPr>
    </w:p>
    <w:tbl>
      <w:tblPr>
        <w:tblW w:w="0" w:type="auto"/>
        <w:tblInd w:w="108" w:type="dxa"/>
        <w:tblCellMar>
          <w:left w:w="29" w:type="dxa"/>
          <w:right w:w="29" w:type="dxa"/>
        </w:tblCellMar>
        <w:tblLook w:val="00A0"/>
      </w:tblPr>
      <w:tblGrid>
        <w:gridCol w:w="1218"/>
        <w:gridCol w:w="992"/>
        <w:gridCol w:w="746"/>
        <w:gridCol w:w="1182"/>
        <w:gridCol w:w="746"/>
        <w:gridCol w:w="1182"/>
        <w:gridCol w:w="859"/>
        <w:gridCol w:w="1182"/>
        <w:gridCol w:w="630"/>
      </w:tblGrid>
      <w:tr w:rsidR="000B6BDD" w:rsidRPr="0065121E" w:rsidTr="0065121E">
        <w:trPr>
          <w:trHeight w:val="300"/>
        </w:trPr>
        <w:tc>
          <w:tcPr>
            <w:tcW w:w="0" w:type="auto"/>
            <w:tcBorders>
              <w:top w:val="single" w:sz="4" w:space="0" w:color="auto"/>
              <w:left w:val="nil"/>
              <w:bottom w:val="nil"/>
              <w:right w:val="nil"/>
            </w:tcBorders>
            <w:shd w:val="clear" w:color="auto" w:fill="AFBED7"/>
            <w:noWrap/>
            <w:vAlign w:val="bottom"/>
          </w:tcPr>
          <w:p w:rsidR="000B6BDD" w:rsidRPr="0065121E" w:rsidRDefault="000B6BDD" w:rsidP="0065121E">
            <w:pPr>
              <w:pStyle w:val="TH-TableHeading"/>
            </w:pPr>
          </w:p>
        </w:tc>
        <w:tc>
          <w:tcPr>
            <w:tcW w:w="0" w:type="auto"/>
            <w:tcBorders>
              <w:top w:val="single" w:sz="4" w:space="0" w:color="auto"/>
              <w:left w:val="single" w:sz="4" w:space="0" w:color="auto"/>
              <w:bottom w:val="nil"/>
              <w:right w:val="single" w:sz="4" w:space="0" w:color="auto"/>
            </w:tcBorders>
            <w:shd w:val="clear" w:color="auto" w:fill="AFBED7"/>
          </w:tcPr>
          <w:p w:rsidR="000B6BDD" w:rsidRPr="0065121E" w:rsidRDefault="000B6BDD" w:rsidP="0065121E">
            <w:pPr>
              <w:spacing w:line="240" w:lineRule="auto"/>
              <w:jc w:val="center"/>
              <w:rPr>
                <w:rFonts w:ascii="Franklin Gothic Medium" w:hAnsi="Franklin Gothic Medium" w:cs="Calibri"/>
                <w:b/>
                <w:color w:val="000000"/>
                <w:sz w:val="18"/>
                <w:szCs w:val="18"/>
              </w:rPr>
            </w:pPr>
          </w:p>
        </w:tc>
        <w:tc>
          <w:tcPr>
            <w:tcW w:w="0" w:type="auto"/>
            <w:gridSpan w:val="2"/>
            <w:tcBorders>
              <w:top w:val="single" w:sz="4" w:space="0" w:color="auto"/>
              <w:left w:val="single" w:sz="4" w:space="0" w:color="auto"/>
              <w:bottom w:val="nil"/>
              <w:right w:val="nil"/>
            </w:tcBorders>
            <w:shd w:val="clear" w:color="auto" w:fill="AFBED7"/>
            <w:noWrap/>
            <w:vAlign w:val="bottom"/>
          </w:tcPr>
          <w:p w:rsidR="000B6BDD" w:rsidRPr="0065121E" w:rsidRDefault="000B6BDD" w:rsidP="0065121E">
            <w:pPr>
              <w:spacing w:line="240" w:lineRule="auto"/>
              <w:jc w:val="center"/>
              <w:rPr>
                <w:rFonts w:ascii="Franklin Gothic Medium" w:hAnsi="Franklin Gothic Medium" w:cs="Calibri"/>
                <w:b/>
                <w:color w:val="000000"/>
                <w:sz w:val="18"/>
                <w:szCs w:val="18"/>
              </w:rPr>
            </w:pPr>
            <w:r w:rsidRPr="0065121E">
              <w:rPr>
                <w:rFonts w:ascii="Franklin Gothic Medium" w:hAnsi="Franklin Gothic Medium" w:cs="Calibri"/>
                <w:b/>
                <w:color w:val="000000"/>
                <w:sz w:val="18"/>
                <w:szCs w:val="18"/>
              </w:rPr>
              <w:t>$35 Incentive group</w:t>
            </w:r>
          </w:p>
        </w:tc>
        <w:tc>
          <w:tcPr>
            <w:tcW w:w="0" w:type="auto"/>
            <w:gridSpan w:val="2"/>
            <w:tcBorders>
              <w:top w:val="single" w:sz="4" w:space="0" w:color="auto"/>
              <w:left w:val="single" w:sz="4" w:space="0" w:color="auto"/>
              <w:bottom w:val="nil"/>
              <w:right w:val="single" w:sz="4" w:space="0" w:color="000000"/>
            </w:tcBorders>
            <w:shd w:val="clear" w:color="auto" w:fill="AFBED7"/>
            <w:noWrap/>
            <w:vAlign w:val="bottom"/>
          </w:tcPr>
          <w:p w:rsidR="000B6BDD" w:rsidRPr="0065121E" w:rsidRDefault="000B6BDD" w:rsidP="0065121E">
            <w:pPr>
              <w:spacing w:line="240" w:lineRule="auto"/>
              <w:jc w:val="center"/>
              <w:rPr>
                <w:rFonts w:ascii="Franklin Gothic Medium" w:hAnsi="Franklin Gothic Medium" w:cs="Calibri"/>
                <w:b/>
                <w:color w:val="000000"/>
                <w:sz w:val="18"/>
                <w:szCs w:val="18"/>
              </w:rPr>
            </w:pPr>
            <w:r w:rsidRPr="0065121E">
              <w:rPr>
                <w:rFonts w:ascii="Franklin Gothic Medium" w:hAnsi="Franklin Gothic Medium" w:cs="Calibri"/>
                <w:b/>
                <w:color w:val="000000"/>
                <w:sz w:val="18"/>
                <w:szCs w:val="18"/>
              </w:rPr>
              <w:t>$50 Incentive group</w:t>
            </w:r>
          </w:p>
        </w:tc>
        <w:tc>
          <w:tcPr>
            <w:tcW w:w="0" w:type="auto"/>
            <w:tcBorders>
              <w:top w:val="single" w:sz="4" w:space="0" w:color="auto"/>
              <w:left w:val="nil"/>
              <w:bottom w:val="nil"/>
              <w:right w:val="nil"/>
            </w:tcBorders>
            <w:shd w:val="clear" w:color="auto" w:fill="AFBED7"/>
            <w:noWrap/>
            <w:vAlign w:val="bottom"/>
          </w:tcPr>
          <w:p w:rsidR="000B6BDD" w:rsidRPr="0065121E" w:rsidRDefault="000B6BDD" w:rsidP="0065121E">
            <w:pPr>
              <w:spacing w:line="240" w:lineRule="auto"/>
              <w:jc w:val="center"/>
              <w:rPr>
                <w:rFonts w:ascii="Franklin Gothic Medium" w:hAnsi="Franklin Gothic Medium" w:cs="Calibri"/>
                <w:b/>
                <w:color w:val="000000"/>
                <w:sz w:val="18"/>
                <w:szCs w:val="18"/>
              </w:rPr>
            </w:pPr>
          </w:p>
        </w:tc>
        <w:tc>
          <w:tcPr>
            <w:tcW w:w="0" w:type="auto"/>
            <w:tcBorders>
              <w:top w:val="single" w:sz="4" w:space="0" w:color="auto"/>
              <w:left w:val="nil"/>
              <w:bottom w:val="nil"/>
              <w:right w:val="nil"/>
            </w:tcBorders>
            <w:shd w:val="clear" w:color="auto" w:fill="AFBED7"/>
            <w:noWrap/>
            <w:vAlign w:val="bottom"/>
          </w:tcPr>
          <w:p w:rsidR="000B6BDD" w:rsidRPr="0065121E" w:rsidRDefault="000B6BDD" w:rsidP="0065121E">
            <w:pPr>
              <w:spacing w:line="240" w:lineRule="auto"/>
              <w:jc w:val="center"/>
              <w:rPr>
                <w:rFonts w:ascii="Franklin Gothic Medium" w:hAnsi="Franklin Gothic Medium" w:cs="Calibri"/>
                <w:b/>
                <w:color w:val="000000"/>
                <w:sz w:val="18"/>
                <w:szCs w:val="18"/>
              </w:rPr>
            </w:pPr>
          </w:p>
        </w:tc>
        <w:tc>
          <w:tcPr>
            <w:tcW w:w="0" w:type="auto"/>
            <w:tcBorders>
              <w:top w:val="single" w:sz="4" w:space="0" w:color="auto"/>
              <w:left w:val="nil"/>
              <w:bottom w:val="nil"/>
              <w:right w:val="nil"/>
            </w:tcBorders>
            <w:shd w:val="clear" w:color="auto" w:fill="AFBED7"/>
            <w:noWrap/>
            <w:vAlign w:val="bottom"/>
          </w:tcPr>
          <w:p w:rsidR="000B6BDD" w:rsidRPr="0065121E" w:rsidRDefault="000B6BDD" w:rsidP="0065121E">
            <w:pPr>
              <w:spacing w:line="240" w:lineRule="auto"/>
              <w:jc w:val="center"/>
              <w:rPr>
                <w:rFonts w:ascii="Franklin Gothic Medium" w:hAnsi="Franklin Gothic Medium" w:cs="Calibri"/>
                <w:b/>
                <w:color w:val="000000"/>
                <w:sz w:val="18"/>
                <w:szCs w:val="18"/>
              </w:rPr>
            </w:pPr>
          </w:p>
        </w:tc>
      </w:tr>
      <w:tr w:rsidR="000B6BDD" w:rsidRPr="0065121E" w:rsidTr="0065121E">
        <w:trPr>
          <w:trHeight w:val="300"/>
        </w:trPr>
        <w:tc>
          <w:tcPr>
            <w:tcW w:w="0" w:type="auto"/>
            <w:tcBorders>
              <w:top w:val="nil"/>
              <w:left w:val="nil"/>
              <w:bottom w:val="single" w:sz="4" w:space="0" w:color="auto"/>
              <w:right w:val="nil"/>
            </w:tcBorders>
            <w:shd w:val="clear" w:color="auto" w:fill="AFBED7"/>
            <w:noWrap/>
            <w:vAlign w:val="bottom"/>
          </w:tcPr>
          <w:p w:rsidR="000B6BDD" w:rsidRPr="0065121E" w:rsidRDefault="000B6BDD" w:rsidP="0065121E">
            <w:pPr>
              <w:spacing w:line="240" w:lineRule="auto"/>
              <w:jc w:val="center"/>
              <w:rPr>
                <w:rFonts w:ascii="Franklin Gothic Medium" w:hAnsi="Franklin Gothic Medium" w:cs="Calibri"/>
                <w:b/>
                <w:color w:val="000000"/>
                <w:sz w:val="18"/>
                <w:szCs w:val="18"/>
              </w:rPr>
            </w:pPr>
            <w:r w:rsidRPr="0065121E">
              <w:rPr>
                <w:rFonts w:ascii="Franklin Gothic Medium" w:hAnsi="Franklin Gothic Medium" w:cs="Calibri"/>
                <w:b/>
                <w:color w:val="000000"/>
                <w:sz w:val="18"/>
                <w:szCs w:val="18"/>
              </w:rPr>
              <w:t>Subgroup</w:t>
            </w:r>
          </w:p>
        </w:tc>
        <w:tc>
          <w:tcPr>
            <w:tcW w:w="0" w:type="auto"/>
            <w:tcBorders>
              <w:top w:val="nil"/>
              <w:left w:val="single" w:sz="4" w:space="0" w:color="auto"/>
              <w:bottom w:val="single" w:sz="4" w:space="0" w:color="auto"/>
              <w:right w:val="single" w:sz="4" w:space="0" w:color="auto"/>
            </w:tcBorders>
            <w:shd w:val="clear" w:color="auto" w:fill="AFBED7"/>
            <w:vAlign w:val="bottom"/>
          </w:tcPr>
          <w:p w:rsidR="000B6BDD" w:rsidRPr="0065121E" w:rsidRDefault="000B6BDD" w:rsidP="0065121E">
            <w:pPr>
              <w:spacing w:line="240" w:lineRule="auto"/>
              <w:jc w:val="center"/>
              <w:rPr>
                <w:rFonts w:ascii="Franklin Gothic Medium" w:hAnsi="Franklin Gothic Medium" w:cs="Calibri"/>
                <w:b/>
                <w:color w:val="000000"/>
                <w:sz w:val="18"/>
                <w:szCs w:val="18"/>
              </w:rPr>
            </w:pPr>
            <w:r w:rsidRPr="0065121E">
              <w:rPr>
                <w:rFonts w:ascii="Franklin Gothic Medium" w:hAnsi="Franklin Gothic Medium" w:cs="Calibri"/>
                <w:b/>
                <w:color w:val="000000"/>
                <w:sz w:val="18"/>
                <w:szCs w:val="18"/>
              </w:rPr>
              <w:t>Sample size</w:t>
            </w:r>
          </w:p>
        </w:tc>
        <w:tc>
          <w:tcPr>
            <w:tcW w:w="0" w:type="auto"/>
            <w:tcBorders>
              <w:top w:val="nil"/>
              <w:left w:val="single" w:sz="4" w:space="0" w:color="auto"/>
              <w:bottom w:val="single" w:sz="4" w:space="0" w:color="auto"/>
              <w:right w:val="nil"/>
            </w:tcBorders>
            <w:shd w:val="clear" w:color="auto" w:fill="AFBED7"/>
            <w:noWrap/>
            <w:vAlign w:val="bottom"/>
          </w:tcPr>
          <w:p w:rsidR="000B6BDD" w:rsidRPr="0065121E" w:rsidRDefault="000B6BDD" w:rsidP="00CB5596">
            <w:pPr>
              <w:spacing w:line="240" w:lineRule="auto"/>
              <w:jc w:val="center"/>
              <w:rPr>
                <w:rFonts w:ascii="Franklin Gothic Medium" w:hAnsi="Franklin Gothic Medium" w:cs="Calibri"/>
                <w:b/>
                <w:color w:val="000000"/>
                <w:sz w:val="18"/>
                <w:szCs w:val="18"/>
              </w:rPr>
            </w:pPr>
            <w:r w:rsidRPr="0065121E">
              <w:rPr>
                <w:rFonts w:ascii="Franklin Gothic Medium" w:hAnsi="Franklin Gothic Medium" w:cs="Calibri"/>
                <w:b/>
                <w:color w:val="000000"/>
                <w:sz w:val="18"/>
                <w:szCs w:val="18"/>
              </w:rPr>
              <w:t>Estimate</w:t>
            </w:r>
          </w:p>
        </w:tc>
        <w:tc>
          <w:tcPr>
            <w:tcW w:w="0" w:type="auto"/>
            <w:tcBorders>
              <w:top w:val="nil"/>
              <w:left w:val="nil"/>
              <w:bottom w:val="single" w:sz="4" w:space="0" w:color="auto"/>
              <w:right w:val="nil"/>
            </w:tcBorders>
            <w:shd w:val="clear" w:color="auto" w:fill="AFBED7"/>
            <w:noWrap/>
            <w:vAlign w:val="bottom"/>
          </w:tcPr>
          <w:p w:rsidR="000B6BDD" w:rsidRPr="0065121E" w:rsidRDefault="000B6BDD" w:rsidP="00CB5596">
            <w:pPr>
              <w:spacing w:line="240" w:lineRule="auto"/>
              <w:jc w:val="center"/>
              <w:rPr>
                <w:rFonts w:ascii="Franklin Gothic Medium" w:hAnsi="Franklin Gothic Medium" w:cs="Calibri"/>
                <w:b/>
                <w:color w:val="000000"/>
                <w:sz w:val="18"/>
                <w:szCs w:val="18"/>
              </w:rPr>
            </w:pPr>
            <w:r w:rsidRPr="0065121E">
              <w:rPr>
                <w:rFonts w:ascii="Franklin Gothic Medium" w:hAnsi="Franklin Gothic Medium" w:cs="Calibri"/>
                <w:b/>
                <w:color w:val="000000"/>
                <w:sz w:val="18"/>
                <w:szCs w:val="18"/>
              </w:rPr>
              <w:t>Standard Error</w:t>
            </w:r>
          </w:p>
        </w:tc>
        <w:tc>
          <w:tcPr>
            <w:tcW w:w="0" w:type="auto"/>
            <w:tcBorders>
              <w:top w:val="nil"/>
              <w:left w:val="single" w:sz="4" w:space="0" w:color="auto"/>
              <w:bottom w:val="single" w:sz="4" w:space="0" w:color="auto"/>
              <w:right w:val="nil"/>
            </w:tcBorders>
            <w:shd w:val="clear" w:color="auto" w:fill="AFBED7"/>
            <w:noWrap/>
            <w:vAlign w:val="bottom"/>
          </w:tcPr>
          <w:p w:rsidR="000B6BDD" w:rsidRPr="0065121E" w:rsidRDefault="000B6BDD" w:rsidP="00CB5596">
            <w:pPr>
              <w:spacing w:line="240" w:lineRule="auto"/>
              <w:jc w:val="center"/>
              <w:rPr>
                <w:rFonts w:ascii="Franklin Gothic Medium" w:hAnsi="Franklin Gothic Medium" w:cs="Calibri"/>
                <w:b/>
                <w:color w:val="000000"/>
                <w:sz w:val="18"/>
                <w:szCs w:val="18"/>
              </w:rPr>
            </w:pPr>
            <w:r w:rsidRPr="0065121E">
              <w:rPr>
                <w:rFonts w:ascii="Franklin Gothic Medium" w:hAnsi="Franklin Gothic Medium" w:cs="Calibri"/>
                <w:b/>
                <w:color w:val="000000"/>
                <w:sz w:val="18"/>
                <w:szCs w:val="18"/>
              </w:rPr>
              <w:t>Estimate</w:t>
            </w:r>
          </w:p>
        </w:tc>
        <w:tc>
          <w:tcPr>
            <w:tcW w:w="0" w:type="auto"/>
            <w:tcBorders>
              <w:top w:val="nil"/>
              <w:left w:val="nil"/>
              <w:bottom w:val="single" w:sz="4" w:space="0" w:color="auto"/>
              <w:right w:val="single" w:sz="4" w:space="0" w:color="auto"/>
            </w:tcBorders>
            <w:shd w:val="clear" w:color="auto" w:fill="AFBED7"/>
            <w:noWrap/>
            <w:vAlign w:val="bottom"/>
          </w:tcPr>
          <w:p w:rsidR="000B6BDD" w:rsidRPr="0065121E" w:rsidRDefault="000B6BDD" w:rsidP="00CB5596">
            <w:pPr>
              <w:spacing w:line="240" w:lineRule="auto"/>
              <w:jc w:val="center"/>
              <w:rPr>
                <w:rFonts w:ascii="Franklin Gothic Medium" w:hAnsi="Franklin Gothic Medium" w:cs="Calibri"/>
                <w:b/>
                <w:color w:val="000000"/>
                <w:sz w:val="18"/>
                <w:szCs w:val="18"/>
              </w:rPr>
            </w:pPr>
            <w:r w:rsidRPr="0065121E">
              <w:rPr>
                <w:rFonts w:ascii="Franklin Gothic Medium" w:hAnsi="Franklin Gothic Medium" w:cs="Calibri"/>
                <w:b/>
                <w:color w:val="000000"/>
                <w:sz w:val="18"/>
                <w:szCs w:val="18"/>
              </w:rPr>
              <w:t>Standard Error</w:t>
            </w:r>
          </w:p>
        </w:tc>
        <w:tc>
          <w:tcPr>
            <w:tcW w:w="0" w:type="auto"/>
            <w:tcBorders>
              <w:top w:val="nil"/>
              <w:left w:val="nil"/>
              <w:bottom w:val="single" w:sz="4" w:space="0" w:color="auto"/>
              <w:right w:val="nil"/>
            </w:tcBorders>
            <w:shd w:val="clear" w:color="auto" w:fill="AFBED7"/>
            <w:noWrap/>
            <w:vAlign w:val="bottom"/>
          </w:tcPr>
          <w:p w:rsidR="000B6BDD" w:rsidRPr="0065121E" w:rsidRDefault="000B6BDD" w:rsidP="00CB5596">
            <w:pPr>
              <w:spacing w:line="240" w:lineRule="auto"/>
              <w:jc w:val="center"/>
              <w:rPr>
                <w:rFonts w:ascii="Franklin Gothic Medium" w:hAnsi="Franklin Gothic Medium" w:cs="Calibri"/>
                <w:b/>
                <w:color w:val="000000"/>
                <w:sz w:val="18"/>
                <w:szCs w:val="18"/>
              </w:rPr>
            </w:pPr>
            <w:r w:rsidRPr="0065121E">
              <w:rPr>
                <w:rFonts w:ascii="Franklin Gothic Medium" w:hAnsi="Franklin Gothic Medium" w:cs="Calibri"/>
                <w:b/>
                <w:color w:val="000000"/>
                <w:sz w:val="18"/>
                <w:szCs w:val="18"/>
              </w:rPr>
              <w:t>Difference</w:t>
            </w:r>
          </w:p>
        </w:tc>
        <w:tc>
          <w:tcPr>
            <w:tcW w:w="0" w:type="auto"/>
            <w:tcBorders>
              <w:top w:val="nil"/>
              <w:left w:val="nil"/>
              <w:bottom w:val="single" w:sz="4" w:space="0" w:color="auto"/>
              <w:right w:val="nil"/>
            </w:tcBorders>
            <w:shd w:val="clear" w:color="auto" w:fill="AFBED7"/>
            <w:noWrap/>
            <w:vAlign w:val="bottom"/>
          </w:tcPr>
          <w:p w:rsidR="000B6BDD" w:rsidRPr="0065121E" w:rsidRDefault="000B6BDD" w:rsidP="00CB5596">
            <w:pPr>
              <w:spacing w:line="240" w:lineRule="auto"/>
              <w:jc w:val="center"/>
              <w:rPr>
                <w:rFonts w:ascii="Franklin Gothic Medium" w:hAnsi="Franklin Gothic Medium" w:cs="Calibri"/>
                <w:b/>
                <w:color w:val="000000"/>
                <w:sz w:val="18"/>
                <w:szCs w:val="18"/>
              </w:rPr>
            </w:pPr>
            <w:r w:rsidRPr="0065121E">
              <w:rPr>
                <w:rFonts w:ascii="Franklin Gothic Medium" w:hAnsi="Franklin Gothic Medium" w:cs="Calibri"/>
                <w:b/>
                <w:color w:val="000000"/>
                <w:sz w:val="18"/>
                <w:szCs w:val="18"/>
              </w:rPr>
              <w:t>Standard Error</w:t>
            </w:r>
          </w:p>
        </w:tc>
        <w:tc>
          <w:tcPr>
            <w:tcW w:w="0" w:type="auto"/>
            <w:tcBorders>
              <w:top w:val="nil"/>
              <w:left w:val="nil"/>
              <w:bottom w:val="single" w:sz="4" w:space="0" w:color="auto"/>
              <w:right w:val="nil"/>
            </w:tcBorders>
            <w:shd w:val="clear" w:color="auto" w:fill="AFBED7"/>
            <w:noWrap/>
            <w:vAlign w:val="bottom"/>
          </w:tcPr>
          <w:p w:rsidR="000B6BDD" w:rsidRPr="0065121E" w:rsidRDefault="000B6BDD" w:rsidP="00CB5596">
            <w:pPr>
              <w:spacing w:line="240" w:lineRule="auto"/>
              <w:jc w:val="center"/>
              <w:rPr>
                <w:rFonts w:ascii="Franklin Gothic Medium" w:hAnsi="Franklin Gothic Medium" w:cs="Calibri"/>
                <w:b/>
                <w:color w:val="000000"/>
                <w:sz w:val="18"/>
                <w:szCs w:val="18"/>
              </w:rPr>
            </w:pPr>
            <w:r w:rsidRPr="0065121E">
              <w:rPr>
                <w:rFonts w:ascii="Franklin Gothic Medium" w:hAnsi="Franklin Gothic Medium" w:cs="Calibri"/>
                <w:b/>
                <w:color w:val="000000"/>
                <w:sz w:val="18"/>
                <w:szCs w:val="18"/>
              </w:rPr>
              <w:t>p-value</w:t>
            </w:r>
          </w:p>
        </w:tc>
      </w:tr>
      <w:tr w:rsidR="000B6BDD" w:rsidRPr="00CB5596" w:rsidTr="0065121E">
        <w:trPr>
          <w:trHeight w:val="300"/>
        </w:trPr>
        <w:tc>
          <w:tcPr>
            <w:tcW w:w="0" w:type="auto"/>
            <w:tcBorders>
              <w:top w:val="nil"/>
              <w:left w:val="nil"/>
              <w:bottom w:val="nil"/>
              <w:right w:val="nil"/>
            </w:tcBorders>
            <w:noWrap/>
            <w:vAlign w:val="bottom"/>
          </w:tcPr>
          <w:p w:rsidR="000B6BDD" w:rsidRPr="00CB5596" w:rsidRDefault="000B6BDD" w:rsidP="00004599">
            <w:pPr>
              <w:spacing w:line="240" w:lineRule="auto"/>
              <w:rPr>
                <w:rFonts w:ascii="Franklin Gothic Medium" w:hAnsi="Franklin Gothic Medium" w:cs="Calibri"/>
                <w:color w:val="000000"/>
                <w:sz w:val="18"/>
                <w:szCs w:val="18"/>
              </w:rPr>
            </w:pPr>
            <w:r>
              <w:rPr>
                <w:rFonts w:ascii="Franklin Gothic Medium" w:hAnsi="Franklin Gothic Medium" w:cs="Calibri"/>
                <w:color w:val="000000"/>
                <w:sz w:val="18"/>
                <w:szCs w:val="18"/>
              </w:rPr>
              <w:t>High poverty</w:t>
            </w:r>
          </w:p>
        </w:tc>
        <w:tc>
          <w:tcPr>
            <w:tcW w:w="0" w:type="auto"/>
            <w:tcBorders>
              <w:top w:val="nil"/>
              <w:left w:val="single" w:sz="4" w:space="0" w:color="auto"/>
              <w:bottom w:val="nil"/>
              <w:right w:val="single" w:sz="4" w:space="0" w:color="auto"/>
            </w:tcBorders>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Pr>
                <w:rFonts w:ascii="Franklin Gothic Medium" w:hAnsi="Franklin Gothic Medium" w:cs="Calibri"/>
                <w:color w:val="000000"/>
                <w:sz w:val="18"/>
                <w:szCs w:val="18"/>
              </w:rPr>
              <w:t>1059</w:t>
            </w:r>
          </w:p>
        </w:tc>
        <w:tc>
          <w:tcPr>
            <w:tcW w:w="0" w:type="auto"/>
            <w:tcBorders>
              <w:top w:val="nil"/>
              <w:left w:val="single" w:sz="4" w:space="0" w:color="auto"/>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bookmarkStart w:id="15" w:name="RANGE!C5"/>
            <w:bookmarkEnd w:id="15"/>
            <w:r w:rsidRPr="00CB5596">
              <w:rPr>
                <w:rFonts w:ascii="Franklin Gothic Medium" w:hAnsi="Franklin Gothic Medium" w:cs="Calibri"/>
                <w:color w:val="000000"/>
                <w:sz w:val="18"/>
                <w:szCs w:val="18"/>
              </w:rPr>
              <w:t>21.2%</w:t>
            </w:r>
          </w:p>
        </w:tc>
        <w:tc>
          <w:tcPr>
            <w:tcW w:w="0" w:type="auto"/>
            <w:tcBorders>
              <w:top w:val="nil"/>
              <w:left w:val="nil"/>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1.72%</w:t>
            </w:r>
          </w:p>
        </w:tc>
        <w:tc>
          <w:tcPr>
            <w:tcW w:w="0" w:type="auto"/>
            <w:tcBorders>
              <w:top w:val="nil"/>
              <w:left w:val="single" w:sz="4" w:space="0" w:color="auto"/>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21.1%</w:t>
            </w:r>
          </w:p>
        </w:tc>
        <w:tc>
          <w:tcPr>
            <w:tcW w:w="0" w:type="auto"/>
            <w:tcBorders>
              <w:top w:val="nil"/>
              <w:left w:val="nil"/>
              <w:bottom w:val="nil"/>
              <w:right w:val="single" w:sz="4" w:space="0" w:color="auto"/>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2.87%</w:t>
            </w:r>
          </w:p>
        </w:tc>
        <w:tc>
          <w:tcPr>
            <w:tcW w:w="0" w:type="auto"/>
            <w:tcBorders>
              <w:top w:val="nil"/>
              <w:left w:val="nil"/>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0.1%</w:t>
            </w:r>
          </w:p>
        </w:tc>
        <w:tc>
          <w:tcPr>
            <w:tcW w:w="0" w:type="auto"/>
            <w:tcBorders>
              <w:top w:val="nil"/>
              <w:left w:val="nil"/>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2.65%</w:t>
            </w:r>
          </w:p>
        </w:tc>
        <w:tc>
          <w:tcPr>
            <w:tcW w:w="0" w:type="auto"/>
            <w:tcBorders>
              <w:top w:val="nil"/>
              <w:left w:val="nil"/>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0.9654</w:t>
            </w:r>
          </w:p>
        </w:tc>
      </w:tr>
      <w:tr w:rsidR="000B6BDD" w:rsidRPr="00CB5596" w:rsidTr="0065121E">
        <w:trPr>
          <w:trHeight w:val="300"/>
        </w:trPr>
        <w:tc>
          <w:tcPr>
            <w:tcW w:w="0" w:type="auto"/>
            <w:tcBorders>
              <w:top w:val="nil"/>
              <w:left w:val="nil"/>
              <w:bottom w:val="nil"/>
              <w:right w:val="nil"/>
            </w:tcBorders>
            <w:noWrap/>
            <w:vAlign w:val="bottom"/>
          </w:tcPr>
          <w:p w:rsidR="000B6BDD" w:rsidRPr="00CB5596" w:rsidRDefault="000B6BDD" w:rsidP="00CB5596">
            <w:pPr>
              <w:spacing w:line="240" w:lineRule="auto"/>
              <w:rPr>
                <w:rFonts w:ascii="Franklin Gothic Medium" w:hAnsi="Franklin Gothic Medium" w:cs="Calibri"/>
                <w:color w:val="000000"/>
                <w:sz w:val="18"/>
                <w:szCs w:val="18"/>
              </w:rPr>
            </w:pPr>
            <w:r>
              <w:rPr>
                <w:rFonts w:ascii="Franklin Gothic Medium" w:hAnsi="Franklin Gothic Medium" w:cs="Calibri"/>
                <w:color w:val="000000"/>
                <w:sz w:val="18"/>
                <w:szCs w:val="18"/>
              </w:rPr>
              <w:t>Low poverty</w:t>
            </w:r>
          </w:p>
        </w:tc>
        <w:tc>
          <w:tcPr>
            <w:tcW w:w="0" w:type="auto"/>
            <w:tcBorders>
              <w:top w:val="nil"/>
              <w:left w:val="single" w:sz="4" w:space="0" w:color="auto"/>
              <w:bottom w:val="nil"/>
              <w:right w:val="single" w:sz="4" w:space="0" w:color="auto"/>
            </w:tcBorders>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Pr>
                <w:rFonts w:ascii="Franklin Gothic Medium" w:hAnsi="Franklin Gothic Medium" w:cs="Calibri"/>
                <w:color w:val="000000"/>
                <w:sz w:val="18"/>
                <w:szCs w:val="18"/>
              </w:rPr>
              <w:t>1610</w:t>
            </w:r>
          </w:p>
        </w:tc>
        <w:tc>
          <w:tcPr>
            <w:tcW w:w="0" w:type="auto"/>
            <w:tcBorders>
              <w:top w:val="nil"/>
              <w:left w:val="single" w:sz="4" w:space="0" w:color="auto"/>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25.4%</w:t>
            </w:r>
          </w:p>
        </w:tc>
        <w:tc>
          <w:tcPr>
            <w:tcW w:w="0" w:type="auto"/>
            <w:tcBorders>
              <w:top w:val="nil"/>
              <w:left w:val="nil"/>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2.07%</w:t>
            </w:r>
          </w:p>
        </w:tc>
        <w:tc>
          <w:tcPr>
            <w:tcW w:w="0" w:type="auto"/>
            <w:tcBorders>
              <w:top w:val="nil"/>
              <w:left w:val="single" w:sz="4" w:space="0" w:color="auto"/>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20.1%</w:t>
            </w:r>
          </w:p>
        </w:tc>
        <w:tc>
          <w:tcPr>
            <w:tcW w:w="0" w:type="auto"/>
            <w:tcBorders>
              <w:top w:val="nil"/>
              <w:left w:val="nil"/>
              <w:bottom w:val="nil"/>
              <w:right w:val="single" w:sz="4" w:space="0" w:color="auto"/>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1.69%</w:t>
            </w:r>
          </w:p>
        </w:tc>
        <w:tc>
          <w:tcPr>
            <w:tcW w:w="0" w:type="auto"/>
            <w:tcBorders>
              <w:top w:val="nil"/>
              <w:left w:val="nil"/>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5.4%</w:t>
            </w:r>
          </w:p>
        </w:tc>
        <w:tc>
          <w:tcPr>
            <w:tcW w:w="0" w:type="auto"/>
            <w:tcBorders>
              <w:top w:val="nil"/>
              <w:left w:val="nil"/>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3.04%</w:t>
            </w:r>
          </w:p>
        </w:tc>
        <w:tc>
          <w:tcPr>
            <w:tcW w:w="0" w:type="auto"/>
            <w:tcBorders>
              <w:top w:val="nil"/>
              <w:left w:val="nil"/>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0.0906</w:t>
            </w:r>
          </w:p>
        </w:tc>
      </w:tr>
      <w:tr w:rsidR="000B6BDD" w:rsidRPr="00CB5596" w:rsidTr="0065121E">
        <w:trPr>
          <w:trHeight w:val="300"/>
        </w:trPr>
        <w:tc>
          <w:tcPr>
            <w:tcW w:w="0" w:type="auto"/>
            <w:tcBorders>
              <w:top w:val="nil"/>
              <w:left w:val="nil"/>
              <w:bottom w:val="nil"/>
              <w:right w:val="nil"/>
            </w:tcBorders>
            <w:noWrap/>
            <w:vAlign w:val="bottom"/>
          </w:tcPr>
          <w:p w:rsidR="000B6BDD" w:rsidRPr="00CB5596" w:rsidRDefault="000B6BDD" w:rsidP="002528B4">
            <w:pPr>
              <w:spacing w:line="240" w:lineRule="auto"/>
              <w:rPr>
                <w:rFonts w:ascii="Franklin Gothic Medium" w:hAnsi="Franklin Gothic Medium" w:cs="Calibri"/>
                <w:color w:val="000000"/>
                <w:sz w:val="18"/>
                <w:szCs w:val="18"/>
              </w:rPr>
            </w:pPr>
            <w:r>
              <w:rPr>
                <w:rFonts w:ascii="Franklin Gothic Medium" w:hAnsi="Franklin Gothic Medium" w:cs="Calibri"/>
                <w:color w:val="000000"/>
                <w:sz w:val="18"/>
                <w:szCs w:val="18"/>
              </w:rPr>
              <w:t>High education</w:t>
            </w:r>
          </w:p>
        </w:tc>
        <w:tc>
          <w:tcPr>
            <w:tcW w:w="0" w:type="auto"/>
            <w:tcBorders>
              <w:top w:val="nil"/>
              <w:left w:val="single" w:sz="4" w:space="0" w:color="auto"/>
              <w:bottom w:val="nil"/>
              <w:right w:val="single" w:sz="4" w:space="0" w:color="auto"/>
            </w:tcBorders>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Pr>
                <w:rFonts w:ascii="Franklin Gothic Medium" w:hAnsi="Franklin Gothic Medium" w:cs="Calibri"/>
                <w:color w:val="000000"/>
                <w:sz w:val="18"/>
                <w:szCs w:val="18"/>
              </w:rPr>
              <w:t>1756</w:t>
            </w:r>
          </w:p>
        </w:tc>
        <w:tc>
          <w:tcPr>
            <w:tcW w:w="0" w:type="auto"/>
            <w:tcBorders>
              <w:top w:val="nil"/>
              <w:left w:val="single" w:sz="4" w:space="0" w:color="auto"/>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27.1%</w:t>
            </w:r>
          </w:p>
        </w:tc>
        <w:tc>
          <w:tcPr>
            <w:tcW w:w="0" w:type="auto"/>
            <w:tcBorders>
              <w:top w:val="nil"/>
              <w:left w:val="nil"/>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1.58%</w:t>
            </w:r>
          </w:p>
        </w:tc>
        <w:tc>
          <w:tcPr>
            <w:tcW w:w="0" w:type="auto"/>
            <w:tcBorders>
              <w:top w:val="nil"/>
              <w:left w:val="single" w:sz="4" w:space="0" w:color="auto"/>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22.0%</w:t>
            </w:r>
          </w:p>
        </w:tc>
        <w:tc>
          <w:tcPr>
            <w:tcW w:w="0" w:type="auto"/>
            <w:tcBorders>
              <w:top w:val="nil"/>
              <w:left w:val="nil"/>
              <w:bottom w:val="nil"/>
              <w:right w:val="single" w:sz="4" w:space="0" w:color="auto"/>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1.67%</w:t>
            </w:r>
          </w:p>
        </w:tc>
        <w:tc>
          <w:tcPr>
            <w:tcW w:w="0" w:type="auto"/>
            <w:tcBorders>
              <w:top w:val="nil"/>
              <w:left w:val="nil"/>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5.1%</w:t>
            </w:r>
          </w:p>
        </w:tc>
        <w:tc>
          <w:tcPr>
            <w:tcW w:w="0" w:type="auto"/>
            <w:tcBorders>
              <w:top w:val="nil"/>
              <w:left w:val="nil"/>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2.45%</w:t>
            </w:r>
          </w:p>
        </w:tc>
        <w:tc>
          <w:tcPr>
            <w:tcW w:w="0" w:type="auto"/>
            <w:tcBorders>
              <w:top w:val="nil"/>
              <w:left w:val="nil"/>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0.0505</w:t>
            </w:r>
          </w:p>
        </w:tc>
      </w:tr>
      <w:tr w:rsidR="000B6BDD" w:rsidRPr="00CB5596" w:rsidTr="0065121E">
        <w:trPr>
          <w:trHeight w:val="300"/>
        </w:trPr>
        <w:tc>
          <w:tcPr>
            <w:tcW w:w="0" w:type="auto"/>
            <w:tcBorders>
              <w:top w:val="nil"/>
              <w:left w:val="nil"/>
              <w:bottom w:val="nil"/>
              <w:right w:val="nil"/>
            </w:tcBorders>
            <w:noWrap/>
            <w:vAlign w:val="bottom"/>
          </w:tcPr>
          <w:p w:rsidR="000B6BDD" w:rsidRPr="00CB5596" w:rsidRDefault="000B6BDD" w:rsidP="00CB5596">
            <w:pPr>
              <w:spacing w:line="240" w:lineRule="auto"/>
              <w:rPr>
                <w:rFonts w:ascii="Franklin Gothic Medium" w:hAnsi="Franklin Gothic Medium" w:cs="Calibri"/>
                <w:color w:val="000000"/>
                <w:sz w:val="18"/>
                <w:szCs w:val="18"/>
              </w:rPr>
            </w:pPr>
            <w:r>
              <w:rPr>
                <w:rFonts w:ascii="Franklin Gothic Medium" w:hAnsi="Franklin Gothic Medium" w:cs="Calibri"/>
                <w:color w:val="000000"/>
                <w:sz w:val="18"/>
                <w:szCs w:val="18"/>
              </w:rPr>
              <w:t>Low education</w:t>
            </w:r>
          </w:p>
        </w:tc>
        <w:tc>
          <w:tcPr>
            <w:tcW w:w="0" w:type="auto"/>
            <w:tcBorders>
              <w:top w:val="nil"/>
              <w:left w:val="single" w:sz="4" w:space="0" w:color="auto"/>
              <w:bottom w:val="nil"/>
              <w:right w:val="single" w:sz="4" w:space="0" w:color="auto"/>
            </w:tcBorders>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Pr>
                <w:rFonts w:ascii="Franklin Gothic Medium" w:hAnsi="Franklin Gothic Medium" w:cs="Calibri"/>
                <w:color w:val="000000"/>
                <w:sz w:val="18"/>
                <w:szCs w:val="18"/>
              </w:rPr>
              <w:t>913</w:t>
            </w:r>
          </w:p>
        </w:tc>
        <w:tc>
          <w:tcPr>
            <w:tcW w:w="0" w:type="auto"/>
            <w:tcBorders>
              <w:top w:val="nil"/>
              <w:left w:val="single" w:sz="4" w:space="0" w:color="auto"/>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16.9%</w:t>
            </w:r>
          </w:p>
        </w:tc>
        <w:tc>
          <w:tcPr>
            <w:tcW w:w="0" w:type="auto"/>
            <w:tcBorders>
              <w:top w:val="nil"/>
              <w:left w:val="nil"/>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2.45%</w:t>
            </w:r>
          </w:p>
        </w:tc>
        <w:tc>
          <w:tcPr>
            <w:tcW w:w="0" w:type="auto"/>
            <w:tcBorders>
              <w:top w:val="nil"/>
              <w:left w:val="single" w:sz="4" w:space="0" w:color="auto"/>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17.7%</w:t>
            </w:r>
          </w:p>
        </w:tc>
        <w:tc>
          <w:tcPr>
            <w:tcW w:w="0" w:type="auto"/>
            <w:tcBorders>
              <w:top w:val="nil"/>
              <w:left w:val="nil"/>
              <w:bottom w:val="nil"/>
              <w:right w:val="single" w:sz="4" w:space="0" w:color="auto"/>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3.15%</w:t>
            </w:r>
          </w:p>
        </w:tc>
        <w:tc>
          <w:tcPr>
            <w:tcW w:w="0" w:type="auto"/>
            <w:tcBorders>
              <w:top w:val="nil"/>
              <w:left w:val="nil"/>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-0.8%</w:t>
            </w:r>
          </w:p>
        </w:tc>
        <w:tc>
          <w:tcPr>
            <w:tcW w:w="0" w:type="auto"/>
            <w:tcBorders>
              <w:top w:val="nil"/>
              <w:left w:val="nil"/>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3.27%</w:t>
            </w:r>
          </w:p>
        </w:tc>
        <w:tc>
          <w:tcPr>
            <w:tcW w:w="0" w:type="auto"/>
            <w:tcBorders>
              <w:top w:val="nil"/>
              <w:left w:val="nil"/>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0.8098</w:t>
            </w:r>
          </w:p>
        </w:tc>
      </w:tr>
      <w:tr w:rsidR="000B6BDD" w:rsidRPr="00CB5596" w:rsidTr="0065121E">
        <w:trPr>
          <w:trHeight w:val="300"/>
        </w:trPr>
        <w:tc>
          <w:tcPr>
            <w:tcW w:w="0" w:type="auto"/>
            <w:tcBorders>
              <w:top w:val="nil"/>
              <w:left w:val="nil"/>
              <w:bottom w:val="nil"/>
              <w:right w:val="nil"/>
            </w:tcBorders>
            <w:noWrap/>
            <w:vAlign w:val="bottom"/>
          </w:tcPr>
          <w:p w:rsidR="000B6BDD" w:rsidRPr="00CB5596" w:rsidRDefault="000B6BDD" w:rsidP="00CB5596">
            <w:pPr>
              <w:spacing w:line="240" w:lineRule="auto"/>
              <w:rPr>
                <w:rFonts w:ascii="Franklin Gothic Medium" w:hAnsi="Franklin Gothic Medium" w:cs="Calibri"/>
                <w:color w:val="000000"/>
                <w:sz w:val="18"/>
                <w:szCs w:val="18"/>
              </w:rPr>
            </w:pPr>
            <w:r>
              <w:rPr>
                <w:rFonts w:ascii="Franklin Gothic Medium" w:hAnsi="Franklin Gothic Medium" w:cs="Calibri"/>
                <w:color w:val="000000"/>
                <w:sz w:val="18"/>
                <w:szCs w:val="18"/>
              </w:rPr>
              <w:t>High black</w:t>
            </w:r>
          </w:p>
        </w:tc>
        <w:tc>
          <w:tcPr>
            <w:tcW w:w="0" w:type="auto"/>
            <w:tcBorders>
              <w:top w:val="nil"/>
              <w:left w:val="single" w:sz="4" w:space="0" w:color="auto"/>
              <w:bottom w:val="nil"/>
              <w:right w:val="single" w:sz="4" w:space="0" w:color="auto"/>
            </w:tcBorders>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Pr>
                <w:rFonts w:ascii="Franklin Gothic Medium" w:hAnsi="Franklin Gothic Medium" w:cs="Calibri"/>
                <w:color w:val="000000"/>
                <w:sz w:val="18"/>
                <w:szCs w:val="18"/>
              </w:rPr>
              <w:t>1482</w:t>
            </w:r>
          </w:p>
        </w:tc>
        <w:tc>
          <w:tcPr>
            <w:tcW w:w="0" w:type="auto"/>
            <w:tcBorders>
              <w:top w:val="nil"/>
              <w:left w:val="single" w:sz="4" w:space="0" w:color="auto"/>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23.0%</w:t>
            </w:r>
          </w:p>
        </w:tc>
        <w:tc>
          <w:tcPr>
            <w:tcW w:w="0" w:type="auto"/>
            <w:tcBorders>
              <w:top w:val="nil"/>
              <w:left w:val="nil"/>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2.11%</w:t>
            </w:r>
          </w:p>
        </w:tc>
        <w:tc>
          <w:tcPr>
            <w:tcW w:w="0" w:type="auto"/>
            <w:tcBorders>
              <w:top w:val="nil"/>
              <w:left w:val="single" w:sz="4" w:space="0" w:color="auto"/>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18.1%</w:t>
            </w:r>
          </w:p>
        </w:tc>
        <w:tc>
          <w:tcPr>
            <w:tcW w:w="0" w:type="auto"/>
            <w:tcBorders>
              <w:top w:val="nil"/>
              <w:left w:val="nil"/>
              <w:bottom w:val="nil"/>
              <w:right w:val="single" w:sz="4" w:space="0" w:color="auto"/>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1.75%</w:t>
            </w:r>
          </w:p>
        </w:tc>
        <w:tc>
          <w:tcPr>
            <w:tcW w:w="0" w:type="auto"/>
            <w:tcBorders>
              <w:top w:val="nil"/>
              <w:left w:val="nil"/>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5.0%</w:t>
            </w:r>
          </w:p>
        </w:tc>
        <w:tc>
          <w:tcPr>
            <w:tcW w:w="0" w:type="auto"/>
            <w:tcBorders>
              <w:top w:val="nil"/>
              <w:left w:val="nil"/>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2.78%</w:t>
            </w:r>
          </w:p>
        </w:tc>
        <w:tc>
          <w:tcPr>
            <w:tcW w:w="0" w:type="auto"/>
            <w:tcBorders>
              <w:top w:val="nil"/>
              <w:left w:val="nil"/>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0.0877</w:t>
            </w:r>
          </w:p>
        </w:tc>
      </w:tr>
      <w:tr w:rsidR="000B6BDD" w:rsidRPr="00CB5596" w:rsidTr="0065121E">
        <w:trPr>
          <w:trHeight w:val="300"/>
        </w:trPr>
        <w:tc>
          <w:tcPr>
            <w:tcW w:w="0" w:type="auto"/>
            <w:tcBorders>
              <w:top w:val="nil"/>
              <w:left w:val="nil"/>
              <w:bottom w:val="nil"/>
              <w:right w:val="nil"/>
            </w:tcBorders>
            <w:noWrap/>
            <w:vAlign w:val="bottom"/>
          </w:tcPr>
          <w:p w:rsidR="000B6BDD" w:rsidRPr="00CB5596" w:rsidRDefault="000B6BDD" w:rsidP="00CB5596">
            <w:pPr>
              <w:spacing w:line="240" w:lineRule="auto"/>
              <w:rPr>
                <w:rFonts w:ascii="Franklin Gothic Medium" w:hAnsi="Franklin Gothic Medium" w:cs="Calibri"/>
                <w:color w:val="000000"/>
                <w:sz w:val="18"/>
                <w:szCs w:val="18"/>
              </w:rPr>
            </w:pPr>
            <w:r>
              <w:rPr>
                <w:rFonts w:ascii="Franklin Gothic Medium" w:hAnsi="Franklin Gothic Medium" w:cs="Calibri"/>
                <w:color w:val="000000"/>
                <w:sz w:val="18"/>
                <w:szCs w:val="18"/>
              </w:rPr>
              <w:t>Low black</w:t>
            </w:r>
          </w:p>
        </w:tc>
        <w:tc>
          <w:tcPr>
            <w:tcW w:w="0" w:type="auto"/>
            <w:tcBorders>
              <w:top w:val="nil"/>
              <w:left w:val="single" w:sz="4" w:space="0" w:color="auto"/>
              <w:bottom w:val="nil"/>
              <w:right w:val="single" w:sz="4" w:space="0" w:color="auto"/>
            </w:tcBorders>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Pr>
                <w:rFonts w:ascii="Franklin Gothic Medium" w:hAnsi="Franklin Gothic Medium" w:cs="Calibri"/>
                <w:color w:val="000000"/>
                <w:sz w:val="18"/>
                <w:szCs w:val="18"/>
              </w:rPr>
              <w:t>1187</w:t>
            </w:r>
          </w:p>
        </w:tc>
        <w:tc>
          <w:tcPr>
            <w:tcW w:w="0" w:type="auto"/>
            <w:tcBorders>
              <w:top w:val="nil"/>
              <w:left w:val="single" w:sz="4" w:space="0" w:color="auto"/>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24.7%</w:t>
            </w:r>
          </w:p>
        </w:tc>
        <w:tc>
          <w:tcPr>
            <w:tcW w:w="0" w:type="auto"/>
            <w:tcBorders>
              <w:top w:val="nil"/>
              <w:left w:val="nil"/>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1.95%</w:t>
            </w:r>
          </w:p>
        </w:tc>
        <w:tc>
          <w:tcPr>
            <w:tcW w:w="0" w:type="auto"/>
            <w:tcBorders>
              <w:top w:val="nil"/>
              <w:left w:val="single" w:sz="4" w:space="0" w:color="auto"/>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23.6%</w:t>
            </w:r>
          </w:p>
        </w:tc>
        <w:tc>
          <w:tcPr>
            <w:tcW w:w="0" w:type="auto"/>
            <w:tcBorders>
              <w:top w:val="nil"/>
              <w:left w:val="nil"/>
              <w:bottom w:val="nil"/>
              <w:right w:val="single" w:sz="4" w:space="0" w:color="auto"/>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2.58%</w:t>
            </w:r>
          </w:p>
        </w:tc>
        <w:tc>
          <w:tcPr>
            <w:tcW w:w="0" w:type="auto"/>
            <w:tcBorders>
              <w:top w:val="nil"/>
              <w:left w:val="nil"/>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1.1%</w:t>
            </w:r>
          </w:p>
        </w:tc>
        <w:tc>
          <w:tcPr>
            <w:tcW w:w="0" w:type="auto"/>
            <w:tcBorders>
              <w:top w:val="nil"/>
              <w:left w:val="nil"/>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3.40%</w:t>
            </w:r>
          </w:p>
        </w:tc>
        <w:tc>
          <w:tcPr>
            <w:tcW w:w="0" w:type="auto"/>
            <w:tcBorders>
              <w:top w:val="nil"/>
              <w:left w:val="nil"/>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0.7477</w:t>
            </w:r>
          </w:p>
        </w:tc>
      </w:tr>
      <w:tr w:rsidR="000B6BDD" w:rsidRPr="00CB5596" w:rsidTr="0065121E">
        <w:trPr>
          <w:trHeight w:val="300"/>
        </w:trPr>
        <w:tc>
          <w:tcPr>
            <w:tcW w:w="0" w:type="auto"/>
            <w:tcBorders>
              <w:top w:val="nil"/>
              <w:left w:val="nil"/>
              <w:bottom w:val="nil"/>
              <w:right w:val="nil"/>
            </w:tcBorders>
            <w:noWrap/>
            <w:vAlign w:val="bottom"/>
          </w:tcPr>
          <w:p w:rsidR="000B6BDD" w:rsidRPr="00CB5596" w:rsidRDefault="000B6BDD" w:rsidP="00144C86">
            <w:pPr>
              <w:spacing w:line="240" w:lineRule="auto"/>
              <w:rPr>
                <w:rFonts w:ascii="Franklin Gothic Medium" w:hAnsi="Franklin Gothic Medium" w:cs="Calibri"/>
                <w:color w:val="000000"/>
                <w:sz w:val="18"/>
                <w:szCs w:val="18"/>
              </w:rPr>
            </w:pPr>
            <w:r>
              <w:rPr>
                <w:rFonts w:ascii="Franklin Gothic Medium" w:hAnsi="Franklin Gothic Medium" w:cs="Calibri"/>
                <w:color w:val="000000"/>
                <w:sz w:val="18"/>
                <w:szCs w:val="18"/>
              </w:rPr>
              <w:t>High Hispanic</w:t>
            </w:r>
          </w:p>
        </w:tc>
        <w:tc>
          <w:tcPr>
            <w:tcW w:w="0" w:type="auto"/>
            <w:tcBorders>
              <w:top w:val="nil"/>
              <w:left w:val="single" w:sz="4" w:space="0" w:color="auto"/>
              <w:bottom w:val="nil"/>
              <w:right w:val="single" w:sz="4" w:space="0" w:color="auto"/>
            </w:tcBorders>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Pr>
                <w:rFonts w:ascii="Franklin Gothic Medium" w:hAnsi="Franklin Gothic Medium" w:cs="Calibri"/>
                <w:color w:val="000000"/>
                <w:sz w:val="18"/>
                <w:szCs w:val="18"/>
              </w:rPr>
              <w:t>980</w:t>
            </w:r>
          </w:p>
        </w:tc>
        <w:tc>
          <w:tcPr>
            <w:tcW w:w="0" w:type="auto"/>
            <w:tcBorders>
              <w:top w:val="nil"/>
              <w:left w:val="single" w:sz="4" w:space="0" w:color="auto"/>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27.2%</w:t>
            </w:r>
          </w:p>
        </w:tc>
        <w:tc>
          <w:tcPr>
            <w:tcW w:w="0" w:type="auto"/>
            <w:tcBorders>
              <w:top w:val="nil"/>
              <w:left w:val="nil"/>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3.34%</w:t>
            </w:r>
          </w:p>
        </w:tc>
        <w:tc>
          <w:tcPr>
            <w:tcW w:w="0" w:type="auto"/>
            <w:tcBorders>
              <w:top w:val="nil"/>
              <w:left w:val="single" w:sz="4" w:space="0" w:color="auto"/>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23.7%</w:t>
            </w:r>
          </w:p>
        </w:tc>
        <w:tc>
          <w:tcPr>
            <w:tcW w:w="0" w:type="auto"/>
            <w:tcBorders>
              <w:top w:val="nil"/>
              <w:left w:val="nil"/>
              <w:bottom w:val="nil"/>
              <w:right w:val="single" w:sz="4" w:space="0" w:color="auto"/>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2.84%</w:t>
            </w:r>
          </w:p>
        </w:tc>
        <w:tc>
          <w:tcPr>
            <w:tcW w:w="0" w:type="auto"/>
            <w:tcBorders>
              <w:top w:val="nil"/>
              <w:left w:val="nil"/>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3.5%</w:t>
            </w:r>
          </w:p>
        </w:tc>
        <w:tc>
          <w:tcPr>
            <w:tcW w:w="0" w:type="auto"/>
            <w:tcBorders>
              <w:top w:val="nil"/>
              <w:left w:val="nil"/>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4.59%</w:t>
            </w:r>
          </w:p>
        </w:tc>
        <w:tc>
          <w:tcPr>
            <w:tcW w:w="0" w:type="auto"/>
            <w:tcBorders>
              <w:top w:val="nil"/>
              <w:left w:val="nil"/>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0.4580</w:t>
            </w:r>
          </w:p>
        </w:tc>
      </w:tr>
      <w:tr w:rsidR="000B6BDD" w:rsidRPr="00CB5596" w:rsidTr="0065121E">
        <w:trPr>
          <w:trHeight w:val="300"/>
        </w:trPr>
        <w:tc>
          <w:tcPr>
            <w:tcW w:w="0" w:type="auto"/>
            <w:tcBorders>
              <w:top w:val="nil"/>
              <w:left w:val="nil"/>
              <w:bottom w:val="nil"/>
              <w:right w:val="nil"/>
            </w:tcBorders>
            <w:noWrap/>
            <w:vAlign w:val="bottom"/>
          </w:tcPr>
          <w:p w:rsidR="000B6BDD" w:rsidRPr="00CB5596" w:rsidRDefault="000B6BDD" w:rsidP="00CB5596">
            <w:pPr>
              <w:spacing w:line="240" w:lineRule="auto"/>
              <w:rPr>
                <w:rFonts w:ascii="Franklin Gothic Medium" w:hAnsi="Franklin Gothic Medium" w:cs="Calibri"/>
                <w:color w:val="000000"/>
                <w:sz w:val="18"/>
                <w:szCs w:val="18"/>
              </w:rPr>
            </w:pPr>
            <w:r>
              <w:rPr>
                <w:rFonts w:ascii="Franklin Gothic Medium" w:hAnsi="Franklin Gothic Medium" w:cs="Calibri"/>
                <w:color w:val="000000"/>
                <w:sz w:val="18"/>
                <w:szCs w:val="18"/>
              </w:rPr>
              <w:t>Low Hispanic</w:t>
            </w:r>
          </w:p>
        </w:tc>
        <w:tc>
          <w:tcPr>
            <w:tcW w:w="0" w:type="auto"/>
            <w:tcBorders>
              <w:top w:val="nil"/>
              <w:left w:val="single" w:sz="4" w:space="0" w:color="auto"/>
              <w:bottom w:val="nil"/>
              <w:right w:val="single" w:sz="4" w:space="0" w:color="auto"/>
            </w:tcBorders>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Pr>
                <w:rFonts w:ascii="Franklin Gothic Medium" w:hAnsi="Franklin Gothic Medium" w:cs="Calibri"/>
                <w:color w:val="000000"/>
                <w:sz w:val="18"/>
                <w:szCs w:val="18"/>
              </w:rPr>
              <w:t>1689</w:t>
            </w:r>
          </w:p>
        </w:tc>
        <w:tc>
          <w:tcPr>
            <w:tcW w:w="0" w:type="auto"/>
            <w:tcBorders>
              <w:top w:val="nil"/>
              <w:left w:val="single" w:sz="4" w:space="0" w:color="auto"/>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21.9%</w:t>
            </w:r>
          </w:p>
        </w:tc>
        <w:tc>
          <w:tcPr>
            <w:tcW w:w="0" w:type="auto"/>
            <w:tcBorders>
              <w:top w:val="nil"/>
              <w:left w:val="nil"/>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1.26%</w:t>
            </w:r>
          </w:p>
        </w:tc>
        <w:tc>
          <w:tcPr>
            <w:tcW w:w="0" w:type="auto"/>
            <w:tcBorders>
              <w:top w:val="nil"/>
              <w:left w:val="single" w:sz="4" w:space="0" w:color="auto"/>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18.7%</w:t>
            </w:r>
          </w:p>
        </w:tc>
        <w:tc>
          <w:tcPr>
            <w:tcW w:w="0" w:type="auto"/>
            <w:tcBorders>
              <w:top w:val="nil"/>
              <w:left w:val="nil"/>
              <w:bottom w:val="nil"/>
              <w:right w:val="single" w:sz="4" w:space="0" w:color="auto"/>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1.75%</w:t>
            </w:r>
          </w:p>
        </w:tc>
        <w:tc>
          <w:tcPr>
            <w:tcW w:w="0" w:type="auto"/>
            <w:tcBorders>
              <w:top w:val="nil"/>
              <w:left w:val="nil"/>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3.2%</w:t>
            </w:r>
          </w:p>
        </w:tc>
        <w:tc>
          <w:tcPr>
            <w:tcW w:w="0" w:type="auto"/>
            <w:tcBorders>
              <w:top w:val="nil"/>
              <w:left w:val="nil"/>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2.22%</w:t>
            </w:r>
          </w:p>
        </w:tc>
        <w:tc>
          <w:tcPr>
            <w:tcW w:w="0" w:type="auto"/>
            <w:tcBorders>
              <w:top w:val="nil"/>
              <w:left w:val="nil"/>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0.1680</w:t>
            </w:r>
          </w:p>
        </w:tc>
      </w:tr>
      <w:tr w:rsidR="000B6BDD" w:rsidRPr="00CB5596" w:rsidTr="0065121E">
        <w:trPr>
          <w:trHeight w:val="300"/>
        </w:trPr>
        <w:tc>
          <w:tcPr>
            <w:tcW w:w="0" w:type="auto"/>
            <w:tcBorders>
              <w:top w:val="nil"/>
              <w:left w:val="nil"/>
              <w:bottom w:val="nil"/>
              <w:right w:val="nil"/>
            </w:tcBorders>
            <w:noWrap/>
            <w:vAlign w:val="bottom"/>
          </w:tcPr>
          <w:p w:rsidR="000B6BDD" w:rsidRPr="00CB5596" w:rsidRDefault="000B6BDD" w:rsidP="00CB5596">
            <w:pPr>
              <w:spacing w:line="240" w:lineRule="auto"/>
              <w:rPr>
                <w:rFonts w:ascii="Franklin Gothic Medium" w:hAnsi="Franklin Gothic Medium" w:cs="Calibri"/>
                <w:color w:val="000000"/>
                <w:sz w:val="18"/>
                <w:szCs w:val="18"/>
              </w:rPr>
            </w:pPr>
            <w:r>
              <w:rPr>
                <w:rFonts w:ascii="Franklin Gothic Medium" w:hAnsi="Franklin Gothic Medium" w:cs="Calibri"/>
                <w:color w:val="000000"/>
                <w:sz w:val="18"/>
                <w:szCs w:val="18"/>
              </w:rPr>
              <w:t>Northeast</w:t>
            </w:r>
          </w:p>
        </w:tc>
        <w:tc>
          <w:tcPr>
            <w:tcW w:w="0" w:type="auto"/>
            <w:tcBorders>
              <w:top w:val="nil"/>
              <w:left w:val="single" w:sz="4" w:space="0" w:color="auto"/>
              <w:bottom w:val="nil"/>
              <w:right w:val="single" w:sz="4" w:space="0" w:color="auto"/>
            </w:tcBorders>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Pr>
                <w:rFonts w:ascii="Franklin Gothic Medium" w:hAnsi="Franklin Gothic Medium" w:cs="Calibri"/>
                <w:color w:val="000000"/>
                <w:sz w:val="18"/>
                <w:szCs w:val="18"/>
              </w:rPr>
              <w:t>299</w:t>
            </w:r>
          </w:p>
        </w:tc>
        <w:tc>
          <w:tcPr>
            <w:tcW w:w="0" w:type="auto"/>
            <w:tcBorders>
              <w:top w:val="nil"/>
              <w:left w:val="single" w:sz="4" w:space="0" w:color="auto"/>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29.6%</w:t>
            </w:r>
          </w:p>
        </w:tc>
        <w:tc>
          <w:tcPr>
            <w:tcW w:w="0" w:type="auto"/>
            <w:tcBorders>
              <w:top w:val="nil"/>
              <w:left w:val="nil"/>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2.56%</w:t>
            </w:r>
          </w:p>
        </w:tc>
        <w:tc>
          <w:tcPr>
            <w:tcW w:w="0" w:type="auto"/>
            <w:tcBorders>
              <w:top w:val="nil"/>
              <w:left w:val="single" w:sz="4" w:space="0" w:color="auto"/>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31.2%</w:t>
            </w:r>
          </w:p>
        </w:tc>
        <w:tc>
          <w:tcPr>
            <w:tcW w:w="0" w:type="auto"/>
            <w:tcBorders>
              <w:top w:val="nil"/>
              <w:left w:val="nil"/>
              <w:bottom w:val="nil"/>
              <w:right w:val="single" w:sz="4" w:space="0" w:color="auto"/>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7.32%</w:t>
            </w:r>
          </w:p>
        </w:tc>
        <w:tc>
          <w:tcPr>
            <w:tcW w:w="0" w:type="auto"/>
            <w:tcBorders>
              <w:top w:val="nil"/>
              <w:left w:val="nil"/>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-1.6%</w:t>
            </w:r>
          </w:p>
        </w:tc>
        <w:tc>
          <w:tcPr>
            <w:tcW w:w="0" w:type="auto"/>
            <w:tcBorders>
              <w:top w:val="nil"/>
              <w:left w:val="nil"/>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6.55%</w:t>
            </w:r>
          </w:p>
        </w:tc>
        <w:tc>
          <w:tcPr>
            <w:tcW w:w="0" w:type="auto"/>
            <w:tcBorders>
              <w:top w:val="nil"/>
              <w:left w:val="nil"/>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0.8124</w:t>
            </w:r>
          </w:p>
        </w:tc>
      </w:tr>
      <w:tr w:rsidR="000B6BDD" w:rsidRPr="00CB5596" w:rsidTr="0065121E">
        <w:trPr>
          <w:trHeight w:val="300"/>
        </w:trPr>
        <w:tc>
          <w:tcPr>
            <w:tcW w:w="0" w:type="auto"/>
            <w:tcBorders>
              <w:top w:val="nil"/>
              <w:left w:val="nil"/>
              <w:bottom w:val="nil"/>
              <w:right w:val="nil"/>
            </w:tcBorders>
            <w:noWrap/>
            <w:vAlign w:val="bottom"/>
          </w:tcPr>
          <w:p w:rsidR="000B6BDD" w:rsidRPr="00CB5596" w:rsidRDefault="000B6BDD" w:rsidP="00CB5596">
            <w:pPr>
              <w:spacing w:line="240" w:lineRule="auto"/>
              <w:rPr>
                <w:rFonts w:ascii="Franklin Gothic Medium" w:hAnsi="Franklin Gothic Medium" w:cs="Calibri"/>
                <w:color w:val="000000"/>
                <w:sz w:val="18"/>
                <w:szCs w:val="18"/>
              </w:rPr>
            </w:pPr>
            <w:r>
              <w:rPr>
                <w:rFonts w:ascii="Franklin Gothic Medium" w:hAnsi="Franklin Gothic Medium" w:cs="Calibri"/>
                <w:color w:val="000000"/>
                <w:sz w:val="18"/>
                <w:szCs w:val="18"/>
              </w:rPr>
              <w:t>Midwest</w:t>
            </w:r>
          </w:p>
        </w:tc>
        <w:tc>
          <w:tcPr>
            <w:tcW w:w="0" w:type="auto"/>
            <w:tcBorders>
              <w:top w:val="nil"/>
              <w:left w:val="single" w:sz="4" w:space="0" w:color="auto"/>
              <w:bottom w:val="nil"/>
              <w:right w:val="single" w:sz="4" w:space="0" w:color="auto"/>
            </w:tcBorders>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Pr>
                <w:rFonts w:ascii="Franklin Gothic Medium" w:hAnsi="Franklin Gothic Medium" w:cs="Calibri"/>
                <w:color w:val="000000"/>
                <w:sz w:val="18"/>
                <w:szCs w:val="18"/>
              </w:rPr>
              <w:t>983</w:t>
            </w:r>
          </w:p>
        </w:tc>
        <w:tc>
          <w:tcPr>
            <w:tcW w:w="0" w:type="auto"/>
            <w:tcBorders>
              <w:top w:val="nil"/>
              <w:left w:val="single" w:sz="4" w:space="0" w:color="auto"/>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19.7%</w:t>
            </w:r>
          </w:p>
        </w:tc>
        <w:tc>
          <w:tcPr>
            <w:tcW w:w="0" w:type="auto"/>
            <w:tcBorders>
              <w:top w:val="nil"/>
              <w:left w:val="nil"/>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1.80%</w:t>
            </w:r>
          </w:p>
        </w:tc>
        <w:tc>
          <w:tcPr>
            <w:tcW w:w="0" w:type="auto"/>
            <w:tcBorders>
              <w:top w:val="nil"/>
              <w:left w:val="single" w:sz="4" w:space="0" w:color="auto"/>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16.2%</w:t>
            </w:r>
          </w:p>
        </w:tc>
        <w:tc>
          <w:tcPr>
            <w:tcW w:w="0" w:type="auto"/>
            <w:tcBorders>
              <w:top w:val="nil"/>
              <w:left w:val="nil"/>
              <w:bottom w:val="nil"/>
              <w:right w:val="single" w:sz="4" w:space="0" w:color="auto"/>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2.56%</w:t>
            </w:r>
          </w:p>
        </w:tc>
        <w:tc>
          <w:tcPr>
            <w:tcW w:w="0" w:type="auto"/>
            <w:tcBorders>
              <w:top w:val="nil"/>
              <w:left w:val="nil"/>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3.5%</w:t>
            </w:r>
          </w:p>
        </w:tc>
        <w:tc>
          <w:tcPr>
            <w:tcW w:w="0" w:type="auto"/>
            <w:tcBorders>
              <w:top w:val="nil"/>
              <w:left w:val="nil"/>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3.49%</w:t>
            </w:r>
          </w:p>
        </w:tc>
        <w:tc>
          <w:tcPr>
            <w:tcW w:w="0" w:type="auto"/>
            <w:tcBorders>
              <w:top w:val="nil"/>
              <w:left w:val="nil"/>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0.3309</w:t>
            </w:r>
          </w:p>
        </w:tc>
      </w:tr>
      <w:tr w:rsidR="000B6BDD" w:rsidRPr="00CB5596" w:rsidTr="0065121E">
        <w:trPr>
          <w:trHeight w:val="300"/>
        </w:trPr>
        <w:tc>
          <w:tcPr>
            <w:tcW w:w="0" w:type="auto"/>
            <w:tcBorders>
              <w:top w:val="nil"/>
              <w:left w:val="nil"/>
              <w:bottom w:val="nil"/>
              <w:right w:val="nil"/>
            </w:tcBorders>
            <w:noWrap/>
            <w:vAlign w:val="bottom"/>
          </w:tcPr>
          <w:p w:rsidR="000B6BDD" w:rsidRPr="00CB5596" w:rsidRDefault="000B6BDD" w:rsidP="00CB5596">
            <w:pPr>
              <w:spacing w:line="240" w:lineRule="auto"/>
              <w:rPr>
                <w:rFonts w:ascii="Franklin Gothic Medium" w:hAnsi="Franklin Gothic Medium" w:cs="Calibri"/>
                <w:color w:val="000000"/>
                <w:sz w:val="18"/>
                <w:szCs w:val="18"/>
              </w:rPr>
            </w:pPr>
            <w:r>
              <w:rPr>
                <w:rFonts w:ascii="Franklin Gothic Medium" w:hAnsi="Franklin Gothic Medium" w:cs="Calibri"/>
                <w:color w:val="000000"/>
                <w:sz w:val="18"/>
                <w:szCs w:val="18"/>
              </w:rPr>
              <w:t>South</w:t>
            </w:r>
          </w:p>
        </w:tc>
        <w:tc>
          <w:tcPr>
            <w:tcW w:w="0" w:type="auto"/>
            <w:tcBorders>
              <w:top w:val="nil"/>
              <w:left w:val="single" w:sz="4" w:space="0" w:color="auto"/>
              <w:bottom w:val="nil"/>
              <w:right w:val="single" w:sz="4" w:space="0" w:color="auto"/>
            </w:tcBorders>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Pr>
                <w:rFonts w:ascii="Franklin Gothic Medium" w:hAnsi="Franklin Gothic Medium" w:cs="Calibri"/>
                <w:color w:val="000000"/>
                <w:sz w:val="18"/>
                <w:szCs w:val="18"/>
              </w:rPr>
              <w:t>882</w:t>
            </w:r>
          </w:p>
        </w:tc>
        <w:tc>
          <w:tcPr>
            <w:tcW w:w="0" w:type="auto"/>
            <w:tcBorders>
              <w:top w:val="nil"/>
              <w:left w:val="single" w:sz="4" w:space="0" w:color="auto"/>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24.0%</w:t>
            </w:r>
          </w:p>
        </w:tc>
        <w:tc>
          <w:tcPr>
            <w:tcW w:w="0" w:type="auto"/>
            <w:tcBorders>
              <w:top w:val="nil"/>
              <w:left w:val="nil"/>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3.34%</w:t>
            </w:r>
          </w:p>
        </w:tc>
        <w:tc>
          <w:tcPr>
            <w:tcW w:w="0" w:type="auto"/>
            <w:tcBorders>
              <w:top w:val="nil"/>
              <w:left w:val="single" w:sz="4" w:space="0" w:color="auto"/>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20.2%</w:t>
            </w:r>
          </w:p>
        </w:tc>
        <w:tc>
          <w:tcPr>
            <w:tcW w:w="0" w:type="auto"/>
            <w:tcBorders>
              <w:top w:val="nil"/>
              <w:left w:val="nil"/>
              <w:bottom w:val="nil"/>
              <w:right w:val="single" w:sz="4" w:space="0" w:color="auto"/>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1.88%</w:t>
            </w:r>
          </w:p>
        </w:tc>
        <w:tc>
          <w:tcPr>
            <w:tcW w:w="0" w:type="auto"/>
            <w:tcBorders>
              <w:top w:val="nil"/>
              <w:left w:val="nil"/>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3.8%</w:t>
            </w:r>
          </w:p>
        </w:tc>
        <w:tc>
          <w:tcPr>
            <w:tcW w:w="0" w:type="auto"/>
            <w:tcBorders>
              <w:top w:val="nil"/>
              <w:left w:val="nil"/>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3.91%</w:t>
            </w:r>
          </w:p>
        </w:tc>
        <w:tc>
          <w:tcPr>
            <w:tcW w:w="0" w:type="auto"/>
            <w:tcBorders>
              <w:top w:val="nil"/>
              <w:left w:val="nil"/>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0.3385</w:t>
            </w:r>
          </w:p>
        </w:tc>
      </w:tr>
      <w:tr w:rsidR="000B6BDD" w:rsidRPr="00CB5596" w:rsidTr="0065121E">
        <w:trPr>
          <w:trHeight w:val="300"/>
        </w:trPr>
        <w:tc>
          <w:tcPr>
            <w:tcW w:w="0" w:type="auto"/>
            <w:tcBorders>
              <w:top w:val="nil"/>
              <w:left w:val="nil"/>
              <w:bottom w:val="nil"/>
              <w:right w:val="nil"/>
            </w:tcBorders>
            <w:noWrap/>
            <w:vAlign w:val="bottom"/>
          </w:tcPr>
          <w:p w:rsidR="000B6BDD" w:rsidRPr="00CB5596" w:rsidRDefault="000B6BDD" w:rsidP="00CB5596">
            <w:pPr>
              <w:spacing w:line="240" w:lineRule="auto"/>
              <w:rPr>
                <w:rFonts w:ascii="Franklin Gothic Medium" w:hAnsi="Franklin Gothic Medium" w:cs="Calibri"/>
                <w:color w:val="000000"/>
                <w:sz w:val="18"/>
                <w:szCs w:val="18"/>
              </w:rPr>
            </w:pPr>
            <w:r>
              <w:rPr>
                <w:rFonts w:ascii="Franklin Gothic Medium" w:hAnsi="Franklin Gothic Medium" w:cs="Calibri"/>
                <w:color w:val="000000"/>
                <w:sz w:val="18"/>
                <w:szCs w:val="18"/>
              </w:rPr>
              <w:t>West</w:t>
            </w:r>
          </w:p>
        </w:tc>
        <w:tc>
          <w:tcPr>
            <w:tcW w:w="0" w:type="auto"/>
            <w:tcBorders>
              <w:top w:val="nil"/>
              <w:left w:val="single" w:sz="4" w:space="0" w:color="auto"/>
              <w:bottom w:val="nil"/>
              <w:right w:val="single" w:sz="4" w:space="0" w:color="auto"/>
            </w:tcBorders>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Pr>
                <w:rFonts w:ascii="Franklin Gothic Medium" w:hAnsi="Franklin Gothic Medium" w:cs="Calibri"/>
                <w:color w:val="000000"/>
                <w:sz w:val="18"/>
                <w:szCs w:val="18"/>
              </w:rPr>
              <w:t>505</w:t>
            </w:r>
          </w:p>
        </w:tc>
        <w:tc>
          <w:tcPr>
            <w:tcW w:w="0" w:type="auto"/>
            <w:tcBorders>
              <w:top w:val="nil"/>
              <w:left w:val="single" w:sz="4" w:space="0" w:color="auto"/>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27.7%</w:t>
            </w:r>
          </w:p>
        </w:tc>
        <w:tc>
          <w:tcPr>
            <w:tcW w:w="0" w:type="auto"/>
            <w:tcBorders>
              <w:top w:val="nil"/>
              <w:left w:val="nil"/>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2.54%</w:t>
            </w:r>
          </w:p>
        </w:tc>
        <w:tc>
          <w:tcPr>
            <w:tcW w:w="0" w:type="auto"/>
            <w:tcBorders>
              <w:top w:val="nil"/>
              <w:left w:val="single" w:sz="4" w:space="0" w:color="auto"/>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23.3%</w:t>
            </w:r>
          </w:p>
        </w:tc>
        <w:tc>
          <w:tcPr>
            <w:tcW w:w="0" w:type="auto"/>
            <w:tcBorders>
              <w:top w:val="nil"/>
              <w:left w:val="nil"/>
              <w:bottom w:val="nil"/>
              <w:right w:val="single" w:sz="4" w:space="0" w:color="auto"/>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2.28%</w:t>
            </w:r>
          </w:p>
        </w:tc>
        <w:tc>
          <w:tcPr>
            <w:tcW w:w="0" w:type="auto"/>
            <w:tcBorders>
              <w:top w:val="nil"/>
              <w:left w:val="nil"/>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4.4%</w:t>
            </w:r>
          </w:p>
        </w:tc>
        <w:tc>
          <w:tcPr>
            <w:tcW w:w="0" w:type="auto"/>
            <w:tcBorders>
              <w:top w:val="nil"/>
              <w:left w:val="nil"/>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2.73%</w:t>
            </w:r>
          </w:p>
        </w:tc>
        <w:tc>
          <w:tcPr>
            <w:tcW w:w="0" w:type="auto"/>
            <w:tcBorders>
              <w:top w:val="nil"/>
              <w:left w:val="nil"/>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0.1253</w:t>
            </w:r>
          </w:p>
        </w:tc>
      </w:tr>
      <w:tr w:rsidR="000B6BDD" w:rsidRPr="00CB5596" w:rsidTr="0065121E">
        <w:trPr>
          <w:trHeight w:val="300"/>
        </w:trPr>
        <w:tc>
          <w:tcPr>
            <w:tcW w:w="0" w:type="auto"/>
            <w:tcBorders>
              <w:top w:val="nil"/>
              <w:left w:val="nil"/>
              <w:bottom w:val="nil"/>
              <w:right w:val="nil"/>
            </w:tcBorders>
            <w:noWrap/>
            <w:vAlign w:val="bottom"/>
          </w:tcPr>
          <w:p w:rsidR="000B6BDD" w:rsidRPr="00CB5596" w:rsidRDefault="000B6BDD" w:rsidP="00CB5596">
            <w:pPr>
              <w:spacing w:line="240" w:lineRule="auto"/>
              <w:rPr>
                <w:rFonts w:ascii="Franklin Gothic Medium" w:hAnsi="Franklin Gothic Medium" w:cs="Calibri"/>
                <w:color w:val="000000"/>
                <w:sz w:val="18"/>
                <w:szCs w:val="18"/>
              </w:rPr>
            </w:pPr>
            <w:r>
              <w:rPr>
                <w:rFonts w:ascii="Franklin Gothic Medium" w:hAnsi="Franklin Gothic Medium" w:cs="Calibri"/>
                <w:color w:val="000000"/>
                <w:sz w:val="18"/>
                <w:szCs w:val="18"/>
              </w:rPr>
              <w:t>NonMSA</w:t>
            </w:r>
          </w:p>
        </w:tc>
        <w:tc>
          <w:tcPr>
            <w:tcW w:w="0" w:type="auto"/>
            <w:tcBorders>
              <w:top w:val="nil"/>
              <w:left w:val="single" w:sz="4" w:space="0" w:color="auto"/>
              <w:bottom w:val="nil"/>
              <w:right w:val="single" w:sz="4" w:space="0" w:color="auto"/>
            </w:tcBorders>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Pr>
                <w:rFonts w:ascii="Franklin Gothic Medium" w:hAnsi="Franklin Gothic Medium" w:cs="Calibri"/>
                <w:color w:val="000000"/>
                <w:sz w:val="18"/>
                <w:szCs w:val="18"/>
              </w:rPr>
              <w:t>445</w:t>
            </w:r>
          </w:p>
        </w:tc>
        <w:tc>
          <w:tcPr>
            <w:tcW w:w="0" w:type="auto"/>
            <w:tcBorders>
              <w:top w:val="nil"/>
              <w:left w:val="single" w:sz="4" w:space="0" w:color="auto"/>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14.7%</w:t>
            </w:r>
          </w:p>
        </w:tc>
        <w:tc>
          <w:tcPr>
            <w:tcW w:w="0" w:type="auto"/>
            <w:tcBorders>
              <w:top w:val="nil"/>
              <w:left w:val="nil"/>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2.63%</w:t>
            </w:r>
          </w:p>
        </w:tc>
        <w:tc>
          <w:tcPr>
            <w:tcW w:w="0" w:type="auto"/>
            <w:tcBorders>
              <w:top w:val="nil"/>
              <w:left w:val="single" w:sz="4" w:space="0" w:color="auto"/>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14.2%</w:t>
            </w:r>
          </w:p>
        </w:tc>
        <w:tc>
          <w:tcPr>
            <w:tcW w:w="0" w:type="auto"/>
            <w:tcBorders>
              <w:top w:val="nil"/>
              <w:left w:val="nil"/>
              <w:bottom w:val="nil"/>
              <w:right w:val="single" w:sz="4" w:space="0" w:color="auto"/>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2.73%</w:t>
            </w:r>
          </w:p>
        </w:tc>
        <w:tc>
          <w:tcPr>
            <w:tcW w:w="0" w:type="auto"/>
            <w:tcBorders>
              <w:top w:val="nil"/>
              <w:left w:val="nil"/>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0.5%</w:t>
            </w:r>
          </w:p>
        </w:tc>
        <w:tc>
          <w:tcPr>
            <w:tcW w:w="0" w:type="auto"/>
            <w:tcBorders>
              <w:top w:val="nil"/>
              <w:left w:val="nil"/>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4.15%</w:t>
            </w:r>
          </w:p>
        </w:tc>
        <w:tc>
          <w:tcPr>
            <w:tcW w:w="0" w:type="auto"/>
            <w:tcBorders>
              <w:top w:val="nil"/>
              <w:left w:val="nil"/>
              <w:bottom w:val="nil"/>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0.8998</w:t>
            </w:r>
          </w:p>
        </w:tc>
      </w:tr>
      <w:tr w:rsidR="000B6BDD" w:rsidRPr="00CB5596" w:rsidTr="0065121E">
        <w:trPr>
          <w:trHeight w:val="300"/>
        </w:trPr>
        <w:tc>
          <w:tcPr>
            <w:tcW w:w="0" w:type="auto"/>
            <w:tcBorders>
              <w:top w:val="nil"/>
              <w:left w:val="nil"/>
              <w:bottom w:val="single" w:sz="4" w:space="0" w:color="auto"/>
              <w:right w:val="nil"/>
            </w:tcBorders>
            <w:noWrap/>
            <w:vAlign w:val="bottom"/>
          </w:tcPr>
          <w:p w:rsidR="000B6BDD" w:rsidRPr="00CB5596" w:rsidRDefault="000B6BDD" w:rsidP="00CB5596">
            <w:pPr>
              <w:spacing w:line="240" w:lineRule="auto"/>
              <w:rPr>
                <w:rFonts w:ascii="Franklin Gothic Medium" w:hAnsi="Franklin Gothic Medium" w:cs="Calibri"/>
                <w:color w:val="000000"/>
                <w:sz w:val="18"/>
                <w:szCs w:val="18"/>
              </w:rPr>
            </w:pPr>
            <w:r>
              <w:rPr>
                <w:rFonts w:ascii="Franklin Gothic Medium" w:hAnsi="Franklin Gothic Medium" w:cs="Calibri"/>
                <w:color w:val="000000"/>
                <w:sz w:val="18"/>
                <w:szCs w:val="18"/>
              </w:rPr>
              <w:t>MSA</w:t>
            </w:r>
          </w:p>
        </w:tc>
        <w:tc>
          <w:tcPr>
            <w:tcW w:w="0" w:type="auto"/>
            <w:tcBorders>
              <w:top w:val="nil"/>
              <w:left w:val="single" w:sz="4" w:space="0" w:color="auto"/>
              <w:bottom w:val="single" w:sz="4" w:space="0" w:color="auto"/>
              <w:right w:val="single" w:sz="4" w:space="0" w:color="auto"/>
            </w:tcBorders>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Pr>
                <w:rFonts w:ascii="Franklin Gothic Medium" w:hAnsi="Franklin Gothic Medium" w:cs="Calibri"/>
                <w:color w:val="000000"/>
                <w:sz w:val="18"/>
                <w:szCs w:val="18"/>
              </w:rPr>
              <w:t>2224</w:t>
            </w:r>
          </w:p>
        </w:tc>
        <w:tc>
          <w:tcPr>
            <w:tcW w:w="0" w:type="auto"/>
            <w:tcBorders>
              <w:top w:val="nil"/>
              <w:left w:val="single" w:sz="4" w:space="0" w:color="auto"/>
              <w:bottom w:val="single" w:sz="4" w:space="0" w:color="auto"/>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25.5%</w:t>
            </w:r>
          </w:p>
        </w:tc>
        <w:tc>
          <w:tcPr>
            <w:tcW w:w="0" w:type="auto"/>
            <w:tcBorders>
              <w:top w:val="nil"/>
              <w:left w:val="nil"/>
              <w:bottom w:val="single" w:sz="4" w:space="0" w:color="auto"/>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1.63%</w:t>
            </w:r>
          </w:p>
        </w:tc>
        <w:tc>
          <w:tcPr>
            <w:tcW w:w="0" w:type="auto"/>
            <w:tcBorders>
              <w:top w:val="nil"/>
              <w:left w:val="single" w:sz="4" w:space="0" w:color="auto"/>
              <w:bottom w:val="single" w:sz="4" w:space="0" w:color="auto"/>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21.8%</w:t>
            </w:r>
          </w:p>
        </w:tc>
        <w:tc>
          <w:tcPr>
            <w:tcW w:w="0" w:type="auto"/>
            <w:tcBorders>
              <w:top w:val="nil"/>
              <w:left w:val="nil"/>
              <w:bottom w:val="single" w:sz="4" w:space="0" w:color="auto"/>
              <w:right w:val="single" w:sz="4" w:space="0" w:color="auto"/>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1.78%</w:t>
            </w:r>
          </w:p>
        </w:tc>
        <w:tc>
          <w:tcPr>
            <w:tcW w:w="0" w:type="auto"/>
            <w:tcBorders>
              <w:top w:val="nil"/>
              <w:left w:val="nil"/>
              <w:bottom w:val="single" w:sz="4" w:space="0" w:color="auto"/>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3.7%</w:t>
            </w:r>
          </w:p>
        </w:tc>
        <w:tc>
          <w:tcPr>
            <w:tcW w:w="0" w:type="auto"/>
            <w:tcBorders>
              <w:top w:val="nil"/>
              <w:left w:val="nil"/>
              <w:bottom w:val="single" w:sz="4" w:space="0" w:color="auto"/>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2.45%</w:t>
            </w:r>
          </w:p>
        </w:tc>
        <w:tc>
          <w:tcPr>
            <w:tcW w:w="0" w:type="auto"/>
            <w:tcBorders>
              <w:top w:val="nil"/>
              <w:left w:val="nil"/>
              <w:bottom w:val="single" w:sz="4" w:space="0" w:color="auto"/>
              <w:right w:val="nil"/>
            </w:tcBorders>
            <w:noWrap/>
            <w:vAlign w:val="bottom"/>
          </w:tcPr>
          <w:p w:rsidR="000B6BDD" w:rsidRPr="00CB5596" w:rsidRDefault="000B6BDD" w:rsidP="0065121E">
            <w:pPr>
              <w:spacing w:line="240" w:lineRule="auto"/>
              <w:jc w:val="center"/>
              <w:rPr>
                <w:rFonts w:ascii="Franklin Gothic Medium" w:hAnsi="Franklin Gothic Medium" w:cs="Calibri"/>
                <w:color w:val="000000"/>
                <w:sz w:val="18"/>
                <w:szCs w:val="18"/>
              </w:rPr>
            </w:pPr>
            <w:r w:rsidRPr="00CB5596">
              <w:rPr>
                <w:rFonts w:ascii="Franklin Gothic Medium" w:hAnsi="Franklin Gothic Medium" w:cs="Calibri"/>
                <w:color w:val="000000"/>
                <w:sz w:val="18"/>
                <w:szCs w:val="18"/>
              </w:rPr>
              <w:t>0.1454</w:t>
            </w:r>
          </w:p>
        </w:tc>
      </w:tr>
    </w:tbl>
    <w:p w:rsidR="000B6BDD" w:rsidRPr="007B5224" w:rsidRDefault="000B6BDD" w:rsidP="007B5224">
      <w:pPr>
        <w:pStyle w:val="TF-TblFN"/>
        <w:rPr>
          <w:szCs w:val="16"/>
        </w:rPr>
      </w:pPr>
      <w:r w:rsidRPr="00A1318F">
        <w:t>Source: 2010 Programme for the International Assessment of Adult Competencies Field Test</w:t>
      </w:r>
    </w:p>
    <w:p w:rsidR="000B6BDD" w:rsidRDefault="000B6BDD" w:rsidP="00895B62">
      <w:pPr>
        <w:pStyle w:val="ListParagraph"/>
        <w:ind w:left="0"/>
        <w:rPr>
          <w:rFonts w:ascii="Franklin Gothic Medium" w:hAnsi="Franklin Gothic Medium"/>
          <w:sz w:val="16"/>
          <w:szCs w:val="16"/>
        </w:rPr>
      </w:pPr>
      <w:r w:rsidRPr="007B5224">
        <w:rPr>
          <w:rFonts w:ascii="Franklin Gothic Medium" w:hAnsi="Franklin Gothic Medium"/>
          <w:sz w:val="16"/>
          <w:szCs w:val="16"/>
        </w:rPr>
        <w:t xml:space="preserve">Note: </w:t>
      </w:r>
      <w:r>
        <w:rPr>
          <w:rFonts w:ascii="Franklin Gothic Medium" w:hAnsi="Franklin Gothic Medium"/>
          <w:sz w:val="16"/>
          <w:szCs w:val="16"/>
        </w:rPr>
        <w:t xml:space="preserve">n = 2,669. </w:t>
      </w:r>
    </w:p>
    <w:p w:rsidR="000B6BDD" w:rsidRPr="007B5224" w:rsidRDefault="000B6BDD" w:rsidP="00895B62">
      <w:pPr>
        <w:pStyle w:val="ListParagraph"/>
        <w:ind w:left="0"/>
        <w:rPr>
          <w:rFonts w:ascii="Franklin Gothic Medium" w:hAnsi="Franklin Gothic Medium"/>
          <w:sz w:val="16"/>
          <w:szCs w:val="16"/>
        </w:rPr>
      </w:pPr>
      <w:r>
        <w:rPr>
          <w:rFonts w:ascii="Franklin Gothic Medium" w:hAnsi="Franklin Gothic Medium"/>
          <w:sz w:val="16"/>
          <w:szCs w:val="16"/>
        </w:rPr>
        <w:t xml:space="preserve">Note: </w:t>
      </w:r>
      <w:r w:rsidRPr="007B5224">
        <w:rPr>
          <w:rFonts w:ascii="Franklin Gothic Medium" w:hAnsi="Franklin Gothic Medium"/>
          <w:sz w:val="16"/>
          <w:szCs w:val="16"/>
        </w:rPr>
        <w:t>A PSU is high poverty if the population percentage below the 150 percent of the poverty line is greater than 21.4%. It is low poverty otherwise. A PSU is high education if the population percentage with high school education or less is less than 50.9%. It is low education otherwise. A PSU is high black if the population percentage non-His</w:t>
      </w:r>
      <w:r>
        <w:rPr>
          <w:rFonts w:ascii="Franklin Gothic Medium" w:hAnsi="Franklin Gothic Medium"/>
          <w:sz w:val="16"/>
          <w:szCs w:val="16"/>
        </w:rPr>
        <w:t>panic black is greater than 11.6</w:t>
      </w:r>
      <w:r w:rsidRPr="007B5224">
        <w:rPr>
          <w:rFonts w:ascii="Franklin Gothic Medium" w:hAnsi="Franklin Gothic Medium"/>
          <w:sz w:val="16"/>
          <w:szCs w:val="16"/>
        </w:rPr>
        <w:t xml:space="preserve">%. It is low black otherwise. A PSU is high Hispanic if the population percentage Hispanic is less than </w:t>
      </w:r>
      <w:r>
        <w:rPr>
          <w:rFonts w:ascii="Franklin Gothic Medium" w:hAnsi="Franklin Gothic Medium"/>
          <w:sz w:val="16"/>
          <w:szCs w:val="16"/>
        </w:rPr>
        <w:t>7.5</w:t>
      </w:r>
      <w:r w:rsidRPr="007B5224">
        <w:rPr>
          <w:rFonts w:ascii="Franklin Gothic Medium" w:hAnsi="Franklin Gothic Medium"/>
          <w:sz w:val="16"/>
          <w:szCs w:val="16"/>
        </w:rPr>
        <w:t>%. It is low Hispanic otherwise. MSA = Metropolitan Statistical Area.</w:t>
      </w:r>
    </w:p>
    <w:p w:rsidR="000B6BDD" w:rsidRDefault="000B6BDD" w:rsidP="0065121E">
      <w:pPr>
        <w:pStyle w:val="L1-FlLSp12"/>
      </w:pPr>
    </w:p>
    <w:p w:rsidR="000B6BDD" w:rsidRDefault="000B6BDD" w:rsidP="0065121E">
      <w:pPr>
        <w:pStyle w:val="L1-FlLSp12"/>
      </w:pPr>
    </w:p>
    <w:p w:rsidR="000B6BDD" w:rsidRDefault="000B6BDD" w:rsidP="0065121E">
      <w:pPr>
        <w:pStyle w:val="Heading2"/>
      </w:pPr>
      <w:r>
        <w:t>G.2.3</w:t>
      </w:r>
      <w:r>
        <w:tab/>
        <w:t>Background Questionnaire</w:t>
      </w:r>
    </w:p>
    <w:p w:rsidR="000B6BDD" w:rsidRDefault="000B6BDD" w:rsidP="0065121E">
      <w:pPr>
        <w:pStyle w:val="L1-FlLSp12"/>
      </w:pPr>
      <w:r w:rsidRPr="00BF3F5A">
        <w:t>Th</w:t>
      </w:r>
      <w:r>
        <w:t>e refusal rate is computed for the Background Questionnaire (BQ) conditional on completing the screener. The numerator and denominator of the ratio are:</w:t>
      </w:r>
    </w:p>
    <w:p w:rsidR="000B6BDD" w:rsidRDefault="000B6BDD" w:rsidP="0065121E">
      <w:pPr>
        <w:pStyle w:val="L1-FlLSp12"/>
      </w:pPr>
    </w:p>
    <w:p w:rsidR="000B6BDD" w:rsidRDefault="000B6BDD" w:rsidP="0065121E">
      <w:pPr>
        <w:pStyle w:val="N1-1stBullet"/>
        <w:numPr>
          <w:numberingChange w:id="16" w:author="Unknown" w:date="2011-04-29T16:46:00Z" w:original=""/>
        </w:numPr>
      </w:pPr>
      <w:r w:rsidRPr="00B42DDB">
        <w:rPr>
          <w:i/>
        </w:rPr>
        <w:t>Numerator</w:t>
      </w:r>
      <w:r>
        <w:t>: Number of selected persons with status as: refusals or incompletes (i.e., partial completes due to break-offs).</w:t>
      </w:r>
    </w:p>
    <w:p w:rsidR="000B6BDD" w:rsidRDefault="000B6BDD" w:rsidP="0065121E">
      <w:pPr>
        <w:pStyle w:val="N1-1stBullet"/>
        <w:numPr>
          <w:numberingChange w:id="17" w:author="Unknown" w:date="2011-04-29T16:46:00Z" w:original=""/>
        </w:numPr>
      </w:pPr>
      <w:r w:rsidRPr="00B42DDB">
        <w:rPr>
          <w:i/>
        </w:rPr>
        <w:t>Denominator</w:t>
      </w:r>
      <w:r>
        <w:t>: The value of the numerator plus the number of completed BQs.</w:t>
      </w:r>
    </w:p>
    <w:p w:rsidR="000B6BDD" w:rsidRDefault="000B6BDD" w:rsidP="0065121E">
      <w:pPr>
        <w:pStyle w:val="L1-FlLSp12"/>
      </w:pPr>
      <w:r>
        <w:t>The denominator excludes the following cases</w:t>
      </w:r>
      <w:r w:rsidRPr="00680CB9">
        <w:t xml:space="preserve"> </w:t>
      </w:r>
      <w:r>
        <w:t>for which it is assumed that the incentive payment has no impact: language problem, reading/writing difficulty, refusal by other person, learning/mental disability, impairments (hearing, blindness/vision, speech), disabilities (physical, other), other unusual circumstances/Death, and maximum number of calls.</w:t>
      </w:r>
    </w:p>
    <w:p w:rsidR="000B6BDD" w:rsidRDefault="000B6BDD" w:rsidP="0065121E">
      <w:pPr>
        <w:pStyle w:val="L1-FlLSp12"/>
      </w:pPr>
    </w:p>
    <w:p w:rsidR="000B6BDD" w:rsidRDefault="000B6BDD" w:rsidP="0065121E">
      <w:pPr>
        <w:pStyle w:val="L1-FlLSp12"/>
      </w:pPr>
      <w:r w:rsidRPr="00646F7E">
        <w:t>The estimated difference in the incentive group refusal rates</w:t>
      </w:r>
      <w:r w:rsidRPr="00646F7E">
        <w:rPr>
          <w:rStyle w:val="FootnoteReference"/>
        </w:rPr>
        <w:footnoteReference w:id="7"/>
      </w:r>
      <w:r w:rsidRPr="00646F7E">
        <w:t xml:space="preserve"> for the BQ is 6.2</w:t>
      </w:r>
      <w:r>
        <w:t xml:space="preserve"> percent</w:t>
      </w:r>
      <w:r w:rsidRPr="00646F7E">
        <w:t xml:space="preserve">, </w:t>
      </w:r>
      <w:r>
        <w:t xml:space="preserve">with </w:t>
      </w:r>
      <w:r w:rsidRPr="00646F7E">
        <w:t xml:space="preserve">an associated p-value of less than 0.001. </w:t>
      </w:r>
      <w:r>
        <w:t>Thus</w:t>
      </w:r>
      <w:r w:rsidRPr="00646F7E">
        <w:t xml:space="preserve">, the refusal rate </w:t>
      </w:r>
      <w:r>
        <w:t xml:space="preserve">for the BQ </w:t>
      </w:r>
      <w:r w:rsidRPr="00646F7E">
        <w:t xml:space="preserve">with the $50 payment is significantly lower than the refusal rate </w:t>
      </w:r>
      <w:r>
        <w:t>for the BQ</w:t>
      </w:r>
      <w:r w:rsidRPr="00646F7E">
        <w:t xml:space="preserve"> with the $35 payment.</w:t>
      </w:r>
      <w:r>
        <w:t xml:space="preserve"> </w:t>
      </w:r>
    </w:p>
    <w:p w:rsidR="000B6BDD" w:rsidRDefault="000B6BDD" w:rsidP="0065121E">
      <w:pPr>
        <w:pStyle w:val="L1-FlLSp12"/>
      </w:pPr>
    </w:p>
    <w:p w:rsidR="000B6BDD" w:rsidRDefault="000B6BDD" w:rsidP="0065121E">
      <w:pPr>
        <w:pStyle w:val="L1-FlLSp12"/>
      </w:pPr>
      <w:r>
        <w:t>The logistic regression analysis results are given in Table G-5. The results show a statistically significant difference (p-value = 0.0436) in refusal rates between a $35 and a $50 incentive. This is a more powerful test than the t-test since it controls for all other variables in the model, including variables at the person level collected from the screener questionnaire in addition to variables based on area-level percentages described above. The model also shows that there is a significantly higher chance for refusal for those living in the Northeast.</w:t>
      </w:r>
    </w:p>
    <w:p w:rsidR="000B6BDD" w:rsidRDefault="000B6BDD" w:rsidP="0065121E">
      <w:pPr>
        <w:pStyle w:val="L1-FlLSp12"/>
      </w:pPr>
    </w:p>
    <w:p w:rsidR="000B6BDD" w:rsidRDefault="000B6BDD" w:rsidP="0065121E">
      <w:pPr>
        <w:pStyle w:val="TT-TableTitle"/>
      </w:pPr>
      <w:r>
        <w:t>Table G-5.</w:t>
      </w:r>
      <w:r>
        <w:tab/>
        <w:t>Background Questionnaire level logistic regression results on the refusal indicator</w:t>
      </w:r>
    </w:p>
    <w:p w:rsidR="000B6BDD" w:rsidRDefault="000B6BDD" w:rsidP="0065121E">
      <w:pPr>
        <w:pStyle w:val="TT-TableTitle"/>
      </w:pPr>
    </w:p>
    <w:tbl>
      <w:tblPr>
        <w:tblW w:w="5000" w:type="pct"/>
        <w:tblLook w:val="00A0"/>
      </w:tblPr>
      <w:tblGrid>
        <w:gridCol w:w="5095"/>
        <w:gridCol w:w="1473"/>
        <w:gridCol w:w="1909"/>
        <w:gridCol w:w="1099"/>
      </w:tblGrid>
      <w:tr w:rsidR="000B6BDD" w:rsidRPr="0037170C" w:rsidTr="0037170C">
        <w:trPr>
          <w:trHeight w:val="300"/>
        </w:trPr>
        <w:tc>
          <w:tcPr>
            <w:tcW w:w="2660" w:type="pct"/>
            <w:tcBorders>
              <w:top w:val="single" w:sz="4" w:space="0" w:color="auto"/>
              <w:left w:val="nil"/>
              <w:right w:val="nil"/>
            </w:tcBorders>
            <w:shd w:val="clear" w:color="auto" w:fill="AFBED7"/>
            <w:noWrap/>
            <w:vAlign w:val="bottom"/>
          </w:tcPr>
          <w:p w:rsidR="000B6BDD" w:rsidRPr="0037170C" w:rsidRDefault="000B6BDD" w:rsidP="0037170C">
            <w:pPr>
              <w:pStyle w:val="TH-TableHeading"/>
            </w:pPr>
          </w:p>
        </w:tc>
        <w:tc>
          <w:tcPr>
            <w:tcW w:w="769" w:type="pct"/>
            <w:tcBorders>
              <w:top w:val="single" w:sz="4" w:space="0" w:color="auto"/>
              <w:left w:val="nil"/>
              <w:right w:val="nil"/>
            </w:tcBorders>
            <w:shd w:val="clear" w:color="auto" w:fill="AFBED7"/>
            <w:noWrap/>
            <w:vAlign w:val="bottom"/>
          </w:tcPr>
          <w:p w:rsidR="000B6BDD" w:rsidRPr="0037170C" w:rsidRDefault="000B6BDD" w:rsidP="0037170C">
            <w:pPr>
              <w:spacing w:line="240" w:lineRule="auto"/>
              <w:jc w:val="center"/>
              <w:rPr>
                <w:rFonts w:ascii="Franklin Gothic Medium" w:hAnsi="Franklin Gothic Medium" w:cs="Calibri"/>
                <w:b/>
                <w:color w:val="000000"/>
                <w:szCs w:val="22"/>
              </w:rPr>
            </w:pPr>
            <w:r w:rsidRPr="0037170C">
              <w:rPr>
                <w:rFonts w:ascii="Franklin Gothic Medium" w:hAnsi="Franklin Gothic Medium" w:cs="Calibri"/>
                <w:b/>
                <w:color w:val="000000"/>
                <w:sz w:val="22"/>
                <w:szCs w:val="22"/>
              </w:rPr>
              <w:t>Parameter</w:t>
            </w:r>
          </w:p>
        </w:tc>
        <w:tc>
          <w:tcPr>
            <w:tcW w:w="997" w:type="pct"/>
            <w:tcBorders>
              <w:top w:val="single" w:sz="4" w:space="0" w:color="auto"/>
              <w:left w:val="nil"/>
              <w:right w:val="nil"/>
            </w:tcBorders>
            <w:shd w:val="clear" w:color="auto" w:fill="AFBED7"/>
            <w:noWrap/>
            <w:vAlign w:val="bottom"/>
          </w:tcPr>
          <w:p w:rsidR="000B6BDD" w:rsidRPr="0037170C" w:rsidRDefault="000B6BDD" w:rsidP="0037170C">
            <w:pPr>
              <w:spacing w:line="240" w:lineRule="auto"/>
              <w:jc w:val="center"/>
              <w:rPr>
                <w:rFonts w:ascii="Franklin Gothic Medium" w:hAnsi="Franklin Gothic Medium" w:cs="Calibri"/>
                <w:b/>
                <w:color w:val="000000"/>
                <w:szCs w:val="22"/>
              </w:rPr>
            </w:pPr>
          </w:p>
        </w:tc>
        <w:tc>
          <w:tcPr>
            <w:tcW w:w="574" w:type="pct"/>
            <w:tcBorders>
              <w:top w:val="single" w:sz="4" w:space="0" w:color="auto"/>
              <w:left w:val="nil"/>
              <w:right w:val="nil"/>
            </w:tcBorders>
            <w:shd w:val="clear" w:color="auto" w:fill="AFBED7"/>
            <w:noWrap/>
            <w:vAlign w:val="bottom"/>
          </w:tcPr>
          <w:p w:rsidR="000B6BDD" w:rsidRPr="0037170C" w:rsidRDefault="000B6BDD" w:rsidP="0037170C">
            <w:pPr>
              <w:spacing w:line="240" w:lineRule="auto"/>
              <w:jc w:val="center"/>
              <w:rPr>
                <w:rFonts w:ascii="Franklin Gothic Medium" w:hAnsi="Franklin Gothic Medium" w:cs="Calibri"/>
                <w:b/>
                <w:color w:val="000000"/>
                <w:szCs w:val="22"/>
              </w:rPr>
            </w:pPr>
          </w:p>
        </w:tc>
      </w:tr>
      <w:tr w:rsidR="000B6BDD" w:rsidRPr="0037170C" w:rsidTr="0037170C">
        <w:trPr>
          <w:trHeight w:val="300"/>
        </w:trPr>
        <w:tc>
          <w:tcPr>
            <w:tcW w:w="2660" w:type="pct"/>
            <w:tcBorders>
              <w:top w:val="nil"/>
              <w:left w:val="nil"/>
              <w:bottom w:val="single" w:sz="4" w:space="0" w:color="auto"/>
              <w:right w:val="nil"/>
            </w:tcBorders>
            <w:shd w:val="clear" w:color="auto" w:fill="AFBED7"/>
            <w:noWrap/>
            <w:vAlign w:val="bottom"/>
          </w:tcPr>
          <w:p w:rsidR="000B6BDD" w:rsidRPr="0037170C" w:rsidRDefault="000B6BDD" w:rsidP="0037170C">
            <w:pPr>
              <w:keepNext/>
              <w:spacing w:line="240" w:lineRule="auto"/>
              <w:jc w:val="center"/>
              <w:rPr>
                <w:rFonts w:ascii="Franklin Gothic Medium" w:hAnsi="Franklin Gothic Medium" w:cs="Calibri"/>
                <w:b/>
                <w:color w:val="000000"/>
                <w:szCs w:val="22"/>
              </w:rPr>
            </w:pPr>
            <w:r w:rsidRPr="0037170C">
              <w:rPr>
                <w:rFonts w:ascii="Franklin Gothic Medium" w:hAnsi="Franklin Gothic Medium" w:cs="Calibri"/>
                <w:b/>
                <w:color w:val="000000"/>
                <w:sz w:val="22"/>
                <w:szCs w:val="22"/>
              </w:rPr>
              <w:t>Parameter</w:t>
            </w:r>
          </w:p>
        </w:tc>
        <w:tc>
          <w:tcPr>
            <w:tcW w:w="769" w:type="pct"/>
            <w:tcBorders>
              <w:top w:val="nil"/>
              <w:left w:val="nil"/>
              <w:bottom w:val="single" w:sz="4" w:space="0" w:color="auto"/>
              <w:right w:val="nil"/>
            </w:tcBorders>
            <w:shd w:val="clear" w:color="auto" w:fill="AFBED7"/>
            <w:noWrap/>
            <w:vAlign w:val="bottom"/>
          </w:tcPr>
          <w:p w:rsidR="000B6BDD" w:rsidRPr="0037170C" w:rsidRDefault="000B6BDD" w:rsidP="0037170C">
            <w:pPr>
              <w:keepNext/>
              <w:spacing w:line="240" w:lineRule="auto"/>
              <w:jc w:val="center"/>
              <w:rPr>
                <w:rFonts w:ascii="Franklin Gothic Medium" w:hAnsi="Franklin Gothic Medium" w:cs="Calibri"/>
                <w:b/>
                <w:color w:val="000000"/>
                <w:szCs w:val="22"/>
              </w:rPr>
            </w:pPr>
            <w:r w:rsidRPr="0037170C">
              <w:rPr>
                <w:rFonts w:ascii="Franklin Gothic Medium" w:hAnsi="Franklin Gothic Medium" w:cs="Calibri"/>
                <w:b/>
                <w:color w:val="000000"/>
                <w:sz w:val="22"/>
                <w:szCs w:val="22"/>
              </w:rPr>
              <w:t>Estimate</w:t>
            </w:r>
          </w:p>
        </w:tc>
        <w:tc>
          <w:tcPr>
            <w:tcW w:w="997" w:type="pct"/>
            <w:tcBorders>
              <w:top w:val="nil"/>
              <w:left w:val="nil"/>
              <w:bottom w:val="single" w:sz="4" w:space="0" w:color="auto"/>
              <w:right w:val="nil"/>
            </w:tcBorders>
            <w:shd w:val="clear" w:color="auto" w:fill="AFBED7"/>
            <w:noWrap/>
            <w:vAlign w:val="bottom"/>
          </w:tcPr>
          <w:p w:rsidR="000B6BDD" w:rsidRPr="0037170C" w:rsidRDefault="000B6BDD" w:rsidP="0037170C">
            <w:pPr>
              <w:keepNext/>
              <w:spacing w:line="240" w:lineRule="auto"/>
              <w:jc w:val="center"/>
              <w:rPr>
                <w:rFonts w:ascii="Franklin Gothic Medium" w:hAnsi="Franklin Gothic Medium" w:cs="Calibri"/>
                <w:b/>
                <w:color w:val="000000"/>
                <w:szCs w:val="22"/>
              </w:rPr>
            </w:pPr>
            <w:r w:rsidRPr="0037170C">
              <w:rPr>
                <w:rFonts w:ascii="Franklin Gothic Medium" w:hAnsi="Franklin Gothic Medium" w:cs="Calibri"/>
                <w:b/>
                <w:color w:val="000000"/>
                <w:sz w:val="22"/>
                <w:szCs w:val="22"/>
              </w:rPr>
              <w:t>Standard Error</w:t>
            </w:r>
          </w:p>
        </w:tc>
        <w:tc>
          <w:tcPr>
            <w:tcW w:w="574" w:type="pct"/>
            <w:tcBorders>
              <w:top w:val="nil"/>
              <w:left w:val="nil"/>
              <w:bottom w:val="single" w:sz="4" w:space="0" w:color="auto"/>
              <w:right w:val="nil"/>
            </w:tcBorders>
            <w:shd w:val="clear" w:color="auto" w:fill="AFBED7"/>
            <w:noWrap/>
            <w:vAlign w:val="bottom"/>
          </w:tcPr>
          <w:p w:rsidR="000B6BDD" w:rsidRPr="0037170C" w:rsidRDefault="000B6BDD" w:rsidP="0037170C">
            <w:pPr>
              <w:keepNext/>
              <w:spacing w:line="240" w:lineRule="auto"/>
              <w:jc w:val="center"/>
              <w:rPr>
                <w:rFonts w:ascii="Franklin Gothic Medium" w:hAnsi="Franklin Gothic Medium" w:cs="Calibri"/>
                <w:b/>
                <w:color w:val="000000"/>
                <w:szCs w:val="22"/>
              </w:rPr>
            </w:pPr>
            <w:r w:rsidRPr="0037170C">
              <w:rPr>
                <w:rFonts w:ascii="Franklin Gothic Medium" w:hAnsi="Franklin Gothic Medium" w:cs="Calibri"/>
                <w:b/>
                <w:color w:val="000000"/>
                <w:sz w:val="22"/>
                <w:szCs w:val="22"/>
              </w:rPr>
              <w:t>P-value</w:t>
            </w:r>
          </w:p>
        </w:tc>
      </w:tr>
      <w:tr w:rsidR="000B6BDD" w:rsidRPr="004F5017" w:rsidTr="0037170C">
        <w:trPr>
          <w:trHeight w:val="300"/>
        </w:trPr>
        <w:tc>
          <w:tcPr>
            <w:tcW w:w="2660" w:type="pct"/>
            <w:tcBorders>
              <w:top w:val="single" w:sz="4" w:space="0" w:color="auto"/>
              <w:left w:val="nil"/>
              <w:bottom w:val="nil"/>
              <w:right w:val="nil"/>
            </w:tcBorders>
            <w:noWrap/>
            <w:vAlign w:val="bottom"/>
          </w:tcPr>
          <w:p w:rsidR="000B6BDD" w:rsidRPr="003F501A" w:rsidRDefault="000B6BDD" w:rsidP="0037170C">
            <w:pPr>
              <w:keepNext/>
              <w:spacing w:line="240" w:lineRule="auto"/>
              <w:rPr>
                <w:rFonts w:ascii="Franklin Gothic Medium" w:hAnsi="Franklin Gothic Medium" w:cs="Calibri"/>
                <w:color w:val="000000"/>
                <w:szCs w:val="22"/>
              </w:rPr>
            </w:pPr>
            <w:r w:rsidRPr="003F501A">
              <w:rPr>
                <w:rFonts w:ascii="Franklin Gothic Medium" w:hAnsi="Franklin Gothic Medium" w:cs="Calibri"/>
                <w:color w:val="000000"/>
                <w:sz w:val="22"/>
                <w:szCs w:val="22"/>
              </w:rPr>
              <w:t>Intercept</w:t>
            </w:r>
          </w:p>
        </w:tc>
        <w:tc>
          <w:tcPr>
            <w:tcW w:w="769" w:type="pct"/>
            <w:tcBorders>
              <w:top w:val="single" w:sz="4" w:space="0" w:color="auto"/>
              <w:left w:val="nil"/>
              <w:bottom w:val="nil"/>
              <w:right w:val="nil"/>
            </w:tcBorders>
            <w:noWrap/>
            <w:vAlign w:val="bottom"/>
          </w:tcPr>
          <w:p w:rsidR="000B6BDD" w:rsidRPr="003F501A" w:rsidRDefault="000B6BDD" w:rsidP="0037170C">
            <w:pPr>
              <w:keepNext/>
              <w:jc w:val="center"/>
              <w:rPr>
                <w:rFonts w:ascii="Franklin Gothic Medium" w:hAnsi="Franklin Gothic Medium" w:cs="Calibri"/>
                <w:color w:val="000000"/>
                <w:szCs w:val="22"/>
              </w:rPr>
            </w:pPr>
            <w:r w:rsidRPr="003F501A">
              <w:rPr>
                <w:rFonts w:ascii="Franklin Gothic Medium" w:hAnsi="Franklin Gothic Medium" w:cs="Calibri"/>
                <w:color w:val="000000"/>
                <w:sz w:val="22"/>
                <w:szCs w:val="22"/>
              </w:rPr>
              <w:t>-1.53</w:t>
            </w:r>
          </w:p>
        </w:tc>
        <w:tc>
          <w:tcPr>
            <w:tcW w:w="997" w:type="pct"/>
            <w:tcBorders>
              <w:top w:val="single" w:sz="4" w:space="0" w:color="auto"/>
              <w:left w:val="nil"/>
              <w:bottom w:val="nil"/>
              <w:right w:val="nil"/>
            </w:tcBorders>
            <w:noWrap/>
            <w:vAlign w:val="bottom"/>
          </w:tcPr>
          <w:p w:rsidR="000B6BDD" w:rsidRPr="003F501A" w:rsidRDefault="000B6BDD" w:rsidP="0037170C">
            <w:pPr>
              <w:keepNext/>
              <w:jc w:val="center"/>
              <w:rPr>
                <w:rFonts w:ascii="Franklin Gothic Medium" w:hAnsi="Franklin Gothic Medium" w:cs="Calibri"/>
                <w:color w:val="000000"/>
                <w:szCs w:val="22"/>
              </w:rPr>
            </w:pPr>
            <w:r w:rsidRPr="003F501A">
              <w:rPr>
                <w:rFonts w:ascii="Franklin Gothic Medium" w:hAnsi="Franklin Gothic Medium" w:cs="Calibri"/>
                <w:color w:val="000000"/>
                <w:sz w:val="22"/>
                <w:szCs w:val="22"/>
              </w:rPr>
              <w:t>0.210</w:t>
            </w:r>
          </w:p>
        </w:tc>
        <w:tc>
          <w:tcPr>
            <w:tcW w:w="574" w:type="pct"/>
            <w:tcBorders>
              <w:top w:val="single" w:sz="4" w:space="0" w:color="auto"/>
              <w:left w:val="nil"/>
              <w:bottom w:val="nil"/>
              <w:right w:val="nil"/>
            </w:tcBorders>
            <w:noWrap/>
            <w:vAlign w:val="bottom"/>
          </w:tcPr>
          <w:p w:rsidR="000B6BDD" w:rsidRPr="003F501A" w:rsidRDefault="000B6BDD" w:rsidP="0037170C">
            <w:pPr>
              <w:keepNext/>
              <w:jc w:val="center"/>
              <w:rPr>
                <w:rFonts w:ascii="Franklin Gothic Medium" w:hAnsi="Franklin Gothic Medium" w:cs="Calibri"/>
                <w:color w:val="000000"/>
                <w:szCs w:val="22"/>
              </w:rPr>
            </w:pPr>
            <w:r w:rsidRPr="003F501A">
              <w:rPr>
                <w:rFonts w:ascii="Franklin Gothic Medium" w:hAnsi="Franklin Gothic Medium" w:cs="Calibri"/>
                <w:color w:val="000000"/>
                <w:sz w:val="22"/>
                <w:szCs w:val="22"/>
              </w:rPr>
              <w:t>0.0000</w:t>
            </w:r>
          </w:p>
        </w:tc>
      </w:tr>
      <w:tr w:rsidR="000B6BDD" w:rsidRPr="004F5017" w:rsidTr="0065121E">
        <w:trPr>
          <w:trHeight w:val="300"/>
        </w:trPr>
        <w:tc>
          <w:tcPr>
            <w:tcW w:w="2660" w:type="pct"/>
            <w:tcBorders>
              <w:top w:val="nil"/>
              <w:left w:val="nil"/>
              <w:bottom w:val="nil"/>
              <w:right w:val="nil"/>
            </w:tcBorders>
            <w:noWrap/>
            <w:vAlign w:val="bottom"/>
          </w:tcPr>
          <w:p w:rsidR="000B6BDD" w:rsidRPr="003F501A" w:rsidRDefault="000B6BDD" w:rsidP="0037170C">
            <w:pPr>
              <w:keepNext/>
              <w:spacing w:line="240" w:lineRule="auto"/>
              <w:rPr>
                <w:rFonts w:ascii="Franklin Gothic Medium" w:hAnsi="Franklin Gothic Medium" w:cs="Calibri"/>
                <w:color w:val="000000"/>
                <w:szCs w:val="22"/>
              </w:rPr>
            </w:pPr>
            <w:r w:rsidRPr="003F501A">
              <w:rPr>
                <w:rFonts w:ascii="Franklin Gothic Medium" w:hAnsi="Franklin Gothic Medium" w:cs="Calibri"/>
                <w:color w:val="000000"/>
                <w:sz w:val="22"/>
                <w:szCs w:val="22"/>
              </w:rPr>
              <w:t>Incentive group</w:t>
            </w:r>
          </w:p>
        </w:tc>
        <w:tc>
          <w:tcPr>
            <w:tcW w:w="769" w:type="pct"/>
            <w:tcBorders>
              <w:top w:val="nil"/>
              <w:left w:val="nil"/>
              <w:bottom w:val="nil"/>
              <w:right w:val="nil"/>
            </w:tcBorders>
            <w:noWrap/>
            <w:vAlign w:val="bottom"/>
          </w:tcPr>
          <w:p w:rsidR="000B6BDD" w:rsidRPr="003F501A" w:rsidRDefault="000B6BDD" w:rsidP="0037170C">
            <w:pPr>
              <w:keepNext/>
              <w:jc w:val="center"/>
              <w:rPr>
                <w:rFonts w:ascii="Franklin Gothic Medium" w:hAnsi="Franklin Gothic Medium" w:cs="Calibri"/>
                <w:color w:val="000000"/>
                <w:szCs w:val="22"/>
              </w:rPr>
            </w:pPr>
            <w:r w:rsidRPr="003F501A">
              <w:rPr>
                <w:rFonts w:ascii="Franklin Gothic Medium" w:hAnsi="Franklin Gothic Medium" w:cs="Calibri"/>
                <w:color w:val="000000"/>
                <w:sz w:val="22"/>
                <w:szCs w:val="22"/>
              </w:rPr>
              <w:t>-0.30</w:t>
            </w:r>
          </w:p>
        </w:tc>
        <w:tc>
          <w:tcPr>
            <w:tcW w:w="997" w:type="pct"/>
            <w:tcBorders>
              <w:top w:val="nil"/>
              <w:left w:val="nil"/>
              <w:bottom w:val="nil"/>
              <w:right w:val="nil"/>
            </w:tcBorders>
            <w:noWrap/>
            <w:vAlign w:val="bottom"/>
          </w:tcPr>
          <w:p w:rsidR="000B6BDD" w:rsidRPr="003F501A" w:rsidRDefault="000B6BDD" w:rsidP="0037170C">
            <w:pPr>
              <w:keepNext/>
              <w:jc w:val="center"/>
              <w:rPr>
                <w:rFonts w:ascii="Franklin Gothic Medium" w:hAnsi="Franklin Gothic Medium" w:cs="Calibri"/>
                <w:color w:val="000000"/>
                <w:szCs w:val="22"/>
              </w:rPr>
            </w:pPr>
            <w:r w:rsidRPr="003F501A">
              <w:rPr>
                <w:rFonts w:ascii="Franklin Gothic Medium" w:hAnsi="Franklin Gothic Medium" w:cs="Calibri"/>
                <w:color w:val="000000"/>
                <w:sz w:val="22"/>
                <w:szCs w:val="22"/>
              </w:rPr>
              <w:t>0.138</w:t>
            </w:r>
          </w:p>
        </w:tc>
        <w:tc>
          <w:tcPr>
            <w:tcW w:w="574" w:type="pct"/>
            <w:tcBorders>
              <w:top w:val="nil"/>
              <w:left w:val="nil"/>
              <w:bottom w:val="nil"/>
              <w:right w:val="nil"/>
            </w:tcBorders>
            <w:noWrap/>
            <w:vAlign w:val="bottom"/>
          </w:tcPr>
          <w:p w:rsidR="000B6BDD" w:rsidRPr="003F501A" w:rsidRDefault="000B6BDD" w:rsidP="0037170C">
            <w:pPr>
              <w:keepNext/>
              <w:jc w:val="center"/>
              <w:rPr>
                <w:rFonts w:ascii="Franklin Gothic Medium" w:hAnsi="Franklin Gothic Medium" w:cs="Calibri"/>
                <w:color w:val="000000"/>
                <w:szCs w:val="22"/>
              </w:rPr>
            </w:pPr>
            <w:r w:rsidRPr="003F501A">
              <w:rPr>
                <w:rFonts w:ascii="Franklin Gothic Medium" w:hAnsi="Franklin Gothic Medium" w:cs="Calibri"/>
                <w:color w:val="000000"/>
                <w:sz w:val="22"/>
                <w:szCs w:val="22"/>
              </w:rPr>
              <w:t>0.0436</w:t>
            </w:r>
          </w:p>
        </w:tc>
      </w:tr>
      <w:tr w:rsidR="000B6BDD" w:rsidRPr="004F5017" w:rsidTr="0065121E">
        <w:trPr>
          <w:trHeight w:val="300"/>
        </w:trPr>
        <w:tc>
          <w:tcPr>
            <w:tcW w:w="2660" w:type="pct"/>
            <w:tcBorders>
              <w:top w:val="nil"/>
              <w:left w:val="nil"/>
              <w:bottom w:val="nil"/>
              <w:right w:val="nil"/>
            </w:tcBorders>
            <w:noWrap/>
            <w:vAlign w:val="bottom"/>
          </w:tcPr>
          <w:p w:rsidR="000B6BDD" w:rsidRPr="003F501A" w:rsidRDefault="000B6BDD" w:rsidP="0037170C">
            <w:pPr>
              <w:keepNext/>
              <w:rPr>
                <w:rFonts w:ascii="Franklin Gothic Medium" w:hAnsi="Franklin Gothic Medium" w:cs="Calibri"/>
                <w:color w:val="000000"/>
                <w:szCs w:val="22"/>
              </w:rPr>
            </w:pPr>
            <w:r w:rsidRPr="003F501A">
              <w:rPr>
                <w:rFonts w:ascii="Franklin Gothic Medium" w:hAnsi="Franklin Gothic Medium" w:cs="Calibri"/>
                <w:color w:val="000000"/>
                <w:sz w:val="22"/>
                <w:szCs w:val="22"/>
              </w:rPr>
              <w:t>MSA status</w:t>
            </w:r>
          </w:p>
        </w:tc>
        <w:tc>
          <w:tcPr>
            <w:tcW w:w="769" w:type="pct"/>
            <w:tcBorders>
              <w:top w:val="nil"/>
              <w:left w:val="nil"/>
              <w:bottom w:val="nil"/>
              <w:right w:val="nil"/>
            </w:tcBorders>
            <w:noWrap/>
            <w:vAlign w:val="bottom"/>
          </w:tcPr>
          <w:p w:rsidR="000B6BDD" w:rsidRPr="003F501A" w:rsidRDefault="000B6BDD" w:rsidP="0037170C">
            <w:pPr>
              <w:keepNext/>
              <w:jc w:val="center"/>
              <w:rPr>
                <w:rFonts w:ascii="Franklin Gothic Medium" w:hAnsi="Franklin Gothic Medium" w:cs="Calibri"/>
                <w:color w:val="000000"/>
                <w:szCs w:val="22"/>
              </w:rPr>
            </w:pPr>
            <w:r w:rsidRPr="003F501A">
              <w:rPr>
                <w:rFonts w:ascii="Franklin Gothic Medium" w:hAnsi="Franklin Gothic Medium" w:cs="Calibri"/>
                <w:color w:val="000000"/>
                <w:sz w:val="22"/>
                <w:szCs w:val="22"/>
              </w:rPr>
              <w:t>-0.32</w:t>
            </w:r>
          </w:p>
        </w:tc>
        <w:tc>
          <w:tcPr>
            <w:tcW w:w="997" w:type="pct"/>
            <w:tcBorders>
              <w:top w:val="nil"/>
              <w:left w:val="nil"/>
              <w:bottom w:val="nil"/>
              <w:right w:val="nil"/>
            </w:tcBorders>
            <w:noWrap/>
            <w:vAlign w:val="bottom"/>
          </w:tcPr>
          <w:p w:rsidR="000B6BDD" w:rsidRPr="003F501A" w:rsidRDefault="000B6BDD" w:rsidP="0037170C">
            <w:pPr>
              <w:keepNext/>
              <w:jc w:val="center"/>
              <w:rPr>
                <w:rFonts w:ascii="Franklin Gothic Medium" w:hAnsi="Franklin Gothic Medium" w:cs="Calibri"/>
                <w:color w:val="000000"/>
                <w:szCs w:val="22"/>
              </w:rPr>
            </w:pPr>
            <w:r w:rsidRPr="003F501A">
              <w:rPr>
                <w:rFonts w:ascii="Franklin Gothic Medium" w:hAnsi="Franklin Gothic Medium" w:cs="Calibri"/>
                <w:color w:val="000000"/>
                <w:sz w:val="22"/>
                <w:szCs w:val="22"/>
              </w:rPr>
              <w:t>0.238</w:t>
            </w:r>
          </w:p>
        </w:tc>
        <w:tc>
          <w:tcPr>
            <w:tcW w:w="574" w:type="pct"/>
            <w:tcBorders>
              <w:top w:val="nil"/>
              <w:left w:val="nil"/>
              <w:bottom w:val="nil"/>
              <w:right w:val="nil"/>
            </w:tcBorders>
            <w:noWrap/>
            <w:vAlign w:val="bottom"/>
          </w:tcPr>
          <w:p w:rsidR="000B6BDD" w:rsidRPr="003F501A" w:rsidRDefault="000B6BDD" w:rsidP="0037170C">
            <w:pPr>
              <w:keepNext/>
              <w:jc w:val="center"/>
              <w:rPr>
                <w:rFonts w:ascii="Franklin Gothic Medium" w:hAnsi="Franklin Gothic Medium" w:cs="Calibri"/>
                <w:color w:val="000000"/>
                <w:szCs w:val="22"/>
              </w:rPr>
            </w:pPr>
            <w:r w:rsidRPr="003F501A">
              <w:rPr>
                <w:rFonts w:ascii="Franklin Gothic Medium" w:hAnsi="Franklin Gothic Medium" w:cs="Calibri"/>
                <w:color w:val="000000"/>
                <w:sz w:val="22"/>
                <w:szCs w:val="22"/>
              </w:rPr>
              <w:t>0.1866</w:t>
            </w:r>
          </w:p>
        </w:tc>
      </w:tr>
      <w:tr w:rsidR="000B6BDD" w:rsidRPr="004F5017" w:rsidTr="0065121E">
        <w:trPr>
          <w:trHeight w:val="300"/>
        </w:trPr>
        <w:tc>
          <w:tcPr>
            <w:tcW w:w="2660" w:type="pct"/>
            <w:tcBorders>
              <w:top w:val="nil"/>
              <w:left w:val="nil"/>
              <w:bottom w:val="nil"/>
              <w:right w:val="nil"/>
            </w:tcBorders>
            <w:noWrap/>
            <w:vAlign w:val="bottom"/>
          </w:tcPr>
          <w:p w:rsidR="000B6BDD" w:rsidRPr="003F501A" w:rsidRDefault="000B6BDD" w:rsidP="0037170C">
            <w:pPr>
              <w:keepNext/>
              <w:rPr>
                <w:rFonts w:ascii="Franklin Gothic Medium" w:hAnsi="Franklin Gothic Medium" w:cs="Calibri"/>
                <w:color w:val="000000"/>
                <w:szCs w:val="22"/>
              </w:rPr>
            </w:pPr>
            <w:r w:rsidRPr="003F501A">
              <w:rPr>
                <w:rFonts w:ascii="Franklin Gothic Medium" w:hAnsi="Franklin Gothic Medium" w:cs="Calibri"/>
                <w:color w:val="000000"/>
                <w:sz w:val="22"/>
                <w:szCs w:val="22"/>
              </w:rPr>
              <w:t>Hispanic</w:t>
            </w:r>
            <w:r w:rsidRPr="00794D8B">
              <w:rPr>
                <w:rFonts w:ascii="Franklin Gothic Medium" w:hAnsi="Franklin Gothic Medium" w:cs="Calibri"/>
                <w:color w:val="000000"/>
                <w:sz w:val="22"/>
                <w:szCs w:val="22"/>
                <w:vertAlign w:val="superscript"/>
              </w:rPr>
              <w:t>1</w:t>
            </w:r>
          </w:p>
        </w:tc>
        <w:tc>
          <w:tcPr>
            <w:tcW w:w="769" w:type="pct"/>
            <w:tcBorders>
              <w:top w:val="nil"/>
              <w:left w:val="nil"/>
              <w:bottom w:val="nil"/>
              <w:right w:val="nil"/>
            </w:tcBorders>
            <w:noWrap/>
            <w:vAlign w:val="bottom"/>
          </w:tcPr>
          <w:p w:rsidR="000B6BDD" w:rsidRPr="003F501A" w:rsidRDefault="000B6BDD" w:rsidP="0037170C">
            <w:pPr>
              <w:keepNext/>
              <w:jc w:val="center"/>
              <w:rPr>
                <w:rFonts w:ascii="Franklin Gothic Medium" w:hAnsi="Franklin Gothic Medium" w:cs="Calibri"/>
                <w:color w:val="000000"/>
                <w:szCs w:val="22"/>
              </w:rPr>
            </w:pPr>
            <w:r w:rsidRPr="003F501A">
              <w:rPr>
                <w:rFonts w:ascii="Franklin Gothic Medium" w:hAnsi="Franklin Gothic Medium" w:cs="Calibri"/>
                <w:color w:val="000000"/>
                <w:sz w:val="22"/>
                <w:szCs w:val="22"/>
              </w:rPr>
              <w:t>-0.39</w:t>
            </w:r>
          </w:p>
        </w:tc>
        <w:tc>
          <w:tcPr>
            <w:tcW w:w="997" w:type="pct"/>
            <w:tcBorders>
              <w:top w:val="nil"/>
              <w:left w:val="nil"/>
              <w:bottom w:val="nil"/>
              <w:right w:val="nil"/>
            </w:tcBorders>
            <w:noWrap/>
            <w:vAlign w:val="bottom"/>
          </w:tcPr>
          <w:p w:rsidR="000B6BDD" w:rsidRPr="003F501A" w:rsidRDefault="000B6BDD" w:rsidP="0037170C">
            <w:pPr>
              <w:keepNext/>
              <w:jc w:val="center"/>
              <w:rPr>
                <w:rFonts w:ascii="Franklin Gothic Medium" w:hAnsi="Franklin Gothic Medium" w:cs="Calibri"/>
                <w:color w:val="000000"/>
                <w:szCs w:val="22"/>
              </w:rPr>
            </w:pPr>
            <w:r w:rsidRPr="003F501A">
              <w:rPr>
                <w:rFonts w:ascii="Franklin Gothic Medium" w:hAnsi="Franklin Gothic Medium" w:cs="Calibri"/>
                <w:color w:val="000000"/>
                <w:sz w:val="22"/>
                <w:szCs w:val="22"/>
              </w:rPr>
              <w:t>0.315</w:t>
            </w:r>
          </w:p>
        </w:tc>
        <w:tc>
          <w:tcPr>
            <w:tcW w:w="574" w:type="pct"/>
            <w:tcBorders>
              <w:top w:val="nil"/>
              <w:left w:val="nil"/>
              <w:bottom w:val="nil"/>
              <w:right w:val="nil"/>
            </w:tcBorders>
            <w:noWrap/>
            <w:vAlign w:val="bottom"/>
          </w:tcPr>
          <w:p w:rsidR="000B6BDD" w:rsidRPr="003F501A" w:rsidRDefault="000B6BDD" w:rsidP="0037170C">
            <w:pPr>
              <w:keepNext/>
              <w:jc w:val="center"/>
              <w:rPr>
                <w:rFonts w:ascii="Franklin Gothic Medium" w:hAnsi="Franklin Gothic Medium" w:cs="Calibri"/>
                <w:color w:val="000000"/>
                <w:szCs w:val="22"/>
              </w:rPr>
            </w:pPr>
            <w:r w:rsidRPr="003F501A">
              <w:rPr>
                <w:rFonts w:ascii="Franklin Gothic Medium" w:hAnsi="Franklin Gothic Medium" w:cs="Calibri"/>
                <w:color w:val="000000"/>
                <w:sz w:val="22"/>
                <w:szCs w:val="22"/>
              </w:rPr>
              <w:t>0.2329</w:t>
            </w:r>
          </w:p>
        </w:tc>
      </w:tr>
      <w:tr w:rsidR="000B6BDD" w:rsidRPr="004F5017" w:rsidTr="0065121E">
        <w:trPr>
          <w:trHeight w:val="300"/>
        </w:trPr>
        <w:tc>
          <w:tcPr>
            <w:tcW w:w="2660" w:type="pct"/>
            <w:tcBorders>
              <w:top w:val="nil"/>
              <w:left w:val="nil"/>
              <w:bottom w:val="nil"/>
              <w:right w:val="nil"/>
            </w:tcBorders>
            <w:noWrap/>
            <w:vAlign w:val="bottom"/>
          </w:tcPr>
          <w:p w:rsidR="000B6BDD" w:rsidRPr="003F501A" w:rsidRDefault="000B6BDD" w:rsidP="0037170C">
            <w:pPr>
              <w:keepNext/>
              <w:rPr>
                <w:rFonts w:ascii="Franklin Gothic Medium" w:hAnsi="Franklin Gothic Medium" w:cs="Calibri"/>
                <w:color w:val="000000"/>
                <w:szCs w:val="22"/>
              </w:rPr>
            </w:pPr>
            <w:r w:rsidRPr="003F501A">
              <w:rPr>
                <w:rFonts w:ascii="Franklin Gothic Medium" w:hAnsi="Franklin Gothic Medium" w:cs="Calibri"/>
                <w:color w:val="000000"/>
                <w:sz w:val="22"/>
                <w:szCs w:val="22"/>
              </w:rPr>
              <w:t>Non-Hispanic black</w:t>
            </w:r>
            <w:r w:rsidRPr="00794D8B">
              <w:rPr>
                <w:rFonts w:ascii="Franklin Gothic Medium" w:hAnsi="Franklin Gothic Medium" w:cs="Calibri"/>
                <w:color w:val="000000"/>
                <w:sz w:val="22"/>
                <w:szCs w:val="22"/>
                <w:vertAlign w:val="superscript"/>
              </w:rPr>
              <w:t>1</w:t>
            </w:r>
          </w:p>
        </w:tc>
        <w:tc>
          <w:tcPr>
            <w:tcW w:w="769" w:type="pct"/>
            <w:tcBorders>
              <w:top w:val="nil"/>
              <w:left w:val="nil"/>
              <w:bottom w:val="nil"/>
              <w:right w:val="nil"/>
            </w:tcBorders>
            <w:noWrap/>
            <w:vAlign w:val="bottom"/>
          </w:tcPr>
          <w:p w:rsidR="000B6BDD" w:rsidRPr="003F501A" w:rsidRDefault="000B6BDD" w:rsidP="0037170C">
            <w:pPr>
              <w:keepNext/>
              <w:jc w:val="center"/>
              <w:rPr>
                <w:rFonts w:ascii="Franklin Gothic Medium" w:hAnsi="Franklin Gothic Medium" w:cs="Calibri"/>
                <w:color w:val="000000"/>
                <w:szCs w:val="22"/>
              </w:rPr>
            </w:pPr>
            <w:r w:rsidRPr="003F501A">
              <w:rPr>
                <w:rFonts w:ascii="Franklin Gothic Medium" w:hAnsi="Franklin Gothic Medium" w:cs="Calibri"/>
                <w:color w:val="000000"/>
                <w:sz w:val="22"/>
                <w:szCs w:val="22"/>
              </w:rPr>
              <w:t>-0.52</w:t>
            </w:r>
          </w:p>
        </w:tc>
        <w:tc>
          <w:tcPr>
            <w:tcW w:w="997" w:type="pct"/>
            <w:tcBorders>
              <w:top w:val="nil"/>
              <w:left w:val="nil"/>
              <w:bottom w:val="nil"/>
              <w:right w:val="nil"/>
            </w:tcBorders>
            <w:noWrap/>
            <w:vAlign w:val="bottom"/>
          </w:tcPr>
          <w:p w:rsidR="000B6BDD" w:rsidRPr="003F501A" w:rsidRDefault="000B6BDD" w:rsidP="0037170C">
            <w:pPr>
              <w:keepNext/>
              <w:jc w:val="center"/>
              <w:rPr>
                <w:rFonts w:ascii="Franklin Gothic Medium" w:hAnsi="Franklin Gothic Medium" w:cs="Calibri"/>
                <w:color w:val="000000"/>
                <w:szCs w:val="22"/>
              </w:rPr>
            </w:pPr>
            <w:r w:rsidRPr="003F501A">
              <w:rPr>
                <w:rFonts w:ascii="Franklin Gothic Medium" w:hAnsi="Franklin Gothic Medium" w:cs="Calibri"/>
                <w:color w:val="000000"/>
                <w:sz w:val="22"/>
                <w:szCs w:val="22"/>
              </w:rPr>
              <w:t>0.371</w:t>
            </w:r>
          </w:p>
        </w:tc>
        <w:tc>
          <w:tcPr>
            <w:tcW w:w="574" w:type="pct"/>
            <w:tcBorders>
              <w:top w:val="nil"/>
              <w:left w:val="nil"/>
              <w:bottom w:val="nil"/>
              <w:right w:val="nil"/>
            </w:tcBorders>
            <w:noWrap/>
            <w:vAlign w:val="bottom"/>
          </w:tcPr>
          <w:p w:rsidR="000B6BDD" w:rsidRPr="003F501A" w:rsidRDefault="000B6BDD" w:rsidP="0037170C">
            <w:pPr>
              <w:keepNext/>
              <w:jc w:val="center"/>
              <w:rPr>
                <w:rFonts w:ascii="Franklin Gothic Medium" w:hAnsi="Franklin Gothic Medium" w:cs="Calibri"/>
                <w:color w:val="000000"/>
                <w:szCs w:val="22"/>
              </w:rPr>
            </w:pPr>
            <w:r w:rsidRPr="003F501A">
              <w:rPr>
                <w:rFonts w:ascii="Franklin Gothic Medium" w:hAnsi="Franklin Gothic Medium" w:cs="Calibri"/>
                <w:color w:val="000000"/>
                <w:sz w:val="22"/>
                <w:szCs w:val="22"/>
              </w:rPr>
              <w:t>0.1734</w:t>
            </w:r>
          </w:p>
        </w:tc>
      </w:tr>
      <w:tr w:rsidR="000B6BDD" w:rsidRPr="004F5017" w:rsidTr="0037170C">
        <w:trPr>
          <w:trHeight w:val="300"/>
        </w:trPr>
        <w:tc>
          <w:tcPr>
            <w:tcW w:w="2660" w:type="pct"/>
            <w:tcBorders>
              <w:top w:val="nil"/>
              <w:left w:val="nil"/>
              <w:right w:val="nil"/>
            </w:tcBorders>
            <w:noWrap/>
            <w:vAlign w:val="bottom"/>
          </w:tcPr>
          <w:p w:rsidR="000B6BDD" w:rsidRPr="003F501A" w:rsidRDefault="000B6BDD" w:rsidP="0037170C">
            <w:pPr>
              <w:keepNext/>
              <w:rPr>
                <w:rFonts w:ascii="Franklin Gothic Medium" w:hAnsi="Franklin Gothic Medium" w:cs="Calibri"/>
                <w:color w:val="000000"/>
                <w:szCs w:val="22"/>
              </w:rPr>
            </w:pPr>
            <w:r w:rsidRPr="003F501A">
              <w:rPr>
                <w:rFonts w:ascii="Franklin Gothic Medium" w:hAnsi="Franklin Gothic Medium" w:cs="Calibri"/>
                <w:color w:val="000000"/>
                <w:sz w:val="22"/>
                <w:szCs w:val="22"/>
              </w:rPr>
              <w:t>Northeast</w:t>
            </w:r>
          </w:p>
        </w:tc>
        <w:tc>
          <w:tcPr>
            <w:tcW w:w="769" w:type="pct"/>
            <w:tcBorders>
              <w:top w:val="nil"/>
              <w:left w:val="nil"/>
              <w:right w:val="nil"/>
            </w:tcBorders>
            <w:noWrap/>
            <w:vAlign w:val="bottom"/>
          </w:tcPr>
          <w:p w:rsidR="000B6BDD" w:rsidRPr="003F501A" w:rsidRDefault="000B6BDD" w:rsidP="0037170C">
            <w:pPr>
              <w:keepNext/>
              <w:jc w:val="center"/>
              <w:rPr>
                <w:rFonts w:ascii="Franklin Gothic Medium" w:hAnsi="Franklin Gothic Medium" w:cs="Calibri"/>
                <w:color w:val="000000"/>
                <w:szCs w:val="22"/>
              </w:rPr>
            </w:pPr>
            <w:r w:rsidRPr="003F501A">
              <w:rPr>
                <w:rFonts w:ascii="Franklin Gothic Medium" w:hAnsi="Franklin Gothic Medium" w:cs="Calibri"/>
                <w:color w:val="000000"/>
                <w:sz w:val="22"/>
                <w:szCs w:val="22"/>
              </w:rPr>
              <w:t>0.58</w:t>
            </w:r>
          </w:p>
        </w:tc>
        <w:tc>
          <w:tcPr>
            <w:tcW w:w="997" w:type="pct"/>
            <w:tcBorders>
              <w:top w:val="nil"/>
              <w:left w:val="nil"/>
              <w:right w:val="nil"/>
            </w:tcBorders>
            <w:noWrap/>
            <w:vAlign w:val="bottom"/>
          </w:tcPr>
          <w:p w:rsidR="000B6BDD" w:rsidRPr="003F501A" w:rsidRDefault="000B6BDD" w:rsidP="0037170C">
            <w:pPr>
              <w:keepNext/>
              <w:jc w:val="center"/>
              <w:rPr>
                <w:rFonts w:ascii="Franklin Gothic Medium" w:hAnsi="Franklin Gothic Medium" w:cs="Calibri"/>
                <w:color w:val="000000"/>
                <w:szCs w:val="22"/>
              </w:rPr>
            </w:pPr>
            <w:r w:rsidRPr="003F501A">
              <w:rPr>
                <w:rFonts w:ascii="Franklin Gothic Medium" w:hAnsi="Franklin Gothic Medium" w:cs="Calibri"/>
                <w:color w:val="000000"/>
                <w:sz w:val="22"/>
                <w:szCs w:val="22"/>
              </w:rPr>
              <w:t>0.157</w:t>
            </w:r>
          </w:p>
        </w:tc>
        <w:tc>
          <w:tcPr>
            <w:tcW w:w="574" w:type="pct"/>
            <w:tcBorders>
              <w:top w:val="nil"/>
              <w:left w:val="nil"/>
              <w:right w:val="nil"/>
            </w:tcBorders>
            <w:noWrap/>
            <w:vAlign w:val="bottom"/>
          </w:tcPr>
          <w:p w:rsidR="000B6BDD" w:rsidRPr="003F501A" w:rsidRDefault="000B6BDD" w:rsidP="0037170C">
            <w:pPr>
              <w:keepNext/>
              <w:jc w:val="center"/>
              <w:rPr>
                <w:rFonts w:ascii="Franklin Gothic Medium" w:hAnsi="Franklin Gothic Medium" w:cs="Calibri"/>
                <w:color w:val="000000"/>
                <w:szCs w:val="22"/>
              </w:rPr>
            </w:pPr>
            <w:r w:rsidRPr="003F501A">
              <w:rPr>
                <w:rFonts w:ascii="Franklin Gothic Medium" w:hAnsi="Franklin Gothic Medium" w:cs="Calibri"/>
                <w:color w:val="000000"/>
                <w:sz w:val="22"/>
                <w:szCs w:val="22"/>
              </w:rPr>
              <w:t>0.0013</w:t>
            </w:r>
          </w:p>
        </w:tc>
      </w:tr>
      <w:tr w:rsidR="000B6BDD" w:rsidRPr="004F5017" w:rsidTr="0037170C">
        <w:trPr>
          <w:trHeight w:val="300"/>
        </w:trPr>
        <w:tc>
          <w:tcPr>
            <w:tcW w:w="2660" w:type="pct"/>
            <w:tcBorders>
              <w:top w:val="nil"/>
              <w:left w:val="nil"/>
              <w:bottom w:val="single" w:sz="4" w:space="0" w:color="auto"/>
              <w:right w:val="nil"/>
            </w:tcBorders>
            <w:noWrap/>
            <w:vAlign w:val="bottom"/>
          </w:tcPr>
          <w:p w:rsidR="000B6BDD" w:rsidRPr="003F501A" w:rsidRDefault="000B6BDD" w:rsidP="0037170C">
            <w:pPr>
              <w:keepNext/>
              <w:rPr>
                <w:rFonts w:ascii="Franklin Gothic Medium" w:hAnsi="Franklin Gothic Medium" w:cs="Calibri"/>
                <w:color w:val="000000"/>
                <w:szCs w:val="22"/>
              </w:rPr>
            </w:pPr>
            <w:r w:rsidRPr="003F501A">
              <w:rPr>
                <w:rFonts w:ascii="Franklin Gothic Medium" w:hAnsi="Franklin Gothic Medium" w:cs="Calibri"/>
                <w:color w:val="000000"/>
                <w:sz w:val="22"/>
                <w:szCs w:val="22"/>
              </w:rPr>
              <w:t>Percentage non-Hispanic black in segment</w:t>
            </w:r>
          </w:p>
        </w:tc>
        <w:tc>
          <w:tcPr>
            <w:tcW w:w="769" w:type="pct"/>
            <w:tcBorders>
              <w:top w:val="nil"/>
              <w:left w:val="nil"/>
              <w:bottom w:val="single" w:sz="4" w:space="0" w:color="auto"/>
              <w:right w:val="nil"/>
            </w:tcBorders>
            <w:noWrap/>
            <w:vAlign w:val="bottom"/>
          </w:tcPr>
          <w:p w:rsidR="000B6BDD" w:rsidRPr="003F501A" w:rsidRDefault="000B6BDD" w:rsidP="0037170C">
            <w:pPr>
              <w:keepNext/>
              <w:jc w:val="center"/>
              <w:rPr>
                <w:rFonts w:ascii="Franklin Gothic Medium" w:hAnsi="Franklin Gothic Medium" w:cs="Calibri"/>
                <w:color w:val="000000"/>
                <w:szCs w:val="22"/>
              </w:rPr>
            </w:pPr>
            <w:r w:rsidRPr="003F501A">
              <w:rPr>
                <w:rFonts w:ascii="Franklin Gothic Medium" w:hAnsi="Franklin Gothic Medium" w:cs="Calibri"/>
                <w:color w:val="000000"/>
                <w:sz w:val="22"/>
                <w:szCs w:val="22"/>
              </w:rPr>
              <w:t>-0.58</w:t>
            </w:r>
          </w:p>
        </w:tc>
        <w:tc>
          <w:tcPr>
            <w:tcW w:w="997" w:type="pct"/>
            <w:tcBorders>
              <w:top w:val="nil"/>
              <w:left w:val="nil"/>
              <w:bottom w:val="single" w:sz="4" w:space="0" w:color="auto"/>
              <w:right w:val="nil"/>
            </w:tcBorders>
            <w:noWrap/>
            <w:vAlign w:val="bottom"/>
          </w:tcPr>
          <w:p w:rsidR="000B6BDD" w:rsidRPr="003F501A" w:rsidRDefault="000B6BDD" w:rsidP="0037170C">
            <w:pPr>
              <w:keepNext/>
              <w:jc w:val="center"/>
              <w:rPr>
                <w:rFonts w:ascii="Franklin Gothic Medium" w:hAnsi="Franklin Gothic Medium" w:cs="Calibri"/>
                <w:color w:val="000000"/>
                <w:szCs w:val="22"/>
              </w:rPr>
            </w:pPr>
            <w:r w:rsidRPr="003F501A">
              <w:rPr>
                <w:rFonts w:ascii="Franklin Gothic Medium" w:hAnsi="Franklin Gothic Medium" w:cs="Calibri"/>
                <w:color w:val="000000"/>
                <w:sz w:val="22"/>
                <w:szCs w:val="22"/>
              </w:rPr>
              <w:t>0.383</w:t>
            </w:r>
          </w:p>
        </w:tc>
        <w:tc>
          <w:tcPr>
            <w:tcW w:w="574" w:type="pct"/>
            <w:tcBorders>
              <w:top w:val="nil"/>
              <w:left w:val="nil"/>
              <w:bottom w:val="single" w:sz="4" w:space="0" w:color="auto"/>
              <w:right w:val="nil"/>
            </w:tcBorders>
            <w:noWrap/>
            <w:vAlign w:val="bottom"/>
          </w:tcPr>
          <w:p w:rsidR="000B6BDD" w:rsidRPr="003F501A" w:rsidRDefault="000B6BDD" w:rsidP="0037170C">
            <w:pPr>
              <w:keepNext/>
              <w:jc w:val="center"/>
              <w:rPr>
                <w:rFonts w:ascii="Franklin Gothic Medium" w:hAnsi="Franklin Gothic Medium" w:cs="Calibri"/>
                <w:color w:val="000000"/>
                <w:szCs w:val="22"/>
              </w:rPr>
            </w:pPr>
            <w:r w:rsidRPr="003F501A">
              <w:rPr>
                <w:rFonts w:ascii="Franklin Gothic Medium" w:hAnsi="Franklin Gothic Medium" w:cs="Calibri"/>
                <w:color w:val="000000"/>
                <w:sz w:val="22"/>
                <w:szCs w:val="22"/>
              </w:rPr>
              <w:t>0.1433</w:t>
            </w:r>
          </w:p>
        </w:tc>
      </w:tr>
    </w:tbl>
    <w:p w:rsidR="000B6BDD" w:rsidRDefault="000B6BDD" w:rsidP="0037170C">
      <w:pPr>
        <w:pStyle w:val="TF-TblFN"/>
        <w:keepNext/>
      </w:pPr>
      <w:r w:rsidRPr="00794D8B">
        <w:rPr>
          <w:vertAlign w:val="superscript"/>
        </w:rPr>
        <w:t>1</w:t>
      </w:r>
      <w:r>
        <w:rPr>
          <w:vertAlign w:val="superscript"/>
        </w:rPr>
        <w:tab/>
      </w:r>
      <w:r>
        <w:t>Person-level variables collected from the screener questionnaire.</w:t>
      </w:r>
    </w:p>
    <w:p w:rsidR="000B6BDD" w:rsidRPr="002528B4" w:rsidRDefault="000B6BDD" w:rsidP="0037170C">
      <w:pPr>
        <w:pStyle w:val="TF-TblFN"/>
      </w:pPr>
      <w:r w:rsidRPr="002528B4">
        <w:t>Source: 2010 Programme for the International Assessment of Adult Competencies Field Test</w:t>
      </w:r>
    </w:p>
    <w:p w:rsidR="000B6BDD" w:rsidRDefault="000B6BDD" w:rsidP="0037170C">
      <w:pPr>
        <w:pStyle w:val="L1-FlLSp12"/>
      </w:pPr>
    </w:p>
    <w:p w:rsidR="000B6BDD" w:rsidRDefault="000B6BDD" w:rsidP="0037170C">
      <w:pPr>
        <w:pStyle w:val="L1-FlLSp12"/>
      </w:pPr>
      <w:r>
        <w:t xml:space="preserve">Table G-6 includes the results of the simultaneous t-tests for the BQ subgroups. In addition to the PSU level subgroups used in the above analysis, </w:t>
      </w:r>
      <w:r w:rsidRPr="00985834">
        <w:t>the</w:t>
      </w:r>
      <w:r>
        <w:t xml:space="preserve"> BQ subgroups</w:t>
      </w:r>
      <w:r w:rsidRPr="00985834">
        <w:t xml:space="preserve"> include person’s age, gender and race/ethnicity collected from the screener questionnaire.</w:t>
      </w:r>
      <w:r>
        <w:t xml:space="preserve"> The following subgroups have statistically significant differences (at the Bonferroni family of statistical testing level of 0.05) in refusal rates between incentive groups, all having lower refusal rates for the $50 incentive amount:  Non-Hispanic blacks, high poverty areas, low education areas, and PSUs that are in the Northeast area. </w:t>
      </w:r>
    </w:p>
    <w:p w:rsidR="000B6BDD" w:rsidRDefault="000B6BDD" w:rsidP="0037170C">
      <w:pPr>
        <w:pStyle w:val="L1-FlLSp12"/>
      </w:pPr>
    </w:p>
    <w:p w:rsidR="000B6BDD" w:rsidRDefault="000B6BDD" w:rsidP="0037170C">
      <w:pPr>
        <w:pStyle w:val="TT-TableTitle"/>
      </w:pPr>
      <w:r>
        <w:t>Table G-6.</w:t>
      </w:r>
      <w:r>
        <w:tab/>
        <w:t>Background Questionnaire refusal rates and standard errors by incentive group, and estimated difference and the p-values</w:t>
      </w:r>
    </w:p>
    <w:p w:rsidR="000B6BDD" w:rsidRDefault="000B6BDD" w:rsidP="0037170C">
      <w:pPr>
        <w:pStyle w:val="TT-TableTitle"/>
      </w:pPr>
    </w:p>
    <w:tbl>
      <w:tblPr>
        <w:tblW w:w="5000" w:type="pct"/>
        <w:tblCellMar>
          <w:left w:w="29" w:type="dxa"/>
          <w:right w:w="29" w:type="dxa"/>
        </w:tblCellMar>
        <w:tblLook w:val="00A0"/>
      </w:tblPr>
      <w:tblGrid>
        <w:gridCol w:w="1557"/>
        <w:gridCol w:w="752"/>
        <w:gridCol w:w="838"/>
        <w:gridCol w:w="1234"/>
        <w:gridCol w:w="838"/>
        <w:gridCol w:w="1234"/>
        <w:gridCol w:w="940"/>
        <w:gridCol w:w="1234"/>
        <w:gridCol w:w="791"/>
      </w:tblGrid>
      <w:tr w:rsidR="000B6BDD" w:rsidRPr="0037170C" w:rsidTr="0037170C">
        <w:trPr>
          <w:trHeight w:val="300"/>
        </w:trPr>
        <w:tc>
          <w:tcPr>
            <w:tcW w:w="826" w:type="pct"/>
            <w:tcBorders>
              <w:top w:val="single" w:sz="4" w:space="0" w:color="auto"/>
              <w:left w:val="nil"/>
            </w:tcBorders>
            <w:shd w:val="clear" w:color="auto" w:fill="AFBED7"/>
            <w:noWrap/>
            <w:vAlign w:val="bottom"/>
          </w:tcPr>
          <w:p w:rsidR="000B6BDD" w:rsidRPr="0037170C" w:rsidRDefault="000B6BDD" w:rsidP="0037170C">
            <w:pPr>
              <w:pStyle w:val="TH-TableHeading"/>
            </w:pPr>
          </w:p>
        </w:tc>
        <w:tc>
          <w:tcPr>
            <w:tcW w:w="399" w:type="pct"/>
            <w:tcBorders>
              <w:top w:val="single" w:sz="4" w:space="0" w:color="auto"/>
            </w:tcBorders>
            <w:shd w:val="clear" w:color="auto" w:fill="AFBED7"/>
          </w:tcPr>
          <w:p w:rsidR="000B6BDD" w:rsidRPr="0037170C" w:rsidRDefault="000B6BDD" w:rsidP="0037170C">
            <w:pPr>
              <w:keepNext/>
              <w:spacing w:line="240" w:lineRule="auto"/>
              <w:jc w:val="center"/>
              <w:rPr>
                <w:rFonts w:ascii="Franklin Gothic Medium" w:hAnsi="Franklin Gothic Medium" w:cs="Calibri"/>
                <w:b/>
                <w:color w:val="000000"/>
                <w:sz w:val="18"/>
                <w:szCs w:val="18"/>
              </w:rPr>
            </w:pPr>
          </w:p>
        </w:tc>
        <w:tc>
          <w:tcPr>
            <w:tcW w:w="1100" w:type="pct"/>
            <w:gridSpan w:val="2"/>
            <w:tcBorders>
              <w:top w:val="single" w:sz="4" w:space="0" w:color="auto"/>
            </w:tcBorders>
            <w:shd w:val="clear" w:color="auto" w:fill="AFBED7"/>
            <w:noWrap/>
            <w:vAlign w:val="bottom"/>
          </w:tcPr>
          <w:p w:rsidR="000B6BDD" w:rsidRPr="0037170C" w:rsidRDefault="000B6BDD" w:rsidP="0037170C">
            <w:pPr>
              <w:keepNext/>
              <w:spacing w:line="240" w:lineRule="auto"/>
              <w:jc w:val="center"/>
              <w:rPr>
                <w:rFonts w:ascii="Franklin Gothic Medium" w:hAnsi="Franklin Gothic Medium" w:cs="Calibri"/>
                <w:b/>
                <w:color w:val="000000"/>
                <w:sz w:val="18"/>
                <w:szCs w:val="18"/>
              </w:rPr>
            </w:pPr>
            <w:r w:rsidRPr="0037170C">
              <w:rPr>
                <w:rFonts w:ascii="Franklin Gothic Medium" w:hAnsi="Franklin Gothic Medium" w:cs="Calibri"/>
                <w:b/>
                <w:color w:val="000000"/>
                <w:sz w:val="18"/>
                <w:szCs w:val="18"/>
              </w:rPr>
              <w:t>$35 Incentive group</w:t>
            </w:r>
          </w:p>
        </w:tc>
        <w:tc>
          <w:tcPr>
            <w:tcW w:w="1100" w:type="pct"/>
            <w:gridSpan w:val="2"/>
            <w:tcBorders>
              <w:top w:val="single" w:sz="4" w:space="0" w:color="auto"/>
            </w:tcBorders>
            <w:shd w:val="clear" w:color="auto" w:fill="AFBED7"/>
            <w:noWrap/>
            <w:vAlign w:val="bottom"/>
          </w:tcPr>
          <w:p w:rsidR="000B6BDD" w:rsidRPr="0037170C" w:rsidRDefault="000B6BDD" w:rsidP="0037170C">
            <w:pPr>
              <w:keepNext/>
              <w:spacing w:line="240" w:lineRule="auto"/>
              <w:jc w:val="center"/>
              <w:rPr>
                <w:rFonts w:ascii="Franklin Gothic Medium" w:hAnsi="Franklin Gothic Medium" w:cs="Calibri"/>
                <w:b/>
                <w:color w:val="000000"/>
                <w:sz w:val="18"/>
                <w:szCs w:val="18"/>
              </w:rPr>
            </w:pPr>
            <w:r w:rsidRPr="0037170C">
              <w:rPr>
                <w:rFonts w:ascii="Franklin Gothic Medium" w:hAnsi="Franklin Gothic Medium" w:cs="Calibri"/>
                <w:b/>
                <w:color w:val="000000"/>
                <w:sz w:val="18"/>
                <w:szCs w:val="18"/>
              </w:rPr>
              <w:t>$50 Incentive group</w:t>
            </w:r>
          </w:p>
        </w:tc>
        <w:tc>
          <w:tcPr>
            <w:tcW w:w="499" w:type="pct"/>
            <w:tcBorders>
              <w:top w:val="single" w:sz="4" w:space="0" w:color="auto"/>
            </w:tcBorders>
            <w:shd w:val="clear" w:color="auto" w:fill="AFBED7"/>
            <w:noWrap/>
            <w:vAlign w:val="bottom"/>
          </w:tcPr>
          <w:p w:rsidR="000B6BDD" w:rsidRPr="0037170C" w:rsidRDefault="000B6BDD" w:rsidP="0037170C">
            <w:pPr>
              <w:keepNext/>
              <w:spacing w:line="240" w:lineRule="auto"/>
              <w:jc w:val="center"/>
              <w:rPr>
                <w:rFonts w:ascii="Franklin Gothic Medium" w:hAnsi="Franklin Gothic Medium" w:cs="Calibri"/>
                <w:b/>
                <w:color w:val="000000"/>
                <w:sz w:val="18"/>
                <w:szCs w:val="18"/>
              </w:rPr>
            </w:pPr>
          </w:p>
        </w:tc>
        <w:tc>
          <w:tcPr>
            <w:tcW w:w="655" w:type="pct"/>
            <w:tcBorders>
              <w:top w:val="single" w:sz="4" w:space="0" w:color="auto"/>
            </w:tcBorders>
            <w:shd w:val="clear" w:color="auto" w:fill="AFBED7"/>
            <w:noWrap/>
            <w:vAlign w:val="bottom"/>
          </w:tcPr>
          <w:p w:rsidR="000B6BDD" w:rsidRPr="0037170C" w:rsidRDefault="000B6BDD" w:rsidP="0037170C">
            <w:pPr>
              <w:keepNext/>
              <w:spacing w:line="240" w:lineRule="auto"/>
              <w:jc w:val="center"/>
              <w:rPr>
                <w:rFonts w:ascii="Franklin Gothic Medium" w:hAnsi="Franklin Gothic Medium" w:cs="Calibri"/>
                <w:b/>
                <w:color w:val="000000"/>
                <w:sz w:val="18"/>
                <w:szCs w:val="18"/>
              </w:rPr>
            </w:pPr>
          </w:p>
        </w:tc>
        <w:tc>
          <w:tcPr>
            <w:tcW w:w="420" w:type="pct"/>
            <w:tcBorders>
              <w:top w:val="single" w:sz="4" w:space="0" w:color="auto"/>
              <w:right w:val="nil"/>
            </w:tcBorders>
            <w:shd w:val="clear" w:color="auto" w:fill="AFBED7"/>
            <w:noWrap/>
            <w:vAlign w:val="bottom"/>
          </w:tcPr>
          <w:p w:rsidR="000B6BDD" w:rsidRPr="0037170C" w:rsidRDefault="000B6BDD" w:rsidP="0037170C">
            <w:pPr>
              <w:keepNext/>
              <w:spacing w:line="240" w:lineRule="auto"/>
              <w:jc w:val="center"/>
              <w:rPr>
                <w:rFonts w:ascii="Franklin Gothic Medium" w:hAnsi="Franklin Gothic Medium" w:cs="Calibri"/>
                <w:b/>
                <w:color w:val="000000"/>
                <w:sz w:val="18"/>
                <w:szCs w:val="18"/>
              </w:rPr>
            </w:pPr>
          </w:p>
        </w:tc>
      </w:tr>
      <w:tr w:rsidR="000B6BDD" w:rsidRPr="0037170C" w:rsidTr="0037170C">
        <w:trPr>
          <w:trHeight w:val="300"/>
        </w:trPr>
        <w:tc>
          <w:tcPr>
            <w:tcW w:w="826" w:type="pct"/>
            <w:tcBorders>
              <w:top w:val="nil"/>
              <w:left w:val="nil"/>
              <w:bottom w:val="single" w:sz="4" w:space="0" w:color="auto"/>
              <w:right w:val="nil"/>
            </w:tcBorders>
            <w:shd w:val="clear" w:color="auto" w:fill="AFBED7"/>
            <w:noWrap/>
            <w:vAlign w:val="bottom"/>
          </w:tcPr>
          <w:p w:rsidR="000B6BDD" w:rsidRPr="0037170C" w:rsidRDefault="000B6BDD" w:rsidP="0037170C">
            <w:pPr>
              <w:keepNext/>
              <w:spacing w:line="240" w:lineRule="auto"/>
              <w:jc w:val="center"/>
              <w:rPr>
                <w:rFonts w:ascii="Franklin Gothic Medium" w:hAnsi="Franklin Gothic Medium" w:cs="Calibri"/>
                <w:b/>
                <w:color w:val="000000"/>
                <w:sz w:val="18"/>
                <w:szCs w:val="18"/>
              </w:rPr>
            </w:pPr>
          </w:p>
        </w:tc>
        <w:tc>
          <w:tcPr>
            <w:tcW w:w="399" w:type="pct"/>
            <w:tcBorders>
              <w:top w:val="nil"/>
              <w:left w:val="single" w:sz="4" w:space="0" w:color="auto"/>
              <w:bottom w:val="single" w:sz="4" w:space="0" w:color="auto"/>
              <w:right w:val="single" w:sz="4" w:space="0" w:color="auto"/>
            </w:tcBorders>
            <w:shd w:val="clear" w:color="auto" w:fill="AFBED7"/>
          </w:tcPr>
          <w:p w:rsidR="000B6BDD" w:rsidRPr="0037170C" w:rsidRDefault="000B6BDD" w:rsidP="0037170C">
            <w:pPr>
              <w:keepNext/>
              <w:spacing w:line="240" w:lineRule="auto"/>
              <w:jc w:val="center"/>
              <w:rPr>
                <w:rFonts w:ascii="Franklin Gothic Medium" w:hAnsi="Franklin Gothic Medium" w:cs="Calibri"/>
                <w:b/>
                <w:color w:val="000000"/>
                <w:sz w:val="18"/>
                <w:szCs w:val="18"/>
              </w:rPr>
            </w:pPr>
            <w:r w:rsidRPr="0037170C">
              <w:rPr>
                <w:rFonts w:ascii="Franklin Gothic Medium" w:hAnsi="Franklin Gothic Medium" w:cs="Calibri"/>
                <w:b/>
                <w:color w:val="000000"/>
                <w:sz w:val="18"/>
                <w:szCs w:val="18"/>
              </w:rPr>
              <w:t>Sample Size</w:t>
            </w:r>
          </w:p>
        </w:tc>
        <w:tc>
          <w:tcPr>
            <w:tcW w:w="445" w:type="pct"/>
            <w:tcBorders>
              <w:top w:val="nil"/>
              <w:left w:val="single" w:sz="4" w:space="0" w:color="auto"/>
              <w:bottom w:val="single" w:sz="4" w:space="0" w:color="auto"/>
              <w:right w:val="nil"/>
            </w:tcBorders>
            <w:shd w:val="clear" w:color="auto" w:fill="AFBED7"/>
            <w:noWrap/>
            <w:vAlign w:val="bottom"/>
          </w:tcPr>
          <w:p w:rsidR="000B6BDD" w:rsidRPr="0037170C" w:rsidRDefault="000B6BDD" w:rsidP="0037170C">
            <w:pPr>
              <w:keepNext/>
              <w:spacing w:line="240" w:lineRule="auto"/>
              <w:jc w:val="center"/>
              <w:rPr>
                <w:rFonts w:ascii="Franklin Gothic Medium" w:hAnsi="Franklin Gothic Medium" w:cs="Calibri"/>
                <w:b/>
                <w:color w:val="000000"/>
                <w:sz w:val="18"/>
                <w:szCs w:val="18"/>
              </w:rPr>
            </w:pPr>
            <w:r w:rsidRPr="0037170C">
              <w:rPr>
                <w:rFonts w:ascii="Franklin Gothic Medium" w:hAnsi="Franklin Gothic Medium" w:cs="Calibri"/>
                <w:b/>
                <w:color w:val="000000"/>
                <w:sz w:val="18"/>
                <w:szCs w:val="18"/>
              </w:rPr>
              <w:t>Estimate</w:t>
            </w:r>
          </w:p>
        </w:tc>
        <w:tc>
          <w:tcPr>
            <w:tcW w:w="655" w:type="pct"/>
            <w:tcBorders>
              <w:top w:val="nil"/>
              <w:left w:val="nil"/>
              <w:bottom w:val="single" w:sz="4" w:space="0" w:color="auto"/>
              <w:right w:val="nil"/>
            </w:tcBorders>
            <w:shd w:val="clear" w:color="auto" w:fill="AFBED7"/>
            <w:noWrap/>
            <w:vAlign w:val="bottom"/>
          </w:tcPr>
          <w:p w:rsidR="000B6BDD" w:rsidRPr="0037170C" w:rsidRDefault="000B6BDD" w:rsidP="0037170C">
            <w:pPr>
              <w:keepNext/>
              <w:spacing w:line="240" w:lineRule="auto"/>
              <w:jc w:val="center"/>
              <w:rPr>
                <w:rFonts w:ascii="Franklin Gothic Medium" w:hAnsi="Franklin Gothic Medium" w:cs="Calibri"/>
                <w:b/>
                <w:color w:val="000000"/>
                <w:sz w:val="18"/>
                <w:szCs w:val="18"/>
              </w:rPr>
            </w:pPr>
            <w:r w:rsidRPr="0037170C">
              <w:rPr>
                <w:rFonts w:ascii="Franklin Gothic Medium" w:hAnsi="Franklin Gothic Medium" w:cs="Calibri"/>
                <w:b/>
                <w:color w:val="000000"/>
                <w:sz w:val="18"/>
                <w:szCs w:val="18"/>
              </w:rPr>
              <w:t>Standard Error</w:t>
            </w:r>
          </w:p>
        </w:tc>
        <w:tc>
          <w:tcPr>
            <w:tcW w:w="445" w:type="pct"/>
            <w:tcBorders>
              <w:top w:val="nil"/>
              <w:left w:val="single" w:sz="4" w:space="0" w:color="auto"/>
              <w:bottom w:val="single" w:sz="4" w:space="0" w:color="auto"/>
              <w:right w:val="nil"/>
            </w:tcBorders>
            <w:shd w:val="clear" w:color="auto" w:fill="AFBED7"/>
            <w:noWrap/>
            <w:vAlign w:val="bottom"/>
          </w:tcPr>
          <w:p w:rsidR="000B6BDD" w:rsidRPr="0037170C" w:rsidRDefault="000B6BDD" w:rsidP="0037170C">
            <w:pPr>
              <w:keepNext/>
              <w:spacing w:line="240" w:lineRule="auto"/>
              <w:jc w:val="center"/>
              <w:rPr>
                <w:rFonts w:ascii="Franklin Gothic Medium" w:hAnsi="Franklin Gothic Medium" w:cs="Calibri"/>
                <w:b/>
                <w:color w:val="000000"/>
                <w:sz w:val="18"/>
                <w:szCs w:val="18"/>
              </w:rPr>
            </w:pPr>
            <w:r w:rsidRPr="0037170C">
              <w:rPr>
                <w:rFonts w:ascii="Franklin Gothic Medium" w:hAnsi="Franklin Gothic Medium" w:cs="Calibri"/>
                <w:b/>
                <w:color w:val="000000"/>
                <w:sz w:val="18"/>
                <w:szCs w:val="18"/>
              </w:rPr>
              <w:t>Estimate</w:t>
            </w:r>
          </w:p>
        </w:tc>
        <w:tc>
          <w:tcPr>
            <w:tcW w:w="655" w:type="pct"/>
            <w:tcBorders>
              <w:top w:val="nil"/>
              <w:left w:val="nil"/>
              <w:bottom w:val="single" w:sz="4" w:space="0" w:color="auto"/>
              <w:right w:val="nil"/>
            </w:tcBorders>
            <w:shd w:val="clear" w:color="auto" w:fill="AFBED7"/>
            <w:noWrap/>
            <w:vAlign w:val="bottom"/>
          </w:tcPr>
          <w:p w:rsidR="000B6BDD" w:rsidRPr="0037170C" w:rsidRDefault="000B6BDD" w:rsidP="0037170C">
            <w:pPr>
              <w:keepNext/>
              <w:spacing w:line="240" w:lineRule="auto"/>
              <w:jc w:val="center"/>
              <w:rPr>
                <w:rFonts w:ascii="Franklin Gothic Medium" w:hAnsi="Franklin Gothic Medium" w:cs="Calibri"/>
                <w:b/>
                <w:color w:val="000000"/>
                <w:sz w:val="18"/>
                <w:szCs w:val="18"/>
              </w:rPr>
            </w:pPr>
            <w:r w:rsidRPr="0037170C">
              <w:rPr>
                <w:rFonts w:ascii="Franklin Gothic Medium" w:hAnsi="Franklin Gothic Medium" w:cs="Calibri"/>
                <w:b/>
                <w:color w:val="000000"/>
                <w:sz w:val="18"/>
                <w:szCs w:val="18"/>
              </w:rPr>
              <w:t>Standard Error</w:t>
            </w:r>
          </w:p>
        </w:tc>
        <w:tc>
          <w:tcPr>
            <w:tcW w:w="499" w:type="pct"/>
            <w:tcBorders>
              <w:top w:val="nil"/>
              <w:left w:val="single" w:sz="4" w:space="0" w:color="auto"/>
              <w:bottom w:val="single" w:sz="4" w:space="0" w:color="auto"/>
              <w:right w:val="nil"/>
            </w:tcBorders>
            <w:shd w:val="clear" w:color="auto" w:fill="AFBED7"/>
            <w:noWrap/>
            <w:vAlign w:val="bottom"/>
          </w:tcPr>
          <w:p w:rsidR="000B6BDD" w:rsidRPr="0037170C" w:rsidRDefault="000B6BDD" w:rsidP="0037170C">
            <w:pPr>
              <w:keepNext/>
              <w:spacing w:line="240" w:lineRule="auto"/>
              <w:jc w:val="center"/>
              <w:rPr>
                <w:rFonts w:ascii="Franklin Gothic Medium" w:hAnsi="Franklin Gothic Medium" w:cs="Calibri"/>
                <w:b/>
                <w:color w:val="000000"/>
                <w:sz w:val="18"/>
                <w:szCs w:val="18"/>
              </w:rPr>
            </w:pPr>
            <w:r w:rsidRPr="0037170C">
              <w:rPr>
                <w:rFonts w:ascii="Franklin Gothic Medium" w:hAnsi="Franklin Gothic Medium" w:cs="Calibri"/>
                <w:b/>
                <w:color w:val="000000"/>
                <w:sz w:val="18"/>
                <w:szCs w:val="18"/>
              </w:rPr>
              <w:t>Difference</w:t>
            </w:r>
          </w:p>
        </w:tc>
        <w:tc>
          <w:tcPr>
            <w:tcW w:w="655" w:type="pct"/>
            <w:tcBorders>
              <w:top w:val="nil"/>
              <w:left w:val="nil"/>
              <w:bottom w:val="single" w:sz="4" w:space="0" w:color="auto"/>
              <w:right w:val="nil"/>
            </w:tcBorders>
            <w:shd w:val="clear" w:color="auto" w:fill="AFBED7"/>
            <w:noWrap/>
            <w:vAlign w:val="bottom"/>
          </w:tcPr>
          <w:p w:rsidR="000B6BDD" w:rsidRPr="0037170C" w:rsidRDefault="000B6BDD" w:rsidP="0037170C">
            <w:pPr>
              <w:keepNext/>
              <w:spacing w:line="240" w:lineRule="auto"/>
              <w:jc w:val="center"/>
              <w:rPr>
                <w:rFonts w:ascii="Franklin Gothic Medium" w:hAnsi="Franklin Gothic Medium" w:cs="Calibri"/>
                <w:b/>
                <w:color w:val="000000"/>
                <w:sz w:val="18"/>
                <w:szCs w:val="18"/>
              </w:rPr>
            </w:pPr>
            <w:r w:rsidRPr="0037170C">
              <w:rPr>
                <w:rFonts w:ascii="Franklin Gothic Medium" w:hAnsi="Franklin Gothic Medium" w:cs="Calibri"/>
                <w:b/>
                <w:color w:val="000000"/>
                <w:sz w:val="18"/>
                <w:szCs w:val="18"/>
              </w:rPr>
              <w:t>Standard Error</w:t>
            </w:r>
          </w:p>
        </w:tc>
        <w:tc>
          <w:tcPr>
            <w:tcW w:w="420" w:type="pct"/>
            <w:tcBorders>
              <w:top w:val="nil"/>
              <w:left w:val="nil"/>
              <w:bottom w:val="single" w:sz="4" w:space="0" w:color="auto"/>
              <w:right w:val="nil"/>
            </w:tcBorders>
            <w:shd w:val="clear" w:color="auto" w:fill="AFBED7"/>
            <w:noWrap/>
            <w:vAlign w:val="bottom"/>
          </w:tcPr>
          <w:p w:rsidR="000B6BDD" w:rsidRPr="0037170C" w:rsidRDefault="000B6BDD" w:rsidP="0037170C">
            <w:pPr>
              <w:keepNext/>
              <w:spacing w:line="240" w:lineRule="auto"/>
              <w:jc w:val="center"/>
              <w:rPr>
                <w:rFonts w:ascii="Franklin Gothic Medium" w:hAnsi="Franklin Gothic Medium" w:cs="Calibri"/>
                <w:b/>
                <w:color w:val="000000"/>
                <w:sz w:val="18"/>
                <w:szCs w:val="18"/>
              </w:rPr>
            </w:pPr>
            <w:r w:rsidRPr="0037170C">
              <w:rPr>
                <w:rFonts w:ascii="Franklin Gothic Medium" w:hAnsi="Franklin Gothic Medium" w:cs="Calibri"/>
                <w:b/>
                <w:color w:val="000000"/>
                <w:sz w:val="18"/>
                <w:szCs w:val="18"/>
              </w:rPr>
              <w:t>p-value</w:t>
            </w:r>
          </w:p>
        </w:tc>
      </w:tr>
      <w:tr w:rsidR="000B6BDD" w:rsidRPr="007522FC" w:rsidTr="0037170C">
        <w:trPr>
          <w:trHeight w:val="300"/>
        </w:trPr>
        <w:tc>
          <w:tcPr>
            <w:tcW w:w="826" w:type="pct"/>
            <w:tcBorders>
              <w:top w:val="nil"/>
              <w:left w:val="nil"/>
              <w:bottom w:val="nil"/>
              <w:right w:val="nil"/>
            </w:tcBorders>
            <w:noWrap/>
            <w:vAlign w:val="bottom"/>
          </w:tcPr>
          <w:p w:rsidR="000B6BDD" w:rsidRPr="007522FC" w:rsidRDefault="000B6BDD" w:rsidP="0037170C">
            <w:pPr>
              <w:keepNext/>
              <w:spacing w:line="240" w:lineRule="auto"/>
              <w:rPr>
                <w:rFonts w:ascii="Franklin Gothic Medium" w:hAnsi="Franklin Gothic Medium" w:cs="Calibri"/>
                <w:color w:val="000000"/>
                <w:sz w:val="18"/>
                <w:szCs w:val="18"/>
              </w:rPr>
            </w:pPr>
            <w:r>
              <w:rPr>
                <w:rFonts w:ascii="Franklin Gothic Medium" w:hAnsi="Franklin Gothic Medium" w:cs="Calibri"/>
                <w:color w:val="000000"/>
                <w:sz w:val="18"/>
                <w:szCs w:val="18"/>
              </w:rPr>
              <w:t>Screener variables</w:t>
            </w:r>
          </w:p>
        </w:tc>
        <w:tc>
          <w:tcPr>
            <w:tcW w:w="399" w:type="pct"/>
            <w:tcBorders>
              <w:top w:val="nil"/>
              <w:left w:val="single" w:sz="4" w:space="0" w:color="auto"/>
              <w:bottom w:val="nil"/>
              <w:right w:val="single" w:sz="4" w:space="0" w:color="auto"/>
            </w:tcBorders>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p>
        </w:tc>
        <w:tc>
          <w:tcPr>
            <w:tcW w:w="445"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p>
        </w:tc>
        <w:tc>
          <w:tcPr>
            <w:tcW w:w="445"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p>
        </w:tc>
        <w:tc>
          <w:tcPr>
            <w:tcW w:w="499"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p>
        </w:tc>
        <w:tc>
          <w:tcPr>
            <w:tcW w:w="420"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p>
        </w:tc>
      </w:tr>
      <w:tr w:rsidR="000B6BDD" w:rsidRPr="007522FC" w:rsidTr="0037170C">
        <w:trPr>
          <w:trHeight w:val="300"/>
        </w:trPr>
        <w:tc>
          <w:tcPr>
            <w:tcW w:w="826" w:type="pct"/>
            <w:tcBorders>
              <w:top w:val="nil"/>
              <w:left w:val="nil"/>
              <w:bottom w:val="nil"/>
              <w:right w:val="nil"/>
            </w:tcBorders>
            <w:noWrap/>
            <w:vAlign w:val="bottom"/>
          </w:tcPr>
          <w:p w:rsidR="000B6BDD" w:rsidRPr="007522FC" w:rsidRDefault="000B6BDD" w:rsidP="0037170C">
            <w:pPr>
              <w:keepNext/>
              <w:spacing w:line="240" w:lineRule="auto"/>
              <w:rPr>
                <w:rFonts w:ascii="Franklin Gothic Medium" w:hAnsi="Franklin Gothic Medium" w:cs="Calibri"/>
                <w:color w:val="000000"/>
                <w:sz w:val="18"/>
                <w:szCs w:val="18"/>
              </w:rPr>
            </w:pPr>
            <w:r>
              <w:rPr>
                <w:rFonts w:ascii="Franklin Gothic Medium" w:hAnsi="Franklin Gothic Medium" w:cs="Calibri"/>
                <w:color w:val="000000"/>
                <w:sz w:val="18"/>
                <w:szCs w:val="18"/>
              </w:rPr>
              <w:t>16-25 years old</w:t>
            </w:r>
          </w:p>
        </w:tc>
        <w:tc>
          <w:tcPr>
            <w:tcW w:w="399" w:type="pct"/>
            <w:tcBorders>
              <w:top w:val="nil"/>
              <w:left w:val="single" w:sz="4" w:space="0" w:color="auto"/>
              <w:bottom w:val="nil"/>
              <w:right w:val="single" w:sz="4" w:space="0" w:color="auto"/>
            </w:tcBorders>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Pr>
                <w:rFonts w:ascii="Franklin Gothic Medium" w:hAnsi="Franklin Gothic Medium" w:cs="Calibri"/>
                <w:color w:val="000000"/>
                <w:sz w:val="18"/>
                <w:szCs w:val="18"/>
              </w:rPr>
              <w:t>326</w:t>
            </w:r>
          </w:p>
        </w:tc>
        <w:tc>
          <w:tcPr>
            <w:tcW w:w="445"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12.1%</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2.28%</w:t>
            </w:r>
          </w:p>
        </w:tc>
        <w:tc>
          <w:tcPr>
            <w:tcW w:w="445"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8.1%</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2.40%</w:t>
            </w:r>
          </w:p>
        </w:tc>
        <w:tc>
          <w:tcPr>
            <w:tcW w:w="499"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4.1%</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3.34%</w:t>
            </w:r>
          </w:p>
        </w:tc>
        <w:tc>
          <w:tcPr>
            <w:tcW w:w="420"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0.2341</w:t>
            </w:r>
          </w:p>
        </w:tc>
      </w:tr>
      <w:tr w:rsidR="000B6BDD" w:rsidRPr="007522FC" w:rsidTr="0037170C">
        <w:trPr>
          <w:trHeight w:val="300"/>
        </w:trPr>
        <w:tc>
          <w:tcPr>
            <w:tcW w:w="826" w:type="pct"/>
            <w:tcBorders>
              <w:top w:val="nil"/>
              <w:left w:val="nil"/>
              <w:bottom w:val="nil"/>
              <w:right w:val="nil"/>
            </w:tcBorders>
            <w:noWrap/>
            <w:vAlign w:val="bottom"/>
          </w:tcPr>
          <w:p w:rsidR="000B6BDD" w:rsidRPr="007522FC" w:rsidRDefault="000B6BDD" w:rsidP="0037170C">
            <w:pPr>
              <w:keepNext/>
              <w:spacing w:line="240" w:lineRule="auto"/>
              <w:rPr>
                <w:rFonts w:ascii="Franklin Gothic Medium" w:hAnsi="Franklin Gothic Medium" w:cs="Calibri"/>
                <w:color w:val="000000"/>
                <w:sz w:val="18"/>
                <w:szCs w:val="18"/>
              </w:rPr>
            </w:pPr>
            <w:r>
              <w:rPr>
                <w:rFonts w:ascii="Franklin Gothic Medium" w:hAnsi="Franklin Gothic Medium" w:cs="Calibri"/>
                <w:color w:val="000000"/>
                <w:sz w:val="18"/>
                <w:szCs w:val="18"/>
              </w:rPr>
              <w:t>26-35 years old</w:t>
            </w:r>
          </w:p>
        </w:tc>
        <w:tc>
          <w:tcPr>
            <w:tcW w:w="399" w:type="pct"/>
            <w:tcBorders>
              <w:top w:val="nil"/>
              <w:left w:val="single" w:sz="4" w:space="0" w:color="auto"/>
              <w:bottom w:val="nil"/>
              <w:right w:val="single" w:sz="4" w:space="0" w:color="auto"/>
            </w:tcBorders>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Pr>
                <w:rFonts w:ascii="Franklin Gothic Medium" w:hAnsi="Franklin Gothic Medium" w:cs="Calibri"/>
                <w:color w:val="000000"/>
                <w:sz w:val="18"/>
                <w:szCs w:val="18"/>
              </w:rPr>
              <w:t>333</w:t>
            </w:r>
          </w:p>
        </w:tc>
        <w:tc>
          <w:tcPr>
            <w:tcW w:w="445"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9.4%</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2.69%</w:t>
            </w:r>
          </w:p>
        </w:tc>
        <w:tc>
          <w:tcPr>
            <w:tcW w:w="445"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9.5%</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2.21%</w:t>
            </w:r>
          </w:p>
        </w:tc>
        <w:tc>
          <w:tcPr>
            <w:tcW w:w="499"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-0.1%</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2.89%</w:t>
            </w:r>
          </w:p>
        </w:tc>
        <w:tc>
          <w:tcPr>
            <w:tcW w:w="420"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0.9627</w:t>
            </w:r>
          </w:p>
        </w:tc>
      </w:tr>
      <w:tr w:rsidR="000B6BDD" w:rsidRPr="007522FC" w:rsidTr="0037170C">
        <w:trPr>
          <w:trHeight w:val="300"/>
        </w:trPr>
        <w:tc>
          <w:tcPr>
            <w:tcW w:w="826" w:type="pct"/>
            <w:tcBorders>
              <w:top w:val="nil"/>
              <w:left w:val="nil"/>
              <w:bottom w:val="nil"/>
              <w:right w:val="nil"/>
            </w:tcBorders>
            <w:noWrap/>
            <w:vAlign w:val="bottom"/>
          </w:tcPr>
          <w:p w:rsidR="000B6BDD" w:rsidRPr="007522FC" w:rsidRDefault="000B6BDD" w:rsidP="0037170C">
            <w:pPr>
              <w:keepNext/>
              <w:spacing w:line="240" w:lineRule="auto"/>
              <w:rPr>
                <w:rFonts w:ascii="Franklin Gothic Medium" w:hAnsi="Franklin Gothic Medium" w:cs="Calibri"/>
                <w:color w:val="000000"/>
                <w:sz w:val="18"/>
                <w:szCs w:val="18"/>
              </w:rPr>
            </w:pPr>
            <w:r>
              <w:rPr>
                <w:rFonts w:ascii="Franklin Gothic Medium" w:hAnsi="Franklin Gothic Medium" w:cs="Calibri"/>
                <w:color w:val="000000"/>
                <w:sz w:val="18"/>
                <w:szCs w:val="18"/>
              </w:rPr>
              <w:t>36-55 years old</w:t>
            </w:r>
          </w:p>
        </w:tc>
        <w:tc>
          <w:tcPr>
            <w:tcW w:w="399" w:type="pct"/>
            <w:tcBorders>
              <w:top w:val="nil"/>
              <w:left w:val="single" w:sz="4" w:space="0" w:color="auto"/>
              <w:bottom w:val="nil"/>
              <w:right w:val="single" w:sz="4" w:space="0" w:color="auto"/>
            </w:tcBorders>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Pr>
                <w:rFonts w:ascii="Franklin Gothic Medium" w:hAnsi="Franklin Gothic Medium" w:cs="Calibri"/>
                <w:color w:val="000000"/>
                <w:sz w:val="18"/>
                <w:szCs w:val="18"/>
              </w:rPr>
              <w:t>695</w:t>
            </w:r>
          </w:p>
        </w:tc>
        <w:tc>
          <w:tcPr>
            <w:tcW w:w="445"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15.2%</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2.41%</w:t>
            </w:r>
          </w:p>
        </w:tc>
        <w:tc>
          <w:tcPr>
            <w:tcW w:w="445"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10.6%</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1.51%</w:t>
            </w:r>
          </w:p>
        </w:tc>
        <w:tc>
          <w:tcPr>
            <w:tcW w:w="499"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4.6%</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2.75%</w:t>
            </w:r>
          </w:p>
        </w:tc>
        <w:tc>
          <w:tcPr>
            <w:tcW w:w="420"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0.1080</w:t>
            </w:r>
          </w:p>
        </w:tc>
      </w:tr>
      <w:tr w:rsidR="000B6BDD" w:rsidRPr="007522FC" w:rsidTr="0037170C">
        <w:trPr>
          <w:trHeight w:val="300"/>
        </w:trPr>
        <w:tc>
          <w:tcPr>
            <w:tcW w:w="826" w:type="pct"/>
            <w:tcBorders>
              <w:top w:val="nil"/>
              <w:left w:val="nil"/>
              <w:bottom w:val="nil"/>
              <w:right w:val="nil"/>
            </w:tcBorders>
            <w:noWrap/>
            <w:vAlign w:val="bottom"/>
          </w:tcPr>
          <w:p w:rsidR="000B6BDD" w:rsidRPr="007522FC" w:rsidRDefault="000B6BDD" w:rsidP="0037170C">
            <w:pPr>
              <w:keepNext/>
              <w:spacing w:line="240" w:lineRule="auto"/>
              <w:rPr>
                <w:rFonts w:ascii="Franklin Gothic Medium" w:hAnsi="Franklin Gothic Medium" w:cs="Calibri"/>
                <w:color w:val="000000"/>
                <w:sz w:val="18"/>
                <w:szCs w:val="18"/>
              </w:rPr>
            </w:pPr>
            <w:r>
              <w:rPr>
                <w:rFonts w:ascii="Franklin Gothic Medium" w:hAnsi="Franklin Gothic Medium" w:cs="Calibri"/>
                <w:color w:val="000000"/>
                <w:sz w:val="18"/>
                <w:szCs w:val="18"/>
              </w:rPr>
              <w:t>56-65 years old</w:t>
            </w:r>
          </w:p>
        </w:tc>
        <w:tc>
          <w:tcPr>
            <w:tcW w:w="399" w:type="pct"/>
            <w:tcBorders>
              <w:top w:val="nil"/>
              <w:left w:val="single" w:sz="4" w:space="0" w:color="auto"/>
              <w:bottom w:val="nil"/>
              <w:right w:val="single" w:sz="4" w:space="0" w:color="auto"/>
            </w:tcBorders>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Pr>
                <w:rFonts w:ascii="Franklin Gothic Medium" w:hAnsi="Franklin Gothic Medium" w:cs="Calibri"/>
                <w:color w:val="000000"/>
                <w:sz w:val="18"/>
                <w:szCs w:val="18"/>
              </w:rPr>
              <w:t>338</w:t>
            </w:r>
          </w:p>
        </w:tc>
        <w:tc>
          <w:tcPr>
            <w:tcW w:w="445"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11.6%</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2.36%</w:t>
            </w:r>
          </w:p>
        </w:tc>
        <w:tc>
          <w:tcPr>
            <w:tcW w:w="445"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10.8%</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2.11%</w:t>
            </w:r>
          </w:p>
        </w:tc>
        <w:tc>
          <w:tcPr>
            <w:tcW w:w="499"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0.8%</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3.18%</w:t>
            </w:r>
          </w:p>
        </w:tc>
        <w:tc>
          <w:tcPr>
            <w:tcW w:w="420"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0.7931</w:t>
            </w:r>
          </w:p>
        </w:tc>
      </w:tr>
      <w:tr w:rsidR="000B6BDD" w:rsidRPr="007522FC" w:rsidTr="0037170C">
        <w:trPr>
          <w:trHeight w:val="300"/>
        </w:trPr>
        <w:tc>
          <w:tcPr>
            <w:tcW w:w="826" w:type="pct"/>
            <w:tcBorders>
              <w:top w:val="nil"/>
              <w:left w:val="nil"/>
              <w:bottom w:val="nil"/>
              <w:right w:val="nil"/>
            </w:tcBorders>
            <w:noWrap/>
            <w:vAlign w:val="bottom"/>
          </w:tcPr>
          <w:p w:rsidR="000B6BDD" w:rsidRPr="007522FC" w:rsidRDefault="000B6BDD" w:rsidP="0037170C">
            <w:pPr>
              <w:keepNext/>
              <w:spacing w:line="240" w:lineRule="auto"/>
              <w:rPr>
                <w:rFonts w:ascii="Franklin Gothic Medium" w:hAnsi="Franklin Gothic Medium" w:cs="Calibri"/>
                <w:color w:val="000000"/>
                <w:sz w:val="18"/>
                <w:szCs w:val="18"/>
              </w:rPr>
            </w:pPr>
            <w:r>
              <w:rPr>
                <w:rFonts w:ascii="Franklin Gothic Medium" w:hAnsi="Franklin Gothic Medium" w:cs="Calibri"/>
                <w:color w:val="000000"/>
                <w:sz w:val="18"/>
                <w:szCs w:val="18"/>
              </w:rPr>
              <w:t>Male</w:t>
            </w:r>
          </w:p>
        </w:tc>
        <w:tc>
          <w:tcPr>
            <w:tcW w:w="399" w:type="pct"/>
            <w:tcBorders>
              <w:top w:val="nil"/>
              <w:left w:val="single" w:sz="4" w:space="0" w:color="auto"/>
              <w:bottom w:val="nil"/>
              <w:right w:val="single" w:sz="4" w:space="0" w:color="auto"/>
            </w:tcBorders>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Pr>
                <w:rFonts w:ascii="Franklin Gothic Medium" w:hAnsi="Franklin Gothic Medium" w:cs="Calibri"/>
                <w:color w:val="000000"/>
                <w:sz w:val="18"/>
                <w:szCs w:val="18"/>
              </w:rPr>
              <w:t>788</w:t>
            </w:r>
          </w:p>
        </w:tc>
        <w:tc>
          <w:tcPr>
            <w:tcW w:w="445"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12.8%</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1.62%</w:t>
            </w:r>
          </w:p>
        </w:tc>
        <w:tc>
          <w:tcPr>
            <w:tcW w:w="445"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10.0%</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1.87%</w:t>
            </w:r>
          </w:p>
        </w:tc>
        <w:tc>
          <w:tcPr>
            <w:tcW w:w="499"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2.8%</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1.92%</w:t>
            </w:r>
          </w:p>
        </w:tc>
        <w:tc>
          <w:tcPr>
            <w:tcW w:w="420"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0.1666</w:t>
            </w:r>
          </w:p>
        </w:tc>
      </w:tr>
      <w:tr w:rsidR="000B6BDD" w:rsidRPr="007522FC" w:rsidTr="0037170C">
        <w:trPr>
          <w:trHeight w:val="300"/>
        </w:trPr>
        <w:tc>
          <w:tcPr>
            <w:tcW w:w="826" w:type="pct"/>
            <w:tcBorders>
              <w:top w:val="nil"/>
              <w:left w:val="nil"/>
              <w:bottom w:val="nil"/>
              <w:right w:val="nil"/>
            </w:tcBorders>
            <w:noWrap/>
            <w:vAlign w:val="bottom"/>
          </w:tcPr>
          <w:p w:rsidR="000B6BDD" w:rsidRPr="007522FC" w:rsidRDefault="000B6BDD" w:rsidP="0037170C">
            <w:pPr>
              <w:keepNext/>
              <w:spacing w:line="240" w:lineRule="auto"/>
              <w:rPr>
                <w:rFonts w:ascii="Franklin Gothic Medium" w:hAnsi="Franklin Gothic Medium" w:cs="Calibri"/>
                <w:color w:val="000000"/>
                <w:sz w:val="18"/>
                <w:szCs w:val="18"/>
              </w:rPr>
            </w:pPr>
            <w:r>
              <w:rPr>
                <w:rFonts w:ascii="Franklin Gothic Medium" w:hAnsi="Franklin Gothic Medium" w:cs="Calibri"/>
                <w:color w:val="000000"/>
                <w:sz w:val="18"/>
                <w:szCs w:val="18"/>
              </w:rPr>
              <w:t>Female</w:t>
            </w:r>
          </w:p>
        </w:tc>
        <w:tc>
          <w:tcPr>
            <w:tcW w:w="399" w:type="pct"/>
            <w:tcBorders>
              <w:top w:val="nil"/>
              <w:left w:val="single" w:sz="4" w:space="0" w:color="auto"/>
              <w:bottom w:val="nil"/>
              <w:right w:val="single" w:sz="4" w:space="0" w:color="auto"/>
            </w:tcBorders>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Pr>
                <w:rFonts w:ascii="Franklin Gothic Medium" w:hAnsi="Franklin Gothic Medium" w:cs="Calibri"/>
                <w:color w:val="000000"/>
                <w:sz w:val="18"/>
                <w:szCs w:val="18"/>
              </w:rPr>
              <w:t>904</w:t>
            </w:r>
          </w:p>
        </w:tc>
        <w:tc>
          <w:tcPr>
            <w:tcW w:w="445"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12.7%</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1.71%</w:t>
            </w:r>
          </w:p>
        </w:tc>
        <w:tc>
          <w:tcPr>
            <w:tcW w:w="445"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9.9%</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1.58%</w:t>
            </w:r>
          </w:p>
        </w:tc>
        <w:tc>
          <w:tcPr>
            <w:tcW w:w="499"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2.8%</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1.92%</w:t>
            </w:r>
          </w:p>
        </w:tc>
        <w:tc>
          <w:tcPr>
            <w:tcW w:w="420"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0.1591</w:t>
            </w:r>
          </w:p>
        </w:tc>
      </w:tr>
      <w:tr w:rsidR="000B6BDD" w:rsidRPr="007522FC" w:rsidTr="0037170C">
        <w:trPr>
          <w:trHeight w:val="300"/>
        </w:trPr>
        <w:tc>
          <w:tcPr>
            <w:tcW w:w="826" w:type="pct"/>
            <w:tcBorders>
              <w:top w:val="nil"/>
              <w:left w:val="nil"/>
              <w:bottom w:val="nil"/>
              <w:right w:val="nil"/>
            </w:tcBorders>
            <w:noWrap/>
            <w:vAlign w:val="bottom"/>
          </w:tcPr>
          <w:p w:rsidR="000B6BDD" w:rsidRPr="007522FC" w:rsidRDefault="000B6BDD" w:rsidP="0037170C">
            <w:pPr>
              <w:keepNext/>
              <w:spacing w:line="240" w:lineRule="auto"/>
              <w:rPr>
                <w:rFonts w:ascii="Franklin Gothic Medium" w:hAnsi="Franklin Gothic Medium" w:cs="Calibri"/>
                <w:color w:val="000000"/>
                <w:sz w:val="18"/>
                <w:szCs w:val="18"/>
              </w:rPr>
            </w:pPr>
            <w:r>
              <w:rPr>
                <w:rFonts w:ascii="Franklin Gothic Medium" w:hAnsi="Franklin Gothic Medium" w:cs="Calibri"/>
                <w:color w:val="000000"/>
                <w:sz w:val="18"/>
                <w:szCs w:val="18"/>
              </w:rPr>
              <w:t>Hispanic</w:t>
            </w:r>
          </w:p>
        </w:tc>
        <w:tc>
          <w:tcPr>
            <w:tcW w:w="399" w:type="pct"/>
            <w:tcBorders>
              <w:top w:val="nil"/>
              <w:left w:val="single" w:sz="4" w:space="0" w:color="auto"/>
              <w:bottom w:val="nil"/>
              <w:right w:val="single" w:sz="4" w:space="0" w:color="auto"/>
            </w:tcBorders>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Pr>
                <w:rFonts w:ascii="Franklin Gothic Medium" w:hAnsi="Franklin Gothic Medium" w:cs="Calibri"/>
                <w:color w:val="000000"/>
                <w:sz w:val="18"/>
                <w:szCs w:val="18"/>
              </w:rPr>
              <w:t>158</w:t>
            </w:r>
          </w:p>
        </w:tc>
        <w:tc>
          <w:tcPr>
            <w:tcW w:w="445"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8.0%</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3.13%</w:t>
            </w:r>
          </w:p>
        </w:tc>
        <w:tc>
          <w:tcPr>
            <w:tcW w:w="445"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9.0%</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3.37%</w:t>
            </w:r>
          </w:p>
        </w:tc>
        <w:tc>
          <w:tcPr>
            <w:tcW w:w="499"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-1.0%</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4.26%</w:t>
            </w:r>
          </w:p>
        </w:tc>
        <w:tc>
          <w:tcPr>
            <w:tcW w:w="420"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0.8166</w:t>
            </w:r>
          </w:p>
        </w:tc>
      </w:tr>
      <w:tr w:rsidR="000B6BDD" w:rsidRPr="007522FC" w:rsidTr="0037170C">
        <w:trPr>
          <w:trHeight w:val="300"/>
        </w:trPr>
        <w:tc>
          <w:tcPr>
            <w:tcW w:w="826" w:type="pct"/>
            <w:tcBorders>
              <w:top w:val="nil"/>
              <w:left w:val="nil"/>
              <w:bottom w:val="nil"/>
              <w:right w:val="nil"/>
            </w:tcBorders>
            <w:noWrap/>
            <w:vAlign w:val="bottom"/>
          </w:tcPr>
          <w:p w:rsidR="000B6BDD" w:rsidRPr="007522FC" w:rsidRDefault="000B6BDD" w:rsidP="0037170C">
            <w:pPr>
              <w:keepNext/>
              <w:spacing w:line="240" w:lineRule="auto"/>
              <w:rPr>
                <w:rFonts w:ascii="Franklin Gothic Medium" w:hAnsi="Franklin Gothic Medium" w:cs="Calibri"/>
                <w:color w:val="000000"/>
                <w:sz w:val="18"/>
                <w:szCs w:val="18"/>
              </w:rPr>
            </w:pPr>
            <w:r>
              <w:rPr>
                <w:rFonts w:ascii="Franklin Gothic Medium" w:hAnsi="Franklin Gothic Medium" w:cs="Calibri"/>
                <w:color w:val="000000"/>
                <w:sz w:val="18"/>
                <w:szCs w:val="18"/>
              </w:rPr>
              <w:t>Non-Hispanic black</w:t>
            </w:r>
          </w:p>
        </w:tc>
        <w:tc>
          <w:tcPr>
            <w:tcW w:w="399" w:type="pct"/>
            <w:tcBorders>
              <w:top w:val="nil"/>
              <w:left w:val="single" w:sz="4" w:space="0" w:color="auto"/>
              <w:bottom w:val="nil"/>
              <w:right w:val="single" w:sz="4" w:space="0" w:color="auto"/>
            </w:tcBorders>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Pr>
                <w:rFonts w:ascii="Franklin Gothic Medium" w:hAnsi="Franklin Gothic Medium" w:cs="Calibri"/>
                <w:color w:val="000000"/>
                <w:sz w:val="18"/>
                <w:szCs w:val="18"/>
              </w:rPr>
              <w:t>366</w:t>
            </w:r>
          </w:p>
        </w:tc>
        <w:tc>
          <w:tcPr>
            <w:tcW w:w="445"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9.3%</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2.50%</w:t>
            </w:r>
          </w:p>
        </w:tc>
        <w:tc>
          <w:tcPr>
            <w:tcW w:w="445"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1.9%</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1.04%</w:t>
            </w:r>
          </w:p>
        </w:tc>
        <w:tc>
          <w:tcPr>
            <w:tcW w:w="499"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7.4%</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2.33%</w:t>
            </w:r>
          </w:p>
        </w:tc>
        <w:tc>
          <w:tcPr>
            <w:tcW w:w="420"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0.0044</w:t>
            </w:r>
          </w:p>
        </w:tc>
      </w:tr>
      <w:tr w:rsidR="000B6BDD" w:rsidRPr="007522FC" w:rsidTr="0037170C">
        <w:trPr>
          <w:trHeight w:val="300"/>
        </w:trPr>
        <w:tc>
          <w:tcPr>
            <w:tcW w:w="826" w:type="pct"/>
            <w:tcBorders>
              <w:top w:val="nil"/>
              <w:left w:val="nil"/>
              <w:bottom w:val="nil"/>
              <w:right w:val="nil"/>
            </w:tcBorders>
            <w:noWrap/>
            <w:vAlign w:val="bottom"/>
          </w:tcPr>
          <w:p w:rsidR="000B6BDD" w:rsidRPr="007522FC" w:rsidRDefault="000B6BDD" w:rsidP="0037170C">
            <w:pPr>
              <w:keepNext/>
              <w:spacing w:line="240" w:lineRule="auto"/>
              <w:rPr>
                <w:rFonts w:ascii="Franklin Gothic Medium" w:hAnsi="Franklin Gothic Medium" w:cs="Calibri"/>
                <w:color w:val="000000"/>
                <w:sz w:val="18"/>
                <w:szCs w:val="18"/>
              </w:rPr>
            </w:pPr>
            <w:r>
              <w:rPr>
                <w:rFonts w:ascii="Franklin Gothic Medium" w:hAnsi="Franklin Gothic Medium" w:cs="Calibri"/>
                <w:color w:val="000000"/>
                <w:sz w:val="18"/>
                <w:szCs w:val="18"/>
              </w:rPr>
              <w:t>Non-Hispanic other</w:t>
            </w:r>
          </w:p>
        </w:tc>
        <w:tc>
          <w:tcPr>
            <w:tcW w:w="399" w:type="pct"/>
            <w:tcBorders>
              <w:top w:val="nil"/>
              <w:left w:val="single" w:sz="4" w:space="0" w:color="auto"/>
              <w:bottom w:val="nil"/>
              <w:right w:val="single" w:sz="4" w:space="0" w:color="auto"/>
            </w:tcBorders>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Pr>
                <w:rFonts w:ascii="Franklin Gothic Medium" w:hAnsi="Franklin Gothic Medium" w:cs="Calibri"/>
                <w:color w:val="000000"/>
                <w:sz w:val="18"/>
                <w:szCs w:val="18"/>
              </w:rPr>
              <w:t>1168</w:t>
            </w:r>
          </w:p>
        </w:tc>
        <w:tc>
          <w:tcPr>
            <w:tcW w:w="445"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14.5%</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1.95%</w:t>
            </w:r>
          </w:p>
        </w:tc>
        <w:tc>
          <w:tcPr>
            <w:tcW w:w="445"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12.3%</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1.25%</w:t>
            </w:r>
          </w:p>
        </w:tc>
        <w:tc>
          <w:tcPr>
            <w:tcW w:w="499"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2.1%</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2.06%</w:t>
            </w:r>
          </w:p>
        </w:tc>
        <w:tc>
          <w:tcPr>
            <w:tcW w:w="420"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0.3136</w:t>
            </w:r>
          </w:p>
        </w:tc>
      </w:tr>
      <w:tr w:rsidR="000B6BDD" w:rsidRPr="007522FC" w:rsidTr="0037170C">
        <w:trPr>
          <w:trHeight w:val="300"/>
        </w:trPr>
        <w:tc>
          <w:tcPr>
            <w:tcW w:w="826" w:type="pct"/>
            <w:tcBorders>
              <w:top w:val="nil"/>
              <w:left w:val="nil"/>
              <w:bottom w:val="nil"/>
              <w:right w:val="nil"/>
            </w:tcBorders>
            <w:noWrap/>
            <w:vAlign w:val="bottom"/>
          </w:tcPr>
          <w:p w:rsidR="000B6BDD" w:rsidRDefault="000B6BDD" w:rsidP="0037170C">
            <w:pPr>
              <w:keepNext/>
              <w:spacing w:line="240" w:lineRule="auto"/>
              <w:rPr>
                <w:rFonts w:ascii="Franklin Gothic Medium" w:hAnsi="Franklin Gothic Medium" w:cs="Calibri"/>
                <w:color w:val="000000"/>
                <w:sz w:val="18"/>
                <w:szCs w:val="18"/>
              </w:rPr>
            </w:pPr>
            <w:r>
              <w:rPr>
                <w:rFonts w:ascii="Franklin Gothic Medium" w:hAnsi="Franklin Gothic Medium" w:cs="Calibri"/>
                <w:color w:val="000000"/>
                <w:sz w:val="18"/>
                <w:szCs w:val="18"/>
              </w:rPr>
              <w:t>Area variables</w:t>
            </w:r>
          </w:p>
        </w:tc>
        <w:tc>
          <w:tcPr>
            <w:tcW w:w="399" w:type="pct"/>
            <w:tcBorders>
              <w:top w:val="nil"/>
              <w:left w:val="single" w:sz="4" w:space="0" w:color="auto"/>
              <w:bottom w:val="nil"/>
              <w:right w:val="single" w:sz="4" w:space="0" w:color="auto"/>
            </w:tcBorders>
            <w:vAlign w:val="bottom"/>
          </w:tcPr>
          <w:p w:rsidR="000B6BDD" w:rsidRDefault="000B6BDD" w:rsidP="0037170C">
            <w:pPr>
              <w:keepNext/>
              <w:spacing w:line="240" w:lineRule="auto"/>
              <w:jc w:val="center"/>
              <w:rPr>
                <w:rFonts w:ascii="Franklin Gothic Medium" w:hAnsi="Franklin Gothic Medium" w:cs="Calibri"/>
                <w:color w:val="000000"/>
                <w:sz w:val="18"/>
                <w:szCs w:val="18"/>
              </w:rPr>
            </w:pPr>
          </w:p>
        </w:tc>
        <w:tc>
          <w:tcPr>
            <w:tcW w:w="445"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p>
        </w:tc>
        <w:tc>
          <w:tcPr>
            <w:tcW w:w="445"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p>
        </w:tc>
        <w:tc>
          <w:tcPr>
            <w:tcW w:w="499"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p>
        </w:tc>
        <w:tc>
          <w:tcPr>
            <w:tcW w:w="420"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p>
        </w:tc>
      </w:tr>
      <w:tr w:rsidR="000B6BDD" w:rsidRPr="007522FC" w:rsidTr="0037170C">
        <w:trPr>
          <w:trHeight w:val="300"/>
        </w:trPr>
        <w:tc>
          <w:tcPr>
            <w:tcW w:w="826" w:type="pct"/>
            <w:tcBorders>
              <w:top w:val="nil"/>
              <w:left w:val="nil"/>
              <w:bottom w:val="nil"/>
              <w:right w:val="nil"/>
            </w:tcBorders>
            <w:noWrap/>
            <w:vAlign w:val="bottom"/>
          </w:tcPr>
          <w:p w:rsidR="000B6BDD" w:rsidRPr="00CB5596" w:rsidRDefault="000B6BDD" w:rsidP="0037170C">
            <w:pPr>
              <w:keepNext/>
              <w:spacing w:line="240" w:lineRule="auto"/>
              <w:rPr>
                <w:rFonts w:ascii="Franklin Gothic Medium" w:hAnsi="Franklin Gothic Medium" w:cs="Calibri"/>
                <w:color w:val="000000"/>
                <w:sz w:val="18"/>
                <w:szCs w:val="18"/>
              </w:rPr>
            </w:pPr>
            <w:r>
              <w:rPr>
                <w:rFonts w:ascii="Franklin Gothic Medium" w:hAnsi="Franklin Gothic Medium" w:cs="Calibri"/>
                <w:color w:val="000000"/>
                <w:sz w:val="18"/>
                <w:szCs w:val="18"/>
              </w:rPr>
              <w:t>High poverty</w:t>
            </w:r>
          </w:p>
        </w:tc>
        <w:tc>
          <w:tcPr>
            <w:tcW w:w="399" w:type="pct"/>
            <w:tcBorders>
              <w:top w:val="nil"/>
              <w:left w:val="single" w:sz="4" w:space="0" w:color="auto"/>
              <w:bottom w:val="nil"/>
              <w:right w:val="single" w:sz="4" w:space="0" w:color="auto"/>
            </w:tcBorders>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Pr>
                <w:rFonts w:ascii="Franklin Gothic Medium" w:hAnsi="Franklin Gothic Medium" w:cs="Calibri"/>
                <w:color w:val="000000"/>
                <w:sz w:val="18"/>
                <w:szCs w:val="18"/>
              </w:rPr>
              <w:t>689</w:t>
            </w:r>
          </w:p>
        </w:tc>
        <w:tc>
          <w:tcPr>
            <w:tcW w:w="445"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15.0%</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1.60%</w:t>
            </w:r>
          </w:p>
        </w:tc>
        <w:tc>
          <w:tcPr>
            <w:tcW w:w="445"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9.3%</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1.49%</w:t>
            </w:r>
          </w:p>
        </w:tc>
        <w:tc>
          <w:tcPr>
            <w:tcW w:w="499"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5.7%</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1.59%</w:t>
            </w:r>
          </w:p>
        </w:tc>
        <w:tc>
          <w:tcPr>
            <w:tcW w:w="420"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0.0017</w:t>
            </w:r>
          </w:p>
        </w:tc>
      </w:tr>
      <w:tr w:rsidR="000B6BDD" w:rsidRPr="007522FC" w:rsidTr="0037170C">
        <w:trPr>
          <w:trHeight w:val="300"/>
        </w:trPr>
        <w:tc>
          <w:tcPr>
            <w:tcW w:w="826" w:type="pct"/>
            <w:tcBorders>
              <w:top w:val="nil"/>
              <w:left w:val="nil"/>
              <w:bottom w:val="nil"/>
              <w:right w:val="nil"/>
            </w:tcBorders>
            <w:noWrap/>
            <w:vAlign w:val="bottom"/>
          </w:tcPr>
          <w:p w:rsidR="000B6BDD" w:rsidRPr="00CB5596" w:rsidRDefault="000B6BDD" w:rsidP="0037170C">
            <w:pPr>
              <w:keepNext/>
              <w:spacing w:line="240" w:lineRule="auto"/>
              <w:rPr>
                <w:rFonts w:ascii="Franklin Gothic Medium" w:hAnsi="Franklin Gothic Medium" w:cs="Calibri"/>
                <w:color w:val="000000"/>
                <w:sz w:val="18"/>
                <w:szCs w:val="18"/>
              </w:rPr>
            </w:pPr>
            <w:r>
              <w:rPr>
                <w:rFonts w:ascii="Franklin Gothic Medium" w:hAnsi="Franklin Gothic Medium" w:cs="Calibri"/>
                <w:color w:val="000000"/>
                <w:sz w:val="18"/>
                <w:szCs w:val="18"/>
              </w:rPr>
              <w:t>Low poverty</w:t>
            </w:r>
          </w:p>
        </w:tc>
        <w:tc>
          <w:tcPr>
            <w:tcW w:w="399" w:type="pct"/>
            <w:tcBorders>
              <w:top w:val="nil"/>
              <w:left w:val="single" w:sz="4" w:space="0" w:color="auto"/>
              <w:bottom w:val="nil"/>
              <w:right w:val="single" w:sz="4" w:space="0" w:color="auto"/>
            </w:tcBorders>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Pr>
                <w:rFonts w:ascii="Franklin Gothic Medium" w:hAnsi="Franklin Gothic Medium" w:cs="Calibri"/>
                <w:color w:val="000000"/>
                <w:sz w:val="18"/>
                <w:szCs w:val="18"/>
              </w:rPr>
              <w:t>1003</w:t>
            </w:r>
          </w:p>
        </w:tc>
        <w:tc>
          <w:tcPr>
            <w:tcW w:w="445"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11.0%</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1.92%</w:t>
            </w:r>
          </w:p>
        </w:tc>
        <w:tc>
          <w:tcPr>
            <w:tcW w:w="445"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10.3%</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1.34%</w:t>
            </w:r>
          </w:p>
        </w:tc>
        <w:tc>
          <w:tcPr>
            <w:tcW w:w="499"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0.7%</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1.91%</w:t>
            </w:r>
          </w:p>
        </w:tc>
        <w:tc>
          <w:tcPr>
            <w:tcW w:w="420"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0.7206</w:t>
            </w:r>
          </w:p>
        </w:tc>
      </w:tr>
      <w:tr w:rsidR="000B6BDD" w:rsidRPr="007522FC" w:rsidTr="0037170C">
        <w:trPr>
          <w:trHeight w:val="300"/>
        </w:trPr>
        <w:tc>
          <w:tcPr>
            <w:tcW w:w="826" w:type="pct"/>
            <w:tcBorders>
              <w:top w:val="nil"/>
              <w:left w:val="nil"/>
              <w:bottom w:val="nil"/>
              <w:right w:val="nil"/>
            </w:tcBorders>
            <w:noWrap/>
            <w:vAlign w:val="bottom"/>
          </w:tcPr>
          <w:p w:rsidR="000B6BDD" w:rsidRPr="00CB5596" w:rsidRDefault="000B6BDD" w:rsidP="0037170C">
            <w:pPr>
              <w:keepNext/>
              <w:spacing w:line="240" w:lineRule="auto"/>
              <w:rPr>
                <w:rFonts w:ascii="Franklin Gothic Medium" w:hAnsi="Franklin Gothic Medium" w:cs="Calibri"/>
                <w:color w:val="000000"/>
                <w:sz w:val="18"/>
                <w:szCs w:val="18"/>
              </w:rPr>
            </w:pPr>
            <w:r>
              <w:rPr>
                <w:rFonts w:ascii="Franklin Gothic Medium" w:hAnsi="Franklin Gothic Medium" w:cs="Calibri"/>
                <w:color w:val="000000"/>
                <w:sz w:val="18"/>
                <w:szCs w:val="18"/>
              </w:rPr>
              <w:t>High education</w:t>
            </w:r>
          </w:p>
        </w:tc>
        <w:tc>
          <w:tcPr>
            <w:tcW w:w="399" w:type="pct"/>
            <w:tcBorders>
              <w:top w:val="nil"/>
              <w:left w:val="single" w:sz="4" w:space="0" w:color="auto"/>
              <w:bottom w:val="nil"/>
              <w:right w:val="single" w:sz="4" w:space="0" w:color="auto"/>
            </w:tcBorders>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Pr>
                <w:rFonts w:ascii="Franklin Gothic Medium" w:hAnsi="Franklin Gothic Medium" w:cs="Calibri"/>
                <w:color w:val="000000"/>
                <w:sz w:val="18"/>
                <w:szCs w:val="18"/>
              </w:rPr>
              <w:t>1120</w:t>
            </w:r>
          </w:p>
        </w:tc>
        <w:tc>
          <w:tcPr>
            <w:tcW w:w="445"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10.9%</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1.65%</w:t>
            </w:r>
          </w:p>
        </w:tc>
        <w:tc>
          <w:tcPr>
            <w:tcW w:w="445"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9.6%</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1.28%</w:t>
            </w:r>
          </w:p>
        </w:tc>
        <w:tc>
          <w:tcPr>
            <w:tcW w:w="499"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1.3%</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1.76%</w:t>
            </w:r>
          </w:p>
        </w:tc>
        <w:tc>
          <w:tcPr>
            <w:tcW w:w="420"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0.4822</w:t>
            </w:r>
          </w:p>
        </w:tc>
      </w:tr>
      <w:tr w:rsidR="000B6BDD" w:rsidRPr="007522FC" w:rsidTr="0037170C">
        <w:trPr>
          <w:trHeight w:val="300"/>
        </w:trPr>
        <w:tc>
          <w:tcPr>
            <w:tcW w:w="826" w:type="pct"/>
            <w:tcBorders>
              <w:top w:val="nil"/>
              <w:left w:val="nil"/>
              <w:bottom w:val="nil"/>
              <w:right w:val="nil"/>
            </w:tcBorders>
            <w:noWrap/>
            <w:vAlign w:val="bottom"/>
          </w:tcPr>
          <w:p w:rsidR="000B6BDD" w:rsidRPr="00CB5596" w:rsidRDefault="000B6BDD" w:rsidP="0037170C">
            <w:pPr>
              <w:keepNext/>
              <w:spacing w:line="240" w:lineRule="auto"/>
              <w:rPr>
                <w:rFonts w:ascii="Franklin Gothic Medium" w:hAnsi="Franklin Gothic Medium" w:cs="Calibri"/>
                <w:color w:val="000000"/>
                <w:sz w:val="18"/>
                <w:szCs w:val="18"/>
              </w:rPr>
            </w:pPr>
            <w:r>
              <w:rPr>
                <w:rFonts w:ascii="Franklin Gothic Medium" w:hAnsi="Franklin Gothic Medium" w:cs="Calibri"/>
                <w:color w:val="000000"/>
                <w:sz w:val="18"/>
                <w:szCs w:val="18"/>
              </w:rPr>
              <w:t>Low education</w:t>
            </w:r>
          </w:p>
        </w:tc>
        <w:tc>
          <w:tcPr>
            <w:tcW w:w="399" w:type="pct"/>
            <w:tcBorders>
              <w:top w:val="nil"/>
              <w:left w:val="single" w:sz="4" w:space="0" w:color="auto"/>
              <w:bottom w:val="nil"/>
              <w:right w:val="single" w:sz="4" w:space="0" w:color="auto"/>
            </w:tcBorders>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Pr>
                <w:rFonts w:ascii="Franklin Gothic Medium" w:hAnsi="Franklin Gothic Medium" w:cs="Calibri"/>
                <w:color w:val="000000"/>
                <w:sz w:val="18"/>
                <w:szCs w:val="18"/>
              </w:rPr>
              <w:t>572</w:t>
            </w:r>
          </w:p>
        </w:tc>
        <w:tc>
          <w:tcPr>
            <w:tcW w:w="445"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16.4%</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2.19%</w:t>
            </w:r>
          </w:p>
        </w:tc>
        <w:tc>
          <w:tcPr>
            <w:tcW w:w="445"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10.6%</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1.69%</w:t>
            </w:r>
          </w:p>
        </w:tc>
        <w:tc>
          <w:tcPr>
            <w:tcW w:w="499"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5.8%</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2.00%</w:t>
            </w:r>
          </w:p>
        </w:tc>
        <w:tc>
          <w:tcPr>
            <w:tcW w:w="420"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0.0083</w:t>
            </w:r>
          </w:p>
        </w:tc>
      </w:tr>
      <w:tr w:rsidR="000B6BDD" w:rsidRPr="007522FC" w:rsidTr="0037170C">
        <w:trPr>
          <w:trHeight w:val="300"/>
        </w:trPr>
        <w:tc>
          <w:tcPr>
            <w:tcW w:w="826" w:type="pct"/>
            <w:tcBorders>
              <w:top w:val="nil"/>
              <w:left w:val="nil"/>
              <w:bottom w:val="nil"/>
              <w:right w:val="nil"/>
            </w:tcBorders>
            <w:noWrap/>
            <w:vAlign w:val="bottom"/>
          </w:tcPr>
          <w:p w:rsidR="000B6BDD" w:rsidRPr="00CB5596" w:rsidRDefault="000B6BDD" w:rsidP="0037170C">
            <w:pPr>
              <w:keepNext/>
              <w:spacing w:line="240" w:lineRule="auto"/>
              <w:rPr>
                <w:rFonts w:ascii="Franklin Gothic Medium" w:hAnsi="Franklin Gothic Medium" w:cs="Calibri"/>
                <w:color w:val="000000"/>
                <w:sz w:val="18"/>
                <w:szCs w:val="18"/>
              </w:rPr>
            </w:pPr>
            <w:r>
              <w:rPr>
                <w:rFonts w:ascii="Franklin Gothic Medium" w:hAnsi="Franklin Gothic Medium" w:cs="Calibri"/>
                <w:color w:val="000000"/>
                <w:sz w:val="18"/>
                <w:szCs w:val="18"/>
              </w:rPr>
              <w:t>High black</w:t>
            </w:r>
          </w:p>
        </w:tc>
        <w:tc>
          <w:tcPr>
            <w:tcW w:w="399" w:type="pct"/>
            <w:tcBorders>
              <w:top w:val="nil"/>
              <w:left w:val="single" w:sz="4" w:space="0" w:color="auto"/>
              <w:bottom w:val="nil"/>
              <w:right w:val="single" w:sz="4" w:space="0" w:color="auto"/>
            </w:tcBorders>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Pr>
                <w:rFonts w:ascii="Franklin Gothic Medium" w:hAnsi="Franklin Gothic Medium" w:cs="Calibri"/>
                <w:color w:val="000000"/>
                <w:sz w:val="18"/>
                <w:szCs w:val="18"/>
              </w:rPr>
              <w:t>954</w:t>
            </w:r>
          </w:p>
        </w:tc>
        <w:tc>
          <w:tcPr>
            <w:tcW w:w="445"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10.0%</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1.87%</w:t>
            </w:r>
          </w:p>
        </w:tc>
        <w:tc>
          <w:tcPr>
            <w:tcW w:w="445"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8.6%</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1.51%</w:t>
            </w:r>
          </w:p>
        </w:tc>
        <w:tc>
          <w:tcPr>
            <w:tcW w:w="499"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1.4%</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1.84%</w:t>
            </w:r>
          </w:p>
        </w:tc>
        <w:tc>
          <w:tcPr>
            <w:tcW w:w="420"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0.4619</w:t>
            </w:r>
          </w:p>
        </w:tc>
      </w:tr>
      <w:tr w:rsidR="000B6BDD" w:rsidRPr="007522FC" w:rsidTr="0037170C">
        <w:trPr>
          <w:trHeight w:val="300"/>
        </w:trPr>
        <w:tc>
          <w:tcPr>
            <w:tcW w:w="826" w:type="pct"/>
            <w:tcBorders>
              <w:top w:val="nil"/>
              <w:left w:val="nil"/>
              <w:bottom w:val="nil"/>
              <w:right w:val="nil"/>
            </w:tcBorders>
            <w:noWrap/>
            <w:vAlign w:val="bottom"/>
          </w:tcPr>
          <w:p w:rsidR="000B6BDD" w:rsidRPr="00CB5596" w:rsidRDefault="000B6BDD" w:rsidP="0037170C">
            <w:pPr>
              <w:keepNext/>
              <w:spacing w:line="240" w:lineRule="auto"/>
              <w:rPr>
                <w:rFonts w:ascii="Franklin Gothic Medium" w:hAnsi="Franklin Gothic Medium" w:cs="Calibri"/>
                <w:color w:val="000000"/>
                <w:sz w:val="18"/>
                <w:szCs w:val="18"/>
              </w:rPr>
            </w:pPr>
            <w:r>
              <w:rPr>
                <w:rFonts w:ascii="Franklin Gothic Medium" w:hAnsi="Franklin Gothic Medium" w:cs="Calibri"/>
                <w:color w:val="000000"/>
                <w:sz w:val="18"/>
                <w:szCs w:val="18"/>
              </w:rPr>
              <w:t>Low black</w:t>
            </w:r>
          </w:p>
        </w:tc>
        <w:tc>
          <w:tcPr>
            <w:tcW w:w="399" w:type="pct"/>
            <w:tcBorders>
              <w:top w:val="nil"/>
              <w:left w:val="single" w:sz="4" w:space="0" w:color="auto"/>
              <w:bottom w:val="nil"/>
              <w:right w:val="single" w:sz="4" w:space="0" w:color="auto"/>
            </w:tcBorders>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Pr>
                <w:rFonts w:ascii="Franklin Gothic Medium" w:hAnsi="Franklin Gothic Medium" w:cs="Calibri"/>
                <w:color w:val="000000"/>
                <w:sz w:val="18"/>
                <w:szCs w:val="18"/>
              </w:rPr>
              <w:t>738</w:t>
            </w:r>
          </w:p>
        </w:tc>
        <w:tc>
          <w:tcPr>
            <w:tcW w:w="445"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16.0%</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1.90%</w:t>
            </w:r>
          </w:p>
        </w:tc>
        <w:tc>
          <w:tcPr>
            <w:tcW w:w="445"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11.7%</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1.15%</w:t>
            </w:r>
          </w:p>
        </w:tc>
        <w:tc>
          <w:tcPr>
            <w:tcW w:w="499"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4.3%</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2.05%</w:t>
            </w:r>
          </w:p>
        </w:tc>
        <w:tc>
          <w:tcPr>
            <w:tcW w:w="420"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0.0467</w:t>
            </w:r>
            <w:r w:rsidRPr="001B5E95">
              <w:rPr>
                <w:rFonts w:ascii="Franklin Gothic Medium" w:hAnsi="Franklin Gothic Medium" w:cs="Calibri"/>
                <w:color w:val="000000"/>
                <w:sz w:val="18"/>
                <w:szCs w:val="18"/>
                <w:vertAlign w:val="superscript"/>
              </w:rPr>
              <w:t>a</w:t>
            </w:r>
          </w:p>
        </w:tc>
      </w:tr>
      <w:tr w:rsidR="000B6BDD" w:rsidRPr="007522FC" w:rsidTr="0037170C">
        <w:trPr>
          <w:trHeight w:val="300"/>
        </w:trPr>
        <w:tc>
          <w:tcPr>
            <w:tcW w:w="826" w:type="pct"/>
            <w:tcBorders>
              <w:top w:val="nil"/>
              <w:left w:val="nil"/>
              <w:bottom w:val="nil"/>
              <w:right w:val="nil"/>
            </w:tcBorders>
            <w:noWrap/>
            <w:vAlign w:val="bottom"/>
          </w:tcPr>
          <w:p w:rsidR="000B6BDD" w:rsidRPr="00CB5596" w:rsidRDefault="000B6BDD" w:rsidP="0037170C">
            <w:pPr>
              <w:keepNext/>
              <w:spacing w:line="240" w:lineRule="auto"/>
              <w:rPr>
                <w:rFonts w:ascii="Franklin Gothic Medium" w:hAnsi="Franklin Gothic Medium" w:cs="Calibri"/>
                <w:color w:val="000000"/>
                <w:sz w:val="18"/>
                <w:szCs w:val="18"/>
              </w:rPr>
            </w:pPr>
            <w:r>
              <w:rPr>
                <w:rFonts w:ascii="Franklin Gothic Medium" w:hAnsi="Franklin Gothic Medium" w:cs="Calibri"/>
                <w:color w:val="000000"/>
                <w:sz w:val="18"/>
                <w:szCs w:val="18"/>
              </w:rPr>
              <w:t>High Hispanic</w:t>
            </w:r>
          </w:p>
        </w:tc>
        <w:tc>
          <w:tcPr>
            <w:tcW w:w="399" w:type="pct"/>
            <w:tcBorders>
              <w:top w:val="nil"/>
              <w:left w:val="single" w:sz="4" w:space="0" w:color="auto"/>
              <w:bottom w:val="nil"/>
              <w:right w:val="single" w:sz="4" w:space="0" w:color="auto"/>
            </w:tcBorders>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Pr>
                <w:rFonts w:ascii="Franklin Gothic Medium" w:hAnsi="Franklin Gothic Medium" w:cs="Calibri"/>
                <w:color w:val="000000"/>
                <w:sz w:val="18"/>
                <w:szCs w:val="18"/>
              </w:rPr>
              <w:t>612</w:t>
            </w:r>
          </w:p>
        </w:tc>
        <w:tc>
          <w:tcPr>
            <w:tcW w:w="445"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13.7%</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2.37%</w:t>
            </w:r>
          </w:p>
        </w:tc>
        <w:tc>
          <w:tcPr>
            <w:tcW w:w="445"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10.2%</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2.04%</w:t>
            </w:r>
          </w:p>
        </w:tc>
        <w:tc>
          <w:tcPr>
            <w:tcW w:w="499"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3.6%</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1.72%</w:t>
            </w:r>
          </w:p>
        </w:tc>
        <w:tc>
          <w:tcPr>
            <w:tcW w:w="420"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0.0514</w:t>
            </w:r>
          </w:p>
        </w:tc>
      </w:tr>
      <w:tr w:rsidR="000B6BDD" w:rsidRPr="007522FC" w:rsidTr="0037170C">
        <w:trPr>
          <w:trHeight w:val="300"/>
        </w:trPr>
        <w:tc>
          <w:tcPr>
            <w:tcW w:w="826" w:type="pct"/>
            <w:tcBorders>
              <w:top w:val="nil"/>
              <w:left w:val="nil"/>
              <w:bottom w:val="nil"/>
              <w:right w:val="nil"/>
            </w:tcBorders>
            <w:noWrap/>
            <w:vAlign w:val="bottom"/>
          </w:tcPr>
          <w:p w:rsidR="000B6BDD" w:rsidRPr="00CB5596" w:rsidRDefault="000B6BDD" w:rsidP="0037170C">
            <w:pPr>
              <w:keepNext/>
              <w:spacing w:line="240" w:lineRule="auto"/>
              <w:rPr>
                <w:rFonts w:ascii="Franklin Gothic Medium" w:hAnsi="Franklin Gothic Medium" w:cs="Calibri"/>
                <w:color w:val="000000"/>
                <w:sz w:val="18"/>
                <w:szCs w:val="18"/>
              </w:rPr>
            </w:pPr>
            <w:r>
              <w:rPr>
                <w:rFonts w:ascii="Franklin Gothic Medium" w:hAnsi="Franklin Gothic Medium" w:cs="Calibri"/>
                <w:color w:val="000000"/>
                <w:sz w:val="18"/>
                <w:szCs w:val="18"/>
              </w:rPr>
              <w:t>Low Hispanic</w:t>
            </w:r>
          </w:p>
        </w:tc>
        <w:tc>
          <w:tcPr>
            <w:tcW w:w="399" w:type="pct"/>
            <w:tcBorders>
              <w:top w:val="nil"/>
              <w:left w:val="single" w:sz="4" w:space="0" w:color="auto"/>
              <w:bottom w:val="nil"/>
              <w:right w:val="single" w:sz="4" w:space="0" w:color="auto"/>
            </w:tcBorders>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Pr>
                <w:rFonts w:ascii="Franklin Gothic Medium" w:hAnsi="Franklin Gothic Medium" w:cs="Calibri"/>
                <w:color w:val="000000"/>
                <w:sz w:val="18"/>
                <w:szCs w:val="18"/>
              </w:rPr>
              <w:t>1080</w:t>
            </w:r>
          </w:p>
        </w:tc>
        <w:tc>
          <w:tcPr>
            <w:tcW w:w="445"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12.1%</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1.67%</w:t>
            </w:r>
          </w:p>
        </w:tc>
        <w:tc>
          <w:tcPr>
            <w:tcW w:w="445"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9.8%</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1.10%</w:t>
            </w:r>
          </w:p>
        </w:tc>
        <w:tc>
          <w:tcPr>
            <w:tcW w:w="499"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2.4%</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1.89%</w:t>
            </w:r>
          </w:p>
        </w:tc>
        <w:tc>
          <w:tcPr>
            <w:tcW w:w="420"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0.2264</w:t>
            </w:r>
          </w:p>
        </w:tc>
      </w:tr>
      <w:tr w:rsidR="000B6BDD" w:rsidRPr="007522FC" w:rsidTr="0037170C">
        <w:trPr>
          <w:trHeight w:val="300"/>
        </w:trPr>
        <w:tc>
          <w:tcPr>
            <w:tcW w:w="826" w:type="pct"/>
            <w:tcBorders>
              <w:top w:val="nil"/>
              <w:left w:val="nil"/>
              <w:bottom w:val="nil"/>
              <w:right w:val="nil"/>
            </w:tcBorders>
            <w:noWrap/>
            <w:vAlign w:val="bottom"/>
          </w:tcPr>
          <w:p w:rsidR="000B6BDD" w:rsidRPr="00CB5596" w:rsidRDefault="000B6BDD" w:rsidP="0037170C">
            <w:pPr>
              <w:keepNext/>
              <w:spacing w:line="240" w:lineRule="auto"/>
              <w:rPr>
                <w:rFonts w:ascii="Franklin Gothic Medium" w:hAnsi="Franklin Gothic Medium" w:cs="Calibri"/>
                <w:color w:val="000000"/>
                <w:sz w:val="18"/>
                <w:szCs w:val="18"/>
              </w:rPr>
            </w:pPr>
            <w:r>
              <w:rPr>
                <w:rFonts w:ascii="Franklin Gothic Medium" w:hAnsi="Franklin Gothic Medium" w:cs="Calibri"/>
                <w:color w:val="000000"/>
                <w:sz w:val="18"/>
                <w:szCs w:val="18"/>
              </w:rPr>
              <w:t>Northeast</w:t>
            </w:r>
          </w:p>
        </w:tc>
        <w:tc>
          <w:tcPr>
            <w:tcW w:w="399" w:type="pct"/>
            <w:tcBorders>
              <w:top w:val="nil"/>
              <w:left w:val="single" w:sz="4" w:space="0" w:color="auto"/>
              <w:bottom w:val="nil"/>
              <w:right w:val="single" w:sz="4" w:space="0" w:color="auto"/>
            </w:tcBorders>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Pr>
                <w:rFonts w:ascii="Franklin Gothic Medium" w:hAnsi="Franklin Gothic Medium" w:cs="Calibri"/>
                <w:color w:val="000000"/>
                <w:sz w:val="18"/>
                <w:szCs w:val="18"/>
              </w:rPr>
              <w:t>187</w:t>
            </w:r>
          </w:p>
        </w:tc>
        <w:tc>
          <w:tcPr>
            <w:tcW w:w="445"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25.0%</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1.46%</w:t>
            </w:r>
          </w:p>
        </w:tc>
        <w:tc>
          <w:tcPr>
            <w:tcW w:w="445"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11.7%</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1.60%</w:t>
            </w:r>
          </w:p>
        </w:tc>
        <w:tc>
          <w:tcPr>
            <w:tcW w:w="499"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13.3%</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2.96%</w:t>
            </w:r>
          </w:p>
        </w:tc>
        <w:tc>
          <w:tcPr>
            <w:tcW w:w="420"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0.0002</w:t>
            </w:r>
          </w:p>
        </w:tc>
      </w:tr>
      <w:tr w:rsidR="000B6BDD" w:rsidRPr="007522FC" w:rsidTr="0037170C">
        <w:trPr>
          <w:trHeight w:val="300"/>
        </w:trPr>
        <w:tc>
          <w:tcPr>
            <w:tcW w:w="826" w:type="pct"/>
            <w:tcBorders>
              <w:top w:val="nil"/>
              <w:left w:val="nil"/>
              <w:bottom w:val="nil"/>
              <w:right w:val="nil"/>
            </w:tcBorders>
            <w:noWrap/>
            <w:vAlign w:val="bottom"/>
          </w:tcPr>
          <w:p w:rsidR="000B6BDD" w:rsidRPr="00CB5596" w:rsidRDefault="000B6BDD" w:rsidP="0037170C">
            <w:pPr>
              <w:keepNext/>
              <w:spacing w:line="240" w:lineRule="auto"/>
              <w:rPr>
                <w:rFonts w:ascii="Franklin Gothic Medium" w:hAnsi="Franklin Gothic Medium" w:cs="Calibri"/>
                <w:color w:val="000000"/>
                <w:sz w:val="18"/>
                <w:szCs w:val="18"/>
              </w:rPr>
            </w:pPr>
            <w:r>
              <w:rPr>
                <w:rFonts w:ascii="Franklin Gothic Medium" w:hAnsi="Franklin Gothic Medium" w:cs="Calibri"/>
                <w:color w:val="000000"/>
                <w:sz w:val="18"/>
                <w:szCs w:val="18"/>
              </w:rPr>
              <w:t>Midwest</w:t>
            </w:r>
          </w:p>
        </w:tc>
        <w:tc>
          <w:tcPr>
            <w:tcW w:w="399" w:type="pct"/>
            <w:tcBorders>
              <w:top w:val="nil"/>
              <w:left w:val="single" w:sz="4" w:space="0" w:color="auto"/>
              <w:bottom w:val="nil"/>
              <w:right w:val="single" w:sz="4" w:space="0" w:color="auto"/>
            </w:tcBorders>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Pr>
                <w:rFonts w:ascii="Franklin Gothic Medium" w:hAnsi="Franklin Gothic Medium" w:cs="Calibri"/>
                <w:color w:val="000000"/>
                <w:sz w:val="18"/>
                <w:szCs w:val="18"/>
              </w:rPr>
              <w:t>609</w:t>
            </w:r>
          </w:p>
        </w:tc>
        <w:tc>
          <w:tcPr>
            <w:tcW w:w="445"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12.0%</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2.84%</w:t>
            </w:r>
          </w:p>
        </w:tc>
        <w:tc>
          <w:tcPr>
            <w:tcW w:w="445"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11.6%</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1.78%</w:t>
            </w:r>
          </w:p>
        </w:tc>
        <w:tc>
          <w:tcPr>
            <w:tcW w:w="499"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0.4%</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3.06%</w:t>
            </w:r>
          </w:p>
        </w:tc>
        <w:tc>
          <w:tcPr>
            <w:tcW w:w="420"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0.8960</w:t>
            </w:r>
          </w:p>
        </w:tc>
      </w:tr>
      <w:tr w:rsidR="000B6BDD" w:rsidRPr="007522FC" w:rsidTr="0037170C">
        <w:trPr>
          <w:trHeight w:val="300"/>
        </w:trPr>
        <w:tc>
          <w:tcPr>
            <w:tcW w:w="826" w:type="pct"/>
            <w:tcBorders>
              <w:top w:val="nil"/>
              <w:left w:val="nil"/>
              <w:bottom w:val="nil"/>
              <w:right w:val="nil"/>
            </w:tcBorders>
            <w:noWrap/>
            <w:vAlign w:val="bottom"/>
          </w:tcPr>
          <w:p w:rsidR="000B6BDD" w:rsidRPr="00CB5596" w:rsidRDefault="000B6BDD" w:rsidP="0037170C">
            <w:pPr>
              <w:keepNext/>
              <w:spacing w:line="240" w:lineRule="auto"/>
              <w:rPr>
                <w:rFonts w:ascii="Franklin Gothic Medium" w:hAnsi="Franklin Gothic Medium" w:cs="Calibri"/>
                <w:color w:val="000000"/>
                <w:sz w:val="18"/>
                <w:szCs w:val="18"/>
              </w:rPr>
            </w:pPr>
            <w:r>
              <w:rPr>
                <w:rFonts w:ascii="Franklin Gothic Medium" w:hAnsi="Franklin Gothic Medium" w:cs="Calibri"/>
                <w:color w:val="000000"/>
                <w:sz w:val="18"/>
                <w:szCs w:val="18"/>
              </w:rPr>
              <w:t>South</w:t>
            </w:r>
          </w:p>
        </w:tc>
        <w:tc>
          <w:tcPr>
            <w:tcW w:w="399" w:type="pct"/>
            <w:tcBorders>
              <w:top w:val="nil"/>
              <w:left w:val="single" w:sz="4" w:space="0" w:color="auto"/>
              <w:bottom w:val="nil"/>
              <w:right w:val="single" w:sz="4" w:space="0" w:color="auto"/>
            </w:tcBorders>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Pr>
                <w:rFonts w:ascii="Franklin Gothic Medium" w:hAnsi="Franklin Gothic Medium" w:cs="Calibri"/>
                <w:color w:val="000000"/>
                <w:sz w:val="18"/>
                <w:szCs w:val="18"/>
              </w:rPr>
              <w:t>568</w:t>
            </w:r>
          </w:p>
        </w:tc>
        <w:tc>
          <w:tcPr>
            <w:tcW w:w="445"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10.0%</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2.26%</w:t>
            </w:r>
          </w:p>
        </w:tc>
        <w:tc>
          <w:tcPr>
            <w:tcW w:w="445"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7.4%</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1.94%</w:t>
            </w:r>
          </w:p>
        </w:tc>
        <w:tc>
          <w:tcPr>
            <w:tcW w:w="499"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2.7%</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1.31%</w:t>
            </w:r>
          </w:p>
        </w:tc>
        <w:tc>
          <w:tcPr>
            <w:tcW w:w="420"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0.0542</w:t>
            </w:r>
          </w:p>
        </w:tc>
      </w:tr>
      <w:tr w:rsidR="000B6BDD" w:rsidRPr="007522FC" w:rsidTr="0037170C">
        <w:trPr>
          <w:trHeight w:val="300"/>
        </w:trPr>
        <w:tc>
          <w:tcPr>
            <w:tcW w:w="826" w:type="pct"/>
            <w:tcBorders>
              <w:top w:val="nil"/>
              <w:left w:val="nil"/>
              <w:bottom w:val="nil"/>
              <w:right w:val="nil"/>
            </w:tcBorders>
            <w:noWrap/>
            <w:vAlign w:val="bottom"/>
          </w:tcPr>
          <w:p w:rsidR="000B6BDD" w:rsidRPr="00CB5596" w:rsidRDefault="000B6BDD" w:rsidP="0037170C">
            <w:pPr>
              <w:keepNext/>
              <w:spacing w:line="240" w:lineRule="auto"/>
              <w:rPr>
                <w:rFonts w:ascii="Franklin Gothic Medium" w:hAnsi="Franklin Gothic Medium" w:cs="Calibri"/>
                <w:color w:val="000000"/>
                <w:sz w:val="18"/>
                <w:szCs w:val="18"/>
              </w:rPr>
            </w:pPr>
            <w:r>
              <w:rPr>
                <w:rFonts w:ascii="Franklin Gothic Medium" w:hAnsi="Franklin Gothic Medium" w:cs="Calibri"/>
                <w:color w:val="000000"/>
                <w:sz w:val="18"/>
                <w:szCs w:val="18"/>
              </w:rPr>
              <w:t>West</w:t>
            </w:r>
          </w:p>
        </w:tc>
        <w:tc>
          <w:tcPr>
            <w:tcW w:w="399" w:type="pct"/>
            <w:tcBorders>
              <w:top w:val="nil"/>
              <w:left w:val="single" w:sz="4" w:space="0" w:color="auto"/>
              <w:bottom w:val="nil"/>
              <w:right w:val="single" w:sz="4" w:space="0" w:color="auto"/>
            </w:tcBorders>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Pr>
                <w:rFonts w:ascii="Franklin Gothic Medium" w:hAnsi="Franklin Gothic Medium" w:cs="Calibri"/>
                <w:color w:val="000000"/>
                <w:sz w:val="18"/>
                <w:szCs w:val="18"/>
              </w:rPr>
              <w:t>328</w:t>
            </w:r>
          </w:p>
        </w:tc>
        <w:tc>
          <w:tcPr>
            <w:tcW w:w="445"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11.4%</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2.98%</w:t>
            </w:r>
          </w:p>
        </w:tc>
        <w:tc>
          <w:tcPr>
            <w:tcW w:w="445"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10.3%</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1.17%</w:t>
            </w:r>
          </w:p>
        </w:tc>
        <w:tc>
          <w:tcPr>
            <w:tcW w:w="499"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1.1%</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2.76%</w:t>
            </w:r>
          </w:p>
        </w:tc>
        <w:tc>
          <w:tcPr>
            <w:tcW w:w="420"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0.6954</w:t>
            </w:r>
          </w:p>
        </w:tc>
      </w:tr>
      <w:tr w:rsidR="000B6BDD" w:rsidRPr="007522FC" w:rsidTr="0037170C">
        <w:trPr>
          <w:trHeight w:val="300"/>
        </w:trPr>
        <w:tc>
          <w:tcPr>
            <w:tcW w:w="826" w:type="pct"/>
            <w:tcBorders>
              <w:top w:val="nil"/>
              <w:left w:val="nil"/>
              <w:bottom w:val="nil"/>
              <w:right w:val="nil"/>
            </w:tcBorders>
            <w:noWrap/>
            <w:vAlign w:val="bottom"/>
          </w:tcPr>
          <w:p w:rsidR="000B6BDD" w:rsidRPr="00CB5596" w:rsidRDefault="000B6BDD" w:rsidP="0037170C">
            <w:pPr>
              <w:keepNext/>
              <w:spacing w:line="240" w:lineRule="auto"/>
              <w:rPr>
                <w:rFonts w:ascii="Franklin Gothic Medium" w:hAnsi="Franklin Gothic Medium" w:cs="Calibri"/>
                <w:color w:val="000000"/>
                <w:sz w:val="18"/>
                <w:szCs w:val="18"/>
              </w:rPr>
            </w:pPr>
            <w:r>
              <w:rPr>
                <w:rFonts w:ascii="Franklin Gothic Medium" w:hAnsi="Franklin Gothic Medium" w:cs="Calibri"/>
                <w:color w:val="000000"/>
                <w:sz w:val="18"/>
                <w:szCs w:val="18"/>
              </w:rPr>
              <w:t>NonMSA</w:t>
            </w:r>
          </w:p>
        </w:tc>
        <w:tc>
          <w:tcPr>
            <w:tcW w:w="399" w:type="pct"/>
            <w:tcBorders>
              <w:top w:val="nil"/>
              <w:left w:val="single" w:sz="4" w:space="0" w:color="auto"/>
              <w:bottom w:val="nil"/>
              <w:right w:val="single" w:sz="4" w:space="0" w:color="auto"/>
            </w:tcBorders>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Pr>
                <w:rFonts w:ascii="Franklin Gothic Medium" w:hAnsi="Franklin Gothic Medium" w:cs="Calibri"/>
                <w:color w:val="000000"/>
                <w:sz w:val="18"/>
                <w:szCs w:val="18"/>
              </w:rPr>
              <w:t>277</w:t>
            </w:r>
          </w:p>
        </w:tc>
        <w:tc>
          <w:tcPr>
            <w:tcW w:w="445"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15.8%</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4.23%</w:t>
            </w:r>
          </w:p>
        </w:tc>
        <w:tc>
          <w:tcPr>
            <w:tcW w:w="445"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14.8%</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1.19%</w:t>
            </w:r>
          </w:p>
        </w:tc>
        <w:tc>
          <w:tcPr>
            <w:tcW w:w="499" w:type="pct"/>
            <w:tcBorders>
              <w:top w:val="nil"/>
              <w:left w:val="single" w:sz="4" w:space="0" w:color="auto"/>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1.0%</w:t>
            </w:r>
          </w:p>
        </w:tc>
        <w:tc>
          <w:tcPr>
            <w:tcW w:w="655"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3.36%</w:t>
            </w:r>
          </w:p>
        </w:tc>
        <w:tc>
          <w:tcPr>
            <w:tcW w:w="420" w:type="pct"/>
            <w:tcBorders>
              <w:top w:val="nil"/>
              <w:left w:val="nil"/>
              <w:bottom w:val="nil"/>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0.7701</w:t>
            </w:r>
          </w:p>
        </w:tc>
      </w:tr>
      <w:tr w:rsidR="000B6BDD" w:rsidRPr="007522FC" w:rsidTr="0037170C">
        <w:trPr>
          <w:trHeight w:val="300"/>
        </w:trPr>
        <w:tc>
          <w:tcPr>
            <w:tcW w:w="826" w:type="pct"/>
            <w:tcBorders>
              <w:top w:val="nil"/>
              <w:left w:val="nil"/>
              <w:bottom w:val="single" w:sz="4" w:space="0" w:color="auto"/>
              <w:right w:val="nil"/>
            </w:tcBorders>
            <w:noWrap/>
            <w:vAlign w:val="bottom"/>
          </w:tcPr>
          <w:p w:rsidR="000B6BDD" w:rsidRPr="00CB5596" w:rsidRDefault="000B6BDD" w:rsidP="0037170C">
            <w:pPr>
              <w:keepNext/>
              <w:spacing w:line="240" w:lineRule="auto"/>
              <w:rPr>
                <w:rFonts w:ascii="Franklin Gothic Medium" w:hAnsi="Franklin Gothic Medium" w:cs="Calibri"/>
                <w:color w:val="000000"/>
                <w:sz w:val="18"/>
                <w:szCs w:val="18"/>
              </w:rPr>
            </w:pPr>
            <w:r>
              <w:rPr>
                <w:rFonts w:ascii="Franklin Gothic Medium" w:hAnsi="Franklin Gothic Medium" w:cs="Calibri"/>
                <w:color w:val="000000"/>
                <w:sz w:val="18"/>
                <w:szCs w:val="18"/>
              </w:rPr>
              <w:t>MSA</w:t>
            </w:r>
          </w:p>
        </w:tc>
        <w:tc>
          <w:tcPr>
            <w:tcW w:w="399" w:type="pct"/>
            <w:tcBorders>
              <w:top w:val="nil"/>
              <w:left w:val="single" w:sz="4" w:space="0" w:color="auto"/>
              <w:bottom w:val="single" w:sz="4" w:space="0" w:color="auto"/>
              <w:right w:val="single" w:sz="4" w:space="0" w:color="auto"/>
            </w:tcBorders>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Pr>
                <w:rFonts w:ascii="Franklin Gothic Medium" w:hAnsi="Franklin Gothic Medium" w:cs="Calibri"/>
                <w:color w:val="000000"/>
                <w:sz w:val="18"/>
                <w:szCs w:val="18"/>
              </w:rPr>
              <w:t>1415</w:t>
            </w:r>
          </w:p>
        </w:tc>
        <w:tc>
          <w:tcPr>
            <w:tcW w:w="445" w:type="pct"/>
            <w:tcBorders>
              <w:top w:val="nil"/>
              <w:left w:val="single" w:sz="4" w:space="0" w:color="auto"/>
              <w:bottom w:val="single" w:sz="4" w:space="0" w:color="auto"/>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12.1%</w:t>
            </w:r>
          </w:p>
        </w:tc>
        <w:tc>
          <w:tcPr>
            <w:tcW w:w="655" w:type="pct"/>
            <w:tcBorders>
              <w:top w:val="nil"/>
              <w:left w:val="nil"/>
              <w:bottom w:val="single" w:sz="4" w:space="0" w:color="auto"/>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1.34%</w:t>
            </w:r>
          </w:p>
        </w:tc>
        <w:tc>
          <w:tcPr>
            <w:tcW w:w="445" w:type="pct"/>
            <w:tcBorders>
              <w:top w:val="nil"/>
              <w:left w:val="single" w:sz="4" w:space="0" w:color="auto"/>
              <w:bottom w:val="single" w:sz="4" w:space="0" w:color="auto"/>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8.9%</w:t>
            </w:r>
          </w:p>
        </w:tc>
        <w:tc>
          <w:tcPr>
            <w:tcW w:w="655" w:type="pct"/>
            <w:tcBorders>
              <w:top w:val="nil"/>
              <w:left w:val="nil"/>
              <w:bottom w:val="single" w:sz="4" w:space="0" w:color="auto"/>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1.17%</w:t>
            </w:r>
          </w:p>
        </w:tc>
        <w:tc>
          <w:tcPr>
            <w:tcW w:w="499" w:type="pct"/>
            <w:tcBorders>
              <w:top w:val="nil"/>
              <w:left w:val="single" w:sz="4" w:space="0" w:color="auto"/>
              <w:bottom w:val="single" w:sz="4" w:space="0" w:color="auto"/>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3.2%</w:t>
            </w:r>
          </w:p>
        </w:tc>
        <w:tc>
          <w:tcPr>
            <w:tcW w:w="655" w:type="pct"/>
            <w:tcBorders>
              <w:top w:val="nil"/>
              <w:left w:val="nil"/>
              <w:bottom w:val="single" w:sz="4" w:space="0" w:color="auto"/>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1.43%</w:t>
            </w:r>
          </w:p>
        </w:tc>
        <w:tc>
          <w:tcPr>
            <w:tcW w:w="420" w:type="pct"/>
            <w:tcBorders>
              <w:top w:val="nil"/>
              <w:left w:val="nil"/>
              <w:bottom w:val="single" w:sz="4" w:space="0" w:color="auto"/>
              <w:right w:val="nil"/>
            </w:tcBorders>
            <w:noWrap/>
            <w:vAlign w:val="bottom"/>
          </w:tcPr>
          <w:p w:rsidR="000B6BDD" w:rsidRPr="007522FC" w:rsidRDefault="000B6BDD" w:rsidP="0037170C">
            <w:pPr>
              <w:keepNext/>
              <w:spacing w:line="240" w:lineRule="auto"/>
              <w:jc w:val="center"/>
              <w:rPr>
                <w:rFonts w:ascii="Franklin Gothic Medium" w:hAnsi="Franklin Gothic Medium" w:cs="Calibri"/>
                <w:color w:val="000000"/>
                <w:sz w:val="18"/>
                <w:szCs w:val="18"/>
              </w:rPr>
            </w:pPr>
            <w:r w:rsidRPr="007522FC">
              <w:rPr>
                <w:rFonts w:ascii="Franklin Gothic Medium" w:hAnsi="Franklin Gothic Medium" w:cs="Calibri"/>
                <w:color w:val="000000"/>
                <w:sz w:val="18"/>
                <w:szCs w:val="18"/>
              </w:rPr>
              <w:t>0.0368</w:t>
            </w:r>
            <w:r w:rsidRPr="008902DD">
              <w:rPr>
                <w:rFonts w:ascii="Franklin Gothic Medium" w:hAnsi="Franklin Gothic Medium" w:cs="Calibri"/>
                <w:color w:val="000000"/>
                <w:sz w:val="18"/>
                <w:szCs w:val="18"/>
                <w:vertAlign w:val="superscript"/>
              </w:rPr>
              <w:t>a</w:t>
            </w:r>
          </w:p>
        </w:tc>
      </w:tr>
    </w:tbl>
    <w:p w:rsidR="000B6BDD" w:rsidRDefault="000B6BDD" w:rsidP="0037170C">
      <w:pPr>
        <w:pStyle w:val="TF-TblFN"/>
      </w:pPr>
      <w:r w:rsidRPr="008902DD">
        <w:rPr>
          <w:vertAlign w:val="superscript"/>
        </w:rPr>
        <w:t xml:space="preserve">a </w:t>
      </w:r>
      <w:r>
        <w:t>Not a significant difference for the Bonferroni multiple comparisons family of tests at the overall α = 0.05 level of significance.</w:t>
      </w:r>
    </w:p>
    <w:p w:rsidR="000B6BDD" w:rsidRDefault="000B6BDD" w:rsidP="0037170C">
      <w:pPr>
        <w:pStyle w:val="TF-TblFN"/>
      </w:pPr>
      <w:r w:rsidRPr="00684FE2">
        <w:t>Source: 2010 Programme for the International Assessment of Adult Competencies Field Test</w:t>
      </w:r>
      <w:r w:rsidRPr="00255BD4">
        <w:t xml:space="preserve"> </w:t>
      </w:r>
    </w:p>
    <w:p w:rsidR="000B6BDD" w:rsidRPr="00684FE2" w:rsidRDefault="000B6BDD" w:rsidP="0037170C">
      <w:pPr>
        <w:pStyle w:val="TF-TblFN"/>
      </w:pPr>
      <w:r>
        <w:t>Note: n= 1692</w:t>
      </w:r>
    </w:p>
    <w:sectPr w:rsidR="000B6BDD" w:rsidRPr="00684FE2" w:rsidSect="00312297">
      <w:headerReference w:type="default" r:id="rId8"/>
      <w:footerReference w:type="default" r:id="rId9"/>
      <w:headerReference w:type="first" r:id="rId10"/>
      <w:footerReference w:type="first" r:id="rId11"/>
      <w:pgSz w:w="12240" w:h="15840" w:code="1"/>
      <w:pgMar w:top="1440" w:right="1440" w:bottom="1440" w:left="1440" w:header="720" w:footer="576"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6BDD" w:rsidRDefault="000B6BDD" w:rsidP="00E87E10">
      <w:pPr>
        <w:spacing w:line="240" w:lineRule="auto"/>
      </w:pPr>
      <w:r>
        <w:separator/>
      </w:r>
    </w:p>
  </w:endnote>
  <w:endnote w:type="continuationSeparator" w:id="0">
    <w:p w:rsidR="000B6BDD" w:rsidRDefault="000B6BDD" w:rsidP="00E87E1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Arial Black"/>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ArialBlack">
    <w:altName w:val="Arial Black"/>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BDD" w:rsidRPr="003C01B2" w:rsidRDefault="000B6BDD" w:rsidP="00E16BBF">
    <w:pPr>
      <w:pStyle w:val="Footer"/>
      <w:jc w:val="center"/>
      <w:rPr>
        <w:rFonts w:ascii="Verdana" w:hAnsi="Verdana"/>
        <w:sz w:val="20"/>
      </w:rPr>
    </w:pPr>
    <w:r>
      <w:rPr>
        <w:rStyle w:val="PageNumber"/>
        <w:rFonts w:ascii="Verdana" w:hAnsi="Verdana"/>
        <w:sz w:val="20"/>
      </w:rPr>
      <w:t>G</w:t>
    </w:r>
    <w:r w:rsidRPr="003C01B2">
      <w:rPr>
        <w:rStyle w:val="PageNumber"/>
        <w:rFonts w:ascii="Verdana" w:hAnsi="Verdana"/>
        <w:sz w:val="20"/>
      </w:rPr>
      <w:t>-</w:t>
    </w:r>
    <w:r w:rsidRPr="003C01B2">
      <w:rPr>
        <w:rStyle w:val="PageNumber"/>
        <w:rFonts w:ascii="Verdana" w:hAnsi="Verdana"/>
        <w:sz w:val="20"/>
      </w:rPr>
      <w:fldChar w:fldCharType="begin"/>
    </w:r>
    <w:r w:rsidRPr="003C01B2">
      <w:rPr>
        <w:rStyle w:val="PageNumber"/>
        <w:rFonts w:ascii="Verdana" w:hAnsi="Verdana"/>
        <w:sz w:val="20"/>
      </w:rPr>
      <w:instrText xml:space="preserve"> PAGE </w:instrText>
    </w:r>
    <w:r w:rsidRPr="003C01B2">
      <w:rPr>
        <w:rStyle w:val="PageNumber"/>
        <w:rFonts w:ascii="Verdana" w:hAnsi="Verdana"/>
        <w:sz w:val="20"/>
      </w:rPr>
      <w:fldChar w:fldCharType="separate"/>
    </w:r>
    <w:r>
      <w:rPr>
        <w:rStyle w:val="PageNumber"/>
        <w:rFonts w:ascii="Verdana" w:hAnsi="Verdana"/>
        <w:noProof/>
        <w:sz w:val="20"/>
      </w:rPr>
      <w:t>3</w:t>
    </w:r>
    <w:r w:rsidRPr="003C01B2">
      <w:rPr>
        <w:rStyle w:val="PageNumber"/>
        <w:rFonts w:ascii="Verdana" w:hAnsi="Verdana"/>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BDD" w:rsidRPr="003C01B2" w:rsidRDefault="000B6BDD">
    <w:pPr>
      <w:pStyle w:val="Footer"/>
      <w:jc w:val="center"/>
      <w:rPr>
        <w:rFonts w:ascii="Verdana" w:hAnsi="Verdana"/>
        <w:sz w:val="20"/>
      </w:rPr>
    </w:pPr>
    <w:r>
      <w:rPr>
        <w:rStyle w:val="PageNumber"/>
        <w:rFonts w:ascii="Verdana" w:hAnsi="Verdana"/>
        <w:sz w:val="20"/>
      </w:rPr>
      <w:t>G</w:t>
    </w:r>
    <w:r w:rsidRPr="003C01B2">
      <w:rPr>
        <w:rStyle w:val="PageNumber"/>
        <w:rFonts w:ascii="Verdana" w:hAnsi="Verdana"/>
        <w:sz w:val="20"/>
      </w:rPr>
      <w:t>-</w:t>
    </w:r>
    <w:r w:rsidRPr="003C01B2">
      <w:rPr>
        <w:rStyle w:val="PageNumber"/>
        <w:rFonts w:ascii="Verdana" w:hAnsi="Verdana"/>
        <w:sz w:val="20"/>
      </w:rPr>
      <w:fldChar w:fldCharType="begin"/>
    </w:r>
    <w:r w:rsidRPr="003C01B2">
      <w:rPr>
        <w:rStyle w:val="PageNumber"/>
        <w:rFonts w:ascii="Verdana" w:hAnsi="Verdana"/>
        <w:sz w:val="20"/>
      </w:rPr>
      <w:instrText xml:space="preserve"> PAGE </w:instrText>
    </w:r>
    <w:r w:rsidRPr="003C01B2">
      <w:rPr>
        <w:rStyle w:val="PageNumber"/>
        <w:rFonts w:ascii="Verdana" w:hAnsi="Verdana"/>
        <w:sz w:val="20"/>
      </w:rPr>
      <w:fldChar w:fldCharType="separate"/>
    </w:r>
    <w:r>
      <w:rPr>
        <w:rStyle w:val="PageNumber"/>
        <w:rFonts w:ascii="Verdana" w:hAnsi="Verdana"/>
        <w:noProof/>
        <w:sz w:val="20"/>
      </w:rPr>
      <w:t>1</w:t>
    </w:r>
    <w:r w:rsidRPr="003C01B2">
      <w:rPr>
        <w:rStyle w:val="PageNumber"/>
        <w:rFonts w:ascii="Verdana" w:hAnsi="Verdana"/>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6BDD" w:rsidRDefault="000B6BDD" w:rsidP="00E87E10">
      <w:pPr>
        <w:spacing w:line="240" w:lineRule="auto"/>
      </w:pPr>
      <w:r>
        <w:separator/>
      </w:r>
    </w:p>
  </w:footnote>
  <w:footnote w:type="continuationSeparator" w:id="0">
    <w:p w:rsidR="000B6BDD" w:rsidRDefault="000B6BDD" w:rsidP="00E87E10">
      <w:pPr>
        <w:spacing w:line="240" w:lineRule="auto"/>
      </w:pPr>
      <w:r>
        <w:continuationSeparator/>
      </w:r>
    </w:p>
  </w:footnote>
  <w:footnote w:id="1">
    <w:p w:rsidR="000B6BDD" w:rsidRDefault="000B6BDD">
      <w:pPr>
        <w:pStyle w:val="FootnoteText"/>
      </w:pPr>
      <w:r w:rsidRPr="00794D8B">
        <w:rPr>
          <w:rStyle w:val="FootnoteReference"/>
          <w:szCs w:val="16"/>
        </w:rPr>
        <w:footnoteRef/>
      </w:r>
      <w:r>
        <w:tab/>
      </w:r>
      <w:r w:rsidRPr="00794D8B">
        <w:t xml:space="preserve">After the completion of six weeks of data collection the sample monitoring reports predicted sample yield rates higher than the initial estimates. Therefore, </w:t>
      </w:r>
      <w:r>
        <w:t xml:space="preserve">in the seventh week, </w:t>
      </w:r>
      <w:r w:rsidRPr="00794D8B">
        <w:t>due to the high cost of completing more cases than required, to reduce the total number of completes at the end of data collection, dwelling units (DUs) were deselected using a ratio of 1/3 (selecting 2/3) of the interim cases identified by DISP_SCR = NH (not home) and NW (not worked). There were 358 cases deselected.</w:t>
      </w:r>
    </w:p>
  </w:footnote>
  <w:footnote w:id="2">
    <w:p w:rsidR="000B6BDD" w:rsidRDefault="000B6BDD">
      <w:pPr>
        <w:pStyle w:val="FootnoteText"/>
      </w:pPr>
      <w:r>
        <w:rPr>
          <w:rStyle w:val="FootnoteReference"/>
        </w:rPr>
        <w:footnoteRef/>
      </w:r>
      <w:r>
        <w:tab/>
        <w:t>In the ninth week, a survey control file was prepared for about 150 reserve sample cases, which were released and worked from three select PSUs to ensure that the completed assessment goals were met by the end of the Field Test and to allow us to practice the operations and systems activities required to release additional sample in advance of the Main Study.</w:t>
      </w:r>
    </w:p>
  </w:footnote>
  <w:footnote w:id="3">
    <w:p w:rsidR="000B6BDD" w:rsidRDefault="000B6BDD" w:rsidP="008D33B1">
      <w:r w:rsidRPr="00876E11">
        <w:rPr>
          <w:rStyle w:val="FootnoteReference"/>
          <w:sz w:val="16"/>
        </w:rPr>
        <w:footnoteRef/>
      </w:r>
      <w:r w:rsidRPr="00876E11">
        <w:rPr>
          <w:sz w:val="16"/>
        </w:rPr>
        <w:t xml:space="preserve"> The PSUs for the Field Test was a non-probability sample, chosen with the following goals: Satisfy the demographic requirement of the psychometric testing; and optimize the ICT Core passing rate to achieve 1,300 completed assessments who passed the ICT Core instrument. </w:t>
      </w:r>
    </w:p>
  </w:footnote>
  <w:footnote w:id="4">
    <w:p w:rsidR="000B6BDD" w:rsidRDefault="000B6BDD" w:rsidP="008D33B1">
      <w:r w:rsidRPr="007A5B60">
        <w:rPr>
          <w:rStyle w:val="FootnoteReference"/>
          <w:sz w:val="16"/>
        </w:rPr>
        <w:footnoteRef/>
      </w:r>
      <w:r>
        <w:rPr>
          <w:sz w:val="16"/>
        </w:rPr>
        <w:t xml:space="preserve"> Some selected persons were unaware of the incentive amount on account of</w:t>
      </w:r>
      <w:r w:rsidRPr="00400BF5">
        <w:rPr>
          <w:sz w:val="16"/>
        </w:rPr>
        <w:t xml:space="preserve"> </w:t>
      </w:r>
      <w:r>
        <w:rPr>
          <w:sz w:val="16"/>
        </w:rPr>
        <w:t xml:space="preserve">a </w:t>
      </w:r>
      <w:r w:rsidRPr="00400BF5">
        <w:rPr>
          <w:sz w:val="16"/>
        </w:rPr>
        <w:t>language problem</w:t>
      </w:r>
      <w:r>
        <w:rPr>
          <w:sz w:val="16"/>
        </w:rPr>
        <w:t xml:space="preserve">, </w:t>
      </w:r>
      <w:r w:rsidRPr="00400BF5">
        <w:rPr>
          <w:sz w:val="16"/>
        </w:rPr>
        <w:t>refusal by gatekeeper or another person</w:t>
      </w:r>
      <w:r>
        <w:rPr>
          <w:sz w:val="16"/>
        </w:rPr>
        <w:t xml:space="preserve"> to inform them, </w:t>
      </w:r>
      <w:r w:rsidRPr="00400BF5">
        <w:rPr>
          <w:sz w:val="16"/>
        </w:rPr>
        <w:t>learning/mental disability</w:t>
      </w:r>
      <w:r>
        <w:rPr>
          <w:sz w:val="16"/>
        </w:rPr>
        <w:t xml:space="preserve">, </w:t>
      </w:r>
      <w:r w:rsidRPr="00400BF5">
        <w:rPr>
          <w:sz w:val="16"/>
        </w:rPr>
        <w:t>reading/writing difficulty</w:t>
      </w:r>
      <w:r>
        <w:rPr>
          <w:sz w:val="16"/>
        </w:rPr>
        <w:t xml:space="preserve">, </w:t>
      </w:r>
      <w:r w:rsidRPr="00400BF5">
        <w:rPr>
          <w:sz w:val="16"/>
        </w:rPr>
        <w:t>impairments (hearing, blindness/vision, speech)</w:t>
      </w:r>
      <w:r>
        <w:rPr>
          <w:sz w:val="16"/>
        </w:rPr>
        <w:t xml:space="preserve">, </w:t>
      </w:r>
      <w:r w:rsidRPr="00400BF5">
        <w:rPr>
          <w:sz w:val="16"/>
        </w:rPr>
        <w:t>disabilities (physical, other)</w:t>
      </w:r>
      <w:r>
        <w:rPr>
          <w:sz w:val="16"/>
        </w:rPr>
        <w:t xml:space="preserve">, </w:t>
      </w:r>
      <w:r w:rsidRPr="00400BF5">
        <w:rPr>
          <w:sz w:val="16"/>
        </w:rPr>
        <w:t>other unusual circumstances</w:t>
      </w:r>
      <w:r>
        <w:rPr>
          <w:sz w:val="16"/>
        </w:rPr>
        <w:t xml:space="preserve">, no contact before </w:t>
      </w:r>
      <w:r w:rsidRPr="00400BF5">
        <w:rPr>
          <w:sz w:val="16"/>
        </w:rPr>
        <w:t>maximum number of calls</w:t>
      </w:r>
      <w:r>
        <w:rPr>
          <w:sz w:val="16"/>
        </w:rPr>
        <w:t xml:space="preserve"> reached temporarily absent, </w:t>
      </w:r>
      <w:r w:rsidRPr="00400BF5">
        <w:rPr>
          <w:sz w:val="16"/>
        </w:rPr>
        <w:t>vacant/not DU/under construction</w:t>
      </w:r>
      <w:r>
        <w:rPr>
          <w:sz w:val="16"/>
        </w:rPr>
        <w:t xml:space="preserve">, and </w:t>
      </w:r>
      <w:r w:rsidRPr="00400BF5">
        <w:rPr>
          <w:sz w:val="16"/>
        </w:rPr>
        <w:t>death</w:t>
      </w:r>
      <w:r>
        <w:rPr>
          <w:sz w:val="16"/>
        </w:rPr>
        <w:t>..</w:t>
      </w:r>
    </w:p>
  </w:footnote>
  <w:footnote w:id="5">
    <w:p w:rsidR="000B6BDD" w:rsidRDefault="000B6BDD">
      <w:pPr>
        <w:pStyle w:val="FootnoteText"/>
      </w:pPr>
      <w:r>
        <w:rPr>
          <w:rStyle w:val="FootnoteReference"/>
        </w:rPr>
        <w:footnoteRef/>
      </w:r>
      <w:r>
        <w:tab/>
        <w:t>The overall refusal rates were computed using weights that were assigned to sample cases so that the total sample would reflect the population distribution of the United States according to the percentage with less than a high school education, percentage earning below 150 percent of the poverty line, and percent Black or Hispanic.</w:t>
      </w:r>
    </w:p>
  </w:footnote>
  <w:footnote w:id="6">
    <w:p w:rsidR="000B6BDD" w:rsidRDefault="000B6BDD">
      <w:pPr>
        <w:pStyle w:val="FootnoteText"/>
      </w:pPr>
      <w:r>
        <w:rPr>
          <w:rStyle w:val="FootnoteReference"/>
        </w:rPr>
        <w:footnoteRef/>
      </w:r>
      <w:r>
        <w:tab/>
        <w:t>The overall screener refusal rates were computed using weights that were assigned to sample cases so that the total sample would reflect the population distribution of the U.S. according to the percentage with less than a high school education, percentage below the 150 poverty line, and percent Black or Hispanic.</w:t>
      </w:r>
    </w:p>
  </w:footnote>
  <w:footnote w:id="7">
    <w:p w:rsidR="000B6BDD" w:rsidRDefault="000B6BDD">
      <w:pPr>
        <w:pStyle w:val="FootnoteText"/>
      </w:pPr>
      <w:r>
        <w:rPr>
          <w:rStyle w:val="FootnoteReference"/>
        </w:rPr>
        <w:footnoteRef/>
      </w:r>
      <w:r>
        <w:tab/>
        <w:t>The overall BQ refusal rates were computed using weights that were assigned to sample cases so that the total sample would reflect the population distribution of the U.S. according to the percentage with less than a high school education, percentage below the 150 poverty line, and percent Black or Hispanic.</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A0"/>
    </w:tblPr>
    <w:tblGrid>
      <w:gridCol w:w="504"/>
    </w:tblGrid>
    <w:tr w:rsidR="000B6BDD" w:rsidTr="00E16BBF">
      <w:trPr>
        <w:cantSplit/>
        <w:trHeight w:hRule="exact" w:val="8798"/>
      </w:trPr>
      <w:tc>
        <w:tcPr>
          <w:tcW w:w="504" w:type="dxa"/>
          <w:textDirection w:val="tbRl"/>
          <w:vAlign w:val="bottom"/>
        </w:tcPr>
        <w:p w:rsidR="000B6BDD" w:rsidRPr="00E67834" w:rsidRDefault="000B6BDD" w:rsidP="00E16BBF">
          <w:pPr>
            <w:framePr w:wrap="around" w:vAnchor="page" w:hAnchor="page" w:x="14617" w:y="1441"/>
            <w:ind w:left="113" w:right="113"/>
            <w:jc w:val="right"/>
            <w:rPr>
              <w:rFonts w:ascii="Franklin Gothic Medium" w:hAnsi="Franklin Gothic Medium"/>
              <w:b/>
              <w:color w:val="324162"/>
              <w:sz w:val="20"/>
            </w:rPr>
          </w:pPr>
          <w:r w:rsidRPr="00E67834">
            <w:rPr>
              <w:rFonts w:ascii="Franklin Gothic Medium" w:hAnsi="Franklin Gothic Medium"/>
              <w:b/>
              <w:color w:val="324162"/>
            </w:rPr>
            <w:t>Contacting Households [For Countries With Probability Sample]</w:t>
          </w:r>
        </w:p>
      </w:tc>
    </w:tr>
    <w:tr w:rsidR="000B6BDD" w:rsidRPr="008D5B7D" w:rsidTr="00E16BBF">
      <w:trPr>
        <w:cantSplit/>
        <w:trHeight w:hRule="exact" w:val="562"/>
      </w:trPr>
      <w:tc>
        <w:tcPr>
          <w:tcW w:w="504" w:type="dxa"/>
          <w:shd w:val="clear" w:color="auto" w:fill="324162"/>
          <w:textDirection w:val="tbRl"/>
          <w:vAlign w:val="bottom"/>
        </w:tcPr>
        <w:p w:rsidR="000B6BDD" w:rsidRPr="00E67834" w:rsidRDefault="000B6BDD" w:rsidP="00E16BBF">
          <w:pPr>
            <w:framePr w:wrap="around" w:vAnchor="page" w:hAnchor="page" w:x="14617" w:y="1441"/>
            <w:jc w:val="center"/>
            <w:rPr>
              <w:rFonts w:ascii="Franklin Gothic Medium" w:hAnsi="Franklin Gothic Medium"/>
              <w:b/>
              <w:color w:val="FFFFFF"/>
              <w:sz w:val="40"/>
              <w:szCs w:val="40"/>
            </w:rPr>
          </w:pPr>
          <w:r>
            <w:rPr>
              <w:rFonts w:ascii="Franklin Gothic Medium" w:hAnsi="Franklin Gothic Medium"/>
              <w:b/>
              <w:color w:val="FFFFFF"/>
              <w:sz w:val="40"/>
              <w:szCs w:val="40"/>
            </w:rPr>
            <w:t>6</w:t>
          </w:r>
        </w:p>
      </w:tc>
    </w:tr>
  </w:tbl>
  <w:p w:rsidR="000B6BDD" w:rsidRDefault="000B6BDD" w:rsidP="00070F27">
    <w:pPr>
      <w:pStyle w:val="Header-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A0"/>
    </w:tblPr>
    <w:tblGrid>
      <w:gridCol w:w="504"/>
    </w:tblGrid>
    <w:tr w:rsidR="000B6BDD">
      <w:trPr>
        <w:cantSplit/>
        <w:trHeight w:hRule="exact" w:val="8798"/>
      </w:trPr>
      <w:tc>
        <w:tcPr>
          <w:tcW w:w="504" w:type="dxa"/>
          <w:textDirection w:val="tbRl"/>
          <w:vAlign w:val="bottom"/>
        </w:tcPr>
        <w:p w:rsidR="000B6BDD" w:rsidRPr="00E67834" w:rsidRDefault="000B6BDD" w:rsidP="00E16BBF">
          <w:pPr>
            <w:framePr w:wrap="around" w:vAnchor="page" w:hAnchor="page" w:x="14617" w:y="1441"/>
            <w:ind w:left="113" w:right="113"/>
            <w:jc w:val="right"/>
            <w:rPr>
              <w:rFonts w:ascii="Franklin Gothic Medium" w:hAnsi="Franklin Gothic Medium"/>
              <w:b/>
              <w:color w:val="324162"/>
              <w:sz w:val="20"/>
            </w:rPr>
          </w:pPr>
          <w:r w:rsidRPr="00E67834">
            <w:rPr>
              <w:rFonts w:ascii="Franklin Gothic Medium" w:hAnsi="Franklin Gothic Medium"/>
              <w:b/>
              <w:color w:val="324162"/>
            </w:rPr>
            <w:t>Contacting Households [For Countries With Probability Sample]</w:t>
          </w:r>
        </w:p>
      </w:tc>
    </w:tr>
    <w:tr w:rsidR="000B6BDD" w:rsidRPr="008D5B7D">
      <w:trPr>
        <w:cantSplit/>
        <w:trHeight w:hRule="exact" w:val="562"/>
      </w:trPr>
      <w:tc>
        <w:tcPr>
          <w:tcW w:w="504" w:type="dxa"/>
          <w:shd w:val="clear" w:color="auto" w:fill="324162"/>
          <w:textDirection w:val="tbRl"/>
          <w:vAlign w:val="bottom"/>
        </w:tcPr>
        <w:p w:rsidR="000B6BDD" w:rsidRPr="00E67834" w:rsidRDefault="000B6BDD" w:rsidP="00E16BBF">
          <w:pPr>
            <w:framePr w:wrap="around" w:vAnchor="page" w:hAnchor="page" w:x="14617" w:y="1441"/>
            <w:jc w:val="center"/>
            <w:rPr>
              <w:rFonts w:ascii="Franklin Gothic Medium" w:hAnsi="Franklin Gothic Medium"/>
              <w:b/>
              <w:color w:val="FFFFFF"/>
              <w:sz w:val="40"/>
              <w:szCs w:val="40"/>
            </w:rPr>
          </w:pPr>
          <w:r>
            <w:rPr>
              <w:rFonts w:ascii="Franklin Gothic Medium" w:hAnsi="Franklin Gothic Medium"/>
              <w:b/>
              <w:color w:val="FFFFFF"/>
              <w:sz w:val="40"/>
              <w:szCs w:val="40"/>
            </w:rPr>
            <w:t>6</w:t>
          </w:r>
        </w:p>
      </w:tc>
    </w:tr>
  </w:tbl>
  <w:p w:rsidR="000B6BDD" w:rsidRDefault="000B6BDD" w:rsidP="00E16BB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95E6D"/>
    <w:multiLevelType w:val="hybridMultilevel"/>
    <w:tmpl w:val="6C241E1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2592"/>
        </w:tabs>
        <w:ind w:left="2592" w:hanging="360"/>
      </w:pPr>
      <w:rPr>
        <w:rFonts w:cs="Times New Roman"/>
      </w:rPr>
    </w:lvl>
    <w:lvl w:ilvl="2" w:tplc="0409001B" w:tentative="1">
      <w:start w:val="1"/>
      <w:numFmt w:val="lowerRoman"/>
      <w:lvlText w:val="%3."/>
      <w:lvlJc w:val="right"/>
      <w:pPr>
        <w:tabs>
          <w:tab w:val="num" w:pos="3312"/>
        </w:tabs>
        <w:ind w:left="3312" w:hanging="180"/>
      </w:pPr>
      <w:rPr>
        <w:rFonts w:cs="Times New Roman"/>
      </w:rPr>
    </w:lvl>
    <w:lvl w:ilvl="3" w:tplc="0409000F" w:tentative="1">
      <w:start w:val="1"/>
      <w:numFmt w:val="decimal"/>
      <w:lvlText w:val="%4."/>
      <w:lvlJc w:val="left"/>
      <w:pPr>
        <w:tabs>
          <w:tab w:val="num" w:pos="4032"/>
        </w:tabs>
        <w:ind w:left="4032" w:hanging="360"/>
      </w:pPr>
      <w:rPr>
        <w:rFonts w:cs="Times New Roman"/>
      </w:rPr>
    </w:lvl>
    <w:lvl w:ilvl="4" w:tplc="04090019" w:tentative="1">
      <w:start w:val="1"/>
      <w:numFmt w:val="lowerLetter"/>
      <w:lvlText w:val="%5."/>
      <w:lvlJc w:val="left"/>
      <w:pPr>
        <w:tabs>
          <w:tab w:val="num" w:pos="4752"/>
        </w:tabs>
        <w:ind w:left="4752" w:hanging="360"/>
      </w:pPr>
      <w:rPr>
        <w:rFonts w:cs="Times New Roman"/>
      </w:rPr>
    </w:lvl>
    <w:lvl w:ilvl="5" w:tplc="0409001B" w:tentative="1">
      <w:start w:val="1"/>
      <w:numFmt w:val="lowerRoman"/>
      <w:lvlText w:val="%6."/>
      <w:lvlJc w:val="right"/>
      <w:pPr>
        <w:tabs>
          <w:tab w:val="num" w:pos="5472"/>
        </w:tabs>
        <w:ind w:left="5472" w:hanging="180"/>
      </w:pPr>
      <w:rPr>
        <w:rFonts w:cs="Times New Roman"/>
      </w:rPr>
    </w:lvl>
    <w:lvl w:ilvl="6" w:tplc="0409000F" w:tentative="1">
      <w:start w:val="1"/>
      <w:numFmt w:val="decimal"/>
      <w:lvlText w:val="%7."/>
      <w:lvlJc w:val="left"/>
      <w:pPr>
        <w:tabs>
          <w:tab w:val="num" w:pos="6192"/>
        </w:tabs>
        <w:ind w:left="6192" w:hanging="360"/>
      </w:pPr>
      <w:rPr>
        <w:rFonts w:cs="Times New Roman"/>
      </w:rPr>
    </w:lvl>
    <w:lvl w:ilvl="7" w:tplc="04090019" w:tentative="1">
      <w:start w:val="1"/>
      <w:numFmt w:val="lowerLetter"/>
      <w:lvlText w:val="%8."/>
      <w:lvlJc w:val="left"/>
      <w:pPr>
        <w:tabs>
          <w:tab w:val="num" w:pos="6912"/>
        </w:tabs>
        <w:ind w:left="6912" w:hanging="360"/>
      </w:pPr>
      <w:rPr>
        <w:rFonts w:cs="Times New Roman"/>
      </w:rPr>
    </w:lvl>
    <w:lvl w:ilvl="8" w:tplc="0409001B" w:tentative="1">
      <w:start w:val="1"/>
      <w:numFmt w:val="lowerRoman"/>
      <w:lvlText w:val="%9."/>
      <w:lvlJc w:val="right"/>
      <w:pPr>
        <w:tabs>
          <w:tab w:val="num" w:pos="7632"/>
        </w:tabs>
        <w:ind w:left="7632" w:hanging="180"/>
      </w:pPr>
      <w:rPr>
        <w:rFonts w:cs="Times New Roman"/>
      </w:rPr>
    </w:lvl>
  </w:abstractNum>
  <w:abstractNum w:abstractNumId="1">
    <w:nsid w:val="0DFC3F9B"/>
    <w:multiLevelType w:val="hybridMultilevel"/>
    <w:tmpl w:val="988CB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002F3"/>
    <w:multiLevelType w:val="hybridMultilevel"/>
    <w:tmpl w:val="5922D14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2DA7963"/>
    <w:multiLevelType w:val="hybridMultilevel"/>
    <w:tmpl w:val="FA901ED8"/>
    <w:lvl w:ilvl="0" w:tplc="9FC4919E">
      <w:start w:val="1"/>
      <w:numFmt w:val="decimal"/>
      <w:lvlText w:val="%1."/>
      <w:lvlJc w:val="left"/>
      <w:pPr>
        <w:tabs>
          <w:tab w:val="num" w:pos="1152"/>
        </w:tabs>
        <w:ind w:left="1152" w:hanging="576"/>
      </w:pPr>
      <w:rPr>
        <w:rFonts w:ascii="Verdana" w:hAnsi="Verdana"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31C45D8"/>
    <w:multiLevelType w:val="hybridMultilevel"/>
    <w:tmpl w:val="4A76E466"/>
    <w:lvl w:ilvl="0" w:tplc="B838E7E6">
      <w:start w:val="1"/>
      <w:numFmt w:val="bullet"/>
      <w:lvlText w:val="–"/>
      <w:lvlJc w:val="left"/>
      <w:pPr>
        <w:tabs>
          <w:tab w:val="num" w:pos="2304"/>
        </w:tabs>
        <w:ind w:left="2304" w:hanging="576"/>
      </w:pPr>
      <w:rPr>
        <w:rFonts w:ascii="Garamond" w:hAnsi="Garamond" w:hint="default"/>
        <w:sz w:val="3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387562A"/>
    <w:multiLevelType w:val="multilevel"/>
    <w:tmpl w:val="1B90DF80"/>
    <w:lvl w:ilvl="0">
      <w:start w:val="6"/>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nsid w:val="1650226E"/>
    <w:multiLevelType w:val="hybridMultilevel"/>
    <w:tmpl w:val="2B9A3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5F5FAE"/>
    <w:multiLevelType w:val="hybridMultilevel"/>
    <w:tmpl w:val="A3E89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EA779C"/>
    <w:multiLevelType w:val="hybridMultilevel"/>
    <w:tmpl w:val="72A80830"/>
    <w:lvl w:ilvl="0" w:tplc="FFFFFFFF">
      <w:start w:val="1"/>
      <w:numFmt w:val="decimal"/>
      <w:lvlText w:val="%1."/>
      <w:lvlJc w:val="left"/>
      <w:pPr>
        <w:tabs>
          <w:tab w:val="num" w:pos="1440"/>
        </w:tabs>
        <w:ind w:left="1440" w:hanging="72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0">
    <w:nsid w:val="263169A4"/>
    <w:multiLevelType w:val="hybridMultilevel"/>
    <w:tmpl w:val="30AA4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9F6925"/>
    <w:multiLevelType w:val="hybridMultilevel"/>
    <w:tmpl w:val="9034A0D8"/>
    <w:lvl w:ilvl="0" w:tplc="FFFFFFFF">
      <w:start w:val="1"/>
      <w:numFmt w:val="decimal"/>
      <w:lvlText w:val="%1."/>
      <w:lvlJc w:val="left"/>
      <w:pPr>
        <w:tabs>
          <w:tab w:val="num" w:pos="1152"/>
        </w:tabs>
        <w:ind w:left="1152" w:hanging="576"/>
      </w:pPr>
      <w:rPr>
        <w:rFonts w:ascii="Verdana" w:hAnsi="Verdana" w:cs="Times New Roman"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36"/>
      </w:rPr>
    </w:lvl>
  </w:abstractNum>
  <w:abstractNum w:abstractNumId="13">
    <w:nsid w:val="34F6717F"/>
    <w:multiLevelType w:val="hybridMultilevel"/>
    <w:tmpl w:val="5568CCCA"/>
    <w:lvl w:ilvl="0" w:tplc="3F283FC8">
      <w:start w:val="1"/>
      <w:numFmt w:val="decimal"/>
      <w:lvlText w:val="%1."/>
      <w:lvlJc w:val="left"/>
      <w:pPr>
        <w:ind w:left="936" w:hanging="360"/>
      </w:pPr>
      <w:rPr>
        <w:rFonts w:cs="Times New Roman" w:hint="default"/>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14">
    <w:nsid w:val="3C763807"/>
    <w:multiLevelType w:val="hybridMultilevel"/>
    <w:tmpl w:val="B950E67C"/>
    <w:lvl w:ilvl="0" w:tplc="2092E8B6">
      <w:start w:val="1"/>
      <w:numFmt w:val="decimal"/>
      <w:lvlText w:val="%1."/>
      <w:lvlJc w:val="left"/>
      <w:pPr>
        <w:tabs>
          <w:tab w:val="num" w:pos="720"/>
        </w:tabs>
        <w:ind w:left="72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5">
    <w:nsid w:val="3E272F80"/>
    <w:multiLevelType w:val="hybridMultilevel"/>
    <w:tmpl w:val="AFEC8A46"/>
    <w:lvl w:ilvl="0" w:tplc="78FCDC4A">
      <w:start w:val="1"/>
      <w:numFmt w:val="decimal"/>
      <w:pStyle w:val="N3-3rdBullet"/>
      <w:lvlText w:val="%1."/>
      <w:lvlJc w:val="left"/>
      <w:pPr>
        <w:tabs>
          <w:tab w:val="num" w:pos="2304"/>
        </w:tabs>
        <w:ind w:left="2304" w:hanging="576"/>
      </w:pPr>
      <w:rPr>
        <w:rFonts w:ascii="Garamond" w:hAnsi="Garamond" w:cs="Times New Roman" w:hint="default"/>
        <w:sz w:val="24"/>
      </w:rPr>
    </w:lvl>
    <w:lvl w:ilvl="1" w:tplc="BC582E9E" w:tentative="1">
      <w:start w:val="1"/>
      <w:numFmt w:val="lowerLetter"/>
      <w:lvlText w:val="%2."/>
      <w:lvlJc w:val="left"/>
      <w:pPr>
        <w:tabs>
          <w:tab w:val="num" w:pos="1440"/>
        </w:tabs>
        <w:ind w:left="1440" w:hanging="360"/>
      </w:pPr>
      <w:rPr>
        <w:rFonts w:cs="Times New Roman"/>
      </w:rPr>
    </w:lvl>
    <w:lvl w:ilvl="2" w:tplc="F3B8843E" w:tentative="1">
      <w:start w:val="1"/>
      <w:numFmt w:val="lowerRoman"/>
      <w:lvlText w:val="%3."/>
      <w:lvlJc w:val="right"/>
      <w:pPr>
        <w:tabs>
          <w:tab w:val="num" w:pos="2160"/>
        </w:tabs>
        <w:ind w:left="2160" w:hanging="180"/>
      </w:pPr>
      <w:rPr>
        <w:rFonts w:cs="Times New Roman"/>
      </w:rPr>
    </w:lvl>
    <w:lvl w:ilvl="3" w:tplc="A0F2E2E0" w:tentative="1">
      <w:start w:val="1"/>
      <w:numFmt w:val="decimal"/>
      <w:lvlText w:val="%4."/>
      <w:lvlJc w:val="left"/>
      <w:pPr>
        <w:tabs>
          <w:tab w:val="num" w:pos="2880"/>
        </w:tabs>
        <w:ind w:left="2880" w:hanging="360"/>
      </w:pPr>
      <w:rPr>
        <w:rFonts w:cs="Times New Roman"/>
      </w:rPr>
    </w:lvl>
    <w:lvl w:ilvl="4" w:tplc="4D0EA320" w:tentative="1">
      <w:start w:val="1"/>
      <w:numFmt w:val="lowerLetter"/>
      <w:lvlText w:val="%5."/>
      <w:lvlJc w:val="left"/>
      <w:pPr>
        <w:tabs>
          <w:tab w:val="num" w:pos="3600"/>
        </w:tabs>
        <w:ind w:left="3600" w:hanging="360"/>
      </w:pPr>
      <w:rPr>
        <w:rFonts w:cs="Times New Roman"/>
      </w:rPr>
    </w:lvl>
    <w:lvl w:ilvl="5" w:tplc="A134C51C" w:tentative="1">
      <w:start w:val="1"/>
      <w:numFmt w:val="lowerRoman"/>
      <w:lvlText w:val="%6."/>
      <w:lvlJc w:val="right"/>
      <w:pPr>
        <w:tabs>
          <w:tab w:val="num" w:pos="4320"/>
        </w:tabs>
        <w:ind w:left="4320" w:hanging="180"/>
      </w:pPr>
      <w:rPr>
        <w:rFonts w:cs="Times New Roman"/>
      </w:rPr>
    </w:lvl>
    <w:lvl w:ilvl="6" w:tplc="51B293EA" w:tentative="1">
      <w:start w:val="1"/>
      <w:numFmt w:val="decimal"/>
      <w:lvlText w:val="%7."/>
      <w:lvlJc w:val="left"/>
      <w:pPr>
        <w:tabs>
          <w:tab w:val="num" w:pos="5040"/>
        </w:tabs>
        <w:ind w:left="5040" w:hanging="360"/>
      </w:pPr>
      <w:rPr>
        <w:rFonts w:cs="Times New Roman"/>
      </w:rPr>
    </w:lvl>
    <w:lvl w:ilvl="7" w:tplc="F25E80AC" w:tentative="1">
      <w:start w:val="1"/>
      <w:numFmt w:val="lowerLetter"/>
      <w:lvlText w:val="%8."/>
      <w:lvlJc w:val="left"/>
      <w:pPr>
        <w:tabs>
          <w:tab w:val="num" w:pos="5760"/>
        </w:tabs>
        <w:ind w:left="5760" w:hanging="360"/>
      </w:pPr>
      <w:rPr>
        <w:rFonts w:cs="Times New Roman"/>
      </w:rPr>
    </w:lvl>
    <w:lvl w:ilvl="8" w:tplc="DFBE02C4" w:tentative="1">
      <w:start w:val="1"/>
      <w:numFmt w:val="lowerRoman"/>
      <w:lvlText w:val="%9."/>
      <w:lvlJc w:val="right"/>
      <w:pPr>
        <w:tabs>
          <w:tab w:val="num" w:pos="6480"/>
        </w:tabs>
        <w:ind w:left="6480" w:hanging="180"/>
      </w:pPr>
      <w:rPr>
        <w:rFonts w:cs="Times New Roman"/>
      </w:rPr>
    </w:lvl>
  </w:abstractNum>
  <w:abstractNum w:abstractNumId="16">
    <w:nsid w:val="4DCF52F2"/>
    <w:multiLevelType w:val="hybridMultilevel"/>
    <w:tmpl w:val="20DE4E60"/>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4E5B2C39"/>
    <w:multiLevelType w:val="hybridMultilevel"/>
    <w:tmpl w:val="A798E96A"/>
    <w:lvl w:ilvl="0" w:tplc="0409000F">
      <w:start w:val="1"/>
      <w:numFmt w:val="decimal"/>
      <w:lvlText w:val="%1."/>
      <w:lvlJc w:val="left"/>
      <w:pPr>
        <w:tabs>
          <w:tab w:val="num" w:pos="1872"/>
        </w:tabs>
        <w:ind w:left="1872" w:hanging="360"/>
      </w:pPr>
      <w:rPr>
        <w:rFonts w:cs="Times New Roman"/>
      </w:rPr>
    </w:lvl>
    <w:lvl w:ilvl="1" w:tplc="04090019" w:tentative="1">
      <w:start w:val="1"/>
      <w:numFmt w:val="lowerLetter"/>
      <w:lvlText w:val="%2."/>
      <w:lvlJc w:val="left"/>
      <w:pPr>
        <w:tabs>
          <w:tab w:val="num" w:pos="2592"/>
        </w:tabs>
        <w:ind w:left="2592" w:hanging="360"/>
      </w:pPr>
      <w:rPr>
        <w:rFonts w:cs="Times New Roman"/>
      </w:rPr>
    </w:lvl>
    <w:lvl w:ilvl="2" w:tplc="0409001B" w:tentative="1">
      <w:start w:val="1"/>
      <w:numFmt w:val="lowerRoman"/>
      <w:lvlText w:val="%3."/>
      <w:lvlJc w:val="right"/>
      <w:pPr>
        <w:tabs>
          <w:tab w:val="num" w:pos="3312"/>
        </w:tabs>
        <w:ind w:left="3312" w:hanging="180"/>
      </w:pPr>
      <w:rPr>
        <w:rFonts w:cs="Times New Roman"/>
      </w:rPr>
    </w:lvl>
    <w:lvl w:ilvl="3" w:tplc="0409000F" w:tentative="1">
      <w:start w:val="1"/>
      <w:numFmt w:val="decimal"/>
      <w:lvlText w:val="%4."/>
      <w:lvlJc w:val="left"/>
      <w:pPr>
        <w:tabs>
          <w:tab w:val="num" w:pos="4032"/>
        </w:tabs>
        <w:ind w:left="4032" w:hanging="360"/>
      </w:pPr>
      <w:rPr>
        <w:rFonts w:cs="Times New Roman"/>
      </w:rPr>
    </w:lvl>
    <w:lvl w:ilvl="4" w:tplc="04090019" w:tentative="1">
      <w:start w:val="1"/>
      <w:numFmt w:val="lowerLetter"/>
      <w:lvlText w:val="%5."/>
      <w:lvlJc w:val="left"/>
      <w:pPr>
        <w:tabs>
          <w:tab w:val="num" w:pos="4752"/>
        </w:tabs>
        <w:ind w:left="4752" w:hanging="360"/>
      </w:pPr>
      <w:rPr>
        <w:rFonts w:cs="Times New Roman"/>
      </w:rPr>
    </w:lvl>
    <w:lvl w:ilvl="5" w:tplc="0409001B" w:tentative="1">
      <w:start w:val="1"/>
      <w:numFmt w:val="lowerRoman"/>
      <w:lvlText w:val="%6."/>
      <w:lvlJc w:val="right"/>
      <w:pPr>
        <w:tabs>
          <w:tab w:val="num" w:pos="5472"/>
        </w:tabs>
        <w:ind w:left="5472" w:hanging="180"/>
      </w:pPr>
      <w:rPr>
        <w:rFonts w:cs="Times New Roman"/>
      </w:rPr>
    </w:lvl>
    <w:lvl w:ilvl="6" w:tplc="0409000F" w:tentative="1">
      <w:start w:val="1"/>
      <w:numFmt w:val="decimal"/>
      <w:lvlText w:val="%7."/>
      <w:lvlJc w:val="left"/>
      <w:pPr>
        <w:tabs>
          <w:tab w:val="num" w:pos="6192"/>
        </w:tabs>
        <w:ind w:left="6192" w:hanging="360"/>
      </w:pPr>
      <w:rPr>
        <w:rFonts w:cs="Times New Roman"/>
      </w:rPr>
    </w:lvl>
    <w:lvl w:ilvl="7" w:tplc="04090019" w:tentative="1">
      <w:start w:val="1"/>
      <w:numFmt w:val="lowerLetter"/>
      <w:lvlText w:val="%8."/>
      <w:lvlJc w:val="left"/>
      <w:pPr>
        <w:tabs>
          <w:tab w:val="num" w:pos="6912"/>
        </w:tabs>
        <w:ind w:left="6912" w:hanging="360"/>
      </w:pPr>
      <w:rPr>
        <w:rFonts w:cs="Times New Roman"/>
      </w:rPr>
    </w:lvl>
    <w:lvl w:ilvl="8" w:tplc="0409001B" w:tentative="1">
      <w:start w:val="1"/>
      <w:numFmt w:val="lowerRoman"/>
      <w:lvlText w:val="%9."/>
      <w:lvlJc w:val="right"/>
      <w:pPr>
        <w:tabs>
          <w:tab w:val="num" w:pos="7632"/>
        </w:tabs>
        <w:ind w:left="7632" w:hanging="180"/>
      </w:pPr>
      <w:rPr>
        <w:rFonts w:cs="Times New Roman"/>
      </w:rPr>
    </w:lvl>
  </w:abstractNum>
  <w:abstractNum w:abstractNumId="18">
    <w:nsid w:val="5A4B3581"/>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5C446B6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nsid w:val="673A6A12"/>
    <w:multiLevelType w:val="hybridMultilevel"/>
    <w:tmpl w:val="F6106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554C8C"/>
    <w:multiLevelType w:val="hybridMultilevel"/>
    <w:tmpl w:val="BE24E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951F06"/>
    <w:multiLevelType w:val="hybridMultilevel"/>
    <w:tmpl w:val="CAFCCC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
  </w:num>
  <w:num w:numId="3">
    <w:abstractNumId w:val="5"/>
  </w:num>
  <w:num w:numId="4">
    <w:abstractNumId w:val="18"/>
  </w:num>
  <w:num w:numId="5">
    <w:abstractNumId w:val="6"/>
  </w:num>
  <w:num w:numId="6">
    <w:abstractNumId w:val="2"/>
  </w:num>
  <w:num w:numId="7">
    <w:abstractNumId w:val="12"/>
  </w:num>
  <w:num w:numId="8">
    <w:abstractNumId w:val="15"/>
  </w:num>
  <w:num w:numId="9">
    <w:abstractNumId w:val="3"/>
  </w:num>
  <w:num w:numId="10">
    <w:abstractNumId w:val="19"/>
  </w:num>
  <w:num w:numId="11">
    <w:abstractNumId w:val="4"/>
  </w:num>
  <w:num w:numId="12">
    <w:abstractNumId w:val="11"/>
  </w:num>
  <w:num w:numId="13">
    <w:abstractNumId w:val="9"/>
  </w:num>
  <w:num w:numId="14">
    <w:abstractNumId w:val="17"/>
  </w:num>
  <w:num w:numId="15">
    <w:abstractNumId w:val="0"/>
  </w:num>
  <w:num w:numId="16">
    <w:abstractNumId w:val="14"/>
  </w:num>
  <w:num w:numId="17">
    <w:abstractNumId w:val="22"/>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
  </w:num>
  <w:num w:numId="21">
    <w:abstractNumId w:val="13"/>
  </w:num>
  <w:num w:numId="22">
    <w:abstractNumId w:val="8"/>
  </w:num>
  <w:num w:numId="23">
    <w:abstractNumId w:val="7"/>
  </w:num>
  <w:num w:numId="24">
    <w:abstractNumId w:val="10"/>
  </w:num>
  <w:num w:numId="25">
    <w:abstractNumId w:val="2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0369"/>
    <w:rsid w:val="00004599"/>
    <w:rsid w:val="0001619E"/>
    <w:rsid w:val="000161F6"/>
    <w:rsid w:val="00016516"/>
    <w:rsid w:val="00017E95"/>
    <w:rsid w:val="000416EA"/>
    <w:rsid w:val="00043411"/>
    <w:rsid w:val="0004342C"/>
    <w:rsid w:val="00043DC9"/>
    <w:rsid w:val="00046BEA"/>
    <w:rsid w:val="00047C90"/>
    <w:rsid w:val="000509DF"/>
    <w:rsid w:val="00053E73"/>
    <w:rsid w:val="000605FA"/>
    <w:rsid w:val="00061A3C"/>
    <w:rsid w:val="00064473"/>
    <w:rsid w:val="00065BA7"/>
    <w:rsid w:val="00066A9E"/>
    <w:rsid w:val="00067242"/>
    <w:rsid w:val="00067E45"/>
    <w:rsid w:val="00070F27"/>
    <w:rsid w:val="00073A12"/>
    <w:rsid w:val="000742D2"/>
    <w:rsid w:val="00081563"/>
    <w:rsid w:val="00090DF9"/>
    <w:rsid w:val="00096CC2"/>
    <w:rsid w:val="00096EB2"/>
    <w:rsid w:val="0009765C"/>
    <w:rsid w:val="000A0183"/>
    <w:rsid w:val="000A3CF7"/>
    <w:rsid w:val="000A5087"/>
    <w:rsid w:val="000A71E0"/>
    <w:rsid w:val="000B0B5E"/>
    <w:rsid w:val="000B6BDD"/>
    <w:rsid w:val="000C6AB4"/>
    <w:rsid w:val="000D443D"/>
    <w:rsid w:val="000D54F3"/>
    <w:rsid w:val="000D6708"/>
    <w:rsid w:val="000E3654"/>
    <w:rsid w:val="000E45A1"/>
    <w:rsid w:val="000E54ED"/>
    <w:rsid w:val="000E65B4"/>
    <w:rsid w:val="000F38FE"/>
    <w:rsid w:val="000F721B"/>
    <w:rsid w:val="000F7900"/>
    <w:rsid w:val="0010257F"/>
    <w:rsid w:val="00107AD5"/>
    <w:rsid w:val="00112776"/>
    <w:rsid w:val="00113CC4"/>
    <w:rsid w:val="00115325"/>
    <w:rsid w:val="00116F23"/>
    <w:rsid w:val="001240FF"/>
    <w:rsid w:val="001364D2"/>
    <w:rsid w:val="0013774F"/>
    <w:rsid w:val="00143599"/>
    <w:rsid w:val="00143C22"/>
    <w:rsid w:val="00144285"/>
    <w:rsid w:val="00144C86"/>
    <w:rsid w:val="001456BD"/>
    <w:rsid w:val="00151CEC"/>
    <w:rsid w:val="00154FFB"/>
    <w:rsid w:val="00155D7C"/>
    <w:rsid w:val="00156460"/>
    <w:rsid w:val="00161734"/>
    <w:rsid w:val="0016353F"/>
    <w:rsid w:val="001645F6"/>
    <w:rsid w:val="001669C1"/>
    <w:rsid w:val="001703DE"/>
    <w:rsid w:val="00170D4B"/>
    <w:rsid w:val="00180F8B"/>
    <w:rsid w:val="00184852"/>
    <w:rsid w:val="001852C5"/>
    <w:rsid w:val="00187A28"/>
    <w:rsid w:val="0019134F"/>
    <w:rsid w:val="0019595A"/>
    <w:rsid w:val="0019626F"/>
    <w:rsid w:val="001978A3"/>
    <w:rsid w:val="001A0BF1"/>
    <w:rsid w:val="001A2F14"/>
    <w:rsid w:val="001A3B0A"/>
    <w:rsid w:val="001A3ED7"/>
    <w:rsid w:val="001A55A0"/>
    <w:rsid w:val="001B3D99"/>
    <w:rsid w:val="001B4A09"/>
    <w:rsid w:val="001B5E95"/>
    <w:rsid w:val="001B6205"/>
    <w:rsid w:val="001C36FC"/>
    <w:rsid w:val="001C505F"/>
    <w:rsid w:val="001C59F2"/>
    <w:rsid w:val="001D3D0C"/>
    <w:rsid w:val="001D3F9D"/>
    <w:rsid w:val="001D65D2"/>
    <w:rsid w:val="001E3A79"/>
    <w:rsid w:val="001F013E"/>
    <w:rsid w:val="001F4CF0"/>
    <w:rsid w:val="001F6BEE"/>
    <w:rsid w:val="00200C9B"/>
    <w:rsid w:val="002017FB"/>
    <w:rsid w:val="00205F79"/>
    <w:rsid w:val="002072DB"/>
    <w:rsid w:val="00207BB3"/>
    <w:rsid w:val="00210FCC"/>
    <w:rsid w:val="00211A03"/>
    <w:rsid w:val="00212579"/>
    <w:rsid w:val="0022377B"/>
    <w:rsid w:val="002250D4"/>
    <w:rsid w:val="002262D1"/>
    <w:rsid w:val="0023094F"/>
    <w:rsid w:val="00234E78"/>
    <w:rsid w:val="00234FC9"/>
    <w:rsid w:val="00236B0D"/>
    <w:rsid w:val="00240737"/>
    <w:rsid w:val="00251699"/>
    <w:rsid w:val="002528B4"/>
    <w:rsid w:val="00255713"/>
    <w:rsid w:val="00255BD4"/>
    <w:rsid w:val="00260481"/>
    <w:rsid w:val="0026260A"/>
    <w:rsid w:val="00265738"/>
    <w:rsid w:val="00265B9E"/>
    <w:rsid w:val="00280B3B"/>
    <w:rsid w:val="00281CAA"/>
    <w:rsid w:val="002837F9"/>
    <w:rsid w:val="00290358"/>
    <w:rsid w:val="00292362"/>
    <w:rsid w:val="00292F9E"/>
    <w:rsid w:val="00293D54"/>
    <w:rsid w:val="00294C69"/>
    <w:rsid w:val="002953B3"/>
    <w:rsid w:val="002A0365"/>
    <w:rsid w:val="002A14A4"/>
    <w:rsid w:val="002A578D"/>
    <w:rsid w:val="002A6B3E"/>
    <w:rsid w:val="002B63B9"/>
    <w:rsid w:val="002C07F8"/>
    <w:rsid w:val="002C3978"/>
    <w:rsid w:val="002C5251"/>
    <w:rsid w:val="002C570D"/>
    <w:rsid w:val="002C7EE4"/>
    <w:rsid w:val="002D0A6D"/>
    <w:rsid w:val="002D2DB3"/>
    <w:rsid w:val="002D3822"/>
    <w:rsid w:val="002D509B"/>
    <w:rsid w:val="002E2CAE"/>
    <w:rsid w:val="002F03A4"/>
    <w:rsid w:val="002F0604"/>
    <w:rsid w:val="002F2223"/>
    <w:rsid w:val="002F2680"/>
    <w:rsid w:val="002F4AB2"/>
    <w:rsid w:val="002F5B3C"/>
    <w:rsid w:val="00303403"/>
    <w:rsid w:val="00303751"/>
    <w:rsid w:val="00303CC9"/>
    <w:rsid w:val="00304FFB"/>
    <w:rsid w:val="00310AE3"/>
    <w:rsid w:val="00312297"/>
    <w:rsid w:val="00313F5E"/>
    <w:rsid w:val="00316B33"/>
    <w:rsid w:val="00321E7C"/>
    <w:rsid w:val="0032300D"/>
    <w:rsid w:val="00335F31"/>
    <w:rsid w:val="00341226"/>
    <w:rsid w:val="00342107"/>
    <w:rsid w:val="003452C4"/>
    <w:rsid w:val="003464CD"/>
    <w:rsid w:val="00346DD3"/>
    <w:rsid w:val="00352B7F"/>
    <w:rsid w:val="00354047"/>
    <w:rsid w:val="0035602B"/>
    <w:rsid w:val="00356A2F"/>
    <w:rsid w:val="0035763F"/>
    <w:rsid w:val="0035772F"/>
    <w:rsid w:val="003646F4"/>
    <w:rsid w:val="00364E45"/>
    <w:rsid w:val="0037170C"/>
    <w:rsid w:val="00371850"/>
    <w:rsid w:val="003742A4"/>
    <w:rsid w:val="003766CA"/>
    <w:rsid w:val="00382EC3"/>
    <w:rsid w:val="00385039"/>
    <w:rsid w:val="0039278C"/>
    <w:rsid w:val="00393020"/>
    <w:rsid w:val="003951D8"/>
    <w:rsid w:val="0039646E"/>
    <w:rsid w:val="00396F0D"/>
    <w:rsid w:val="00397341"/>
    <w:rsid w:val="003A3725"/>
    <w:rsid w:val="003A3A01"/>
    <w:rsid w:val="003A3B51"/>
    <w:rsid w:val="003A4C55"/>
    <w:rsid w:val="003A4EAD"/>
    <w:rsid w:val="003A5477"/>
    <w:rsid w:val="003B003B"/>
    <w:rsid w:val="003B1720"/>
    <w:rsid w:val="003B6024"/>
    <w:rsid w:val="003B7EEE"/>
    <w:rsid w:val="003C01B2"/>
    <w:rsid w:val="003C2859"/>
    <w:rsid w:val="003C6475"/>
    <w:rsid w:val="003C66EF"/>
    <w:rsid w:val="003C6733"/>
    <w:rsid w:val="003D03D3"/>
    <w:rsid w:val="003D3EA1"/>
    <w:rsid w:val="003D3EE1"/>
    <w:rsid w:val="003D5454"/>
    <w:rsid w:val="003E005C"/>
    <w:rsid w:val="003E0568"/>
    <w:rsid w:val="003E2796"/>
    <w:rsid w:val="003E2CA3"/>
    <w:rsid w:val="003E5064"/>
    <w:rsid w:val="003F11A0"/>
    <w:rsid w:val="003F2DAF"/>
    <w:rsid w:val="003F3A5B"/>
    <w:rsid w:val="003F501A"/>
    <w:rsid w:val="00400BF5"/>
    <w:rsid w:val="00411469"/>
    <w:rsid w:val="00412949"/>
    <w:rsid w:val="00422341"/>
    <w:rsid w:val="004235E4"/>
    <w:rsid w:val="00423D7C"/>
    <w:rsid w:val="00424111"/>
    <w:rsid w:val="00425903"/>
    <w:rsid w:val="004273A1"/>
    <w:rsid w:val="00430A3E"/>
    <w:rsid w:val="00436439"/>
    <w:rsid w:val="004436B5"/>
    <w:rsid w:val="00445503"/>
    <w:rsid w:val="00446E41"/>
    <w:rsid w:val="00450599"/>
    <w:rsid w:val="004527B8"/>
    <w:rsid w:val="00453FC1"/>
    <w:rsid w:val="00463627"/>
    <w:rsid w:val="00466911"/>
    <w:rsid w:val="00466EAE"/>
    <w:rsid w:val="0046772C"/>
    <w:rsid w:val="00467EEA"/>
    <w:rsid w:val="00477ECB"/>
    <w:rsid w:val="00480AB9"/>
    <w:rsid w:val="00481A57"/>
    <w:rsid w:val="00482770"/>
    <w:rsid w:val="00490E26"/>
    <w:rsid w:val="004A0D77"/>
    <w:rsid w:val="004A1EC0"/>
    <w:rsid w:val="004A5BF7"/>
    <w:rsid w:val="004A5FA4"/>
    <w:rsid w:val="004A5FFE"/>
    <w:rsid w:val="004A7835"/>
    <w:rsid w:val="004B152B"/>
    <w:rsid w:val="004B632F"/>
    <w:rsid w:val="004C200D"/>
    <w:rsid w:val="004D0ECC"/>
    <w:rsid w:val="004D10F5"/>
    <w:rsid w:val="004D321D"/>
    <w:rsid w:val="004E4ECE"/>
    <w:rsid w:val="004E7871"/>
    <w:rsid w:val="004E7C35"/>
    <w:rsid w:val="004F0F70"/>
    <w:rsid w:val="004F2502"/>
    <w:rsid w:val="004F2523"/>
    <w:rsid w:val="004F5017"/>
    <w:rsid w:val="004F6AD4"/>
    <w:rsid w:val="005012DE"/>
    <w:rsid w:val="0050582F"/>
    <w:rsid w:val="00505D16"/>
    <w:rsid w:val="0050616E"/>
    <w:rsid w:val="005066D3"/>
    <w:rsid w:val="00506857"/>
    <w:rsid w:val="00517B65"/>
    <w:rsid w:val="00520A0C"/>
    <w:rsid w:val="005210F7"/>
    <w:rsid w:val="0052153D"/>
    <w:rsid w:val="005218A4"/>
    <w:rsid w:val="005243CE"/>
    <w:rsid w:val="005266F4"/>
    <w:rsid w:val="0053375C"/>
    <w:rsid w:val="005370C8"/>
    <w:rsid w:val="005406B6"/>
    <w:rsid w:val="00542D9A"/>
    <w:rsid w:val="00547FC0"/>
    <w:rsid w:val="0055124E"/>
    <w:rsid w:val="0055216E"/>
    <w:rsid w:val="00556831"/>
    <w:rsid w:val="00556E7E"/>
    <w:rsid w:val="00562B5E"/>
    <w:rsid w:val="00563E63"/>
    <w:rsid w:val="00565484"/>
    <w:rsid w:val="00567E46"/>
    <w:rsid w:val="00570297"/>
    <w:rsid w:val="005751C0"/>
    <w:rsid w:val="00584140"/>
    <w:rsid w:val="00585528"/>
    <w:rsid w:val="0058580C"/>
    <w:rsid w:val="0059026D"/>
    <w:rsid w:val="0059612B"/>
    <w:rsid w:val="00597D04"/>
    <w:rsid w:val="005A02BA"/>
    <w:rsid w:val="005A07A2"/>
    <w:rsid w:val="005A147E"/>
    <w:rsid w:val="005A1515"/>
    <w:rsid w:val="005A16FF"/>
    <w:rsid w:val="005A1FB2"/>
    <w:rsid w:val="005A221A"/>
    <w:rsid w:val="005A2610"/>
    <w:rsid w:val="005A49B3"/>
    <w:rsid w:val="005A5549"/>
    <w:rsid w:val="005B06AF"/>
    <w:rsid w:val="005B1F08"/>
    <w:rsid w:val="005B3C3E"/>
    <w:rsid w:val="005B4BD5"/>
    <w:rsid w:val="005B71B9"/>
    <w:rsid w:val="005C07A8"/>
    <w:rsid w:val="005C2D66"/>
    <w:rsid w:val="005C5783"/>
    <w:rsid w:val="005D1B93"/>
    <w:rsid w:val="005D7128"/>
    <w:rsid w:val="005E4515"/>
    <w:rsid w:val="005E5A70"/>
    <w:rsid w:val="005F19DD"/>
    <w:rsid w:val="005F4A28"/>
    <w:rsid w:val="005F5188"/>
    <w:rsid w:val="00600328"/>
    <w:rsid w:val="0060091A"/>
    <w:rsid w:val="006040BE"/>
    <w:rsid w:val="006059FA"/>
    <w:rsid w:val="00607590"/>
    <w:rsid w:val="00607DA2"/>
    <w:rsid w:val="00613F08"/>
    <w:rsid w:val="006159DF"/>
    <w:rsid w:val="006171C1"/>
    <w:rsid w:val="0062397A"/>
    <w:rsid w:val="006321B9"/>
    <w:rsid w:val="00634C19"/>
    <w:rsid w:val="00637660"/>
    <w:rsid w:val="00640273"/>
    <w:rsid w:val="00646F7E"/>
    <w:rsid w:val="006470AD"/>
    <w:rsid w:val="0065121E"/>
    <w:rsid w:val="0065148F"/>
    <w:rsid w:val="006530BC"/>
    <w:rsid w:val="00653453"/>
    <w:rsid w:val="00654237"/>
    <w:rsid w:val="00661EE1"/>
    <w:rsid w:val="00663646"/>
    <w:rsid w:val="00665466"/>
    <w:rsid w:val="006659CC"/>
    <w:rsid w:val="00665E16"/>
    <w:rsid w:val="00675C72"/>
    <w:rsid w:val="00676997"/>
    <w:rsid w:val="00680CB9"/>
    <w:rsid w:val="0068324A"/>
    <w:rsid w:val="00684FE2"/>
    <w:rsid w:val="006859DE"/>
    <w:rsid w:val="0069218E"/>
    <w:rsid w:val="00692432"/>
    <w:rsid w:val="00695536"/>
    <w:rsid w:val="00696EE5"/>
    <w:rsid w:val="006A2102"/>
    <w:rsid w:val="006A63B0"/>
    <w:rsid w:val="006B000E"/>
    <w:rsid w:val="006B3078"/>
    <w:rsid w:val="006B422D"/>
    <w:rsid w:val="006C187F"/>
    <w:rsid w:val="006D1EAC"/>
    <w:rsid w:val="006D3117"/>
    <w:rsid w:val="006D439B"/>
    <w:rsid w:val="006D4C68"/>
    <w:rsid w:val="006D5A8D"/>
    <w:rsid w:val="006E17BE"/>
    <w:rsid w:val="006E575B"/>
    <w:rsid w:val="006E613D"/>
    <w:rsid w:val="006E6E50"/>
    <w:rsid w:val="006F20DA"/>
    <w:rsid w:val="006F2351"/>
    <w:rsid w:val="006F43CB"/>
    <w:rsid w:val="006F4515"/>
    <w:rsid w:val="006F7EDE"/>
    <w:rsid w:val="00703A4E"/>
    <w:rsid w:val="00706135"/>
    <w:rsid w:val="00713AC8"/>
    <w:rsid w:val="00715BE7"/>
    <w:rsid w:val="00716D4A"/>
    <w:rsid w:val="0071770A"/>
    <w:rsid w:val="00727085"/>
    <w:rsid w:val="007333DF"/>
    <w:rsid w:val="00734E38"/>
    <w:rsid w:val="00735598"/>
    <w:rsid w:val="00735FC1"/>
    <w:rsid w:val="00740312"/>
    <w:rsid w:val="00741504"/>
    <w:rsid w:val="00744026"/>
    <w:rsid w:val="00745733"/>
    <w:rsid w:val="00747A5C"/>
    <w:rsid w:val="007521C8"/>
    <w:rsid w:val="007522FC"/>
    <w:rsid w:val="007525CD"/>
    <w:rsid w:val="00753223"/>
    <w:rsid w:val="00754249"/>
    <w:rsid w:val="00754F56"/>
    <w:rsid w:val="0075568A"/>
    <w:rsid w:val="007557AB"/>
    <w:rsid w:val="00756451"/>
    <w:rsid w:val="007617DE"/>
    <w:rsid w:val="00764901"/>
    <w:rsid w:val="00764D36"/>
    <w:rsid w:val="00765815"/>
    <w:rsid w:val="0077660B"/>
    <w:rsid w:val="00781A2A"/>
    <w:rsid w:val="0078275D"/>
    <w:rsid w:val="00782FE4"/>
    <w:rsid w:val="00783BD4"/>
    <w:rsid w:val="007854B4"/>
    <w:rsid w:val="0079089E"/>
    <w:rsid w:val="00794C57"/>
    <w:rsid w:val="00794D8B"/>
    <w:rsid w:val="00794DA9"/>
    <w:rsid w:val="00797985"/>
    <w:rsid w:val="007A0835"/>
    <w:rsid w:val="007A12F5"/>
    <w:rsid w:val="007A38DC"/>
    <w:rsid w:val="007A5B60"/>
    <w:rsid w:val="007A7023"/>
    <w:rsid w:val="007B35EA"/>
    <w:rsid w:val="007B5224"/>
    <w:rsid w:val="007B5BC3"/>
    <w:rsid w:val="007B5F24"/>
    <w:rsid w:val="007B7003"/>
    <w:rsid w:val="007B7042"/>
    <w:rsid w:val="007E059C"/>
    <w:rsid w:val="007E0964"/>
    <w:rsid w:val="007E4B56"/>
    <w:rsid w:val="007E5314"/>
    <w:rsid w:val="007E6BD0"/>
    <w:rsid w:val="007F00B3"/>
    <w:rsid w:val="007F09ED"/>
    <w:rsid w:val="007F232A"/>
    <w:rsid w:val="007F23F6"/>
    <w:rsid w:val="007F2EE7"/>
    <w:rsid w:val="008132B2"/>
    <w:rsid w:val="00813FA7"/>
    <w:rsid w:val="0082225C"/>
    <w:rsid w:val="008224A1"/>
    <w:rsid w:val="00823059"/>
    <w:rsid w:val="008230C0"/>
    <w:rsid w:val="008240A5"/>
    <w:rsid w:val="00826109"/>
    <w:rsid w:val="008266D3"/>
    <w:rsid w:val="0082687A"/>
    <w:rsid w:val="0082744F"/>
    <w:rsid w:val="00832E0D"/>
    <w:rsid w:val="00836909"/>
    <w:rsid w:val="00841B50"/>
    <w:rsid w:val="008434EE"/>
    <w:rsid w:val="00845AF1"/>
    <w:rsid w:val="008502AE"/>
    <w:rsid w:val="008514DE"/>
    <w:rsid w:val="00851AF4"/>
    <w:rsid w:val="008531A1"/>
    <w:rsid w:val="00853524"/>
    <w:rsid w:val="008553F3"/>
    <w:rsid w:val="00860457"/>
    <w:rsid w:val="0086353E"/>
    <w:rsid w:val="0086479F"/>
    <w:rsid w:val="008647D7"/>
    <w:rsid w:val="00865A23"/>
    <w:rsid w:val="00865F6D"/>
    <w:rsid w:val="0086746F"/>
    <w:rsid w:val="00870D16"/>
    <w:rsid w:val="008761D7"/>
    <w:rsid w:val="00876E11"/>
    <w:rsid w:val="00880EF9"/>
    <w:rsid w:val="00887454"/>
    <w:rsid w:val="0089022E"/>
    <w:rsid w:val="008902AE"/>
    <w:rsid w:val="008902DD"/>
    <w:rsid w:val="00893725"/>
    <w:rsid w:val="00895B62"/>
    <w:rsid w:val="008B2023"/>
    <w:rsid w:val="008C205A"/>
    <w:rsid w:val="008C595B"/>
    <w:rsid w:val="008C5FBD"/>
    <w:rsid w:val="008D0DAE"/>
    <w:rsid w:val="008D21D0"/>
    <w:rsid w:val="008D28E7"/>
    <w:rsid w:val="008D33B1"/>
    <w:rsid w:val="008D5B7D"/>
    <w:rsid w:val="008D69FE"/>
    <w:rsid w:val="008E118E"/>
    <w:rsid w:val="008E4B36"/>
    <w:rsid w:val="008E55FC"/>
    <w:rsid w:val="008E6305"/>
    <w:rsid w:val="008E6902"/>
    <w:rsid w:val="008F0679"/>
    <w:rsid w:val="008F1311"/>
    <w:rsid w:val="008F7031"/>
    <w:rsid w:val="008F7F01"/>
    <w:rsid w:val="009003D4"/>
    <w:rsid w:val="00903377"/>
    <w:rsid w:val="009033D0"/>
    <w:rsid w:val="00907442"/>
    <w:rsid w:val="0091133E"/>
    <w:rsid w:val="009114EF"/>
    <w:rsid w:val="00911A33"/>
    <w:rsid w:val="009249D6"/>
    <w:rsid w:val="00925C1E"/>
    <w:rsid w:val="00925C4D"/>
    <w:rsid w:val="00925F62"/>
    <w:rsid w:val="00926290"/>
    <w:rsid w:val="009265D4"/>
    <w:rsid w:val="00927F73"/>
    <w:rsid w:val="009328A5"/>
    <w:rsid w:val="00935C4E"/>
    <w:rsid w:val="00936F52"/>
    <w:rsid w:val="00940FCE"/>
    <w:rsid w:val="00944E8D"/>
    <w:rsid w:val="00947B40"/>
    <w:rsid w:val="00950158"/>
    <w:rsid w:val="009613D9"/>
    <w:rsid w:val="00961444"/>
    <w:rsid w:val="0096308A"/>
    <w:rsid w:val="009659EA"/>
    <w:rsid w:val="0098500E"/>
    <w:rsid w:val="00985120"/>
    <w:rsid w:val="00985834"/>
    <w:rsid w:val="00993241"/>
    <w:rsid w:val="00994B5D"/>
    <w:rsid w:val="009963F3"/>
    <w:rsid w:val="009A2CF2"/>
    <w:rsid w:val="009A3A75"/>
    <w:rsid w:val="009A45C9"/>
    <w:rsid w:val="009A48A0"/>
    <w:rsid w:val="009A5C87"/>
    <w:rsid w:val="009A64BA"/>
    <w:rsid w:val="009B0DA9"/>
    <w:rsid w:val="009B35C9"/>
    <w:rsid w:val="009B3D0E"/>
    <w:rsid w:val="009C07AA"/>
    <w:rsid w:val="009C28AC"/>
    <w:rsid w:val="009C4B67"/>
    <w:rsid w:val="009C7A78"/>
    <w:rsid w:val="009C7D7B"/>
    <w:rsid w:val="009D1D12"/>
    <w:rsid w:val="009D28C9"/>
    <w:rsid w:val="009D3825"/>
    <w:rsid w:val="009D74AB"/>
    <w:rsid w:val="009E02B9"/>
    <w:rsid w:val="009E3F89"/>
    <w:rsid w:val="009F0F00"/>
    <w:rsid w:val="009F1FD6"/>
    <w:rsid w:val="009F3103"/>
    <w:rsid w:val="009F6699"/>
    <w:rsid w:val="00A010D0"/>
    <w:rsid w:val="00A038C8"/>
    <w:rsid w:val="00A1318F"/>
    <w:rsid w:val="00A13518"/>
    <w:rsid w:val="00A21443"/>
    <w:rsid w:val="00A224DE"/>
    <w:rsid w:val="00A22691"/>
    <w:rsid w:val="00A22F63"/>
    <w:rsid w:val="00A234DB"/>
    <w:rsid w:val="00A31210"/>
    <w:rsid w:val="00A32634"/>
    <w:rsid w:val="00A3317F"/>
    <w:rsid w:val="00A33C92"/>
    <w:rsid w:val="00A349DF"/>
    <w:rsid w:val="00A35DE0"/>
    <w:rsid w:val="00A3653C"/>
    <w:rsid w:val="00A42B4A"/>
    <w:rsid w:val="00A43BCE"/>
    <w:rsid w:val="00A467B2"/>
    <w:rsid w:val="00A46A5F"/>
    <w:rsid w:val="00A56A86"/>
    <w:rsid w:val="00A62358"/>
    <w:rsid w:val="00A701A3"/>
    <w:rsid w:val="00A70E75"/>
    <w:rsid w:val="00A72152"/>
    <w:rsid w:val="00A744BE"/>
    <w:rsid w:val="00A759DB"/>
    <w:rsid w:val="00A803CA"/>
    <w:rsid w:val="00A811D5"/>
    <w:rsid w:val="00A947DA"/>
    <w:rsid w:val="00A96AFA"/>
    <w:rsid w:val="00A97D24"/>
    <w:rsid w:val="00AA0373"/>
    <w:rsid w:val="00AA240B"/>
    <w:rsid w:val="00AA27DB"/>
    <w:rsid w:val="00AA3DB5"/>
    <w:rsid w:val="00AA4800"/>
    <w:rsid w:val="00AA61EA"/>
    <w:rsid w:val="00AA6547"/>
    <w:rsid w:val="00AA6E7E"/>
    <w:rsid w:val="00AA7DCF"/>
    <w:rsid w:val="00AB0719"/>
    <w:rsid w:val="00AB1D30"/>
    <w:rsid w:val="00AC05CA"/>
    <w:rsid w:val="00AC1944"/>
    <w:rsid w:val="00AD0218"/>
    <w:rsid w:val="00AD03FC"/>
    <w:rsid w:val="00AD1512"/>
    <w:rsid w:val="00AD2439"/>
    <w:rsid w:val="00AE1658"/>
    <w:rsid w:val="00AE1F3F"/>
    <w:rsid w:val="00AE25A0"/>
    <w:rsid w:val="00AE3FAB"/>
    <w:rsid w:val="00AE490C"/>
    <w:rsid w:val="00AE5270"/>
    <w:rsid w:val="00AE635D"/>
    <w:rsid w:val="00AF0F4F"/>
    <w:rsid w:val="00AF5602"/>
    <w:rsid w:val="00AF5813"/>
    <w:rsid w:val="00B01945"/>
    <w:rsid w:val="00B021F6"/>
    <w:rsid w:val="00B035FC"/>
    <w:rsid w:val="00B122AA"/>
    <w:rsid w:val="00B13428"/>
    <w:rsid w:val="00B137C4"/>
    <w:rsid w:val="00B1666B"/>
    <w:rsid w:val="00B2066F"/>
    <w:rsid w:val="00B2263D"/>
    <w:rsid w:val="00B35D1A"/>
    <w:rsid w:val="00B41B36"/>
    <w:rsid w:val="00B42DDB"/>
    <w:rsid w:val="00B46204"/>
    <w:rsid w:val="00B4632B"/>
    <w:rsid w:val="00B464F7"/>
    <w:rsid w:val="00B51B6C"/>
    <w:rsid w:val="00B55C42"/>
    <w:rsid w:val="00B662D7"/>
    <w:rsid w:val="00B67BCD"/>
    <w:rsid w:val="00B72673"/>
    <w:rsid w:val="00B72E48"/>
    <w:rsid w:val="00B73D9C"/>
    <w:rsid w:val="00B8796A"/>
    <w:rsid w:val="00B87D5E"/>
    <w:rsid w:val="00B919D7"/>
    <w:rsid w:val="00B92568"/>
    <w:rsid w:val="00B92AC6"/>
    <w:rsid w:val="00B96AB1"/>
    <w:rsid w:val="00B96E98"/>
    <w:rsid w:val="00BA77F7"/>
    <w:rsid w:val="00BA79E8"/>
    <w:rsid w:val="00BB103D"/>
    <w:rsid w:val="00BB10CD"/>
    <w:rsid w:val="00BB21D7"/>
    <w:rsid w:val="00BB68D5"/>
    <w:rsid w:val="00BC00FF"/>
    <w:rsid w:val="00BC03F7"/>
    <w:rsid w:val="00BC3DC3"/>
    <w:rsid w:val="00BD175A"/>
    <w:rsid w:val="00BD26CD"/>
    <w:rsid w:val="00BD2A43"/>
    <w:rsid w:val="00BD6FE8"/>
    <w:rsid w:val="00BE3273"/>
    <w:rsid w:val="00BE3EF4"/>
    <w:rsid w:val="00BE3F8B"/>
    <w:rsid w:val="00BE55B3"/>
    <w:rsid w:val="00BE7EC8"/>
    <w:rsid w:val="00BF2017"/>
    <w:rsid w:val="00BF2311"/>
    <w:rsid w:val="00BF3F5A"/>
    <w:rsid w:val="00BF6447"/>
    <w:rsid w:val="00BF646F"/>
    <w:rsid w:val="00C0067B"/>
    <w:rsid w:val="00C015B9"/>
    <w:rsid w:val="00C01D41"/>
    <w:rsid w:val="00C043EB"/>
    <w:rsid w:val="00C05205"/>
    <w:rsid w:val="00C0762A"/>
    <w:rsid w:val="00C1453A"/>
    <w:rsid w:val="00C1718B"/>
    <w:rsid w:val="00C17AC3"/>
    <w:rsid w:val="00C22814"/>
    <w:rsid w:val="00C23566"/>
    <w:rsid w:val="00C23DF7"/>
    <w:rsid w:val="00C24E3B"/>
    <w:rsid w:val="00C25936"/>
    <w:rsid w:val="00C340B7"/>
    <w:rsid w:val="00C371CE"/>
    <w:rsid w:val="00C42172"/>
    <w:rsid w:val="00C42260"/>
    <w:rsid w:val="00C43B94"/>
    <w:rsid w:val="00C46192"/>
    <w:rsid w:val="00C51CEB"/>
    <w:rsid w:val="00C53B01"/>
    <w:rsid w:val="00C56E38"/>
    <w:rsid w:val="00C62926"/>
    <w:rsid w:val="00C65A10"/>
    <w:rsid w:val="00C66FB4"/>
    <w:rsid w:val="00C70236"/>
    <w:rsid w:val="00C70EB7"/>
    <w:rsid w:val="00C72EFF"/>
    <w:rsid w:val="00C73780"/>
    <w:rsid w:val="00C84E73"/>
    <w:rsid w:val="00C85062"/>
    <w:rsid w:val="00C870B5"/>
    <w:rsid w:val="00C87FE7"/>
    <w:rsid w:val="00C90881"/>
    <w:rsid w:val="00C96416"/>
    <w:rsid w:val="00CA2577"/>
    <w:rsid w:val="00CA2EE9"/>
    <w:rsid w:val="00CA419E"/>
    <w:rsid w:val="00CA4B76"/>
    <w:rsid w:val="00CA4DFF"/>
    <w:rsid w:val="00CB5596"/>
    <w:rsid w:val="00CB7EDB"/>
    <w:rsid w:val="00CC007F"/>
    <w:rsid w:val="00CC3269"/>
    <w:rsid w:val="00CC339E"/>
    <w:rsid w:val="00CC5358"/>
    <w:rsid w:val="00CD04E8"/>
    <w:rsid w:val="00CD2F1A"/>
    <w:rsid w:val="00CD3980"/>
    <w:rsid w:val="00CD6615"/>
    <w:rsid w:val="00CD7980"/>
    <w:rsid w:val="00CE15AA"/>
    <w:rsid w:val="00CE15DF"/>
    <w:rsid w:val="00CE4E37"/>
    <w:rsid w:val="00CF10BA"/>
    <w:rsid w:val="00CF5B70"/>
    <w:rsid w:val="00CF63FC"/>
    <w:rsid w:val="00CF780B"/>
    <w:rsid w:val="00D00917"/>
    <w:rsid w:val="00D10D01"/>
    <w:rsid w:val="00D11929"/>
    <w:rsid w:val="00D12FDB"/>
    <w:rsid w:val="00D137B1"/>
    <w:rsid w:val="00D179B8"/>
    <w:rsid w:val="00D21B9F"/>
    <w:rsid w:val="00D27409"/>
    <w:rsid w:val="00D30B91"/>
    <w:rsid w:val="00D3430E"/>
    <w:rsid w:val="00D35C41"/>
    <w:rsid w:val="00D37250"/>
    <w:rsid w:val="00D439E4"/>
    <w:rsid w:val="00D47B78"/>
    <w:rsid w:val="00D519BF"/>
    <w:rsid w:val="00D53C6B"/>
    <w:rsid w:val="00D55E88"/>
    <w:rsid w:val="00D57CB6"/>
    <w:rsid w:val="00D61560"/>
    <w:rsid w:val="00D6322E"/>
    <w:rsid w:val="00D642C6"/>
    <w:rsid w:val="00D65022"/>
    <w:rsid w:val="00D65A2D"/>
    <w:rsid w:val="00D6611D"/>
    <w:rsid w:val="00D6629D"/>
    <w:rsid w:val="00D679D2"/>
    <w:rsid w:val="00D70369"/>
    <w:rsid w:val="00D73D87"/>
    <w:rsid w:val="00D740BC"/>
    <w:rsid w:val="00D74B00"/>
    <w:rsid w:val="00D77E15"/>
    <w:rsid w:val="00D80D43"/>
    <w:rsid w:val="00D80E91"/>
    <w:rsid w:val="00D8247C"/>
    <w:rsid w:val="00D84233"/>
    <w:rsid w:val="00D86276"/>
    <w:rsid w:val="00D912C0"/>
    <w:rsid w:val="00D92B8A"/>
    <w:rsid w:val="00D962FA"/>
    <w:rsid w:val="00D97714"/>
    <w:rsid w:val="00DA1636"/>
    <w:rsid w:val="00DA1DFA"/>
    <w:rsid w:val="00DA3D6B"/>
    <w:rsid w:val="00DB1377"/>
    <w:rsid w:val="00DC099F"/>
    <w:rsid w:val="00DC0DB3"/>
    <w:rsid w:val="00DC1044"/>
    <w:rsid w:val="00DC29C1"/>
    <w:rsid w:val="00DC4444"/>
    <w:rsid w:val="00DC7342"/>
    <w:rsid w:val="00DD0FC6"/>
    <w:rsid w:val="00DD4947"/>
    <w:rsid w:val="00DD63A9"/>
    <w:rsid w:val="00DE0FDE"/>
    <w:rsid w:val="00DE1FE7"/>
    <w:rsid w:val="00DE3430"/>
    <w:rsid w:val="00DE4D48"/>
    <w:rsid w:val="00DF0233"/>
    <w:rsid w:val="00DF09FA"/>
    <w:rsid w:val="00DF4E6C"/>
    <w:rsid w:val="00DF54CA"/>
    <w:rsid w:val="00DF6F10"/>
    <w:rsid w:val="00DF7819"/>
    <w:rsid w:val="00E0138C"/>
    <w:rsid w:val="00E01D50"/>
    <w:rsid w:val="00E0289D"/>
    <w:rsid w:val="00E06051"/>
    <w:rsid w:val="00E06F5B"/>
    <w:rsid w:val="00E13CBA"/>
    <w:rsid w:val="00E16BBF"/>
    <w:rsid w:val="00E20451"/>
    <w:rsid w:val="00E20C90"/>
    <w:rsid w:val="00E2457A"/>
    <w:rsid w:val="00E33F8B"/>
    <w:rsid w:val="00E34054"/>
    <w:rsid w:val="00E36183"/>
    <w:rsid w:val="00E374FA"/>
    <w:rsid w:val="00E42B19"/>
    <w:rsid w:val="00E43527"/>
    <w:rsid w:val="00E44E69"/>
    <w:rsid w:val="00E51C0E"/>
    <w:rsid w:val="00E53500"/>
    <w:rsid w:val="00E56AEE"/>
    <w:rsid w:val="00E60BCE"/>
    <w:rsid w:val="00E61D2E"/>
    <w:rsid w:val="00E6737B"/>
    <w:rsid w:val="00E67834"/>
    <w:rsid w:val="00E70674"/>
    <w:rsid w:val="00E738F8"/>
    <w:rsid w:val="00E8011D"/>
    <w:rsid w:val="00E87E10"/>
    <w:rsid w:val="00E87F13"/>
    <w:rsid w:val="00E92213"/>
    <w:rsid w:val="00E9674B"/>
    <w:rsid w:val="00EA0BD6"/>
    <w:rsid w:val="00EA6ECC"/>
    <w:rsid w:val="00EB1AD2"/>
    <w:rsid w:val="00EB4FC9"/>
    <w:rsid w:val="00EB5C07"/>
    <w:rsid w:val="00EB5E04"/>
    <w:rsid w:val="00EB6329"/>
    <w:rsid w:val="00EB66B8"/>
    <w:rsid w:val="00EB7B07"/>
    <w:rsid w:val="00EB7FC5"/>
    <w:rsid w:val="00EC079A"/>
    <w:rsid w:val="00EC5446"/>
    <w:rsid w:val="00EC553E"/>
    <w:rsid w:val="00EC75E2"/>
    <w:rsid w:val="00ED7040"/>
    <w:rsid w:val="00EE1EF1"/>
    <w:rsid w:val="00EE3851"/>
    <w:rsid w:val="00EE4D5E"/>
    <w:rsid w:val="00EF0D95"/>
    <w:rsid w:val="00EF2447"/>
    <w:rsid w:val="00EF4E9B"/>
    <w:rsid w:val="00F00935"/>
    <w:rsid w:val="00F01BBE"/>
    <w:rsid w:val="00F0440A"/>
    <w:rsid w:val="00F12198"/>
    <w:rsid w:val="00F15399"/>
    <w:rsid w:val="00F16999"/>
    <w:rsid w:val="00F200C1"/>
    <w:rsid w:val="00F236BF"/>
    <w:rsid w:val="00F244B4"/>
    <w:rsid w:val="00F30B6A"/>
    <w:rsid w:val="00F3209A"/>
    <w:rsid w:val="00F32753"/>
    <w:rsid w:val="00F32FEB"/>
    <w:rsid w:val="00F33A67"/>
    <w:rsid w:val="00F33BDE"/>
    <w:rsid w:val="00F34C97"/>
    <w:rsid w:val="00F35BCF"/>
    <w:rsid w:val="00F423B7"/>
    <w:rsid w:val="00F45AEA"/>
    <w:rsid w:val="00F47710"/>
    <w:rsid w:val="00F50F41"/>
    <w:rsid w:val="00F5212C"/>
    <w:rsid w:val="00F5354B"/>
    <w:rsid w:val="00F53A3B"/>
    <w:rsid w:val="00F53EE2"/>
    <w:rsid w:val="00F63800"/>
    <w:rsid w:val="00F63E3D"/>
    <w:rsid w:val="00F64552"/>
    <w:rsid w:val="00F70F39"/>
    <w:rsid w:val="00F716D6"/>
    <w:rsid w:val="00F7506A"/>
    <w:rsid w:val="00F837D5"/>
    <w:rsid w:val="00F83E83"/>
    <w:rsid w:val="00F847FA"/>
    <w:rsid w:val="00F90DA0"/>
    <w:rsid w:val="00F93103"/>
    <w:rsid w:val="00F94CFA"/>
    <w:rsid w:val="00F9788E"/>
    <w:rsid w:val="00F97A5D"/>
    <w:rsid w:val="00FA0569"/>
    <w:rsid w:val="00FA4140"/>
    <w:rsid w:val="00FA5506"/>
    <w:rsid w:val="00FA615F"/>
    <w:rsid w:val="00FB0421"/>
    <w:rsid w:val="00FB0FE7"/>
    <w:rsid w:val="00FB198B"/>
    <w:rsid w:val="00FB1B54"/>
    <w:rsid w:val="00FB4034"/>
    <w:rsid w:val="00FB481A"/>
    <w:rsid w:val="00FC02DE"/>
    <w:rsid w:val="00FC27FA"/>
    <w:rsid w:val="00FD0E3A"/>
    <w:rsid w:val="00FE0480"/>
    <w:rsid w:val="00FE4E30"/>
    <w:rsid w:val="00FE7915"/>
    <w:rsid w:val="00FF2675"/>
    <w:rsid w:val="00FF3118"/>
    <w:rsid w:val="00FF38FD"/>
    <w:rsid w:val="00FF5FF8"/>
    <w:rsid w:val="00FF6779"/>
    <w:rsid w:val="00FF6896"/>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65F6D"/>
    <w:pPr>
      <w:spacing w:line="240" w:lineRule="atLeast"/>
    </w:pPr>
    <w:rPr>
      <w:rFonts w:ascii="Garamond" w:hAnsi="Garamond"/>
      <w:sz w:val="24"/>
      <w:szCs w:val="20"/>
    </w:rPr>
  </w:style>
  <w:style w:type="paragraph" w:styleId="Heading1">
    <w:name w:val="heading 1"/>
    <w:aliases w:val="H1-Sec.Head,H1-Sec.Hea"/>
    <w:basedOn w:val="Normal"/>
    <w:next w:val="L1-FlLSp12"/>
    <w:link w:val="Heading1Char"/>
    <w:uiPriority w:val="99"/>
    <w:qFormat/>
    <w:rsid w:val="00865F6D"/>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H2-Sec. He"/>
    <w:basedOn w:val="Heading1"/>
    <w:next w:val="L1-FlLSp12"/>
    <w:link w:val="Heading2Char"/>
    <w:uiPriority w:val="99"/>
    <w:qFormat/>
    <w:rsid w:val="00865F6D"/>
    <w:pPr>
      <w:outlineLvl w:val="1"/>
    </w:pPr>
    <w:rPr>
      <w:sz w:val="28"/>
    </w:rPr>
  </w:style>
  <w:style w:type="paragraph" w:styleId="Heading3">
    <w:name w:val="heading 3"/>
    <w:aliases w:val="H3-Sec. Head"/>
    <w:basedOn w:val="Heading1"/>
    <w:next w:val="L1-FlLSp12"/>
    <w:link w:val="Heading3Char"/>
    <w:uiPriority w:val="99"/>
    <w:qFormat/>
    <w:rsid w:val="00865F6D"/>
    <w:pPr>
      <w:outlineLvl w:val="2"/>
    </w:pPr>
    <w:rPr>
      <w:color w:val="auto"/>
      <w:sz w:val="24"/>
    </w:rPr>
  </w:style>
  <w:style w:type="paragraph" w:styleId="Heading4">
    <w:name w:val="heading 4"/>
    <w:aliases w:val="H4 Sec.Heading"/>
    <w:basedOn w:val="Heading1"/>
    <w:next w:val="L1-FlLSp12"/>
    <w:link w:val="Heading4Char"/>
    <w:uiPriority w:val="99"/>
    <w:qFormat/>
    <w:rsid w:val="00865F6D"/>
    <w:pPr>
      <w:outlineLvl w:val="3"/>
    </w:pPr>
    <w:rPr>
      <w:i/>
      <w:color w:val="auto"/>
      <w:sz w:val="24"/>
    </w:rPr>
  </w:style>
  <w:style w:type="paragraph" w:styleId="Heading5">
    <w:name w:val="heading 5"/>
    <w:basedOn w:val="Normal"/>
    <w:next w:val="Normal"/>
    <w:link w:val="Heading5Char"/>
    <w:uiPriority w:val="99"/>
    <w:qFormat/>
    <w:rsid w:val="00865F6D"/>
    <w:pPr>
      <w:keepLines/>
      <w:spacing w:before="360" w:line="360" w:lineRule="atLeast"/>
      <w:jc w:val="center"/>
      <w:outlineLvl w:val="4"/>
    </w:pPr>
  </w:style>
  <w:style w:type="paragraph" w:styleId="Heading6">
    <w:name w:val="heading 6"/>
    <w:basedOn w:val="Normal"/>
    <w:next w:val="Normal"/>
    <w:link w:val="Heading6Char"/>
    <w:uiPriority w:val="99"/>
    <w:qFormat/>
    <w:rsid w:val="00865F6D"/>
    <w:pPr>
      <w:keepNext/>
      <w:spacing w:before="240"/>
      <w:jc w:val="center"/>
      <w:outlineLvl w:val="5"/>
    </w:pPr>
    <w:rPr>
      <w:b/>
      <w:caps/>
    </w:rPr>
  </w:style>
  <w:style w:type="paragraph" w:styleId="Heading7">
    <w:name w:val="heading 7"/>
    <w:basedOn w:val="Normal"/>
    <w:next w:val="Normal"/>
    <w:link w:val="Heading7Char"/>
    <w:uiPriority w:val="99"/>
    <w:qFormat/>
    <w:rsid w:val="00865F6D"/>
    <w:pPr>
      <w:spacing w:before="240" w:after="60"/>
      <w:outlineLvl w:val="6"/>
    </w:pPr>
  </w:style>
  <w:style w:type="paragraph" w:styleId="Heading8">
    <w:name w:val="heading 8"/>
    <w:basedOn w:val="Normal"/>
    <w:next w:val="Normal"/>
    <w:link w:val="Heading8Char"/>
    <w:uiPriority w:val="99"/>
    <w:qFormat/>
    <w:rsid w:val="005A1515"/>
    <w:pPr>
      <w:spacing w:before="240" w:after="60"/>
      <w:outlineLvl w:val="7"/>
    </w:pPr>
    <w:rPr>
      <w:rFonts w:ascii="Times New Roman" w:hAnsi="Times New Roman"/>
      <w:i/>
      <w:iCs/>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basedOn w:val="DefaultParagraphFont"/>
    <w:link w:val="Heading1"/>
    <w:uiPriority w:val="99"/>
    <w:locked/>
    <w:rsid w:val="005A1515"/>
    <w:rPr>
      <w:rFonts w:ascii="Franklin Gothic Medium" w:hAnsi="Franklin Gothic Medium" w:cs="Times New Roman"/>
      <w:b/>
      <w:color w:val="324162"/>
      <w:sz w:val="32"/>
    </w:rPr>
  </w:style>
  <w:style w:type="character" w:customStyle="1" w:styleId="Heading2Char">
    <w:name w:val="Heading 2 Char"/>
    <w:aliases w:val="H2-Sec. Head Char,H2-Sec. He Char"/>
    <w:basedOn w:val="Heading1Char"/>
    <w:link w:val="Heading2"/>
    <w:uiPriority w:val="99"/>
    <w:locked/>
    <w:rsid w:val="005A1515"/>
    <w:rPr>
      <w:sz w:val="28"/>
    </w:rPr>
  </w:style>
  <w:style w:type="character" w:customStyle="1" w:styleId="Heading3Char">
    <w:name w:val="Heading 3 Char"/>
    <w:aliases w:val="H3-Sec. Head Char"/>
    <w:basedOn w:val="DefaultParagraphFont"/>
    <w:link w:val="Heading3"/>
    <w:uiPriority w:val="99"/>
    <w:semiHidden/>
    <w:locked/>
    <w:rsid w:val="00716D4A"/>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716D4A"/>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716D4A"/>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716D4A"/>
    <w:rPr>
      <w:rFonts w:ascii="Calibri" w:hAnsi="Calibri" w:cs="Times New Roman"/>
      <w:b/>
      <w:bCs/>
    </w:rPr>
  </w:style>
  <w:style w:type="character" w:customStyle="1" w:styleId="Heading7Char">
    <w:name w:val="Heading 7 Char"/>
    <w:basedOn w:val="DefaultParagraphFont"/>
    <w:link w:val="Heading7"/>
    <w:uiPriority w:val="99"/>
    <w:semiHidden/>
    <w:locked/>
    <w:rsid w:val="00716D4A"/>
    <w:rPr>
      <w:rFonts w:ascii="Calibri" w:hAnsi="Calibri" w:cs="Times New Roman"/>
      <w:sz w:val="24"/>
      <w:szCs w:val="24"/>
    </w:rPr>
  </w:style>
  <w:style w:type="character" w:customStyle="1" w:styleId="Heading8Char">
    <w:name w:val="Heading 8 Char"/>
    <w:basedOn w:val="DefaultParagraphFont"/>
    <w:link w:val="Heading8"/>
    <w:uiPriority w:val="99"/>
    <w:locked/>
    <w:rsid w:val="005A1515"/>
    <w:rPr>
      <w:rFonts w:cs="Times New Roman"/>
      <w:i/>
      <w:iCs/>
      <w:sz w:val="24"/>
      <w:szCs w:val="24"/>
    </w:rPr>
  </w:style>
  <w:style w:type="paragraph" w:styleId="BalloonText">
    <w:name w:val="Balloon Text"/>
    <w:basedOn w:val="Normal"/>
    <w:link w:val="BalloonTextChar"/>
    <w:uiPriority w:val="99"/>
    <w:semiHidden/>
    <w:rsid w:val="00865F6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0369"/>
    <w:rPr>
      <w:rFonts w:ascii="Tahoma" w:hAnsi="Tahoma" w:cs="Tahoma"/>
      <w:sz w:val="16"/>
      <w:szCs w:val="16"/>
    </w:rPr>
  </w:style>
  <w:style w:type="paragraph" w:customStyle="1" w:styleId="C1-CtrBoldHd">
    <w:name w:val="C1-Ctr BoldHd"/>
    <w:uiPriority w:val="99"/>
    <w:rsid w:val="00865F6D"/>
    <w:pPr>
      <w:keepNext/>
      <w:spacing w:after="720" w:line="240" w:lineRule="atLeast"/>
      <w:jc w:val="center"/>
    </w:pPr>
    <w:rPr>
      <w:rFonts w:ascii="Franklin Gothic Medium" w:hAnsi="Franklin Gothic Medium"/>
      <w:b/>
      <w:color w:val="324162"/>
      <w:sz w:val="28"/>
      <w:szCs w:val="20"/>
    </w:rPr>
  </w:style>
  <w:style w:type="paragraph" w:customStyle="1" w:styleId="C2-CtrSglSp">
    <w:name w:val="C2-Ctr Sgl Sp"/>
    <w:basedOn w:val="Normal"/>
    <w:uiPriority w:val="99"/>
    <w:rsid w:val="00865F6D"/>
    <w:pPr>
      <w:keepLines/>
      <w:jc w:val="center"/>
    </w:pPr>
    <w:rPr>
      <w:rFonts w:ascii="Verdana" w:hAnsi="Verdana"/>
      <w:sz w:val="20"/>
    </w:rPr>
  </w:style>
  <w:style w:type="paragraph" w:customStyle="1" w:styleId="C3-CtrSp12">
    <w:name w:val="C3-Ctr Sp&amp;1/2"/>
    <w:basedOn w:val="Normal"/>
    <w:uiPriority w:val="99"/>
    <w:rsid w:val="00865F6D"/>
    <w:pPr>
      <w:keepLines/>
      <w:spacing w:line="360" w:lineRule="atLeast"/>
      <w:jc w:val="center"/>
    </w:pPr>
  </w:style>
  <w:style w:type="paragraph" w:customStyle="1" w:styleId="E1-Equation">
    <w:name w:val="E1-Equation"/>
    <w:basedOn w:val="Normal"/>
    <w:uiPriority w:val="99"/>
    <w:rsid w:val="00865F6D"/>
    <w:pPr>
      <w:tabs>
        <w:tab w:val="center" w:pos="4680"/>
        <w:tab w:val="right" w:pos="9360"/>
      </w:tabs>
    </w:pPr>
  </w:style>
  <w:style w:type="paragraph" w:customStyle="1" w:styleId="E2-Equation">
    <w:name w:val="E2-Equation"/>
    <w:basedOn w:val="Normal"/>
    <w:uiPriority w:val="99"/>
    <w:rsid w:val="00865F6D"/>
    <w:pPr>
      <w:tabs>
        <w:tab w:val="right" w:pos="1152"/>
        <w:tab w:val="center" w:pos="1440"/>
        <w:tab w:val="left" w:pos="1728"/>
      </w:tabs>
      <w:ind w:left="1728" w:hanging="1728"/>
    </w:pPr>
  </w:style>
  <w:style w:type="paragraph" w:styleId="Footer">
    <w:name w:val="footer"/>
    <w:basedOn w:val="Normal"/>
    <w:link w:val="FooterChar"/>
    <w:uiPriority w:val="99"/>
    <w:rsid w:val="00865F6D"/>
  </w:style>
  <w:style w:type="character" w:customStyle="1" w:styleId="FooterChar">
    <w:name w:val="Footer Char"/>
    <w:basedOn w:val="DefaultParagraphFont"/>
    <w:link w:val="Footer"/>
    <w:uiPriority w:val="99"/>
    <w:locked/>
    <w:rsid w:val="00865F6D"/>
    <w:rPr>
      <w:rFonts w:ascii="Garamond" w:hAnsi="Garamond" w:cs="Times New Roman"/>
      <w:sz w:val="24"/>
    </w:rPr>
  </w:style>
  <w:style w:type="paragraph" w:styleId="FootnoteText">
    <w:name w:val="footnote text"/>
    <w:aliases w:val="F1"/>
    <w:basedOn w:val="Normal"/>
    <w:link w:val="FootnoteTextChar"/>
    <w:uiPriority w:val="99"/>
    <w:rsid w:val="00865F6D"/>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locked/>
    <w:rsid w:val="000742D2"/>
    <w:rPr>
      <w:rFonts w:ascii="Garamond" w:hAnsi="Garamond" w:cs="Times New Roman"/>
      <w:sz w:val="16"/>
      <w:lang w:val="en-US" w:eastAsia="en-US" w:bidi="ar-SA"/>
    </w:rPr>
  </w:style>
  <w:style w:type="paragraph" w:styleId="Header">
    <w:name w:val="header"/>
    <w:basedOn w:val="Normal"/>
    <w:link w:val="HeaderChar"/>
    <w:uiPriority w:val="99"/>
    <w:rsid w:val="00865F6D"/>
    <w:rPr>
      <w:sz w:val="16"/>
    </w:rPr>
  </w:style>
  <w:style w:type="character" w:customStyle="1" w:styleId="HeaderChar">
    <w:name w:val="Header Char"/>
    <w:basedOn w:val="DefaultParagraphFont"/>
    <w:link w:val="Header"/>
    <w:uiPriority w:val="99"/>
    <w:locked/>
    <w:rsid w:val="000742D2"/>
    <w:rPr>
      <w:rFonts w:ascii="Garamond" w:hAnsi="Garamond" w:cs="Times New Roman"/>
      <w:sz w:val="16"/>
    </w:rPr>
  </w:style>
  <w:style w:type="paragraph" w:customStyle="1" w:styleId="L1-FlLSp12">
    <w:name w:val="L1-FlL Sp&amp;1/2"/>
    <w:basedOn w:val="Normal"/>
    <w:uiPriority w:val="99"/>
    <w:rsid w:val="00613F08"/>
    <w:pPr>
      <w:tabs>
        <w:tab w:val="left" w:pos="1152"/>
      </w:tabs>
      <w:spacing w:line="360" w:lineRule="atLeast"/>
    </w:pPr>
  </w:style>
  <w:style w:type="paragraph" w:customStyle="1" w:styleId="N0-FlLftBullet">
    <w:name w:val="N0-Fl Lft Bullet"/>
    <w:basedOn w:val="Normal"/>
    <w:uiPriority w:val="99"/>
    <w:rsid w:val="00865F6D"/>
    <w:pPr>
      <w:tabs>
        <w:tab w:val="left" w:pos="576"/>
      </w:tabs>
      <w:spacing w:after="240"/>
      <w:ind w:left="576" w:hanging="576"/>
    </w:pPr>
    <w:rPr>
      <w:rFonts w:ascii="Verdana" w:hAnsi="Verdana"/>
      <w:sz w:val="20"/>
    </w:rPr>
  </w:style>
  <w:style w:type="paragraph" w:customStyle="1" w:styleId="N1-1stBullet">
    <w:name w:val="N1-1st Bullet"/>
    <w:basedOn w:val="Normal"/>
    <w:link w:val="N1-1stBulletChar"/>
    <w:uiPriority w:val="99"/>
    <w:rsid w:val="00613F08"/>
    <w:pPr>
      <w:numPr>
        <w:numId w:val="6"/>
      </w:numPr>
      <w:spacing w:after="240"/>
    </w:pPr>
  </w:style>
  <w:style w:type="paragraph" w:customStyle="1" w:styleId="N2-2ndBullet">
    <w:name w:val="N2-2nd Bullet"/>
    <w:basedOn w:val="Normal"/>
    <w:uiPriority w:val="99"/>
    <w:rsid w:val="00865F6D"/>
    <w:pPr>
      <w:numPr>
        <w:numId w:val="7"/>
      </w:numPr>
      <w:spacing w:after="240"/>
    </w:pPr>
    <w:rPr>
      <w:rFonts w:ascii="Verdana" w:hAnsi="Verdana"/>
      <w:sz w:val="20"/>
    </w:rPr>
  </w:style>
  <w:style w:type="paragraph" w:customStyle="1" w:styleId="N3-3rdBullet">
    <w:name w:val="N3-3rd Bullet"/>
    <w:basedOn w:val="Normal"/>
    <w:uiPriority w:val="99"/>
    <w:rsid w:val="00865F6D"/>
    <w:pPr>
      <w:numPr>
        <w:numId w:val="8"/>
      </w:numPr>
      <w:spacing w:after="240"/>
    </w:pPr>
  </w:style>
  <w:style w:type="paragraph" w:customStyle="1" w:styleId="N4-4thBullet">
    <w:name w:val="N4-4th Bullet"/>
    <w:basedOn w:val="Normal"/>
    <w:uiPriority w:val="99"/>
    <w:rsid w:val="00865F6D"/>
    <w:pPr>
      <w:numPr>
        <w:numId w:val="9"/>
      </w:numPr>
      <w:spacing w:after="240"/>
    </w:pPr>
  </w:style>
  <w:style w:type="paragraph" w:customStyle="1" w:styleId="N5-5thBullet">
    <w:name w:val="N5-5th Bullet"/>
    <w:basedOn w:val="Normal"/>
    <w:uiPriority w:val="99"/>
    <w:rsid w:val="00865F6D"/>
    <w:pPr>
      <w:tabs>
        <w:tab w:val="left" w:pos="3456"/>
      </w:tabs>
      <w:spacing w:after="240"/>
      <w:ind w:left="3456" w:hanging="576"/>
    </w:pPr>
  </w:style>
  <w:style w:type="paragraph" w:customStyle="1" w:styleId="N6-DateInd">
    <w:name w:val="N6-Date Ind."/>
    <w:basedOn w:val="Normal"/>
    <w:uiPriority w:val="99"/>
    <w:rsid w:val="00865F6D"/>
    <w:pPr>
      <w:tabs>
        <w:tab w:val="left" w:pos="4910"/>
      </w:tabs>
      <w:ind w:left="4910"/>
    </w:pPr>
  </w:style>
  <w:style w:type="paragraph" w:customStyle="1" w:styleId="N7-3Block">
    <w:name w:val="N7-3&quot; Block"/>
    <w:basedOn w:val="Normal"/>
    <w:uiPriority w:val="99"/>
    <w:rsid w:val="00865F6D"/>
    <w:pPr>
      <w:tabs>
        <w:tab w:val="left" w:pos="1152"/>
      </w:tabs>
      <w:ind w:left="1152" w:right="1152"/>
    </w:pPr>
  </w:style>
  <w:style w:type="paragraph" w:customStyle="1" w:styleId="N8-QxQBlock">
    <w:name w:val="N8-QxQ Block"/>
    <w:basedOn w:val="Normal"/>
    <w:uiPriority w:val="99"/>
    <w:rsid w:val="00865F6D"/>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865F6D"/>
    <w:pPr>
      <w:spacing w:line="360" w:lineRule="atLeast"/>
      <w:ind w:firstLine="1152"/>
    </w:pPr>
  </w:style>
  <w:style w:type="paragraph" w:customStyle="1" w:styleId="Q1-BestFinQ">
    <w:name w:val="Q1-Best/Fin Q"/>
    <w:basedOn w:val="Heading1"/>
    <w:uiPriority w:val="99"/>
    <w:rsid w:val="00865F6D"/>
    <w:pPr>
      <w:spacing w:line="240" w:lineRule="atLeast"/>
    </w:pPr>
    <w:rPr>
      <w:rFonts w:cs="Times New Roman Bold"/>
      <w:color w:val="auto"/>
      <w:sz w:val="24"/>
    </w:rPr>
  </w:style>
  <w:style w:type="paragraph" w:customStyle="1" w:styleId="SH-SglSpHead">
    <w:name w:val="SH-Sgl Sp Head"/>
    <w:basedOn w:val="Heading1"/>
    <w:uiPriority w:val="99"/>
    <w:rsid w:val="00865F6D"/>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link w:val="SL-FlLftSglChar"/>
    <w:uiPriority w:val="99"/>
    <w:rsid w:val="00613F08"/>
  </w:style>
  <w:style w:type="paragraph" w:customStyle="1" w:styleId="SP-SglSpPara">
    <w:name w:val="SP-Sgl Sp Para"/>
    <w:basedOn w:val="Normal"/>
    <w:uiPriority w:val="99"/>
    <w:rsid w:val="00865F6D"/>
    <w:pPr>
      <w:tabs>
        <w:tab w:val="left" w:pos="576"/>
      </w:tabs>
      <w:ind w:firstLine="576"/>
    </w:pPr>
  </w:style>
  <w:style w:type="paragraph" w:customStyle="1" w:styleId="T0-ChapPgHd">
    <w:name w:val="T0-Chap/Pg Hd"/>
    <w:basedOn w:val="Normal"/>
    <w:uiPriority w:val="99"/>
    <w:rsid w:val="00865F6D"/>
    <w:pPr>
      <w:tabs>
        <w:tab w:val="left" w:pos="8640"/>
      </w:tabs>
    </w:pPr>
    <w:rPr>
      <w:rFonts w:ascii="Franklin Gothic Medium" w:hAnsi="Franklin Gothic Medium"/>
      <w:szCs w:val="24"/>
      <w:u w:val="words"/>
    </w:rPr>
  </w:style>
  <w:style w:type="paragraph" w:styleId="TOC1">
    <w:name w:val="toc 1"/>
    <w:basedOn w:val="Normal"/>
    <w:uiPriority w:val="99"/>
    <w:rsid w:val="00865F6D"/>
    <w:pPr>
      <w:tabs>
        <w:tab w:val="left" w:pos="1440"/>
        <w:tab w:val="right" w:leader="dot" w:pos="8208"/>
        <w:tab w:val="left" w:pos="8640"/>
      </w:tabs>
      <w:ind w:left="1440" w:right="1800" w:hanging="1152"/>
    </w:pPr>
  </w:style>
  <w:style w:type="paragraph" w:styleId="TOC2">
    <w:name w:val="toc 2"/>
    <w:basedOn w:val="Normal"/>
    <w:uiPriority w:val="99"/>
    <w:rsid w:val="00865F6D"/>
    <w:pPr>
      <w:tabs>
        <w:tab w:val="left" w:pos="2160"/>
        <w:tab w:val="right" w:leader="dot" w:pos="8208"/>
        <w:tab w:val="left" w:pos="8640"/>
      </w:tabs>
      <w:ind w:left="2160" w:right="1800" w:hanging="720"/>
    </w:pPr>
    <w:rPr>
      <w:szCs w:val="22"/>
    </w:rPr>
  </w:style>
  <w:style w:type="paragraph" w:styleId="TOC3">
    <w:name w:val="toc 3"/>
    <w:basedOn w:val="Normal"/>
    <w:uiPriority w:val="99"/>
    <w:rsid w:val="00865F6D"/>
    <w:pPr>
      <w:tabs>
        <w:tab w:val="left" w:pos="3024"/>
        <w:tab w:val="right" w:leader="dot" w:pos="8208"/>
        <w:tab w:val="left" w:pos="8640"/>
      </w:tabs>
      <w:ind w:left="3024" w:right="1800" w:hanging="864"/>
    </w:pPr>
  </w:style>
  <w:style w:type="paragraph" w:styleId="TOC4">
    <w:name w:val="toc 4"/>
    <w:basedOn w:val="Normal"/>
    <w:uiPriority w:val="99"/>
    <w:semiHidden/>
    <w:rsid w:val="00865F6D"/>
    <w:pPr>
      <w:tabs>
        <w:tab w:val="left" w:pos="3888"/>
        <w:tab w:val="right" w:leader="dot" w:pos="8208"/>
        <w:tab w:val="left" w:pos="8640"/>
      </w:tabs>
      <w:ind w:left="3888" w:right="1800" w:hanging="864"/>
    </w:pPr>
  </w:style>
  <w:style w:type="paragraph" w:styleId="TOC5">
    <w:name w:val="toc 5"/>
    <w:basedOn w:val="Normal"/>
    <w:uiPriority w:val="99"/>
    <w:rsid w:val="00865F6D"/>
    <w:pPr>
      <w:tabs>
        <w:tab w:val="left" w:pos="1440"/>
        <w:tab w:val="right" w:leader="dot" w:pos="8208"/>
        <w:tab w:val="left" w:pos="8640"/>
      </w:tabs>
      <w:ind w:left="1440" w:right="1800" w:hanging="1152"/>
    </w:pPr>
  </w:style>
  <w:style w:type="paragraph" w:customStyle="1" w:styleId="TT-TableTitle">
    <w:name w:val="TT-Table Title"/>
    <w:basedOn w:val="Heading1"/>
    <w:link w:val="TT-TableTitleChar"/>
    <w:uiPriority w:val="99"/>
    <w:rsid w:val="00613F08"/>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uiPriority w:val="99"/>
    <w:rsid w:val="00865F6D"/>
    <w:pPr>
      <w:tabs>
        <w:tab w:val="left" w:pos="2232"/>
      </w:tabs>
      <w:spacing w:line="240" w:lineRule="exact"/>
    </w:pPr>
    <w:rPr>
      <w:vanish/>
    </w:rPr>
  </w:style>
  <w:style w:type="paragraph" w:customStyle="1" w:styleId="R1-ResPara">
    <w:name w:val="R1-Res. Para"/>
    <w:basedOn w:val="Normal"/>
    <w:uiPriority w:val="99"/>
    <w:rsid w:val="00865F6D"/>
    <w:pPr>
      <w:ind w:left="288"/>
    </w:pPr>
  </w:style>
  <w:style w:type="paragraph" w:customStyle="1" w:styleId="R2-ResBullet">
    <w:name w:val="R2-Res Bullet"/>
    <w:basedOn w:val="Normal"/>
    <w:uiPriority w:val="99"/>
    <w:rsid w:val="00865F6D"/>
    <w:pPr>
      <w:tabs>
        <w:tab w:val="left" w:pos="720"/>
      </w:tabs>
      <w:ind w:left="720" w:hanging="432"/>
    </w:pPr>
  </w:style>
  <w:style w:type="paragraph" w:customStyle="1" w:styleId="RF-Reference">
    <w:name w:val="RF-Reference"/>
    <w:basedOn w:val="Normal"/>
    <w:uiPriority w:val="99"/>
    <w:rsid w:val="00865F6D"/>
    <w:pPr>
      <w:spacing w:line="240" w:lineRule="exact"/>
      <w:ind w:left="216" w:hanging="216"/>
    </w:pPr>
  </w:style>
  <w:style w:type="paragraph" w:customStyle="1" w:styleId="RH-SglSpHead">
    <w:name w:val="RH-Sgl Sp Head"/>
    <w:basedOn w:val="Heading1"/>
    <w:next w:val="RL-FlLftSgl"/>
    <w:uiPriority w:val="99"/>
    <w:rsid w:val="00865F6D"/>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uiPriority w:val="99"/>
    <w:rsid w:val="00865F6D"/>
    <w:pPr>
      <w:tabs>
        <w:tab w:val="clear" w:pos="1152"/>
      </w:tabs>
      <w:spacing w:after="0" w:line="240" w:lineRule="atLeast"/>
      <w:ind w:left="0" w:firstLine="0"/>
    </w:pPr>
    <w:rPr>
      <w:sz w:val="24"/>
    </w:rPr>
  </w:style>
  <w:style w:type="paragraph" w:customStyle="1" w:styleId="SU-FlLftUndln">
    <w:name w:val="SU-Fl Lft Undln"/>
    <w:basedOn w:val="Normal"/>
    <w:uiPriority w:val="99"/>
    <w:rsid w:val="00865F6D"/>
    <w:pPr>
      <w:keepNext/>
      <w:spacing w:line="240" w:lineRule="exact"/>
    </w:pPr>
    <w:rPr>
      <w:u w:val="single"/>
    </w:rPr>
  </w:style>
  <w:style w:type="paragraph" w:customStyle="1" w:styleId="Header-1">
    <w:name w:val="Header-1"/>
    <w:basedOn w:val="Heading1"/>
    <w:uiPriority w:val="99"/>
    <w:rsid w:val="00865F6D"/>
    <w:pPr>
      <w:tabs>
        <w:tab w:val="clear" w:pos="1152"/>
      </w:tabs>
      <w:spacing w:after="0" w:line="240" w:lineRule="atLeast"/>
      <w:ind w:left="0" w:firstLine="0"/>
      <w:jc w:val="right"/>
    </w:pPr>
    <w:rPr>
      <w:sz w:val="20"/>
    </w:rPr>
  </w:style>
  <w:style w:type="paragraph" w:customStyle="1" w:styleId="Heading0">
    <w:name w:val="Heading 0"/>
    <w:aliases w:val="H0-Chap Head"/>
    <w:basedOn w:val="Heading1"/>
    <w:uiPriority w:val="99"/>
    <w:rsid w:val="00865F6D"/>
    <w:pPr>
      <w:tabs>
        <w:tab w:val="clear" w:pos="1152"/>
      </w:tabs>
      <w:spacing w:after="0"/>
      <w:ind w:left="0" w:firstLine="0"/>
      <w:jc w:val="right"/>
    </w:pPr>
    <w:rPr>
      <w:sz w:val="40"/>
    </w:rPr>
  </w:style>
  <w:style w:type="character" w:styleId="PageNumber">
    <w:name w:val="page number"/>
    <w:basedOn w:val="DefaultParagraphFont"/>
    <w:uiPriority w:val="99"/>
    <w:rsid w:val="00865F6D"/>
    <w:rPr>
      <w:rFonts w:cs="Times New Roman"/>
    </w:rPr>
  </w:style>
  <w:style w:type="paragraph" w:customStyle="1" w:styleId="R0-FLLftSglBoldItalic">
    <w:name w:val="R0-FL Lft Sgl Bold Italic"/>
    <w:basedOn w:val="Heading1"/>
    <w:uiPriority w:val="99"/>
    <w:rsid w:val="00865F6D"/>
    <w:pPr>
      <w:tabs>
        <w:tab w:val="clear" w:pos="1152"/>
      </w:tabs>
      <w:spacing w:after="0" w:line="240" w:lineRule="atLeast"/>
      <w:ind w:left="0" w:firstLine="0"/>
    </w:pPr>
    <w:rPr>
      <w:rFonts w:cs="Times New Roman Bold"/>
      <w:b w:val="0"/>
      <w:i/>
      <w:color w:val="auto"/>
      <w:sz w:val="24"/>
    </w:rPr>
  </w:style>
  <w:style w:type="table" w:customStyle="1" w:styleId="TableWestatStandardFormat">
    <w:name w:val="Table Westat Standard Format"/>
    <w:uiPriority w:val="99"/>
    <w:rsid w:val="00613F08"/>
    <w:rPr>
      <w:rFonts w:ascii="Franklin Gothic Medium" w:hAnsi="Franklin Gothic Medium"/>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865F6D"/>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865F6D"/>
    <w:rPr>
      <w:rFonts w:ascii="Franklin Gothic Medium" w:hAnsi="Franklin Gothic Medium"/>
    </w:rPr>
  </w:style>
  <w:style w:type="paragraph" w:customStyle="1" w:styleId="TH-TableHeading">
    <w:name w:val="TH-Table Heading"/>
    <w:basedOn w:val="Heading1"/>
    <w:uiPriority w:val="99"/>
    <w:rsid w:val="00613F08"/>
    <w:pPr>
      <w:tabs>
        <w:tab w:val="clear" w:pos="1152"/>
      </w:tabs>
      <w:spacing w:after="0" w:line="240" w:lineRule="atLeast"/>
      <w:ind w:left="0" w:firstLine="0"/>
      <w:jc w:val="center"/>
    </w:pPr>
    <w:rPr>
      <w:color w:val="auto"/>
      <w:sz w:val="20"/>
    </w:rPr>
  </w:style>
  <w:style w:type="paragraph" w:styleId="TOC6">
    <w:name w:val="toc 6"/>
    <w:basedOn w:val="Normal"/>
    <w:uiPriority w:val="99"/>
    <w:semiHidden/>
    <w:rsid w:val="00865F6D"/>
    <w:pPr>
      <w:tabs>
        <w:tab w:val="right" w:leader="dot" w:pos="8208"/>
        <w:tab w:val="left" w:pos="8640"/>
      </w:tabs>
      <w:spacing w:line="240" w:lineRule="auto"/>
      <w:ind w:left="288" w:right="1800"/>
    </w:pPr>
    <w:rPr>
      <w:szCs w:val="22"/>
    </w:rPr>
  </w:style>
  <w:style w:type="paragraph" w:styleId="TOC7">
    <w:name w:val="toc 7"/>
    <w:basedOn w:val="Normal"/>
    <w:uiPriority w:val="99"/>
    <w:semiHidden/>
    <w:rsid w:val="00865F6D"/>
    <w:pPr>
      <w:tabs>
        <w:tab w:val="right" w:leader="dot" w:pos="8208"/>
        <w:tab w:val="left" w:pos="8640"/>
      </w:tabs>
      <w:spacing w:line="240" w:lineRule="auto"/>
      <w:ind w:left="1440" w:right="1800"/>
    </w:pPr>
    <w:rPr>
      <w:szCs w:val="22"/>
    </w:rPr>
  </w:style>
  <w:style w:type="paragraph" w:styleId="TOC8">
    <w:name w:val="toc 8"/>
    <w:basedOn w:val="Normal"/>
    <w:uiPriority w:val="99"/>
    <w:semiHidden/>
    <w:rsid w:val="00865F6D"/>
    <w:pPr>
      <w:tabs>
        <w:tab w:val="right" w:leader="dot" w:pos="8208"/>
        <w:tab w:val="left" w:pos="8640"/>
      </w:tabs>
      <w:spacing w:line="240" w:lineRule="auto"/>
      <w:ind w:left="2160" w:right="1800"/>
    </w:pPr>
    <w:rPr>
      <w:szCs w:val="22"/>
    </w:rPr>
  </w:style>
  <w:style w:type="paragraph" w:styleId="TOC9">
    <w:name w:val="toc 9"/>
    <w:basedOn w:val="Normal"/>
    <w:uiPriority w:val="99"/>
    <w:semiHidden/>
    <w:rsid w:val="00865F6D"/>
    <w:pPr>
      <w:tabs>
        <w:tab w:val="right" w:leader="dot" w:pos="8208"/>
        <w:tab w:val="left" w:pos="8640"/>
      </w:tabs>
      <w:spacing w:line="240" w:lineRule="auto"/>
      <w:ind w:left="3024" w:right="1800"/>
    </w:pPr>
    <w:rPr>
      <w:szCs w:val="22"/>
    </w:rPr>
  </w:style>
  <w:style w:type="paragraph" w:customStyle="1" w:styleId="TX-TableText">
    <w:name w:val="TX-Table Text"/>
    <w:basedOn w:val="Normal"/>
    <w:uiPriority w:val="99"/>
    <w:rsid w:val="00613F08"/>
    <w:rPr>
      <w:rFonts w:ascii="Franklin Gothic Medium" w:hAnsi="Franklin Gothic Medium"/>
      <w:sz w:val="20"/>
    </w:rPr>
  </w:style>
  <w:style w:type="paragraph" w:customStyle="1" w:styleId="MainHeadline">
    <w:name w:val="Main Headline"/>
    <w:basedOn w:val="Normal"/>
    <w:uiPriority w:val="99"/>
    <w:rsid w:val="00D70369"/>
    <w:pPr>
      <w:widowControl w:val="0"/>
      <w:tabs>
        <w:tab w:val="left" w:pos="180"/>
      </w:tabs>
      <w:autoSpaceDE w:val="0"/>
      <w:autoSpaceDN w:val="0"/>
      <w:adjustRightInd w:val="0"/>
      <w:spacing w:line="288" w:lineRule="auto"/>
      <w:textAlignment w:val="center"/>
    </w:pPr>
    <w:rPr>
      <w:rFonts w:ascii="ArialBlack" w:hAnsi="ArialBlack" w:cs="ArialBlack"/>
      <w:color w:val="000000"/>
      <w:sz w:val="32"/>
      <w:szCs w:val="32"/>
    </w:rPr>
  </w:style>
  <w:style w:type="character" w:styleId="CommentReference">
    <w:name w:val="annotation reference"/>
    <w:basedOn w:val="DefaultParagraphFont"/>
    <w:uiPriority w:val="99"/>
    <w:semiHidden/>
    <w:rsid w:val="00865F6D"/>
    <w:rPr>
      <w:rFonts w:cs="Times New Roman"/>
      <w:sz w:val="16"/>
    </w:rPr>
  </w:style>
  <w:style w:type="paragraph" w:styleId="CommentText">
    <w:name w:val="annotation text"/>
    <w:basedOn w:val="Normal"/>
    <w:link w:val="CommentTextChar"/>
    <w:uiPriority w:val="99"/>
    <w:rsid w:val="00865F6D"/>
    <w:rPr>
      <w:sz w:val="20"/>
    </w:rPr>
  </w:style>
  <w:style w:type="character" w:customStyle="1" w:styleId="CommentTextChar">
    <w:name w:val="Comment Text Char"/>
    <w:basedOn w:val="DefaultParagraphFont"/>
    <w:link w:val="CommentText"/>
    <w:uiPriority w:val="99"/>
    <w:semiHidden/>
    <w:locked/>
    <w:rsid w:val="00865F6D"/>
    <w:rPr>
      <w:rFonts w:ascii="Garamond" w:hAnsi="Garamond" w:cs="Times New Roman"/>
    </w:rPr>
  </w:style>
  <w:style w:type="paragraph" w:styleId="CommentSubject">
    <w:name w:val="annotation subject"/>
    <w:basedOn w:val="CommentText"/>
    <w:next w:val="CommentText"/>
    <w:link w:val="CommentSubjectChar"/>
    <w:uiPriority w:val="99"/>
    <w:semiHidden/>
    <w:rsid w:val="00865F6D"/>
    <w:rPr>
      <w:b/>
      <w:bCs/>
    </w:rPr>
  </w:style>
  <w:style w:type="character" w:customStyle="1" w:styleId="CommentSubjectChar">
    <w:name w:val="Comment Subject Char"/>
    <w:basedOn w:val="CommentTextChar"/>
    <w:link w:val="CommentSubject"/>
    <w:uiPriority w:val="99"/>
    <w:semiHidden/>
    <w:locked/>
    <w:rsid w:val="00865F6D"/>
    <w:rPr>
      <w:b/>
      <w:bCs/>
    </w:rPr>
  </w:style>
  <w:style w:type="paragraph" w:styleId="NormalWeb">
    <w:name w:val="Normal (Web)"/>
    <w:basedOn w:val="Normal"/>
    <w:link w:val="NormalWebChar"/>
    <w:uiPriority w:val="99"/>
    <w:rsid w:val="00865F6D"/>
    <w:pPr>
      <w:spacing w:before="100" w:beforeAutospacing="1" w:after="100" w:afterAutospacing="1" w:line="240" w:lineRule="auto"/>
    </w:pPr>
    <w:rPr>
      <w:rFonts w:ascii="Times New Roman" w:hAnsi="Times New Roman"/>
      <w:szCs w:val="24"/>
    </w:rPr>
  </w:style>
  <w:style w:type="paragraph" w:customStyle="1" w:styleId="oecdtitle2">
    <w:name w:val="oecdtitle2"/>
    <w:basedOn w:val="Normal"/>
    <w:uiPriority w:val="99"/>
    <w:rsid w:val="00865F6D"/>
    <w:pPr>
      <w:spacing w:before="100" w:beforeAutospacing="1" w:after="100" w:afterAutospacing="1" w:line="240" w:lineRule="auto"/>
    </w:pPr>
    <w:rPr>
      <w:rFonts w:ascii="Times New Roman" w:hAnsi="Times New Roman"/>
      <w:szCs w:val="24"/>
    </w:rPr>
  </w:style>
  <w:style w:type="paragraph" w:customStyle="1" w:styleId="Q1-1STLevelQuestion">
    <w:name w:val="Q1-1ST Level Question"/>
    <w:uiPriority w:val="99"/>
    <w:rsid w:val="00865F6D"/>
    <w:pPr>
      <w:tabs>
        <w:tab w:val="left" w:pos="864"/>
      </w:tabs>
      <w:spacing w:line="240" w:lineRule="atLeast"/>
      <w:ind w:left="864" w:hanging="864"/>
      <w:jc w:val="both"/>
    </w:pPr>
    <w:rPr>
      <w:rFonts w:ascii="Arial" w:hAnsi="Arial" w:cs="Arial"/>
      <w:sz w:val="18"/>
      <w:szCs w:val="18"/>
    </w:rPr>
  </w:style>
  <w:style w:type="table" w:styleId="TableGrid">
    <w:name w:val="Table Grid"/>
    <w:basedOn w:val="TableNormal"/>
    <w:uiPriority w:val="99"/>
    <w:rsid w:val="00865F6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link w:val="TitleChar"/>
    <w:uiPriority w:val="99"/>
    <w:qFormat/>
    <w:rsid w:val="00865F6D"/>
    <w:pPr>
      <w:spacing w:line="240" w:lineRule="auto"/>
      <w:jc w:val="center"/>
    </w:pPr>
    <w:rPr>
      <w:rFonts w:ascii="Times New Roman" w:hAnsi="Times New Roman"/>
      <w:b/>
    </w:rPr>
  </w:style>
  <w:style w:type="character" w:customStyle="1" w:styleId="TitleChar">
    <w:name w:val="Title Char"/>
    <w:basedOn w:val="DefaultParagraphFont"/>
    <w:link w:val="Title"/>
    <w:uiPriority w:val="99"/>
    <w:locked/>
    <w:rsid w:val="00865F6D"/>
    <w:rPr>
      <w:rFonts w:cs="Times New Roman"/>
      <w:b/>
      <w:sz w:val="24"/>
    </w:rPr>
  </w:style>
  <w:style w:type="paragraph" w:customStyle="1" w:styleId="A3-1stTabLeader">
    <w:name w:val="A3-1st Tab Leader"/>
    <w:uiPriority w:val="99"/>
    <w:rsid w:val="005A1515"/>
    <w:pPr>
      <w:tabs>
        <w:tab w:val="left" w:pos="1872"/>
        <w:tab w:val="right" w:leader="dot" w:pos="7200"/>
        <w:tab w:val="right" w:pos="7488"/>
        <w:tab w:val="left" w:pos="7632"/>
      </w:tabs>
      <w:spacing w:line="240" w:lineRule="atLeast"/>
      <w:ind w:left="1440"/>
    </w:pPr>
    <w:rPr>
      <w:rFonts w:ascii="Arial" w:hAnsi="Arial"/>
      <w:sz w:val="18"/>
      <w:szCs w:val="20"/>
    </w:rPr>
  </w:style>
  <w:style w:type="paragraph" w:customStyle="1" w:styleId="A2-lstLine">
    <w:name w:val="A2-lst Line"/>
    <w:uiPriority w:val="99"/>
    <w:rsid w:val="005A1515"/>
    <w:pPr>
      <w:tabs>
        <w:tab w:val="right" w:leader="underscore" w:pos="7200"/>
        <w:tab w:val="right" w:pos="7488"/>
        <w:tab w:val="left" w:pos="7632"/>
      </w:tabs>
      <w:spacing w:line="240" w:lineRule="atLeast"/>
      <w:ind w:left="1440"/>
    </w:pPr>
    <w:rPr>
      <w:rFonts w:ascii="Arial" w:hAnsi="Arial"/>
      <w:sz w:val="18"/>
      <w:szCs w:val="20"/>
    </w:rPr>
  </w:style>
  <w:style w:type="paragraph" w:customStyle="1" w:styleId="CharChar">
    <w:name w:val="Char Char"/>
    <w:basedOn w:val="Normal"/>
    <w:uiPriority w:val="99"/>
    <w:rsid w:val="005A1515"/>
    <w:pPr>
      <w:spacing w:before="80" w:after="80" w:line="240" w:lineRule="auto"/>
      <w:ind w:left="4320"/>
      <w:jc w:val="both"/>
    </w:pPr>
    <w:rPr>
      <w:rFonts w:ascii="Arial" w:hAnsi="Arial"/>
      <w:sz w:val="20"/>
      <w:szCs w:val="24"/>
    </w:rPr>
  </w:style>
  <w:style w:type="character" w:customStyle="1" w:styleId="P1-StandParaChar">
    <w:name w:val="P1-Stand Para Char"/>
    <w:basedOn w:val="DefaultParagraphFont"/>
    <w:link w:val="P1-StandPara"/>
    <w:uiPriority w:val="99"/>
    <w:locked/>
    <w:rsid w:val="005A1515"/>
    <w:rPr>
      <w:rFonts w:ascii="Garamond" w:hAnsi="Garamond" w:cs="Times New Roman"/>
      <w:sz w:val="24"/>
    </w:rPr>
  </w:style>
  <w:style w:type="character" w:styleId="Hyperlink">
    <w:name w:val="Hyperlink"/>
    <w:basedOn w:val="DefaultParagraphFont"/>
    <w:uiPriority w:val="99"/>
    <w:rsid w:val="005A1515"/>
    <w:rPr>
      <w:rFonts w:cs="Times New Roman"/>
      <w:color w:val="0000FF"/>
      <w:u w:val="single"/>
    </w:rPr>
  </w:style>
  <w:style w:type="character" w:customStyle="1" w:styleId="TT-TableTitleChar">
    <w:name w:val="TT-Table Title Char"/>
    <w:basedOn w:val="DefaultParagraphFont"/>
    <w:link w:val="TT-TableTitle"/>
    <w:uiPriority w:val="99"/>
    <w:locked/>
    <w:rsid w:val="00613F08"/>
    <w:rPr>
      <w:rFonts w:ascii="Franklin Gothic Medium" w:hAnsi="Franklin Gothic Medium" w:cs="Times New Roman"/>
      <w:sz w:val="22"/>
    </w:rPr>
  </w:style>
  <w:style w:type="paragraph" w:customStyle="1" w:styleId="Char1CharCharCharCharCharChar">
    <w:name w:val="Char1 Char Char Char Char Char Char"/>
    <w:basedOn w:val="Normal"/>
    <w:uiPriority w:val="99"/>
    <w:rsid w:val="000742D2"/>
    <w:pPr>
      <w:spacing w:after="160" w:line="240" w:lineRule="exact"/>
    </w:pPr>
    <w:rPr>
      <w:rFonts w:ascii="Tahoma" w:hAnsi="Tahoma"/>
      <w:sz w:val="20"/>
    </w:rPr>
  </w:style>
  <w:style w:type="character" w:styleId="FootnoteReference">
    <w:name w:val="footnote reference"/>
    <w:basedOn w:val="DefaultParagraphFont"/>
    <w:uiPriority w:val="99"/>
    <w:rsid w:val="000742D2"/>
    <w:rPr>
      <w:rFonts w:cs="Times New Roman"/>
      <w:vertAlign w:val="superscript"/>
    </w:rPr>
  </w:style>
  <w:style w:type="character" w:customStyle="1" w:styleId="NormalWebChar">
    <w:name w:val="Normal (Web) Char"/>
    <w:basedOn w:val="DefaultParagraphFont"/>
    <w:link w:val="NormalWeb"/>
    <w:uiPriority w:val="99"/>
    <w:locked/>
    <w:rsid w:val="000742D2"/>
    <w:rPr>
      <w:rFonts w:cs="Times New Roman"/>
      <w:sz w:val="24"/>
      <w:szCs w:val="24"/>
    </w:rPr>
  </w:style>
  <w:style w:type="character" w:customStyle="1" w:styleId="N1-1stBulletChar">
    <w:name w:val="N1-1st Bullet Char"/>
    <w:basedOn w:val="DefaultParagraphFont"/>
    <w:link w:val="N1-1stBullet"/>
    <w:uiPriority w:val="99"/>
    <w:locked/>
    <w:rsid w:val="00613F08"/>
    <w:rPr>
      <w:rFonts w:ascii="Garamond" w:hAnsi="Garamond" w:cs="Times New Roman"/>
      <w:sz w:val="24"/>
    </w:rPr>
  </w:style>
  <w:style w:type="paragraph" w:styleId="ListParagraph">
    <w:name w:val="List Paragraph"/>
    <w:basedOn w:val="Normal"/>
    <w:uiPriority w:val="99"/>
    <w:qFormat/>
    <w:rsid w:val="000742D2"/>
    <w:pPr>
      <w:ind w:left="720"/>
    </w:pPr>
  </w:style>
  <w:style w:type="character" w:customStyle="1" w:styleId="SL-FlLftSglChar">
    <w:name w:val="SL-Fl Lft Sgl Char"/>
    <w:basedOn w:val="DefaultParagraphFont"/>
    <w:link w:val="SL-FlLftSgl"/>
    <w:uiPriority w:val="99"/>
    <w:locked/>
    <w:rsid w:val="00613F08"/>
    <w:rPr>
      <w:rFonts w:ascii="Garamond" w:hAnsi="Garamond" w:cs="Times New Roman"/>
      <w:sz w:val="24"/>
    </w:rPr>
  </w:style>
  <w:style w:type="paragraph" w:styleId="DocumentMap">
    <w:name w:val="Document Map"/>
    <w:basedOn w:val="Normal"/>
    <w:link w:val="DocumentMapChar"/>
    <w:uiPriority w:val="99"/>
    <w:semiHidden/>
    <w:rsid w:val="0031229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312297"/>
    <w:rPr>
      <w:rFonts w:ascii="Tahoma" w:hAnsi="Tahoma" w:cs="Tahoma"/>
      <w:sz w:val="16"/>
      <w:szCs w:val="16"/>
    </w:rPr>
  </w:style>
  <w:style w:type="character" w:styleId="PlaceholderText">
    <w:name w:val="Placeholder Text"/>
    <w:basedOn w:val="DefaultParagraphFont"/>
    <w:uiPriority w:val="99"/>
    <w:semiHidden/>
    <w:rsid w:val="00B46204"/>
    <w:rPr>
      <w:rFonts w:cs="Times New Roman"/>
      <w:color w:val="808080"/>
    </w:rPr>
  </w:style>
</w:styles>
</file>

<file path=word/webSettings.xml><?xml version="1.0" encoding="utf-8"?>
<w:webSettings xmlns:r="http://schemas.openxmlformats.org/officeDocument/2006/relationships" xmlns:w="http://schemas.openxmlformats.org/wordprocessingml/2006/main">
  <w:divs>
    <w:div w:id="1030182449">
      <w:marLeft w:val="0"/>
      <w:marRight w:val="0"/>
      <w:marTop w:val="0"/>
      <w:marBottom w:val="0"/>
      <w:divBdr>
        <w:top w:val="none" w:sz="0" w:space="0" w:color="auto"/>
        <w:left w:val="none" w:sz="0" w:space="0" w:color="auto"/>
        <w:bottom w:val="none" w:sz="0" w:space="0" w:color="auto"/>
        <w:right w:val="none" w:sz="0" w:space="0" w:color="auto"/>
      </w:divBdr>
    </w:div>
    <w:div w:id="1030182450">
      <w:marLeft w:val="0"/>
      <w:marRight w:val="0"/>
      <w:marTop w:val="0"/>
      <w:marBottom w:val="0"/>
      <w:divBdr>
        <w:top w:val="none" w:sz="0" w:space="0" w:color="auto"/>
        <w:left w:val="none" w:sz="0" w:space="0" w:color="auto"/>
        <w:bottom w:val="none" w:sz="0" w:space="0" w:color="auto"/>
        <w:right w:val="none" w:sz="0" w:space="0" w:color="auto"/>
      </w:divBdr>
    </w:div>
    <w:div w:id="1030182451">
      <w:marLeft w:val="0"/>
      <w:marRight w:val="0"/>
      <w:marTop w:val="0"/>
      <w:marBottom w:val="0"/>
      <w:divBdr>
        <w:top w:val="none" w:sz="0" w:space="0" w:color="auto"/>
        <w:left w:val="none" w:sz="0" w:space="0" w:color="auto"/>
        <w:bottom w:val="none" w:sz="0" w:space="0" w:color="auto"/>
        <w:right w:val="none" w:sz="0" w:space="0" w:color="auto"/>
      </w:divBdr>
    </w:div>
    <w:div w:id="10301824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11</Pages>
  <Words>3025</Words>
  <Characters>17249</Characters>
  <Application>Microsoft Office Outlook</Application>
  <DocSecurity>0</DocSecurity>
  <Lines>0</Lines>
  <Paragraphs>0</Paragraphs>
  <ScaleCrop>false</ScaleCrop>
  <Company>Westat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G</dc:title>
  <dc:subject/>
  <dc:creator>ATERE_C</dc:creator>
  <cp:keywords/>
  <dc:description/>
  <cp:lastModifiedBy>#Administrator</cp:lastModifiedBy>
  <cp:revision>3</cp:revision>
  <cp:lastPrinted>2011-02-02T14:39:00Z</cp:lastPrinted>
  <dcterms:created xsi:type="dcterms:W3CDTF">2011-04-29T20:46:00Z</dcterms:created>
  <dcterms:modified xsi:type="dcterms:W3CDTF">2011-04-29T20:46:00Z</dcterms:modified>
</cp:coreProperties>
</file>