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98C" w:rsidRPr="00F84814" w:rsidRDefault="0073198C" w:rsidP="00F84814">
      <w:pPr>
        <w:pStyle w:val="Heading1"/>
        <w:keepNext/>
        <w:tabs>
          <w:tab w:val="clear" w:pos="850"/>
          <w:tab w:val="clear" w:pos="1191"/>
          <w:tab w:val="clear" w:pos="1531"/>
        </w:tabs>
        <w:spacing w:before="1080"/>
        <w:rPr>
          <w:bCs w:val="0"/>
        </w:rPr>
      </w:pPr>
      <w:r w:rsidRPr="00F84814">
        <w:rPr>
          <w:bCs w:val="0"/>
        </w:rPr>
        <w:t>PIAAC</w:t>
      </w:r>
      <w:r w:rsidR="00F84814">
        <w:rPr>
          <w:bCs w:val="0"/>
        </w:rPr>
        <w:br/>
      </w:r>
      <w:r w:rsidR="00BA3866" w:rsidRPr="00F84814">
        <w:rPr>
          <w:bCs w:val="0"/>
        </w:rPr>
        <w:t>Nonresponse Bias Analysis</w:t>
      </w:r>
      <w:r w:rsidR="00DA2E02" w:rsidRPr="00F84814">
        <w:rPr>
          <w:bCs w:val="0"/>
        </w:rPr>
        <w:t xml:space="preserve"> </w:t>
      </w:r>
      <w:r w:rsidR="0023261F" w:rsidRPr="00F84814">
        <w:rPr>
          <w:bCs w:val="0"/>
        </w:rPr>
        <w:t xml:space="preserve">(NRBA) </w:t>
      </w:r>
      <w:r w:rsidR="00DA2E02" w:rsidRPr="00F84814">
        <w:rPr>
          <w:bCs w:val="0"/>
        </w:rPr>
        <w:t>Plan</w:t>
      </w:r>
      <w:r w:rsidR="009A3206" w:rsidRPr="00F84814">
        <w:rPr>
          <w:bCs w:val="0"/>
        </w:rPr>
        <w:t xml:space="preserve"> Summary</w:t>
      </w:r>
    </w:p>
    <w:tbl>
      <w:tblPr>
        <w:tblW w:w="5000" w:type="pct"/>
        <w:tblLayout w:type="fixed"/>
        <w:tblLook w:val="04A0"/>
      </w:tblPr>
      <w:tblGrid>
        <w:gridCol w:w="3258"/>
        <w:gridCol w:w="6318"/>
      </w:tblGrid>
      <w:tr w:rsidR="009A3206" w:rsidRPr="00F84814" w:rsidTr="00F84814">
        <w:tc>
          <w:tcPr>
            <w:tcW w:w="1701" w:type="pct"/>
            <w:tcBorders>
              <w:top w:val="single" w:sz="4" w:space="0" w:color="auto"/>
              <w:left w:val="single" w:sz="4" w:space="0" w:color="auto"/>
              <w:bottom w:val="single" w:sz="4" w:space="0" w:color="auto"/>
              <w:right w:val="single" w:sz="4" w:space="0" w:color="auto"/>
            </w:tcBorders>
            <w:shd w:val="clear" w:color="auto" w:fill="auto"/>
            <w:noWrap/>
            <w:hideMark/>
          </w:tcPr>
          <w:p w:rsidR="009A3206" w:rsidRPr="00F84814" w:rsidRDefault="009A3206" w:rsidP="00371F69">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Country</w:t>
            </w:r>
          </w:p>
        </w:tc>
        <w:tc>
          <w:tcPr>
            <w:tcW w:w="3299" w:type="pct"/>
            <w:tcBorders>
              <w:top w:val="single" w:sz="4" w:space="0" w:color="auto"/>
              <w:left w:val="nil"/>
              <w:bottom w:val="single" w:sz="4" w:space="0" w:color="auto"/>
              <w:right w:val="single" w:sz="4" w:space="0" w:color="auto"/>
            </w:tcBorders>
            <w:shd w:val="clear" w:color="auto" w:fill="auto"/>
            <w:hideMark/>
          </w:tcPr>
          <w:p w:rsidR="009A3206" w:rsidRPr="00F84814" w:rsidRDefault="00780563" w:rsidP="003B4E57">
            <w:pPr>
              <w:spacing w:after="0" w:line="240" w:lineRule="auto"/>
              <w:rPr>
                <w:rFonts w:ascii="Times New Roman" w:eastAsia="Times New Roman" w:hAnsi="Times New Roman" w:cs="Times New Roman"/>
                <w:i/>
                <w:iCs/>
                <w:color w:val="000000"/>
                <w:lang w:val="en-GB"/>
              </w:rPr>
            </w:pPr>
            <w:r>
              <w:rPr>
                <w:rFonts w:ascii="Times New Roman" w:hAnsi="Times New Roman" w:cs="Times New Roman"/>
                <w:i/>
                <w:iCs/>
                <w:color w:val="000000"/>
                <w:lang w:val="en-GB"/>
              </w:rPr>
              <w:t>United States</w:t>
            </w:r>
          </w:p>
        </w:tc>
      </w:tr>
      <w:tr w:rsidR="009A3206" w:rsidRPr="00F84814" w:rsidTr="00F84814">
        <w:tc>
          <w:tcPr>
            <w:tcW w:w="1701" w:type="pct"/>
            <w:tcBorders>
              <w:top w:val="nil"/>
              <w:left w:val="single" w:sz="4" w:space="0" w:color="auto"/>
              <w:bottom w:val="single" w:sz="4" w:space="0" w:color="auto"/>
              <w:right w:val="single" w:sz="4" w:space="0" w:color="auto"/>
            </w:tcBorders>
            <w:shd w:val="clear" w:color="auto" w:fill="auto"/>
            <w:noWrap/>
            <w:hideMark/>
          </w:tcPr>
          <w:p w:rsidR="007E0F7A" w:rsidRPr="00F84814" w:rsidRDefault="009A3206">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Date</w:t>
            </w:r>
          </w:p>
        </w:tc>
        <w:tc>
          <w:tcPr>
            <w:tcW w:w="3299" w:type="pct"/>
            <w:tcBorders>
              <w:top w:val="nil"/>
              <w:left w:val="nil"/>
              <w:bottom w:val="single" w:sz="4" w:space="0" w:color="auto"/>
              <w:right w:val="single" w:sz="4" w:space="0" w:color="auto"/>
            </w:tcBorders>
            <w:shd w:val="clear" w:color="auto" w:fill="auto"/>
            <w:hideMark/>
          </w:tcPr>
          <w:p w:rsidR="007E0F7A" w:rsidRPr="00F84814" w:rsidRDefault="006A2855">
            <w:pPr>
              <w:spacing w:after="0" w:line="240" w:lineRule="auto"/>
              <w:rPr>
                <w:rFonts w:ascii="Times New Roman" w:eastAsia="Times New Roman" w:hAnsi="Times New Roman" w:cs="Times New Roman"/>
                <w:color w:val="000000"/>
                <w:lang w:val="en-GB"/>
              </w:rPr>
            </w:pPr>
            <w:r>
              <w:rPr>
                <w:rFonts w:ascii="Times New Roman" w:hAnsi="Times New Roman" w:cs="Times New Roman"/>
                <w:color w:val="000000"/>
                <w:lang w:val="en-GB"/>
              </w:rPr>
              <w:t>20 June</w:t>
            </w:r>
            <w:r w:rsidR="00780563">
              <w:rPr>
                <w:rFonts w:ascii="Times New Roman" w:hAnsi="Times New Roman" w:cs="Times New Roman"/>
                <w:color w:val="000000"/>
                <w:lang w:val="en-GB"/>
              </w:rPr>
              <w:t xml:space="preserve"> 2011</w:t>
            </w:r>
          </w:p>
        </w:tc>
      </w:tr>
    </w:tbl>
    <w:p w:rsidR="00823DC8" w:rsidRDefault="00823DC8" w:rsidP="00823DC8">
      <w:pPr>
        <w:spacing w:after="0" w:line="240" w:lineRule="auto"/>
        <w:rPr>
          <w:rFonts w:ascii="Times New Roman" w:hAnsi="Times New Roman" w:cs="Times New Roman"/>
          <w:b/>
          <w:sz w:val="24"/>
          <w:lang w:val="en-GB"/>
        </w:rPr>
      </w:pPr>
    </w:p>
    <w:p w:rsidR="00823DC8" w:rsidRPr="00F13893" w:rsidRDefault="00823DC8" w:rsidP="00823DC8">
      <w:pPr>
        <w:spacing w:after="0" w:line="240" w:lineRule="auto"/>
        <w:rPr>
          <w:rFonts w:ascii="Times New Roman Bold" w:hAnsi="Times New Roman Bold"/>
          <w:smallCaps/>
          <w:sz w:val="24"/>
        </w:rPr>
      </w:pPr>
      <w:r w:rsidRPr="00F13893">
        <w:rPr>
          <w:rFonts w:ascii="Times New Roman Bold" w:hAnsi="Times New Roman Bold" w:cs="Times New Roman"/>
          <w:b/>
          <w:smallCaps/>
          <w:sz w:val="24"/>
          <w:lang w:val="en-GB"/>
        </w:rPr>
        <w:t>Analysis Variables</w:t>
      </w:r>
    </w:p>
    <w:tbl>
      <w:tblPr>
        <w:tblW w:w="5000" w:type="pct"/>
        <w:tblLayout w:type="fixed"/>
        <w:tblLook w:val="04A0"/>
      </w:tblPr>
      <w:tblGrid>
        <w:gridCol w:w="3258"/>
        <w:gridCol w:w="450"/>
        <w:gridCol w:w="2790"/>
        <w:gridCol w:w="3078"/>
      </w:tblGrid>
      <w:tr w:rsidR="00823DC8" w:rsidRPr="00F84814" w:rsidTr="009D6323">
        <w:tc>
          <w:tcPr>
            <w:tcW w:w="1701" w:type="pct"/>
            <w:vMerge w:val="restart"/>
            <w:tcBorders>
              <w:top w:val="single" w:sz="4" w:space="0" w:color="auto"/>
              <w:left w:val="single" w:sz="4" w:space="0" w:color="auto"/>
              <w:right w:val="single" w:sz="4" w:space="0" w:color="auto"/>
            </w:tcBorders>
            <w:shd w:val="clear" w:color="auto" w:fill="auto"/>
            <w:noWrap/>
          </w:tcPr>
          <w:p w:rsidR="00823DC8" w:rsidRPr="00F84814" w:rsidRDefault="00823DC8" w:rsidP="00E05AB5">
            <w:pPr>
              <w:pStyle w:val="NoSpacing"/>
              <w:rPr>
                <w:rFonts w:ascii="Times New Roman" w:hAnsi="Times New Roman" w:cs="Times New Roman"/>
                <w:lang w:val="en-GB"/>
              </w:rPr>
            </w:pPr>
            <w:r w:rsidRPr="00F84814">
              <w:rPr>
                <w:rFonts w:ascii="Times New Roman" w:hAnsi="Times New Roman" w:cs="Times New Roman"/>
                <w:lang w:val="en-GB"/>
              </w:rPr>
              <w:t>What variables are available for both respondents and nonrespondents and can be used in analysing nonresponse bias?</w:t>
            </w:r>
          </w:p>
        </w:tc>
        <w:tc>
          <w:tcPr>
            <w:tcW w:w="235" w:type="pct"/>
            <w:tcBorders>
              <w:top w:val="single" w:sz="4" w:space="0" w:color="auto"/>
              <w:left w:val="nil"/>
              <w:bottom w:val="single" w:sz="4" w:space="0" w:color="auto"/>
              <w:right w:val="single" w:sz="4" w:space="0" w:color="auto"/>
            </w:tcBorders>
            <w:shd w:val="clear" w:color="auto" w:fill="auto"/>
            <w:hideMark/>
          </w:tcPr>
          <w:p w:rsidR="00823DC8" w:rsidRPr="00F84814" w:rsidRDefault="00823DC8" w:rsidP="00AE62E9">
            <w:pPr>
              <w:pStyle w:val="NoSpacing"/>
              <w:rPr>
                <w:rFonts w:ascii="Times New Roman" w:hAnsi="Times New Roman" w:cs="Times New Roman"/>
                <w:lang w:val="en-GB"/>
              </w:rPr>
            </w:pPr>
          </w:p>
        </w:tc>
        <w:tc>
          <w:tcPr>
            <w:tcW w:w="1457" w:type="pct"/>
            <w:tcBorders>
              <w:top w:val="single" w:sz="4" w:space="0" w:color="auto"/>
              <w:left w:val="nil"/>
              <w:bottom w:val="single" w:sz="4" w:space="0" w:color="auto"/>
              <w:right w:val="single" w:sz="4" w:space="0" w:color="auto"/>
            </w:tcBorders>
            <w:shd w:val="clear" w:color="auto" w:fill="auto"/>
          </w:tcPr>
          <w:p w:rsidR="00823DC8" w:rsidRPr="00F84814" w:rsidRDefault="00823DC8" w:rsidP="00AE62E9">
            <w:pPr>
              <w:pStyle w:val="NoSpacing"/>
              <w:rPr>
                <w:rFonts w:ascii="Times New Roman" w:hAnsi="Times New Roman" w:cs="Times New Roman"/>
                <w:lang w:val="en-GB"/>
              </w:rPr>
            </w:pPr>
            <w:r w:rsidRPr="00F84814">
              <w:rPr>
                <w:rFonts w:ascii="Times New Roman" w:hAnsi="Times New Roman" w:cs="Times New Roman"/>
                <w:lang w:val="en-GB"/>
              </w:rPr>
              <w:t>Data Source (e.g. registry, Census, screener)</w:t>
            </w:r>
          </w:p>
        </w:tc>
        <w:tc>
          <w:tcPr>
            <w:tcW w:w="1607" w:type="pct"/>
            <w:tcBorders>
              <w:top w:val="single" w:sz="4" w:space="0" w:color="auto"/>
              <w:left w:val="nil"/>
              <w:bottom w:val="single" w:sz="4" w:space="0" w:color="auto"/>
              <w:right w:val="single" w:sz="4" w:space="0" w:color="auto"/>
            </w:tcBorders>
            <w:shd w:val="clear" w:color="auto" w:fill="auto"/>
          </w:tcPr>
          <w:p w:rsidR="00823DC8" w:rsidRPr="00F84814" w:rsidRDefault="00823DC8" w:rsidP="006B5758">
            <w:pPr>
              <w:pStyle w:val="NoSpacing"/>
              <w:rPr>
                <w:rFonts w:ascii="Times New Roman" w:hAnsi="Times New Roman" w:cs="Times New Roman"/>
                <w:lang w:val="en-GB"/>
              </w:rPr>
            </w:pPr>
            <w:r w:rsidRPr="00F84814">
              <w:rPr>
                <w:rFonts w:ascii="Times New Roman" w:hAnsi="Times New Roman" w:cs="Times New Roman"/>
                <w:lang w:val="en-GB"/>
              </w:rPr>
              <w:t>Potential NRB analysis variables (e.g. age, % below poverty in PSU)</w:t>
            </w:r>
          </w:p>
        </w:tc>
      </w:tr>
      <w:tr w:rsidR="00780563" w:rsidRPr="00F84814" w:rsidTr="009D6323">
        <w:tc>
          <w:tcPr>
            <w:tcW w:w="1701" w:type="pct"/>
            <w:vMerge/>
            <w:tcBorders>
              <w:left w:val="single" w:sz="4" w:space="0" w:color="auto"/>
              <w:right w:val="single" w:sz="4" w:space="0" w:color="auto"/>
            </w:tcBorders>
            <w:shd w:val="clear" w:color="auto" w:fill="auto"/>
            <w:noWrap/>
            <w:hideMark/>
          </w:tcPr>
          <w:p w:rsidR="00780563" w:rsidRPr="00F84814" w:rsidRDefault="00780563" w:rsidP="00E05AB5">
            <w:pPr>
              <w:pStyle w:val="NoSpacing"/>
              <w:rPr>
                <w:rFonts w:ascii="Times New Roman" w:hAnsi="Times New Roman" w:cs="Times New Roman"/>
                <w:lang w:val="en-GB"/>
              </w:rPr>
            </w:pPr>
          </w:p>
        </w:tc>
        <w:tc>
          <w:tcPr>
            <w:tcW w:w="235" w:type="pct"/>
            <w:tcBorders>
              <w:top w:val="single" w:sz="4" w:space="0" w:color="auto"/>
              <w:left w:val="nil"/>
              <w:bottom w:val="single" w:sz="4" w:space="0" w:color="auto"/>
              <w:right w:val="single" w:sz="4" w:space="0" w:color="auto"/>
            </w:tcBorders>
            <w:shd w:val="clear" w:color="auto" w:fill="auto"/>
            <w:hideMark/>
          </w:tcPr>
          <w:p w:rsidR="00780563" w:rsidRPr="00F84814" w:rsidRDefault="00780563" w:rsidP="00AE62E9">
            <w:pPr>
              <w:pStyle w:val="NoSpacing"/>
              <w:rPr>
                <w:rFonts w:ascii="Times New Roman" w:hAnsi="Times New Roman" w:cs="Times New Roman"/>
                <w:lang w:val="en-GB"/>
              </w:rPr>
            </w:pPr>
            <w:r w:rsidRPr="00F84814">
              <w:rPr>
                <w:rFonts w:ascii="Times New Roman" w:hAnsi="Times New Roman" w:cs="Times New Roman"/>
                <w:lang w:val="en-GB"/>
              </w:rPr>
              <w:t>1</w:t>
            </w:r>
          </w:p>
        </w:tc>
        <w:tc>
          <w:tcPr>
            <w:tcW w:w="1457" w:type="pct"/>
            <w:tcBorders>
              <w:top w:val="single" w:sz="4" w:space="0" w:color="auto"/>
              <w:left w:val="nil"/>
              <w:bottom w:val="single" w:sz="4" w:space="0" w:color="auto"/>
              <w:right w:val="single" w:sz="4" w:space="0" w:color="auto"/>
            </w:tcBorders>
            <w:shd w:val="clear" w:color="auto" w:fill="auto"/>
          </w:tcPr>
          <w:p w:rsidR="00780563" w:rsidRPr="001A3CF6" w:rsidRDefault="00780563" w:rsidP="00BA2FAA">
            <w:pPr>
              <w:pStyle w:val="NoSpacing"/>
              <w:rPr>
                <w:rFonts w:ascii="Arial" w:hAnsi="Arial" w:cs="Arial"/>
                <w:sz w:val="20"/>
                <w:szCs w:val="20"/>
                <w:lang w:val="en-GB"/>
              </w:rPr>
            </w:pPr>
            <w:r>
              <w:rPr>
                <w:rFonts w:ascii="Arial" w:hAnsi="Arial" w:cs="Arial"/>
                <w:sz w:val="20"/>
                <w:szCs w:val="20"/>
                <w:lang w:val="en-GB"/>
              </w:rPr>
              <w:t>Census</w:t>
            </w:r>
          </w:p>
        </w:tc>
        <w:tc>
          <w:tcPr>
            <w:tcW w:w="1607" w:type="pct"/>
            <w:tcBorders>
              <w:top w:val="single" w:sz="4" w:space="0" w:color="auto"/>
              <w:left w:val="nil"/>
              <w:bottom w:val="single" w:sz="4" w:space="0" w:color="auto"/>
              <w:right w:val="single" w:sz="4" w:space="0" w:color="auto"/>
            </w:tcBorders>
            <w:shd w:val="clear" w:color="auto" w:fill="auto"/>
          </w:tcPr>
          <w:p w:rsidR="00780563" w:rsidRPr="001A3CF6" w:rsidRDefault="00780563" w:rsidP="00BA2FAA">
            <w:pPr>
              <w:pStyle w:val="NoSpacing"/>
              <w:rPr>
                <w:rFonts w:ascii="Arial" w:hAnsi="Arial" w:cs="Arial"/>
                <w:sz w:val="20"/>
                <w:szCs w:val="20"/>
                <w:lang w:val="en-GB"/>
              </w:rPr>
            </w:pPr>
            <w:r>
              <w:rPr>
                <w:rFonts w:ascii="Arial" w:hAnsi="Arial" w:cs="Arial"/>
                <w:sz w:val="20"/>
                <w:szCs w:val="20"/>
                <w:lang w:val="en-GB"/>
              </w:rPr>
              <w:t>Region, metropolitan status</w:t>
            </w:r>
          </w:p>
        </w:tc>
      </w:tr>
      <w:tr w:rsidR="00780563" w:rsidRPr="00F84814" w:rsidTr="009D6323">
        <w:tc>
          <w:tcPr>
            <w:tcW w:w="1701" w:type="pct"/>
            <w:vMerge/>
            <w:tcBorders>
              <w:left w:val="single" w:sz="4" w:space="0" w:color="auto"/>
              <w:right w:val="single" w:sz="4" w:space="0" w:color="auto"/>
            </w:tcBorders>
            <w:shd w:val="clear" w:color="auto" w:fill="auto"/>
            <w:noWrap/>
            <w:hideMark/>
          </w:tcPr>
          <w:p w:rsidR="00780563" w:rsidRPr="00F84814" w:rsidRDefault="00780563" w:rsidP="00E05AB5">
            <w:pPr>
              <w:pStyle w:val="NoSpacing"/>
              <w:rPr>
                <w:rFonts w:ascii="Times New Roman" w:hAnsi="Times New Roman" w:cs="Times New Roman"/>
                <w:lang w:val="en-GB"/>
              </w:rPr>
            </w:pPr>
          </w:p>
        </w:tc>
        <w:tc>
          <w:tcPr>
            <w:tcW w:w="235" w:type="pct"/>
            <w:tcBorders>
              <w:top w:val="single" w:sz="4" w:space="0" w:color="auto"/>
              <w:left w:val="nil"/>
              <w:bottom w:val="single" w:sz="4" w:space="0" w:color="auto"/>
              <w:right w:val="single" w:sz="4" w:space="0" w:color="auto"/>
            </w:tcBorders>
            <w:shd w:val="clear" w:color="auto" w:fill="auto"/>
            <w:hideMark/>
          </w:tcPr>
          <w:p w:rsidR="00780563" w:rsidRPr="00F84814" w:rsidRDefault="00780563" w:rsidP="00AE62E9">
            <w:pPr>
              <w:pStyle w:val="NoSpacing"/>
              <w:rPr>
                <w:rFonts w:ascii="Times New Roman" w:hAnsi="Times New Roman" w:cs="Times New Roman"/>
                <w:lang w:val="en-GB"/>
              </w:rPr>
            </w:pPr>
            <w:r w:rsidRPr="00F84814">
              <w:rPr>
                <w:rFonts w:ascii="Times New Roman" w:hAnsi="Times New Roman" w:cs="Times New Roman"/>
                <w:lang w:val="en-GB"/>
              </w:rPr>
              <w:t>2</w:t>
            </w:r>
          </w:p>
        </w:tc>
        <w:tc>
          <w:tcPr>
            <w:tcW w:w="1457" w:type="pct"/>
            <w:tcBorders>
              <w:top w:val="single" w:sz="4" w:space="0" w:color="auto"/>
              <w:left w:val="nil"/>
              <w:bottom w:val="single" w:sz="4" w:space="0" w:color="auto"/>
              <w:right w:val="single" w:sz="4" w:space="0" w:color="auto"/>
            </w:tcBorders>
            <w:shd w:val="clear" w:color="auto" w:fill="auto"/>
          </w:tcPr>
          <w:p w:rsidR="00780563" w:rsidRPr="001A3CF6" w:rsidRDefault="00780563" w:rsidP="00BA2FAA">
            <w:pPr>
              <w:pStyle w:val="NoSpacing"/>
              <w:rPr>
                <w:rFonts w:ascii="Arial" w:hAnsi="Arial" w:cs="Arial"/>
                <w:sz w:val="20"/>
                <w:szCs w:val="20"/>
                <w:lang w:val="en-GB"/>
              </w:rPr>
            </w:pPr>
            <w:r>
              <w:rPr>
                <w:rFonts w:ascii="Arial" w:hAnsi="Arial" w:cs="Arial"/>
                <w:sz w:val="20"/>
                <w:szCs w:val="20"/>
                <w:lang w:val="en-GB"/>
              </w:rPr>
              <w:t>American Community Survey 2005-2009 tract-level data</w:t>
            </w:r>
          </w:p>
        </w:tc>
        <w:tc>
          <w:tcPr>
            <w:tcW w:w="1607" w:type="pct"/>
            <w:tcBorders>
              <w:top w:val="single" w:sz="4" w:space="0" w:color="auto"/>
              <w:left w:val="nil"/>
              <w:bottom w:val="single" w:sz="4" w:space="0" w:color="auto"/>
              <w:right w:val="single" w:sz="4" w:space="0" w:color="auto"/>
            </w:tcBorders>
            <w:shd w:val="clear" w:color="auto" w:fill="auto"/>
          </w:tcPr>
          <w:p w:rsidR="00780563" w:rsidRPr="001A3CF6" w:rsidRDefault="00780563" w:rsidP="007836A6">
            <w:pPr>
              <w:pStyle w:val="NoSpacing"/>
              <w:rPr>
                <w:rFonts w:ascii="Arial" w:hAnsi="Arial" w:cs="Arial"/>
                <w:sz w:val="20"/>
                <w:szCs w:val="20"/>
                <w:lang w:val="en-GB"/>
              </w:rPr>
            </w:pPr>
            <w:r>
              <w:rPr>
                <w:rFonts w:ascii="Arial" w:hAnsi="Arial" w:cs="Arial"/>
                <w:sz w:val="20"/>
                <w:szCs w:val="20"/>
                <w:lang w:val="en-GB"/>
              </w:rPr>
              <w:t xml:space="preserve">% Hispanic, % Black, % foreign born, % </w:t>
            </w:r>
            <w:r w:rsidR="007836A6">
              <w:rPr>
                <w:rFonts w:ascii="Arial" w:hAnsi="Arial" w:cs="Arial"/>
                <w:sz w:val="20"/>
                <w:szCs w:val="20"/>
                <w:lang w:val="en-GB"/>
              </w:rPr>
              <w:t>at least high school (HS) education, % HS, % some college</w:t>
            </w:r>
            <w:r>
              <w:rPr>
                <w:rFonts w:ascii="Arial" w:hAnsi="Arial" w:cs="Arial"/>
                <w:sz w:val="20"/>
                <w:szCs w:val="20"/>
                <w:lang w:val="en-GB"/>
              </w:rPr>
              <w:t xml:space="preserve">, % below poverty, average household size, % linguistically isolated, % speaking English not well or not at all, % employed, </w:t>
            </w:r>
            <w:r w:rsidR="007836A6">
              <w:rPr>
                <w:rFonts w:ascii="Arial" w:hAnsi="Arial" w:cs="Arial"/>
                <w:sz w:val="20"/>
                <w:szCs w:val="20"/>
                <w:lang w:val="en-GB"/>
              </w:rPr>
              <w:t xml:space="preserve">% unemployed, </w:t>
            </w:r>
            <w:r>
              <w:rPr>
                <w:rFonts w:ascii="Arial" w:hAnsi="Arial" w:cs="Arial"/>
                <w:sz w:val="20"/>
                <w:szCs w:val="20"/>
                <w:lang w:val="en-GB"/>
              </w:rPr>
              <w:t>% own housing unit</w:t>
            </w:r>
          </w:p>
        </w:tc>
      </w:tr>
      <w:tr w:rsidR="00780563" w:rsidRPr="00F84814" w:rsidTr="009D6323">
        <w:tc>
          <w:tcPr>
            <w:tcW w:w="1701" w:type="pct"/>
            <w:vMerge/>
            <w:tcBorders>
              <w:left w:val="single" w:sz="4" w:space="0" w:color="auto"/>
              <w:right w:val="single" w:sz="4" w:space="0" w:color="auto"/>
            </w:tcBorders>
            <w:shd w:val="clear" w:color="auto" w:fill="auto"/>
            <w:noWrap/>
            <w:hideMark/>
          </w:tcPr>
          <w:p w:rsidR="00780563" w:rsidRPr="00F84814" w:rsidRDefault="00780563" w:rsidP="00E05AB5">
            <w:pPr>
              <w:pStyle w:val="NoSpacing"/>
              <w:rPr>
                <w:rFonts w:ascii="Times New Roman" w:hAnsi="Times New Roman" w:cs="Times New Roman"/>
                <w:lang w:val="en-GB"/>
              </w:rPr>
            </w:pPr>
          </w:p>
        </w:tc>
        <w:tc>
          <w:tcPr>
            <w:tcW w:w="235" w:type="pct"/>
            <w:tcBorders>
              <w:top w:val="single" w:sz="4" w:space="0" w:color="auto"/>
              <w:left w:val="nil"/>
              <w:bottom w:val="single" w:sz="4" w:space="0" w:color="auto"/>
              <w:right w:val="single" w:sz="4" w:space="0" w:color="auto"/>
            </w:tcBorders>
            <w:shd w:val="clear" w:color="auto" w:fill="auto"/>
            <w:hideMark/>
          </w:tcPr>
          <w:p w:rsidR="00780563" w:rsidRPr="00F84814" w:rsidRDefault="00780563" w:rsidP="00AE62E9">
            <w:pPr>
              <w:pStyle w:val="NoSpacing"/>
              <w:rPr>
                <w:rFonts w:ascii="Times New Roman" w:hAnsi="Times New Roman" w:cs="Times New Roman"/>
                <w:lang w:val="en-GB"/>
              </w:rPr>
            </w:pPr>
            <w:r w:rsidRPr="00F84814">
              <w:rPr>
                <w:rFonts w:ascii="Times New Roman" w:hAnsi="Times New Roman" w:cs="Times New Roman"/>
                <w:lang w:val="en-GB"/>
              </w:rPr>
              <w:t>3</w:t>
            </w:r>
          </w:p>
        </w:tc>
        <w:tc>
          <w:tcPr>
            <w:tcW w:w="1457" w:type="pct"/>
            <w:tcBorders>
              <w:top w:val="single" w:sz="4" w:space="0" w:color="auto"/>
              <w:left w:val="nil"/>
              <w:bottom w:val="single" w:sz="4" w:space="0" w:color="auto"/>
              <w:right w:val="single" w:sz="4" w:space="0" w:color="auto"/>
            </w:tcBorders>
            <w:shd w:val="clear" w:color="auto" w:fill="auto"/>
          </w:tcPr>
          <w:p w:rsidR="00780563" w:rsidRPr="001A3CF6" w:rsidRDefault="00780563" w:rsidP="00BA2FAA">
            <w:pPr>
              <w:pStyle w:val="NoSpacing"/>
              <w:rPr>
                <w:rFonts w:ascii="Arial" w:hAnsi="Arial" w:cs="Arial"/>
                <w:sz w:val="20"/>
                <w:szCs w:val="20"/>
                <w:lang w:val="en-GB"/>
              </w:rPr>
            </w:pPr>
            <w:r>
              <w:rPr>
                <w:rFonts w:ascii="Arial" w:hAnsi="Arial" w:cs="Arial"/>
                <w:sz w:val="20"/>
                <w:szCs w:val="20"/>
                <w:lang w:val="en-GB"/>
              </w:rPr>
              <w:t>Screener (for BQ NRBA)</w:t>
            </w:r>
          </w:p>
        </w:tc>
        <w:tc>
          <w:tcPr>
            <w:tcW w:w="1607" w:type="pct"/>
            <w:tcBorders>
              <w:top w:val="single" w:sz="4" w:space="0" w:color="auto"/>
              <w:left w:val="nil"/>
              <w:bottom w:val="single" w:sz="4" w:space="0" w:color="auto"/>
              <w:right w:val="single" w:sz="4" w:space="0" w:color="auto"/>
            </w:tcBorders>
            <w:shd w:val="clear" w:color="auto" w:fill="auto"/>
          </w:tcPr>
          <w:p w:rsidR="00780563" w:rsidRPr="001A3CF6" w:rsidRDefault="00780563" w:rsidP="00BA2FAA">
            <w:pPr>
              <w:pStyle w:val="NoSpacing"/>
              <w:rPr>
                <w:rFonts w:ascii="Arial" w:hAnsi="Arial" w:cs="Arial"/>
                <w:sz w:val="20"/>
                <w:szCs w:val="20"/>
                <w:lang w:val="en-GB"/>
              </w:rPr>
            </w:pPr>
            <w:r>
              <w:rPr>
                <w:rFonts w:ascii="Arial" w:hAnsi="Arial" w:cs="Arial"/>
                <w:sz w:val="20"/>
                <w:szCs w:val="20"/>
                <w:lang w:val="en-GB"/>
              </w:rPr>
              <w:t>Age, gender, race/ethnicity, language of screener, number of persons age 16-65 in household.  Also possibly total household size and indicator for whether there are children in the household.</w:t>
            </w:r>
          </w:p>
        </w:tc>
      </w:tr>
      <w:tr w:rsidR="00780563" w:rsidRPr="00F84814" w:rsidTr="009D6323">
        <w:tc>
          <w:tcPr>
            <w:tcW w:w="1701" w:type="pct"/>
            <w:vMerge/>
            <w:tcBorders>
              <w:left w:val="single" w:sz="4" w:space="0" w:color="auto"/>
              <w:right w:val="single" w:sz="4" w:space="0" w:color="auto"/>
            </w:tcBorders>
            <w:shd w:val="clear" w:color="auto" w:fill="auto"/>
            <w:noWrap/>
            <w:hideMark/>
          </w:tcPr>
          <w:p w:rsidR="00780563" w:rsidRPr="00F84814" w:rsidRDefault="00780563" w:rsidP="00E05AB5">
            <w:pPr>
              <w:pStyle w:val="NoSpacing"/>
              <w:rPr>
                <w:rFonts w:ascii="Times New Roman" w:hAnsi="Times New Roman" w:cs="Times New Roman"/>
                <w:lang w:val="en-GB"/>
              </w:rPr>
            </w:pPr>
          </w:p>
        </w:tc>
        <w:tc>
          <w:tcPr>
            <w:tcW w:w="235" w:type="pct"/>
            <w:tcBorders>
              <w:top w:val="single" w:sz="4" w:space="0" w:color="auto"/>
              <w:left w:val="nil"/>
              <w:bottom w:val="single" w:sz="4" w:space="0" w:color="auto"/>
              <w:right w:val="single" w:sz="4" w:space="0" w:color="auto"/>
            </w:tcBorders>
            <w:shd w:val="clear" w:color="auto" w:fill="auto"/>
            <w:hideMark/>
          </w:tcPr>
          <w:p w:rsidR="00780563" w:rsidRPr="00F84814" w:rsidRDefault="00780563" w:rsidP="00AE62E9">
            <w:pPr>
              <w:pStyle w:val="NoSpacing"/>
              <w:rPr>
                <w:rFonts w:ascii="Times New Roman" w:hAnsi="Times New Roman" w:cs="Times New Roman"/>
                <w:lang w:val="en-GB"/>
              </w:rPr>
            </w:pPr>
            <w:r w:rsidRPr="00F84814">
              <w:rPr>
                <w:rFonts w:ascii="Times New Roman" w:hAnsi="Times New Roman" w:cs="Times New Roman"/>
                <w:lang w:val="en-GB"/>
              </w:rPr>
              <w:t>4</w:t>
            </w:r>
          </w:p>
        </w:tc>
        <w:tc>
          <w:tcPr>
            <w:tcW w:w="1457" w:type="pct"/>
            <w:tcBorders>
              <w:top w:val="single" w:sz="4" w:space="0" w:color="auto"/>
              <w:left w:val="nil"/>
              <w:bottom w:val="single" w:sz="4" w:space="0" w:color="auto"/>
              <w:right w:val="single" w:sz="4" w:space="0" w:color="auto"/>
            </w:tcBorders>
            <w:shd w:val="clear" w:color="auto" w:fill="auto"/>
          </w:tcPr>
          <w:p w:rsidR="00780563" w:rsidRPr="00F84814" w:rsidRDefault="00780563" w:rsidP="00AE62E9">
            <w:pPr>
              <w:pStyle w:val="NoSpacing"/>
              <w:rPr>
                <w:rFonts w:ascii="Times New Roman" w:hAnsi="Times New Roman" w:cs="Times New Roman"/>
                <w:lang w:val="en-GB"/>
              </w:rPr>
            </w:pPr>
          </w:p>
        </w:tc>
        <w:tc>
          <w:tcPr>
            <w:tcW w:w="1607" w:type="pct"/>
            <w:tcBorders>
              <w:top w:val="single" w:sz="4" w:space="0" w:color="auto"/>
              <w:left w:val="nil"/>
              <w:bottom w:val="single" w:sz="4" w:space="0" w:color="auto"/>
              <w:right w:val="single" w:sz="4" w:space="0" w:color="auto"/>
            </w:tcBorders>
            <w:shd w:val="clear" w:color="auto" w:fill="auto"/>
          </w:tcPr>
          <w:p w:rsidR="00780563" w:rsidRPr="00F84814" w:rsidRDefault="00780563" w:rsidP="00AE62E9">
            <w:pPr>
              <w:pStyle w:val="NoSpacing"/>
              <w:rPr>
                <w:rFonts w:ascii="Times New Roman" w:hAnsi="Times New Roman" w:cs="Times New Roman"/>
                <w:lang w:val="en-GB"/>
              </w:rPr>
            </w:pPr>
          </w:p>
        </w:tc>
      </w:tr>
      <w:tr w:rsidR="00780563" w:rsidRPr="00F84814" w:rsidTr="009D6323">
        <w:tc>
          <w:tcPr>
            <w:tcW w:w="1701" w:type="pct"/>
            <w:vMerge/>
            <w:tcBorders>
              <w:left w:val="single" w:sz="4" w:space="0" w:color="auto"/>
              <w:right w:val="single" w:sz="4" w:space="0" w:color="auto"/>
            </w:tcBorders>
            <w:shd w:val="clear" w:color="auto" w:fill="auto"/>
            <w:noWrap/>
            <w:hideMark/>
          </w:tcPr>
          <w:p w:rsidR="00780563" w:rsidRPr="00F84814" w:rsidRDefault="00780563" w:rsidP="00E05AB5">
            <w:pPr>
              <w:pStyle w:val="NoSpacing"/>
              <w:rPr>
                <w:rFonts w:ascii="Times New Roman" w:hAnsi="Times New Roman" w:cs="Times New Roman"/>
                <w:lang w:val="en-GB"/>
              </w:rPr>
            </w:pPr>
          </w:p>
        </w:tc>
        <w:tc>
          <w:tcPr>
            <w:tcW w:w="235" w:type="pct"/>
            <w:tcBorders>
              <w:top w:val="single" w:sz="4" w:space="0" w:color="auto"/>
              <w:left w:val="nil"/>
              <w:bottom w:val="single" w:sz="4" w:space="0" w:color="auto"/>
              <w:right w:val="single" w:sz="4" w:space="0" w:color="auto"/>
            </w:tcBorders>
            <w:shd w:val="clear" w:color="auto" w:fill="auto"/>
            <w:hideMark/>
          </w:tcPr>
          <w:p w:rsidR="00780563" w:rsidRPr="00F84814" w:rsidRDefault="00780563" w:rsidP="00AE62E9">
            <w:pPr>
              <w:pStyle w:val="NoSpacing"/>
              <w:rPr>
                <w:rFonts w:ascii="Times New Roman" w:hAnsi="Times New Roman" w:cs="Times New Roman"/>
                <w:lang w:val="en-GB"/>
              </w:rPr>
            </w:pPr>
            <w:r w:rsidRPr="00F84814">
              <w:rPr>
                <w:rFonts w:ascii="Times New Roman" w:hAnsi="Times New Roman" w:cs="Times New Roman"/>
                <w:lang w:val="en-GB"/>
              </w:rPr>
              <w:t>5</w:t>
            </w:r>
          </w:p>
        </w:tc>
        <w:tc>
          <w:tcPr>
            <w:tcW w:w="1457" w:type="pct"/>
            <w:tcBorders>
              <w:top w:val="single" w:sz="4" w:space="0" w:color="auto"/>
              <w:left w:val="nil"/>
              <w:bottom w:val="single" w:sz="4" w:space="0" w:color="auto"/>
              <w:right w:val="single" w:sz="4" w:space="0" w:color="auto"/>
            </w:tcBorders>
            <w:shd w:val="clear" w:color="auto" w:fill="auto"/>
          </w:tcPr>
          <w:p w:rsidR="00780563" w:rsidRPr="00F84814" w:rsidRDefault="00780563" w:rsidP="00AE62E9">
            <w:pPr>
              <w:pStyle w:val="NoSpacing"/>
              <w:rPr>
                <w:rFonts w:ascii="Times New Roman" w:hAnsi="Times New Roman" w:cs="Times New Roman"/>
                <w:lang w:val="en-GB"/>
              </w:rPr>
            </w:pPr>
          </w:p>
        </w:tc>
        <w:tc>
          <w:tcPr>
            <w:tcW w:w="1607" w:type="pct"/>
            <w:tcBorders>
              <w:top w:val="single" w:sz="4" w:space="0" w:color="auto"/>
              <w:left w:val="nil"/>
              <w:bottom w:val="single" w:sz="4" w:space="0" w:color="auto"/>
              <w:right w:val="single" w:sz="4" w:space="0" w:color="auto"/>
            </w:tcBorders>
            <w:shd w:val="clear" w:color="auto" w:fill="auto"/>
          </w:tcPr>
          <w:p w:rsidR="00780563" w:rsidRPr="00F84814" w:rsidRDefault="00780563" w:rsidP="00AE62E9">
            <w:pPr>
              <w:pStyle w:val="NoSpacing"/>
              <w:rPr>
                <w:rFonts w:ascii="Times New Roman" w:hAnsi="Times New Roman" w:cs="Times New Roman"/>
                <w:lang w:val="en-GB"/>
              </w:rPr>
            </w:pPr>
          </w:p>
        </w:tc>
      </w:tr>
      <w:tr w:rsidR="00780563" w:rsidRPr="00F84814" w:rsidTr="00823DC8">
        <w:tc>
          <w:tcPr>
            <w:tcW w:w="1701" w:type="pct"/>
            <w:tcBorders>
              <w:left w:val="single" w:sz="4" w:space="0" w:color="auto"/>
              <w:bottom w:val="single" w:sz="4" w:space="0" w:color="auto"/>
              <w:right w:val="single" w:sz="4" w:space="0" w:color="auto"/>
            </w:tcBorders>
            <w:shd w:val="clear" w:color="auto" w:fill="auto"/>
            <w:noWrap/>
            <w:hideMark/>
          </w:tcPr>
          <w:p w:rsidR="00780563" w:rsidRDefault="00780563" w:rsidP="005C7FAB">
            <w:pPr>
              <w:pStyle w:val="NoSpacing"/>
              <w:rPr>
                <w:rFonts w:ascii="Times New Roman" w:hAnsi="Times New Roman" w:cs="Times New Roman"/>
                <w:lang w:val="en-GB"/>
              </w:rPr>
            </w:pPr>
          </w:p>
          <w:p w:rsidR="00780563" w:rsidRPr="00F84814" w:rsidRDefault="00780563" w:rsidP="005C7FAB">
            <w:pPr>
              <w:pStyle w:val="NoSpacing"/>
              <w:rPr>
                <w:rFonts w:ascii="Times New Roman" w:hAnsi="Times New Roman" w:cs="Times New Roman"/>
                <w:lang w:val="en-GB"/>
              </w:rPr>
            </w:pPr>
            <w:r w:rsidRPr="00F84814">
              <w:rPr>
                <w:rFonts w:ascii="Times New Roman" w:hAnsi="Times New Roman" w:cs="Times New Roman"/>
                <w:lang w:val="en-GB"/>
              </w:rPr>
              <w:t xml:space="preserve">How will you evaluate the relationship of the analysis variables to proficiency (e.g. variable selection toolkit, past experience)? </w:t>
            </w:r>
          </w:p>
        </w:tc>
        <w:tc>
          <w:tcPr>
            <w:tcW w:w="3299" w:type="pct"/>
            <w:gridSpan w:val="3"/>
            <w:tcBorders>
              <w:top w:val="single" w:sz="4" w:space="0" w:color="auto"/>
              <w:left w:val="nil"/>
              <w:bottom w:val="single" w:sz="4" w:space="0" w:color="auto"/>
              <w:right w:val="single" w:sz="4" w:space="0" w:color="auto"/>
            </w:tcBorders>
            <w:shd w:val="clear" w:color="auto" w:fill="auto"/>
            <w:hideMark/>
          </w:tcPr>
          <w:p w:rsidR="00780563" w:rsidRDefault="00780563" w:rsidP="00AE62E9">
            <w:pPr>
              <w:pStyle w:val="NoSpacing"/>
              <w:rPr>
                <w:rFonts w:ascii="Times New Roman" w:hAnsi="Times New Roman" w:cs="Times New Roman"/>
                <w:lang w:val="en-GB"/>
              </w:rPr>
            </w:pPr>
          </w:p>
          <w:p w:rsidR="00780563" w:rsidRPr="00F84814" w:rsidRDefault="00780563" w:rsidP="00AE62E9">
            <w:pPr>
              <w:pStyle w:val="NoSpacing"/>
              <w:rPr>
                <w:rFonts w:ascii="Times New Roman" w:hAnsi="Times New Roman" w:cs="Times New Roman"/>
                <w:lang w:val="en-GB"/>
              </w:rPr>
            </w:pPr>
            <w:r>
              <w:rPr>
                <w:rFonts w:ascii="Arial" w:hAnsi="Arial" w:cs="Arial"/>
                <w:sz w:val="20"/>
                <w:szCs w:val="20"/>
                <w:lang w:val="en-GB"/>
              </w:rPr>
              <w:t xml:space="preserve">We will use the PIAAC Consortium Variable Selection Toolkit to run a regression tree and/or regression model with field test data, using standardized </w:t>
            </w:r>
            <w:proofErr w:type="spellStart"/>
            <w:r>
              <w:rPr>
                <w:rFonts w:ascii="Arial" w:hAnsi="Arial" w:cs="Arial"/>
                <w:sz w:val="20"/>
                <w:szCs w:val="20"/>
                <w:lang w:val="en-GB"/>
              </w:rPr>
              <w:t>logit</w:t>
            </w:r>
            <w:proofErr w:type="spellEnd"/>
            <w:r>
              <w:rPr>
                <w:rFonts w:ascii="Arial" w:hAnsi="Arial" w:cs="Arial"/>
                <w:sz w:val="20"/>
                <w:szCs w:val="20"/>
                <w:lang w:val="en-GB"/>
              </w:rPr>
              <w:t xml:space="preserve"> scores (similar to proficiency scores) as the dependent variable and variables listed above as the predictors.  We will also review 2003 National Assessment of Adult Literacy (NAAL) and 2003 Adult Literacy and </w:t>
            </w:r>
            <w:proofErr w:type="spellStart"/>
            <w:r>
              <w:rPr>
                <w:rFonts w:ascii="Arial" w:hAnsi="Arial" w:cs="Arial"/>
                <w:sz w:val="20"/>
                <w:szCs w:val="20"/>
                <w:lang w:val="en-GB"/>
              </w:rPr>
              <w:t>Lifeskills</w:t>
            </w:r>
            <w:proofErr w:type="spellEnd"/>
            <w:r>
              <w:rPr>
                <w:rFonts w:ascii="Arial" w:hAnsi="Arial" w:cs="Arial"/>
                <w:sz w:val="20"/>
                <w:szCs w:val="20"/>
                <w:lang w:val="en-GB"/>
              </w:rPr>
              <w:t xml:space="preserve"> (ALL) survey for characteristics related to literacy.</w:t>
            </w:r>
          </w:p>
        </w:tc>
      </w:tr>
    </w:tbl>
    <w:p w:rsidR="00823DC8" w:rsidRDefault="00823DC8" w:rsidP="00823DC8">
      <w:pPr>
        <w:spacing w:after="0" w:line="240" w:lineRule="auto"/>
        <w:rPr>
          <w:rFonts w:ascii="Times New Roman" w:hAnsi="Times New Roman" w:cs="Times New Roman"/>
          <w:b/>
          <w:sz w:val="24"/>
          <w:lang w:val="en-GB"/>
        </w:rPr>
      </w:pPr>
    </w:p>
    <w:p w:rsidR="00823DC8" w:rsidRPr="00F13893" w:rsidRDefault="00823DC8" w:rsidP="00823DC8">
      <w:pPr>
        <w:spacing w:after="0" w:line="240" w:lineRule="auto"/>
        <w:rPr>
          <w:rFonts w:ascii="Times New Roman Bold" w:hAnsi="Times New Roman Bold" w:cs="Times New Roman"/>
          <w:b/>
          <w:smallCaps/>
          <w:sz w:val="24"/>
          <w:lang w:val="en-GB"/>
        </w:rPr>
      </w:pPr>
      <w:r w:rsidRPr="00F13893">
        <w:rPr>
          <w:rFonts w:ascii="Times New Roman Bold" w:hAnsi="Times New Roman Bold" w:cs="Times New Roman"/>
          <w:b/>
          <w:smallCaps/>
          <w:sz w:val="24"/>
          <w:lang w:val="en-GB"/>
        </w:rPr>
        <w:t>Basic NRBA*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6318"/>
      </w:tblGrid>
      <w:tr w:rsidR="00823DC8" w:rsidRPr="00F84814" w:rsidTr="00823DC8">
        <w:tc>
          <w:tcPr>
            <w:tcW w:w="1701" w:type="pct"/>
            <w:shd w:val="clear" w:color="auto" w:fill="auto"/>
            <w:noWrap/>
          </w:tcPr>
          <w:p w:rsidR="00823DC8" w:rsidRPr="00F84814" w:rsidRDefault="00823DC8" w:rsidP="00006FF5">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Describe the process to select variables for nonresponse weighting adjustments.</w:t>
            </w:r>
          </w:p>
        </w:tc>
        <w:tc>
          <w:tcPr>
            <w:tcW w:w="3299" w:type="pct"/>
            <w:shd w:val="clear" w:color="auto" w:fill="auto"/>
            <w:hideMark/>
          </w:tcPr>
          <w:p w:rsidR="00823DC8" w:rsidRPr="00F84814" w:rsidRDefault="00780563">
            <w:pPr>
              <w:spacing w:after="0" w:line="240" w:lineRule="auto"/>
              <w:rPr>
                <w:rFonts w:ascii="Times New Roman" w:eastAsia="Times New Roman" w:hAnsi="Times New Roman" w:cs="Times New Roman"/>
                <w:color w:val="000000"/>
                <w:lang w:val="en-GB"/>
              </w:rPr>
            </w:pPr>
            <w:r>
              <w:rPr>
                <w:rFonts w:ascii="Arial" w:hAnsi="Arial" w:cs="Arial"/>
                <w:color w:val="000000"/>
                <w:sz w:val="20"/>
                <w:szCs w:val="20"/>
                <w:lang w:val="en-GB"/>
              </w:rPr>
              <w:t>We will use a classification tree to perform a multivariate analysis of the relationship between response status and proficiency-related variables, as determined above.  Variables found to be related to both proficiency and response status will be used to form the nonresponse adjustment cells.</w:t>
            </w:r>
          </w:p>
        </w:tc>
      </w:tr>
      <w:tr w:rsidR="00823DC8" w:rsidRPr="00F84814" w:rsidTr="007836A6">
        <w:trPr>
          <w:cantSplit/>
        </w:trPr>
        <w:tc>
          <w:tcPr>
            <w:tcW w:w="1701" w:type="pct"/>
            <w:shd w:val="clear" w:color="auto" w:fill="auto"/>
            <w:noWrap/>
            <w:hideMark/>
          </w:tcPr>
          <w:p w:rsidR="00823DC8" w:rsidRPr="00F84814" w:rsidRDefault="00823DC8" w:rsidP="00823E5A">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lastRenderedPageBreak/>
              <w:t>B1: Response rates</w:t>
            </w:r>
          </w:p>
          <w:p w:rsidR="00823DC8" w:rsidRPr="00F84814" w:rsidRDefault="00823DC8" w:rsidP="00823E5A">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B2: Chi-square test</w:t>
            </w:r>
          </w:p>
          <w:p w:rsidR="00823DC8" w:rsidRPr="00F84814" w:rsidRDefault="00823DC8" w:rsidP="00823E5A">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B3: Classification tree</w:t>
            </w:r>
          </w:p>
          <w:p w:rsidR="00823DC8" w:rsidRPr="00F84814" w:rsidRDefault="00823DC8" w:rsidP="00823E5A">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i/>
                <w:color w:val="000000"/>
                <w:lang w:val="en-GB"/>
              </w:rPr>
              <w:t>B4: Logistic regression</w:t>
            </w:r>
            <w:r w:rsidRPr="00F84814">
              <w:rPr>
                <w:rFonts w:ascii="Times New Roman" w:eastAsia="Times New Roman" w:hAnsi="Times New Roman" w:cs="Times New Roman"/>
                <w:color w:val="000000"/>
                <w:lang w:val="en-GB"/>
              </w:rPr>
              <w:t xml:space="preserve"> </w:t>
            </w:r>
          </w:p>
          <w:p w:rsidR="00823DC8" w:rsidRPr="00F84814" w:rsidRDefault="00823DC8" w:rsidP="00823E5A">
            <w:pPr>
              <w:spacing w:after="0" w:line="240" w:lineRule="auto"/>
              <w:rPr>
                <w:rFonts w:ascii="Times New Roman" w:eastAsia="Times New Roman" w:hAnsi="Times New Roman" w:cs="Times New Roman"/>
                <w:color w:val="000000"/>
                <w:lang w:val="en-GB"/>
              </w:rPr>
            </w:pPr>
          </w:p>
          <w:p w:rsidR="00823DC8" w:rsidRPr="00F84814" w:rsidRDefault="00823DC8" w:rsidP="0047466C">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foresee any difficulties with producing the 4 required basic analyses for unit nonresponse bias (listed above), which should incorporate base weights and replicates (or variance strata/variance units) to properly account for the sample design?  If so, please explain.</w:t>
            </w:r>
          </w:p>
        </w:tc>
        <w:tc>
          <w:tcPr>
            <w:tcW w:w="3299" w:type="pct"/>
            <w:shd w:val="clear" w:color="auto" w:fill="auto"/>
            <w:hideMark/>
          </w:tcPr>
          <w:p w:rsidR="00823DC8" w:rsidRPr="00F84814" w:rsidRDefault="00823DC8">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bl>
    <w:p w:rsidR="007836A6" w:rsidRDefault="007836A6" w:rsidP="007836A6">
      <w:pPr>
        <w:rPr>
          <w:rFonts w:ascii="Times New Roman Bold" w:hAnsi="Times New Roman Bold" w:cs="Times New Roman"/>
          <w:b/>
          <w:smallCaps/>
          <w:sz w:val="24"/>
          <w:lang w:val="en-GB"/>
        </w:rPr>
      </w:pPr>
      <w:bookmarkStart w:id="0" w:name="_GoBack"/>
      <w:bookmarkEnd w:id="0"/>
    </w:p>
    <w:p w:rsidR="00823DC8" w:rsidRPr="00F13893" w:rsidRDefault="00823DC8" w:rsidP="007836A6">
      <w:pPr>
        <w:rPr>
          <w:rFonts w:ascii="Times New Roman Bold" w:hAnsi="Times New Roman Bold" w:cs="Times New Roman"/>
          <w:b/>
          <w:smallCaps/>
          <w:sz w:val="24"/>
          <w:lang w:val="en-GB"/>
        </w:rPr>
      </w:pPr>
      <w:r w:rsidRPr="00F13893">
        <w:rPr>
          <w:rFonts w:ascii="Times New Roman Bold" w:hAnsi="Times New Roman Bold" w:cs="Times New Roman"/>
          <w:b/>
          <w:smallCaps/>
          <w:sz w:val="24"/>
          <w:lang w:val="en-GB"/>
        </w:rPr>
        <w:t>Extended NRBA*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450"/>
        <w:gridCol w:w="2700"/>
        <w:gridCol w:w="3168"/>
      </w:tblGrid>
      <w:tr w:rsidR="00823DC8" w:rsidRPr="00F84814" w:rsidTr="00823DC8">
        <w:tc>
          <w:tcPr>
            <w:tcW w:w="1701" w:type="pct"/>
            <w:shd w:val="clear" w:color="auto" w:fill="auto"/>
            <w:noWrap/>
          </w:tcPr>
          <w:p w:rsidR="00823DC8" w:rsidRPr="00F84814" w:rsidRDefault="00823DC8" w:rsidP="0047466C">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anticipate an overall response rate of less than 70% or a response rate under 80% for any stage of data collection?  If Yes, answer the remaining “Extended NRBA” questions.  If No, skip to “Other Unit NRBA”.</w:t>
            </w:r>
          </w:p>
        </w:tc>
        <w:tc>
          <w:tcPr>
            <w:tcW w:w="3299" w:type="pct"/>
            <w:gridSpan w:val="3"/>
            <w:shd w:val="clear" w:color="auto" w:fill="auto"/>
            <w:hideMark/>
          </w:tcPr>
          <w:p w:rsidR="00823DC8" w:rsidRPr="00F84814" w:rsidRDefault="00780563">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It is possible the overall response rate will be below 70% or the response rate for a particular stage below 80%.  Therefore, we will respond to the questions on the extended NRBA.  We will conduct our procedures to meet both US NCES and PIAAC standards.</w:t>
            </w:r>
          </w:p>
        </w:tc>
      </w:tr>
      <w:tr w:rsidR="00823DC8" w:rsidRPr="00F84814" w:rsidTr="009B3FB1">
        <w:tc>
          <w:tcPr>
            <w:tcW w:w="1701" w:type="pct"/>
            <w:tcBorders>
              <w:bottom w:val="single" w:sz="4" w:space="0" w:color="auto"/>
            </w:tcBorders>
            <w:shd w:val="clear" w:color="auto" w:fill="auto"/>
            <w:noWrap/>
            <w:hideMark/>
          </w:tcPr>
          <w:p w:rsidR="00823DC8" w:rsidRPr="00F84814" w:rsidRDefault="00823DC8" w:rsidP="0073198C">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E1: Comparison of estimates before and after weighting adjustments</w:t>
            </w:r>
          </w:p>
          <w:p w:rsidR="00823DC8" w:rsidRPr="00F84814" w:rsidRDefault="00823DC8" w:rsidP="0073198C">
            <w:pPr>
              <w:spacing w:after="0" w:line="240" w:lineRule="auto"/>
              <w:rPr>
                <w:rFonts w:ascii="Times New Roman" w:eastAsia="Times New Roman" w:hAnsi="Times New Roman" w:cs="Times New Roman"/>
                <w:i/>
                <w:color w:val="000000"/>
                <w:lang w:val="en-GB"/>
              </w:rPr>
            </w:pPr>
          </w:p>
          <w:p w:rsidR="00823DC8" w:rsidRPr="00F84814" w:rsidRDefault="00823DC8" w:rsidP="0073198C">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color w:val="000000"/>
                <w:lang w:val="en-GB"/>
              </w:rPr>
              <w:t>How will you evaluate the effect of weighting adjustments on estimates of your analysis variables?</w:t>
            </w:r>
          </w:p>
        </w:tc>
        <w:tc>
          <w:tcPr>
            <w:tcW w:w="3299" w:type="pct"/>
            <w:gridSpan w:val="3"/>
            <w:shd w:val="clear" w:color="auto" w:fill="auto"/>
            <w:hideMark/>
          </w:tcPr>
          <w:p w:rsidR="00823DC8" w:rsidRPr="00F84814" w:rsidRDefault="00780563">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We will compute estimates at each stage of weighting and flag ones that are over 2 standard errors away from the estimate at the previous weighting stage.  Flagged estimates will be reviewed as to the reason for the difference.</w:t>
            </w:r>
          </w:p>
        </w:tc>
      </w:tr>
      <w:tr w:rsidR="00823DC8" w:rsidRPr="00F84814" w:rsidTr="00780563">
        <w:tc>
          <w:tcPr>
            <w:tcW w:w="1701" w:type="pct"/>
            <w:tcBorders>
              <w:bottom w:val="nil"/>
            </w:tcBorders>
            <w:shd w:val="clear" w:color="auto" w:fill="auto"/>
            <w:noWrap/>
            <w:hideMark/>
          </w:tcPr>
          <w:p w:rsidR="00823DC8" w:rsidRPr="00F84814" w:rsidRDefault="00823DC8" w:rsidP="006D57A2">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E2: Comparison to external totals</w:t>
            </w:r>
          </w:p>
          <w:p w:rsidR="00823DC8" w:rsidRPr="00F84814" w:rsidRDefault="00823DC8" w:rsidP="00DA2E02">
            <w:pPr>
              <w:spacing w:after="0" w:line="240" w:lineRule="auto"/>
              <w:rPr>
                <w:rFonts w:ascii="Times New Roman" w:eastAsia="Times New Roman" w:hAnsi="Times New Roman" w:cs="Times New Roman"/>
                <w:i/>
                <w:color w:val="000000"/>
                <w:lang w:val="en-GB"/>
              </w:rPr>
            </w:pPr>
          </w:p>
        </w:tc>
        <w:tc>
          <w:tcPr>
            <w:tcW w:w="3299" w:type="pct"/>
            <w:gridSpan w:val="3"/>
            <w:shd w:val="clear" w:color="auto" w:fill="auto"/>
            <w:vAlign w:val="bottom"/>
            <w:hideMark/>
          </w:tcPr>
          <w:p w:rsidR="00823DC8" w:rsidRPr="00F84814" w:rsidRDefault="00780563" w:rsidP="00780563">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Possibilities include:</w:t>
            </w:r>
          </w:p>
        </w:tc>
      </w:tr>
      <w:tr w:rsidR="009D6323" w:rsidRPr="00F84814" w:rsidTr="00BA2FAA">
        <w:tc>
          <w:tcPr>
            <w:tcW w:w="1701" w:type="pct"/>
            <w:vMerge w:val="restart"/>
            <w:tcBorders>
              <w:top w:val="nil"/>
            </w:tcBorders>
            <w:shd w:val="clear" w:color="auto" w:fill="auto"/>
            <w:noWrap/>
            <w:hideMark/>
          </w:tcPr>
          <w:p w:rsidR="009D6323" w:rsidRPr="00F84814" w:rsidRDefault="009D6323" w:rsidP="006D57A2">
            <w:pPr>
              <w:pStyle w:val="ListParagraph"/>
              <w:numPr>
                <w:ilvl w:val="0"/>
                <w:numId w:val="3"/>
              </w:numPr>
              <w:spacing w:after="0" w:line="240" w:lineRule="auto"/>
              <w:ind w:left="360"/>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What external estimates are available for comparison with final weighted PIAAC estimates?  Note that these should be variables that were not used in calibration or that have different categories.</w:t>
            </w:r>
          </w:p>
        </w:tc>
        <w:tc>
          <w:tcPr>
            <w:tcW w:w="235" w:type="pct"/>
            <w:shd w:val="clear" w:color="auto" w:fill="auto"/>
            <w:hideMark/>
          </w:tcPr>
          <w:p w:rsidR="009D6323" w:rsidRPr="00F84814" w:rsidRDefault="009D6323">
            <w:pPr>
              <w:spacing w:after="0" w:line="240" w:lineRule="auto"/>
              <w:rPr>
                <w:rFonts w:ascii="Times New Roman" w:eastAsia="Times New Roman" w:hAnsi="Times New Roman" w:cs="Times New Roman"/>
                <w:color w:val="000000"/>
                <w:lang w:val="en-GB"/>
              </w:rPr>
            </w:pPr>
          </w:p>
        </w:tc>
        <w:tc>
          <w:tcPr>
            <w:tcW w:w="1410" w:type="pct"/>
            <w:shd w:val="clear" w:color="auto" w:fill="auto"/>
            <w:vAlign w:val="bottom"/>
          </w:tcPr>
          <w:p w:rsidR="009D6323" w:rsidRPr="00F84814" w:rsidRDefault="009D6323" w:rsidP="006D57A2">
            <w:pPr>
              <w:spacing w:after="0" w:line="240" w:lineRule="auto"/>
              <w:jc w:val="center"/>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Data Source</w:t>
            </w:r>
          </w:p>
        </w:tc>
        <w:tc>
          <w:tcPr>
            <w:tcW w:w="1654" w:type="pct"/>
            <w:shd w:val="clear" w:color="auto" w:fill="auto"/>
            <w:vAlign w:val="bottom"/>
          </w:tcPr>
          <w:p w:rsidR="009D6323" w:rsidRPr="00F84814" w:rsidRDefault="009D6323" w:rsidP="006D57A2">
            <w:pPr>
              <w:spacing w:after="0" w:line="240" w:lineRule="auto"/>
              <w:jc w:val="center"/>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Estimates</w:t>
            </w:r>
          </w:p>
        </w:tc>
      </w:tr>
      <w:tr w:rsidR="00780563" w:rsidRPr="00F84814" w:rsidTr="00BA2FAA">
        <w:tc>
          <w:tcPr>
            <w:tcW w:w="1701" w:type="pct"/>
            <w:vMerge/>
            <w:shd w:val="clear" w:color="auto" w:fill="auto"/>
            <w:noWrap/>
            <w:hideMark/>
          </w:tcPr>
          <w:p w:rsidR="00780563" w:rsidRPr="00F84814" w:rsidRDefault="00780563" w:rsidP="006D57A2">
            <w:pPr>
              <w:pStyle w:val="ListParagraph"/>
              <w:numPr>
                <w:ilvl w:val="0"/>
                <w:numId w:val="3"/>
              </w:numPr>
              <w:spacing w:after="0" w:line="240" w:lineRule="auto"/>
              <w:ind w:left="360"/>
              <w:rPr>
                <w:rFonts w:ascii="Times New Roman" w:eastAsia="Times New Roman" w:hAnsi="Times New Roman" w:cs="Times New Roman"/>
                <w:color w:val="000000"/>
                <w:lang w:val="en-GB"/>
              </w:rPr>
            </w:pPr>
          </w:p>
        </w:tc>
        <w:tc>
          <w:tcPr>
            <w:tcW w:w="235" w:type="pct"/>
            <w:shd w:val="clear" w:color="auto" w:fill="auto"/>
            <w:hideMark/>
          </w:tcPr>
          <w:p w:rsidR="00780563" w:rsidRPr="00F84814" w:rsidRDefault="00780563">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1</w:t>
            </w:r>
          </w:p>
        </w:tc>
        <w:tc>
          <w:tcPr>
            <w:tcW w:w="1410" w:type="pct"/>
            <w:shd w:val="clear" w:color="auto" w:fill="auto"/>
          </w:tcPr>
          <w:p w:rsidR="00780563" w:rsidRPr="00006FF5" w:rsidRDefault="00780563" w:rsidP="00BA2FAA">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2011 or 2012 American Community Survey</w:t>
            </w:r>
          </w:p>
        </w:tc>
        <w:tc>
          <w:tcPr>
            <w:tcW w:w="1654" w:type="pct"/>
            <w:shd w:val="clear" w:color="auto" w:fill="auto"/>
          </w:tcPr>
          <w:p w:rsidR="00780563" w:rsidRPr="00006FF5" w:rsidRDefault="00780563" w:rsidP="00BA2FAA">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Employment status and occupation category. Also, </w:t>
            </w:r>
            <w:r w:rsidR="00AF00BC">
              <w:rPr>
                <w:rFonts w:ascii="Arial" w:eastAsia="Times New Roman" w:hAnsi="Arial" w:cs="Arial"/>
                <w:color w:val="000000"/>
                <w:sz w:val="20"/>
                <w:szCs w:val="20"/>
                <w:lang w:val="en-GB"/>
              </w:rPr>
              <w:t xml:space="preserve">we will compare totals by </w:t>
            </w:r>
            <w:r>
              <w:rPr>
                <w:rFonts w:ascii="Arial" w:eastAsia="Times New Roman" w:hAnsi="Arial" w:cs="Arial"/>
                <w:color w:val="000000"/>
                <w:sz w:val="20"/>
                <w:szCs w:val="20"/>
                <w:lang w:val="en-GB"/>
              </w:rPr>
              <w:t>education and age</w:t>
            </w:r>
            <w:r w:rsidR="00AF00BC">
              <w:rPr>
                <w:rFonts w:ascii="Arial" w:eastAsia="Times New Roman" w:hAnsi="Arial" w:cs="Arial"/>
                <w:color w:val="000000"/>
                <w:sz w:val="20"/>
                <w:szCs w:val="20"/>
                <w:lang w:val="en-GB"/>
              </w:rPr>
              <w:t>,</w:t>
            </w:r>
            <w:r>
              <w:rPr>
                <w:rFonts w:ascii="Arial" w:eastAsia="Times New Roman" w:hAnsi="Arial" w:cs="Arial"/>
                <w:color w:val="000000"/>
                <w:sz w:val="20"/>
                <w:szCs w:val="20"/>
                <w:lang w:val="en-GB"/>
              </w:rPr>
              <w:t xml:space="preserve"> with different categories than were used in calibration.</w:t>
            </w:r>
          </w:p>
        </w:tc>
      </w:tr>
      <w:tr w:rsidR="00780563" w:rsidRPr="00F84814" w:rsidTr="00BA2FAA">
        <w:tc>
          <w:tcPr>
            <w:tcW w:w="1701" w:type="pct"/>
            <w:vMerge/>
            <w:shd w:val="clear" w:color="auto" w:fill="auto"/>
            <w:noWrap/>
            <w:hideMark/>
          </w:tcPr>
          <w:p w:rsidR="00780563" w:rsidRPr="00F84814" w:rsidRDefault="00780563" w:rsidP="006D57A2">
            <w:pPr>
              <w:pStyle w:val="ListParagraph"/>
              <w:numPr>
                <w:ilvl w:val="0"/>
                <w:numId w:val="3"/>
              </w:numPr>
              <w:spacing w:after="0" w:line="240" w:lineRule="auto"/>
              <w:ind w:left="360"/>
              <w:rPr>
                <w:rFonts w:ascii="Times New Roman" w:eastAsia="Times New Roman" w:hAnsi="Times New Roman" w:cs="Times New Roman"/>
                <w:color w:val="000000"/>
                <w:lang w:val="en-GB"/>
              </w:rPr>
            </w:pPr>
          </w:p>
        </w:tc>
        <w:tc>
          <w:tcPr>
            <w:tcW w:w="235" w:type="pct"/>
            <w:shd w:val="clear" w:color="auto" w:fill="auto"/>
            <w:hideMark/>
          </w:tcPr>
          <w:p w:rsidR="00780563" w:rsidRPr="00F84814" w:rsidRDefault="00780563">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2</w:t>
            </w:r>
          </w:p>
        </w:tc>
        <w:tc>
          <w:tcPr>
            <w:tcW w:w="1410" w:type="pct"/>
            <w:shd w:val="clear" w:color="auto" w:fill="auto"/>
          </w:tcPr>
          <w:p w:rsidR="00780563" w:rsidRPr="00006FF5" w:rsidRDefault="00780563" w:rsidP="00BA2FAA">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2010 Census</w:t>
            </w:r>
          </w:p>
        </w:tc>
        <w:tc>
          <w:tcPr>
            <w:tcW w:w="1654" w:type="pct"/>
            <w:shd w:val="clear" w:color="auto" w:fill="auto"/>
          </w:tcPr>
          <w:p w:rsidR="00780563" w:rsidRPr="00006FF5" w:rsidRDefault="00780563" w:rsidP="00BA2FAA">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Census division</w:t>
            </w:r>
          </w:p>
        </w:tc>
      </w:tr>
      <w:tr w:rsidR="00780563" w:rsidRPr="00F84814" w:rsidTr="009D6323">
        <w:trPr>
          <w:trHeight w:val="260"/>
        </w:trPr>
        <w:tc>
          <w:tcPr>
            <w:tcW w:w="1701" w:type="pct"/>
            <w:vMerge/>
            <w:shd w:val="clear" w:color="auto" w:fill="auto"/>
            <w:noWrap/>
            <w:hideMark/>
          </w:tcPr>
          <w:p w:rsidR="00780563" w:rsidRPr="00F84814" w:rsidRDefault="00780563" w:rsidP="006D57A2">
            <w:pPr>
              <w:pStyle w:val="ListParagraph"/>
              <w:numPr>
                <w:ilvl w:val="0"/>
                <w:numId w:val="3"/>
              </w:numPr>
              <w:spacing w:after="0" w:line="240" w:lineRule="auto"/>
              <w:ind w:left="360"/>
              <w:rPr>
                <w:rFonts w:ascii="Times New Roman" w:eastAsia="Times New Roman" w:hAnsi="Times New Roman" w:cs="Times New Roman"/>
                <w:color w:val="000000"/>
                <w:lang w:val="en-GB"/>
              </w:rPr>
            </w:pPr>
          </w:p>
        </w:tc>
        <w:tc>
          <w:tcPr>
            <w:tcW w:w="235" w:type="pct"/>
            <w:tcBorders>
              <w:bottom w:val="single" w:sz="4" w:space="0" w:color="auto"/>
            </w:tcBorders>
            <w:shd w:val="clear" w:color="auto" w:fill="auto"/>
            <w:hideMark/>
          </w:tcPr>
          <w:p w:rsidR="00780563" w:rsidRPr="00F84814" w:rsidRDefault="00780563">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3</w:t>
            </w:r>
          </w:p>
        </w:tc>
        <w:tc>
          <w:tcPr>
            <w:tcW w:w="1410" w:type="pct"/>
            <w:tcBorders>
              <w:bottom w:val="single" w:sz="4" w:space="0" w:color="auto"/>
            </w:tcBorders>
            <w:shd w:val="clear" w:color="auto" w:fill="auto"/>
          </w:tcPr>
          <w:p w:rsidR="00780563" w:rsidRPr="00006FF5" w:rsidRDefault="00780563" w:rsidP="00BA2FAA">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Other</w:t>
            </w:r>
          </w:p>
        </w:tc>
        <w:tc>
          <w:tcPr>
            <w:tcW w:w="1654" w:type="pct"/>
            <w:tcBorders>
              <w:bottom w:val="single" w:sz="4" w:space="0" w:color="auto"/>
            </w:tcBorders>
            <w:shd w:val="clear" w:color="auto" w:fill="auto"/>
          </w:tcPr>
          <w:p w:rsidR="00780563" w:rsidRPr="00006FF5" w:rsidRDefault="00780563" w:rsidP="00BA2FAA">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Also considering: ever used a computer, language spoken at home, income category</w:t>
            </w:r>
          </w:p>
        </w:tc>
      </w:tr>
      <w:tr w:rsidR="00780563" w:rsidRPr="00F84814" w:rsidTr="009D6323">
        <w:trPr>
          <w:trHeight w:val="487"/>
        </w:trPr>
        <w:tc>
          <w:tcPr>
            <w:tcW w:w="1701" w:type="pct"/>
            <w:vMerge/>
            <w:tcBorders>
              <w:bottom w:val="nil"/>
              <w:right w:val="single" w:sz="4" w:space="0" w:color="auto"/>
            </w:tcBorders>
            <w:shd w:val="clear" w:color="auto" w:fill="auto"/>
            <w:noWrap/>
            <w:hideMark/>
          </w:tcPr>
          <w:p w:rsidR="00780563" w:rsidRPr="00F84814" w:rsidRDefault="00780563" w:rsidP="006D57A2">
            <w:pPr>
              <w:pStyle w:val="ListParagraph"/>
              <w:numPr>
                <w:ilvl w:val="0"/>
                <w:numId w:val="3"/>
              </w:numPr>
              <w:spacing w:after="0" w:line="240" w:lineRule="auto"/>
              <w:ind w:left="360"/>
              <w:rPr>
                <w:rFonts w:ascii="Times New Roman" w:eastAsia="Times New Roman" w:hAnsi="Times New Roman" w:cs="Times New Roman"/>
                <w:color w:val="000000"/>
                <w:lang w:val="en-GB"/>
              </w:rPr>
            </w:pPr>
          </w:p>
        </w:tc>
        <w:tc>
          <w:tcPr>
            <w:tcW w:w="235" w:type="pct"/>
            <w:tcBorders>
              <w:left w:val="single" w:sz="4" w:space="0" w:color="auto"/>
              <w:bottom w:val="nil"/>
              <w:right w:val="nil"/>
            </w:tcBorders>
            <w:shd w:val="clear" w:color="auto" w:fill="auto"/>
            <w:hideMark/>
          </w:tcPr>
          <w:p w:rsidR="00780563" w:rsidRPr="00F84814" w:rsidRDefault="00780563">
            <w:pPr>
              <w:spacing w:after="0" w:line="240" w:lineRule="auto"/>
              <w:rPr>
                <w:rFonts w:ascii="Times New Roman" w:eastAsia="Times New Roman" w:hAnsi="Times New Roman" w:cs="Times New Roman"/>
                <w:color w:val="000000"/>
                <w:lang w:val="en-GB"/>
              </w:rPr>
            </w:pPr>
          </w:p>
        </w:tc>
        <w:tc>
          <w:tcPr>
            <w:tcW w:w="1410" w:type="pct"/>
            <w:tcBorders>
              <w:left w:val="nil"/>
              <w:bottom w:val="nil"/>
              <w:right w:val="nil"/>
            </w:tcBorders>
            <w:shd w:val="clear" w:color="auto" w:fill="auto"/>
          </w:tcPr>
          <w:p w:rsidR="00780563" w:rsidRPr="00F84814" w:rsidRDefault="00780563">
            <w:pPr>
              <w:spacing w:after="0" w:line="240" w:lineRule="auto"/>
              <w:rPr>
                <w:rFonts w:ascii="Times New Roman" w:eastAsia="Times New Roman" w:hAnsi="Times New Roman" w:cs="Times New Roman"/>
                <w:color w:val="000000"/>
                <w:lang w:val="en-GB"/>
              </w:rPr>
            </w:pPr>
          </w:p>
        </w:tc>
        <w:tc>
          <w:tcPr>
            <w:tcW w:w="1654" w:type="pct"/>
            <w:tcBorders>
              <w:left w:val="nil"/>
              <w:bottom w:val="nil"/>
              <w:right w:val="single" w:sz="4" w:space="0" w:color="auto"/>
            </w:tcBorders>
            <w:shd w:val="clear" w:color="auto" w:fill="auto"/>
          </w:tcPr>
          <w:p w:rsidR="00780563" w:rsidRPr="00F84814" w:rsidRDefault="00780563">
            <w:pPr>
              <w:spacing w:after="0" w:line="240" w:lineRule="auto"/>
              <w:rPr>
                <w:rFonts w:ascii="Times New Roman" w:eastAsia="Times New Roman" w:hAnsi="Times New Roman" w:cs="Times New Roman"/>
                <w:color w:val="000000"/>
                <w:lang w:val="en-GB"/>
              </w:rPr>
            </w:pPr>
          </w:p>
        </w:tc>
      </w:tr>
      <w:tr w:rsidR="00780563" w:rsidRPr="00F84814" w:rsidTr="009D6323">
        <w:tc>
          <w:tcPr>
            <w:tcW w:w="1701" w:type="pct"/>
            <w:tcBorders>
              <w:top w:val="nil"/>
            </w:tcBorders>
            <w:shd w:val="clear" w:color="auto" w:fill="auto"/>
            <w:noWrap/>
            <w:hideMark/>
          </w:tcPr>
          <w:p w:rsidR="00780563" w:rsidRDefault="00780563" w:rsidP="006D57A2">
            <w:pPr>
              <w:spacing w:after="0" w:line="240" w:lineRule="auto"/>
              <w:ind w:left="360" w:hanging="360"/>
              <w:rPr>
                <w:rFonts w:ascii="Times New Roman" w:eastAsia="Times New Roman" w:hAnsi="Times New Roman" w:cs="Times New Roman"/>
                <w:color w:val="000000"/>
                <w:lang w:val="en-GB"/>
              </w:rPr>
            </w:pPr>
          </w:p>
          <w:p w:rsidR="00780563" w:rsidRPr="00F84814" w:rsidRDefault="00780563" w:rsidP="006D57A2">
            <w:pPr>
              <w:spacing w:after="0" w:line="240" w:lineRule="auto"/>
              <w:ind w:left="360" w:hanging="360"/>
              <w:rPr>
                <w:rFonts w:ascii="Times New Roman" w:eastAsia="Times New Roman" w:hAnsi="Times New Roman" w:cs="Times New Roman"/>
                <w:i/>
                <w:color w:val="000000"/>
                <w:lang w:val="en-GB"/>
              </w:rPr>
            </w:pPr>
            <w:r w:rsidRPr="00F84814">
              <w:rPr>
                <w:rFonts w:ascii="Times New Roman" w:eastAsia="Times New Roman" w:hAnsi="Times New Roman" w:cs="Times New Roman"/>
                <w:color w:val="000000"/>
                <w:lang w:val="en-GB"/>
              </w:rPr>
              <w:t>b.)  How will you perform this comparison?</w:t>
            </w:r>
          </w:p>
        </w:tc>
        <w:tc>
          <w:tcPr>
            <w:tcW w:w="3299" w:type="pct"/>
            <w:gridSpan w:val="3"/>
            <w:tcBorders>
              <w:top w:val="nil"/>
            </w:tcBorders>
            <w:shd w:val="clear" w:color="auto" w:fill="auto"/>
            <w:hideMark/>
          </w:tcPr>
          <w:p w:rsidR="00780563" w:rsidRPr="00F84814" w:rsidRDefault="00780563" w:rsidP="00AE62E9">
            <w:pPr>
              <w:spacing w:after="0" w:line="240" w:lineRule="auto"/>
              <w:rPr>
                <w:rFonts w:ascii="Times New Roman" w:eastAsia="Times New Roman" w:hAnsi="Times New Roman" w:cs="Times New Roman"/>
                <w:color w:val="000000"/>
                <w:lang w:val="en-GB"/>
              </w:rPr>
            </w:pPr>
          </w:p>
          <w:p w:rsidR="00780563" w:rsidRPr="00F84814" w:rsidRDefault="00780563" w:rsidP="00AE62E9">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T-tests will be used to compare estimates from PIAAC and the external source.</w:t>
            </w:r>
          </w:p>
        </w:tc>
      </w:tr>
      <w:tr w:rsidR="00780563" w:rsidRPr="00F84814" w:rsidTr="007836A6">
        <w:trPr>
          <w:cantSplit/>
        </w:trPr>
        <w:tc>
          <w:tcPr>
            <w:tcW w:w="1701" w:type="pct"/>
            <w:shd w:val="clear" w:color="auto" w:fill="auto"/>
            <w:noWrap/>
            <w:hideMark/>
          </w:tcPr>
          <w:p w:rsidR="00780563" w:rsidRPr="00F84814" w:rsidRDefault="00780563" w:rsidP="00A35CC6">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lastRenderedPageBreak/>
              <w:t>E3: Correlations</w:t>
            </w:r>
          </w:p>
          <w:p w:rsidR="00780563" w:rsidRPr="00F84814" w:rsidRDefault="00780563" w:rsidP="00A35CC6">
            <w:pPr>
              <w:spacing w:after="0" w:line="240" w:lineRule="auto"/>
              <w:rPr>
                <w:rFonts w:ascii="Times New Roman" w:eastAsia="Times New Roman" w:hAnsi="Times New Roman" w:cs="Times New Roman"/>
                <w:color w:val="000000"/>
                <w:lang w:val="en-GB"/>
              </w:rPr>
            </w:pPr>
          </w:p>
          <w:p w:rsidR="00780563" w:rsidRPr="00F84814" w:rsidRDefault="00780563" w:rsidP="0096187E">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foresee any difficulties with computing correlations of your analysis variables and proficiency scores? If so, please explain.</w:t>
            </w:r>
          </w:p>
        </w:tc>
        <w:tc>
          <w:tcPr>
            <w:tcW w:w="3299" w:type="pct"/>
            <w:gridSpan w:val="3"/>
            <w:shd w:val="clear" w:color="auto" w:fill="auto"/>
            <w:hideMark/>
          </w:tcPr>
          <w:p w:rsidR="00780563" w:rsidRPr="00F84814" w:rsidRDefault="00780563" w:rsidP="00AE62E9">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r w:rsidR="00780563" w:rsidRPr="00F84814" w:rsidTr="009D6323">
        <w:tc>
          <w:tcPr>
            <w:tcW w:w="1701" w:type="pct"/>
            <w:shd w:val="clear" w:color="auto" w:fill="auto"/>
            <w:noWrap/>
            <w:hideMark/>
          </w:tcPr>
          <w:p w:rsidR="00780563" w:rsidRPr="00F84814" w:rsidRDefault="00780563" w:rsidP="00A35CC6">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E4: Alternative weights</w:t>
            </w:r>
          </w:p>
          <w:p w:rsidR="00780563" w:rsidRPr="00F84814" w:rsidRDefault="00780563" w:rsidP="00A35CC6">
            <w:pPr>
              <w:spacing w:after="0" w:line="240" w:lineRule="auto"/>
              <w:rPr>
                <w:rFonts w:ascii="Times New Roman" w:eastAsia="Times New Roman" w:hAnsi="Times New Roman" w:cs="Times New Roman"/>
                <w:i/>
                <w:color w:val="000000"/>
                <w:lang w:val="en-GB"/>
              </w:rPr>
            </w:pPr>
          </w:p>
          <w:p w:rsidR="00780563" w:rsidRPr="00F84814" w:rsidRDefault="00780563" w:rsidP="005C7FAB">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foresee any difficulties with comparing proficiency estimates under alternative weighting adjustments?</w:t>
            </w:r>
          </w:p>
        </w:tc>
        <w:tc>
          <w:tcPr>
            <w:tcW w:w="3299" w:type="pct"/>
            <w:gridSpan w:val="3"/>
            <w:tcBorders>
              <w:bottom w:val="single" w:sz="4" w:space="0" w:color="auto"/>
            </w:tcBorders>
            <w:shd w:val="clear" w:color="auto" w:fill="auto"/>
            <w:hideMark/>
          </w:tcPr>
          <w:p w:rsidR="00780563" w:rsidRPr="00F84814" w:rsidRDefault="00780563" w:rsidP="00AE62E9">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r w:rsidR="00780563" w:rsidRPr="00F84814" w:rsidTr="009D6323">
        <w:tc>
          <w:tcPr>
            <w:tcW w:w="1701" w:type="pct"/>
            <w:tcBorders>
              <w:bottom w:val="nil"/>
            </w:tcBorders>
            <w:shd w:val="clear" w:color="auto" w:fill="auto"/>
            <w:noWrap/>
            <w:hideMark/>
          </w:tcPr>
          <w:p w:rsidR="00780563" w:rsidRPr="00F84814" w:rsidRDefault="00780563" w:rsidP="0073198C">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E5: Analysis of variables collected during data collection</w:t>
            </w:r>
          </w:p>
        </w:tc>
        <w:tc>
          <w:tcPr>
            <w:tcW w:w="3299" w:type="pct"/>
            <w:gridSpan w:val="3"/>
            <w:tcBorders>
              <w:bottom w:val="nil"/>
            </w:tcBorders>
            <w:shd w:val="clear" w:color="auto" w:fill="auto"/>
            <w:hideMark/>
          </w:tcPr>
          <w:p w:rsidR="00780563" w:rsidRPr="00F84814" w:rsidRDefault="00780563" w:rsidP="00AE62E9">
            <w:pPr>
              <w:spacing w:after="0" w:line="240" w:lineRule="auto"/>
              <w:rPr>
                <w:rFonts w:ascii="Times New Roman" w:eastAsia="Times New Roman" w:hAnsi="Times New Roman" w:cs="Times New Roman"/>
                <w:color w:val="000000"/>
                <w:lang w:val="en-GB"/>
              </w:rPr>
            </w:pPr>
          </w:p>
        </w:tc>
      </w:tr>
      <w:tr w:rsidR="00780563" w:rsidRPr="00F84814" w:rsidTr="009D6323">
        <w:tc>
          <w:tcPr>
            <w:tcW w:w="1701" w:type="pct"/>
            <w:tcBorders>
              <w:top w:val="nil"/>
              <w:bottom w:val="nil"/>
            </w:tcBorders>
            <w:shd w:val="clear" w:color="auto" w:fill="auto"/>
            <w:noWrap/>
            <w:hideMark/>
          </w:tcPr>
          <w:p w:rsidR="00780563" w:rsidRDefault="00780563" w:rsidP="00823DC8">
            <w:pPr>
              <w:spacing w:after="0" w:line="240" w:lineRule="auto"/>
              <w:rPr>
                <w:rFonts w:ascii="Times New Roman" w:eastAsia="Times New Roman" w:hAnsi="Times New Roman" w:cs="Times New Roman"/>
                <w:color w:val="000000"/>
                <w:lang w:val="en-GB"/>
              </w:rPr>
            </w:pPr>
          </w:p>
          <w:p w:rsidR="00780563" w:rsidRPr="009D6323" w:rsidRDefault="00780563" w:rsidP="009D6323">
            <w:pPr>
              <w:spacing w:after="0" w:line="240" w:lineRule="auto"/>
              <w:ind w:left="360" w:hanging="360"/>
              <w:rPr>
                <w:rFonts w:ascii="Times New Roman" w:eastAsia="Times New Roman" w:hAnsi="Times New Roman" w:cs="Times New Roman"/>
                <w:color w:val="000000"/>
                <w:lang w:val="en-GB"/>
              </w:rPr>
            </w:pPr>
            <w:r w:rsidRPr="009D6323">
              <w:rPr>
                <w:rFonts w:ascii="Times New Roman" w:eastAsia="Times New Roman" w:hAnsi="Times New Roman" w:cs="Times New Roman"/>
                <w:color w:val="000000"/>
                <w:lang w:val="en-GB"/>
              </w:rPr>
              <w:t>a.</w:t>
            </w:r>
            <w:r>
              <w:rPr>
                <w:rFonts w:ascii="Times New Roman" w:eastAsia="Times New Roman" w:hAnsi="Times New Roman" w:cs="Times New Roman"/>
                <w:color w:val="000000"/>
                <w:lang w:val="en-GB"/>
              </w:rPr>
              <w:t xml:space="preserve">) </w:t>
            </w:r>
            <w:r w:rsidRPr="009D6323">
              <w:rPr>
                <w:rFonts w:ascii="Times New Roman" w:eastAsia="Times New Roman" w:hAnsi="Times New Roman" w:cs="Times New Roman"/>
                <w:color w:val="000000"/>
                <w:lang w:val="en-GB"/>
              </w:rPr>
              <w:t>Do you foresee any difficulties with conducting a chi-square test to compare characteristics of literacy-related cases to other nonrespondents?</w:t>
            </w:r>
          </w:p>
          <w:p w:rsidR="00780563" w:rsidRPr="00F84814" w:rsidRDefault="00780563" w:rsidP="00823DC8">
            <w:pPr>
              <w:spacing w:after="0" w:line="240" w:lineRule="auto"/>
              <w:rPr>
                <w:rFonts w:ascii="Times New Roman" w:eastAsia="Times New Roman" w:hAnsi="Times New Roman" w:cs="Times New Roman"/>
                <w:color w:val="000000"/>
                <w:lang w:val="en-GB"/>
              </w:rPr>
            </w:pPr>
          </w:p>
        </w:tc>
        <w:tc>
          <w:tcPr>
            <w:tcW w:w="3299" w:type="pct"/>
            <w:gridSpan w:val="3"/>
            <w:tcBorders>
              <w:top w:val="nil"/>
              <w:bottom w:val="nil"/>
            </w:tcBorders>
            <w:shd w:val="clear" w:color="auto" w:fill="auto"/>
            <w:hideMark/>
          </w:tcPr>
          <w:p w:rsidR="00780563" w:rsidRDefault="00780563" w:rsidP="00AE62E9">
            <w:pPr>
              <w:spacing w:after="0" w:line="240" w:lineRule="auto"/>
              <w:rPr>
                <w:rFonts w:ascii="Times New Roman" w:eastAsia="Times New Roman" w:hAnsi="Times New Roman" w:cs="Times New Roman"/>
                <w:color w:val="000000"/>
                <w:lang w:val="en-GB"/>
              </w:rPr>
            </w:pPr>
          </w:p>
          <w:p w:rsidR="00780563" w:rsidRDefault="00780563" w:rsidP="000B4125">
            <w:pPr>
              <w:spacing w:after="0" w:line="240" w:lineRule="auto"/>
              <w:rPr>
                <w:rFonts w:ascii="Arial" w:eastAsia="Times New Roman" w:hAnsi="Arial" w:cs="Arial"/>
                <w:color w:val="000000"/>
                <w:sz w:val="20"/>
                <w:szCs w:val="20"/>
                <w:lang w:val="en-GB"/>
              </w:rPr>
            </w:pPr>
            <w:r w:rsidRPr="00FC2FED">
              <w:rPr>
                <w:rFonts w:ascii="Arial" w:eastAsia="Times New Roman" w:hAnsi="Arial" w:cs="Arial"/>
                <w:color w:val="000000"/>
                <w:sz w:val="20"/>
                <w:szCs w:val="20"/>
                <w:lang w:val="en-GB"/>
              </w:rPr>
              <w:t>No</w:t>
            </w:r>
            <w:r w:rsidR="00BA2FAA" w:rsidRPr="00FC2FED">
              <w:rPr>
                <w:rFonts w:ascii="Arial" w:eastAsia="Times New Roman" w:hAnsi="Arial" w:cs="Arial"/>
                <w:color w:val="000000"/>
                <w:sz w:val="20"/>
                <w:szCs w:val="20"/>
                <w:lang w:val="en-GB"/>
              </w:rPr>
              <w:t xml:space="preserve">.  </w:t>
            </w:r>
            <w:r w:rsidR="000B4125" w:rsidRPr="00FC2FED">
              <w:rPr>
                <w:rFonts w:ascii="Arial" w:eastAsia="Times New Roman" w:hAnsi="Arial" w:cs="Arial"/>
                <w:color w:val="000000"/>
                <w:sz w:val="20"/>
                <w:szCs w:val="20"/>
                <w:lang w:val="en-GB"/>
              </w:rPr>
              <w:t xml:space="preserve">This analysis will </w:t>
            </w:r>
            <w:r w:rsidR="00C26B9C">
              <w:rPr>
                <w:rFonts w:ascii="Arial" w:eastAsia="Times New Roman" w:hAnsi="Arial" w:cs="Arial"/>
                <w:color w:val="000000"/>
                <w:sz w:val="20"/>
                <w:szCs w:val="20"/>
                <w:lang w:val="en-GB"/>
              </w:rPr>
              <w:t xml:space="preserve">be similar to </w:t>
            </w:r>
            <w:r w:rsidR="000B4125" w:rsidRPr="00FC2FED">
              <w:rPr>
                <w:rFonts w:ascii="Arial" w:eastAsia="Times New Roman" w:hAnsi="Arial" w:cs="Arial"/>
                <w:color w:val="000000"/>
                <w:sz w:val="20"/>
                <w:szCs w:val="20"/>
                <w:lang w:val="en-GB"/>
              </w:rPr>
              <w:t xml:space="preserve">the 2003 NAAL Analysis of ESL Nonparticipants.  </w:t>
            </w:r>
            <w:r w:rsidR="00C26B9C">
              <w:rPr>
                <w:rFonts w:ascii="Arial" w:eastAsia="Times New Roman" w:hAnsi="Arial" w:cs="Arial"/>
                <w:color w:val="000000"/>
                <w:sz w:val="20"/>
                <w:szCs w:val="20"/>
                <w:lang w:val="en-GB"/>
              </w:rPr>
              <w:t xml:space="preserve">Weighted estimates of the analysis variables will be computed for the comparison groups.  For sampled persons, base weights will be used.  For </w:t>
            </w:r>
            <w:proofErr w:type="spellStart"/>
            <w:r w:rsidR="00C26B9C">
              <w:rPr>
                <w:rFonts w:ascii="Arial" w:eastAsia="Times New Roman" w:hAnsi="Arial" w:cs="Arial"/>
                <w:color w:val="000000"/>
                <w:sz w:val="20"/>
                <w:szCs w:val="20"/>
                <w:lang w:val="en-GB"/>
              </w:rPr>
              <w:t>nonresponding</w:t>
            </w:r>
            <w:proofErr w:type="spellEnd"/>
            <w:r w:rsidR="00C26B9C">
              <w:rPr>
                <w:rFonts w:ascii="Arial" w:eastAsia="Times New Roman" w:hAnsi="Arial" w:cs="Arial"/>
                <w:color w:val="000000"/>
                <w:sz w:val="20"/>
                <w:szCs w:val="20"/>
                <w:lang w:val="en-GB"/>
              </w:rPr>
              <w:t xml:space="preserve"> households, the base weights will be adjusted for unknown eligibility to represent only the </w:t>
            </w:r>
            <w:r w:rsidR="00C7047D">
              <w:rPr>
                <w:rFonts w:ascii="Arial" w:eastAsia="Times New Roman" w:hAnsi="Arial" w:cs="Arial"/>
                <w:color w:val="000000"/>
                <w:sz w:val="20"/>
                <w:szCs w:val="20"/>
                <w:lang w:val="en-GB"/>
              </w:rPr>
              <w:t>eligible population, and then a</w:t>
            </w:r>
            <w:r w:rsidR="00C26B9C">
              <w:rPr>
                <w:rFonts w:ascii="Arial" w:eastAsia="Times New Roman" w:hAnsi="Arial" w:cs="Arial"/>
                <w:color w:val="000000"/>
                <w:sz w:val="20"/>
                <w:szCs w:val="20"/>
                <w:lang w:val="en-GB"/>
              </w:rPr>
              <w:t xml:space="preserve"> person-level weight will be created by applying an imputed within-household selection probability.  </w:t>
            </w:r>
            <w:r w:rsidR="000B4125" w:rsidRPr="00FC2FED">
              <w:rPr>
                <w:rFonts w:ascii="Arial" w:eastAsia="Times New Roman" w:hAnsi="Arial" w:cs="Arial"/>
                <w:color w:val="000000"/>
                <w:sz w:val="20"/>
                <w:szCs w:val="20"/>
                <w:lang w:val="en-GB"/>
              </w:rPr>
              <w:t xml:space="preserve">We will use a </w:t>
            </w:r>
            <w:proofErr w:type="spellStart"/>
            <w:r w:rsidR="000B4125" w:rsidRPr="00FC2FED">
              <w:rPr>
                <w:rFonts w:ascii="Arial" w:eastAsia="Times New Roman" w:hAnsi="Arial" w:cs="Arial"/>
                <w:color w:val="000000"/>
                <w:sz w:val="20"/>
                <w:szCs w:val="20"/>
                <w:lang w:val="en-GB"/>
              </w:rPr>
              <w:t>Rao</w:t>
            </w:r>
            <w:proofErr w:type="spellEnd"/>
            <w:r w:rsidR="000B4125" w:rsidRPr="00FC2FED">
              <w:rPr>
                <w:rFonts w:ascii="Arial" w:eastAsia="Times New Roman" w:hAnsi="Arial" w:cs="Arial"/>
                <w:color w:val="000000"/>
                <w:sz w:val="20"/>
                <w:szCs w:val="20"/>
                <w:lang w:val="en-GB"/>
              </w:rPr>
              <w:t xml:space="preserve">-Scott </w:t>
            </w:r>
            <w:r w:rsidR="0099390F">
              <w:rPr>
                <w:rFonts w:ascii="Arial" w:eastAsia="Times New Roman" w:hAnsi="Arial" w:cs="Arial"/>
                <w:color w:val="000000"/>
                <w:sz w:val="20"/>
                <w:szCs w:val="20"/>
                <w:lang w:val="en-GB"/>
              </w:rPr>
              <w:t>(</w:t>
            </w:r>
            <w:r w:rsidR="000B4125" w:rsidRPr="00FC2FED">
              <w:rPr>
                <w:rFonts w:ascii="Arial" w:eastAsia="Times New Roman" w:hAnsi="Arial" w:cs="Arial"/>
                <w:color w:val="000000"/>
                <w:sz w:val="20"/>
                <w:szCs w:val="20"/>
                <w:lang w:val="en-GB"/>
              </w:rPr>
              <w:t xml:space="preserve">RS3 </w:t>
            </w:r>
            <w:r w:rsidR="0099390F">
              <w:rPr>
                <w:rFonts w:ascii="Arial" w:eastAsia="Times New Roman" w:hAnsi="Arial" w:cs="Arial"/>
                <w:color w:val="000000"/>
                <w:sz w:val="20"/>
                <w:szCs w:val="20"/>
                <w:lang w:val="en-GB"/>
              </w:rPr>
              <w:t xml:space="preserve">in </w:t>
            </w:r>
            <w:proofErr w:type="spellStart"/>
            <w:r w:rsidR="0099390F">
              <w:rPr>
                <w:rFonts w:ascii="Arial" w:eastAsia="Times New Roman" w:hAnsi="Arial" w:cs="Arial"/>
                <w:color w:val="000000"/>
                <w:sz w:val="20"/>
                <w:szCs w:val="20"/>
                <w:lang w:val="en-GB"/>
              </w:rPr>
              <w:t>WesVar</w:t>
            </w:r>
            <w:proofErr w:type="spellEnd"/>
            <w:r w:rsidR="0099390F">
              <w:rPr>
                <w:rFonts w:ascii="Arial" w:eastAsia="Times New Roman" w:hAnsi="Arial" w:cs="Arial"/>
                <w:color w:val="000000"/>
                <w:sz w:val="20"/>
                <w:szCs w:val="20"/>
                <w:lang w:val="en-GB"/>
              </w:rPr>
              <w:t xml:space="preserve">) </w:t>
            </w:r>
            <w:r w:rsidR="000B4125" w:rsidRPr="00FC2FED">
              <w:rPr>
                <w:rFonts w:ascii="Arial" w:eastAsia="Times New Roman" w:hAnsi="Arial" w:cs="Arial"/>
                <w:color w:val="000000"/>
                <w:sz w:val="20"/>
                <w:szCs w:val="20"/>
                <w:lang w:val="en-GB"/>
              </w:rPr>
              <w:t xml:space="preserve">chi-squared test of independence to test whether the distribution of the characteristics of literacy-related cases is significantly </w:t>
            </w:r>
            <w:r w:rsidR="00C7047D">
              <w:rPr>
                <w:rFonts w:ascii="Arial" w:eastAsia="Times New Roman" w:hAnsi="Arial" w:cs="Arial"/>
                <w:color w:val="000000"/>
                <w:sz w:val="20"/>
                <w:szCs w:val="20"/>
                <w:lang w:val="en-GB"/>
              </w:rPr>
              <w:t>different from the distribution for the other nonrespondents</w:t>
            </w:r>
            <w:r w:rsidR="000B4125" w:rsidRPr="00FC2FED">
              <w:rPr>
                <w:rFonts w:ascii="Arial" w:eastAsia="Times New Roman" w:hAnsi="Arial" w:cs="Arial"/>
                <w:color w:val="000000"/>
                <w:sz w:val="20"/>
                <w:szCs w:val="20"/>
                <w:lang w:val="en-GB"/>
              </w:rPr>
              <w:t xml:space="preserve">.   </w:t>
            </w:r>
          </w:p>
          <w:p w:rsidR="00FC2FED" w:rsidRPr="00FC2FED" w:rsidRDefault="00FC2FED" w:rsidP="000B4125">
            <w:pPr>
              <w:spacing w:after="0" w:line="240" w:lineRule="auto"/>
              <w:rPr>
                <w:rFonts w:ascii="Arial" w:eastAsia="Times New Roman" w:hAnsi="Arial" w:cs="Arial"/>
                <w:color w:val="000000"/>
                <w:sz w:val="20"/>
                <w:szCs w:val="20"/>
                <w:lang w:val="en-GB"/>
              </w:rPr>
            </w:pPr>
          </w:p>
        </w:tc>
      </w:tr>
      <w:tr w:rsidR="00780563" w:rsidRPr="00F84814" w:rsidTr="009D6323">
        <w:tc>
          <w:tcPr>
            <w:tcW w:w="1701" w:type="pct"/>
            <w:tcBorders>
              <w:top w:val="nil"/>
              <w:bottom w:val="single" w:sz="4" w:space="0" w:color="auto"/>
            </w:tcBorders>
            <w:shd w:val="clear" w:color="auto" w:fill="auto"/>
            <w:noWrap/>
            <w:hideMark/>
          </w:tcPr>
          <w:p w:rsidR="00780563" w:rsidRPr="009D6323" w:rsidRDefault="00780563" w:rsidP="009D6323">
            <w:pPr>
              <w:spacing w:after="0" w:line="240" w:lineRule="auto"/>
              <w:ind w:left="360" w:hanging="360"/>
              <w:rPr>
                <w:rFonts w:ascii="Times New Roman" w:eastAsia="Times New Roman" w:hAnsi="Times New Roman" w:cs="Times New Roman"/>
                <w:i/>
                <w:color w:val="000000"/>
                <w:lang w:val="en-GB"/>
              </w:rPr>
            </w:pPr>
            <w:r w:rsidRPr="009D6323">
              <w:rPr>
                <w:rFonts w:ascii="Times New Roman" w:eastAsia="Times New Roman" w:hAnsi="Times New Roman" w:cs="Times New Roman"/>
                <w:color w:val="000000"/>
                <w:lang w:val="en-GB"/>
              </w:rPr>
              <w:t>b.</w:t>
            </w:r>
            <w:r>
              <w:rPr>
                <w:rFonts w:ascii="Times New Roman" w:eastAsia="Times New Roman" w:hAnsi="Times New Roman" w:cs="Times New Roman"/>
                <w:color w:val="000000"/>
                <w:lang w:val="en-GB"/>
              </w:rPr>
              <w:t xml:space="preserve">) </w:t>
            </w:r>
            <w:r w:rsidRPr="009D6323">
              <w:rPr>
                <w:rFonts w:ascii="Times New Roman" w:eastAsia="Times New Roman" w:hAnsi="Times New Roman" w:cs="Times New Roman"/>
                <w:color w:val="000000"/>
                <w:lang w:val="en-GB"/>
              </w:rPr>
              <w:t>What additional information (not listed under “Analysis Variables”) was collected during data collection that can be used to evaluate nonresponse bias (e.g. Non-Interview Report data, disposition codes)?  What analysis will be performed with this data?</w:t>
            </w:r>
          </w:p>
        </w:tc>
        <w:tc>
          <w:tcPr>
            <w:tcW w:w="3299" w:type="pct"/>
            <w:gridSpan w:val="3"/>
            <w:tcBorders>
              <w:top w:val="nil"/>
              <w:bottom w:val="single" w:sz="4" w:space="0" w:color="auto"/>
            </w:tcBorders>
            <w:shd w:val="clear" w:color="auto" w:fill="auto"/>
            <w:hideMark/>
          </w:tcPr>
          <w:p w:rsidR="00780563" w:rsidRPr="00F84814" w:rsidRDefault="00780563" w:rsidP="00AE62E9">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The Non-Interview Report (NIR) Form contains a question on language spoken for cases that were unable to complete the survey because of a language barrier and a question on the reason for refusals (e.g. too busy). Simple frequencies of these variables will be produced to learn more about the reasons for nonresponse and could possibly indicate improvements to data collection strategies for the next round of PIAAC.  The NIR also includes a question on the socio-economic level (e.g. affluent) of the household based on the interviewer’s observation of the external appearance of the housing unit.  This will be compared against the similar ZZ question for BQ respondents.</w:t>
            </w:r>
          </w:p>
        </w:tc>
      </w:tr>
      <w:tr w:rsidR="00780563" w:rsidRPr="00F84814" w:rsidTr="009D6323">
        <w:tc>
          <w:tcPr>
            <w:tcW w:w="1701" w:type="pct"/>
            <w:tcBorders>
              <w:bottom w:val="nil"/>
            </w:tcBorders>
            <w:shd w:val="clear" w:color="auto" w:fill="auto"/>
            <w:noWrap/>
            <w:hideMark/>
          </w:tcPr>
          <w:p w:rsidR="00780563" w:rsidRDefault="00780563" w:rsidP="00823DC8">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E6: Level-of-effort</w:t>
            </w:r>
          </w:p>
          <w:p w:rsidR="00780563" w:rsidRPr="00F84814" w:rsidRDefault="00780563" w:rsidP="00823DC8">
            <w:pPr>
              <w:spacing w:after="0" w:line="240" w:lineRule="auto"/>
              <w:rPr>
                <w:rFonts w:ascii="Times New Roman" w:eastAsia="Times New Roman" w:hAnsi="Times New Roman" w:cs="Times New Roman"/>
                <w:i/>
                <w:color w:val="000000"/>
                <w:lang w:val="en-GB"/>
              </w:rPr>
            </w:pPr>
          </w:p>
          <w:p w:rsidR="00780563" w:rsidRDefault="00780563" w:rsidP="000216F4">
            <w:pPr>
              <w:pStyle w:val="ListParagraph"/>
              <w:numPr>
                <w:ilvl w:val="0"/>
                <w:numId w:val="4"/>
              </w:numPr>
              <w:spacing w:after="0" w:line="240" w:lineRule="auto"/>
              <w:ind w:left="360"/>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How will you define level-of-effort (e.g. number of contacts)?</w:t>
            </w:r>
          </w:p>
          <w:p w:rsidR="00780563" w:rsidRPr="00F84814" w:rsidRDefault="00780563" w:rsidP="009D6323">
            <w:pPr>
              <w:pStyle w:val="ListParagraph"/>
              <w:spacing w:after="0" w:line="240" w:lineRule="auto"/>
              <w:ind w:left="360"/>
              <w:rPr>
                <w:rFonts w:ascii="Times New Roman" w:eastAsia="Times New Roman" w:hAnsi="Times New Roman" w:cs="Times New Roman"/>
                <w:color w:val="000000"/>
                <w:lang w:val="en-GB"/>
              </w:rPr>
            </w:pPr>
          </w:p>
        </w:tc>
        <w:tc>
          <w:tcPr>
            <w:tcW w:w="3299" w:type="pct"/>
            <w:gridSpan w:val="3"/>
            <w:tcBorders>
              <w:bottom w:val="nil"/>
            </w:tcBorders>
            <w:shd w:val="clear" w:color="auto" w:fill="auto"/>
            <w:hideMark/>
          </w:tcPr>
          <w:p w:rsidR="00780563" w:rsidRDefault="00780563">
            <w:pPr>
              <w:spacing w:after="0" w:line="240" w:lineRule="auto"/>
              <w:rPr>
                <w:rFonts w:ascii="Times New Roman" w:eastAsia="Times New Roman" w:hAnsi="Times New Roman" w:cs="Times New Roman"/>
                <w:color w:val="000000"/>
                <w:lang w:val="en-GB"/>
              </w:rPr>
            </w:pPr>
          </w:p>
          <w:p w:rsidR="00780563" w:rsidRDefault="00780563">
            <w:pPr>
              <w:spacing w:after="0" w:line="240" w:lineRule="auto"/>
              <w:rPr>
                <w:rFonts w:ascii="Times New Roman" w:eastAsia="Times New Roman" w:hAnsi="Times New Roman" w:cs="Times New Roman"/>
                <w:color w:val="000000"/>
                <w:lang w:val="en-GB"/>
              </w:rPr>
            </w:pPr>
          </w:p>
          <w:p w:rsidR="00780563" w:rsidRPr="00F84814" w:rsidRDefault="00780563">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Number of contacts until completion</w:t>
            </w:r>
          </w:p>
        </w:tc>
      </w:tr>
      <w:tr w:rsidR="00780563" w:rsidRPr="00F84814" w:rsidTr="009D6323">
        <w:tc>
          <w:tcPr>
            <w:tcW w:w="1701" w:type="pct"/>
            <w:tcBorders>
              <w:top w:val="nil"/>
            </w:tcBorders>
            <w:shd w:val="clear" w:color="auto" w:fill="auto"/>
            <w:noWrap/>
            <w:hideMark/>
          </w:tcPr>
          <w:p w:rsidR="00780563" w:rsidRPr="00F84814" w:rsidRDefault="00780563" w:rsidP="0096187E">
            <w:pPr>
              <w:pStyle w:val="ListParagraph"/>
              <w:numPr>
                <w:ilvl w:val="0"/>
                <w:numId w:val="4"/>
              </w:numPr>
              <w:spacing w:after="0" w:line="240" w:lineRule="auto"/>
              <w:ind w:left="360"/>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Describe your procedure for analysing proficiency estimates by level-of-effort.</w:t>
            </w:r>
          </w:p>
        </w:tc>
        <w:tc>
          <w:tcPr>
            <w:tcW w:w="3299" w:type="pct"/>
            <w:gridSpan w:val="3"/>
            <w:tcBorders>
              <w:top w:val="nil"/>
            </w:tcBorders>
            <w:shd w:val="clear" w:color="auto" w:fill="auto"/>
            <w:hideMark/>
          </w:tcPr>
          <w:p w:rsidR="00780563" w:rsidRPr="00F84814" w:rsidRDefault="00780563">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We will calculate and plot the average proficiency score by the number of contact attempts until completion.  Assuming nonrespondents are similar to those with a large number of contact attempts, this could give an indication of possible nonresponse bias.</w:t>
            </w:r>
          </w:p>
        </w:tc>
      </w:tr>
      <w:tr w:rsidR="00780563" w:rsidRPr="00F84814" w:rsidTr="00723452">
        <w:trPr>
          <w:cantSplit/>
        </w:trPr>
        <w:tc>
          <w:tcPr>
            <w:tcW w:w="1701" w:type="pct"/>
            <w:shd w:val="clear" w:color="auto" w:fill="auto"/>
            <w:noWrap/>
            <w:hideMark/>
          </w:tcPr>
          <w:p w:rsidR="00780563" w:rsidRPr="00F84814" w:rsidRDefault="00780563" w:rsidP="00C94DE1">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lastRenderedPageBreak/>
              <w:t>E7: Range of potential bias</w:t>
            </w:r>
          </w:p>
          <w:p w:rsidR="00780563" w:rsidRPr="00F84814" w:rsidRDefault="00780563" w:rsidP="00C94DE1">
            <w:pPr>
              <w:spacing w:after="0" w:line="240" w:lineRule="auto"/>
              <w:rPr>
                <w:rFonts w:ascii="Times New Roman" w:eastAsia="Times New Roman" w:hAnsi="Times New Roman" w:cs="Times New Roman"/>
                <w:i/>
                <w:color w:val="000000"/>
                <w:lang w:val="en-GB"/>
              </w:rPr>
            </w:pPr>
          </w:p>
          <w:p w:rsidR="00780563" w:rsidRPr="00F84814" w:rsidRDefault="00780563" w:rsidP="00C94DE1">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foresee any difficulties with completing the workbook in the Range of Potential Bias toolkit?  If so, please explain.</w:t>
            </w:r>
          </w:p>
        </w:tc>
        <w:tc>
          <w:tcPr>
            <w:tcW w:w="3299" w:type="pct"/>
            <w:gridSpan w:val="3"/>
            <w:shd w:val="clear" w:color="auto" w:fill="auto"/>
            <w:hideMark/>
          </w:tcPr>
          <w:p w:rsidR="00780563" w:rsidRPr="00F84814" w:rsidRDefault="00780563">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bl>
    <w:p w:rsidR="00823DC8" w:rsidRDefault="00823DC8" w:rsidP="00823DC8">
      <w:pPr>
        <w:spacing w:after="0" w:line="240" w:lineRule="auto"/>
        <w:rPr>
          <w:rFonts w:ascii="Times New Roman" w:hAnsi="Times New Roman" w:cs="Times New Roman"/>
          <w:b/>
          <w:sz w:val="24"/>
          <w:lang w:val="en-GB"/>
        </w:rPr>
      </w:pPr>
    </w:p>
    <w:p w:rsidR="00991E46" w:rsidRDefault="00991E46" w:rsidP="00823DC8">
      <w:pPr>
        <w:spacing w:after="0" w:line="240" w:lineRule="auto"/>
        <w:rPr>
          <w:rFonts w:ascii="Times New Roman Bold" w:hAnsi="Times New Roman Bold" w:cs="Times New Roman"/>
          <w:b/>
          <w:smallCaps/>
          <w:sz w:val="24"/>
          <w:lang w:val="en-GB"/>
        </w:rPr>
      </w:pPr>
    </w:p>
    <w:p w:rsidR="00991E46" w:rsidRDefault="00991E46" w:rsidP="00823DC8">
      <w:pPr>
        <w:spacing w:after="0" w:line="240" w:lineRule="auto"/>
        <w:rPr>
          <w:rFonts w:ascii="Times New Roman Bold" w:hAnsi="Times New Roman Bold" w:cs="Times New Roman"/>
          <w:b/>
          <w:smallCaps/>
          <w:sz w:val="24"/>
          <w:lang w:val="en-GB"/>
        </w:rPr>
      </w:pPr>
    </w:p>
    <w:p w:rsidR="00823DC8" w:rsidRPr="00F13893" w:rsidRDefault="00823DC8" w:rsidP="00823DC8">
      <w:pPr>
        <w:spacing w:after="0" w:line="240" w:lineRule="auto"/>
        <w:rPr>
          <w:rFonts w:ascii="Times New Roman Bold" w:hAnsi="Times New Roman Bold" w:cs="Times New Roman"/>
          <w:b/>
          <w:smallCaps/>
          <w:sz w:val="24"/>
          <w:lang w:val="en-GB"/>
        </w:rPr>
      </w:pPr>
      <w:r w:rsidRPr="00F13893">
        <w:rPr>
          <w:rFonts w:ascii="Times New Roman Bold" w:hAnsi="Times New Roman Bold" w:cs="Times New Roman"/>
          <w:b/>
          <w:smallCaps/>
          <w:sz w:val="24"/>
          <w:lang w:val="en-GB"/>
        </w:rPr>
        <w:t>Other Unit NRBA</w:t>
      </w:r>
    </w:p>
    <w:tbl>
      <w:tblPr>
        <w:tblW w:w="5000" w:type="pct"/>
        <w:tblLayout w:type="fixed"/>
        <w:tblLook w:val="04A0"/>
      </w:tblPr>
      <w:tblGrid>
        <w:gridCol w:w="3258"/>
        <w:gridCol w:w="6318"/>
      </w:tblGrid>
      <w:tr w:rsidR="00823DC8" w:rsidRPr="00F84814" w:rsidTr="007836A6">
        <w:trPr>
          <w:cantSplit/>
        </w:trPr>
        <w:tc>
          <w:tcPr>
            <w:tcW w:w="1701" w:type="pct"/>
            <w:tcBorders>
              <w:top w:val="single" w:sz="4" w:space="0" w:color="auto"/>
              <w:left w:val="single" w:sz="4" w:space="0" w:color="auto"/>
              <w:bottom w:val="single" w:sz="4" w:space="0" w:color="auto"/>
              <w:right w:val="single" w:sz="4" w:space="0" w:color="auto"/>
            </w:tcBorders>
            <w:shd w:val="clear" w:color="auto" w:fill="auto"/>
            <w:noWrap/>
            <w:hideMark/>
          </w:tcPr>
          <w:p w:rsidR="00823DC8" w:rsidRPr="00F84814" w:rsidRDefault="00823DC8" w:rsidP="00174F17">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Describe any additional unit nonresponse bias analyses that will be performed (e.g. R indicator, nonresponse follow-up).</w:t>
            </w:r>
          </w:p>
        </w:tc>
        <w:tc>
          <w:tcPr>
            <w:tcW w:w="3299" w:type="pct"/>
            <w:tcBorders>
              <w:top w:val="single" w:sz="4" w:space="0" w:color="auto"/>
              <w:left w:val="nil"/>
              <w:bottom w:val="single" w:sz="4" w:space="0" w:color="auto"/>
              <w:right w:val="single" w:sz="4" w:space="0" w:color="auto"/>
            </w:tcBorders>
            <w:shd w:val="clear" w:color="auto" w:fill="auto"/>
            <w:hideMark/>
          </w:tcPr>
          <w:p w:rsidR="00823DC8" w:rsidRPr="00F84814" w:rsidRDefault="00780563" w:rsidP="00BA3866">
            <w:pPr>
              <w:spacing w:after="0" w:line="240" w:lineRule="auto"/>
              <w:rPr>
                <w:rFonts w:ascii="Times New Roman" w:eastAsia="Times New Roman" w:hAnsi="Times New Roman" w:cs="Times New Roman"/>
                <w:color w:val="000000"/>
                <w:lang w:val="en-GB"/>
              </w:rPr>
            </w:pPr>
            <w:r>
              <w:rPr>
                <w:rFonts w:ascii="Times New Roman" w:eastAsia="Times New Roman" w:hAnsi="Times New Roman" w:cs="Times New Roman"/>
                <w:color w:val="000000"/>
                <w:lang w:val="en-GB"/>
              </w:rPr>
              <w:t>N/A</w:t>
            </w:r>
          </w:p>
        </w:tc>
      </w:tr>
    </w:tbl>
    <w:p w:rsidR="00823DC8" w:rsidRDefault="00823DC8" w:rsidP="00823DC8">
      <w:pPr>
        <w:spacing w:after="0" w:line="240" w:lineRule="auto"/>
        <w:rPr>
          <w:rFonts w:ascii="Times New Roman" w:hAnsi="Times New Roman" w:cs="Times New Roman"/>
          <w:b/>
          <w:sz w:val="24"/>
          <w:lang w:val="en-GB"/>
        </w:rPr>
      </w:pPr>
    </w:p>
    <w:p w:rsidR="00823DC8" w:rsidRPr="00F13893" w:rsidRDefault="00823DC8" w:rsidP="00823DC8">
      <w:pPr>
        <w:spacing w:after="0" w:line="240" w:lineRule="auto"/>
        <w:rPr>
          <w:rFonts w:ascii="Times New Roman Bold" w:hAnsi="Times New Roman Bold" w:cs="Times New Roman"/>
          <w:b/>
          <w:smallCaps/>
          <w:sz w:val="24"/>
          <w:lang w:val="en-GB"/>
        </w:rPr>
      </w:pPr>
      <w:r w:rsidRPr="00F13893">
        <w:rPr>
          <w:rFonts w:ascii="Times New Roman Bold" w:hAnsi="Times New Roman Bold" w:cs="Times New Roman"/>
          <w:b/>
          <w:smallCaps/>
          <w:sz w:val="24"/>
          <w:lang w:val="en-GB"/>
        </w:rPr>
        <w:t>Item NRBA*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58"/>
        <w:gridCol w:w="6318"/>
      </w:tblGrid>
      <w:tr w:rsidR="00823DC8" w:rsidRPr="00F84814" w:rsidTr="00823DC8">
        <w:tc>
          <w:tcPr>
            <w:tcW w:w="1701" w:type="pct"/>
            <w:shd w:val="clear" w:color="auto" w:fill="auto"/>
            <w:noWrap/>
            <w:hideMark/>
          </w:tcPr>
          <w:p w:rsidR="00823DC8" w:rsidRPr="00F84814" w:rsidRDefault="00823DC8" w:rsidP="00BA3866">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have any questions on how to compute item response rates?  If so, please indicate them here.</w:t>
            </w:r>
          </w:p>
        </w:tc>
        <w:tc>
          <w:tcPr>
            <w:tcW w:w="3299" w:type="pct"/>
            <w:shd w:val="clear" w:color="auto" w:fill="auto"/>
          </w:tcPr>
          <w:p w:rsidR="00823DC8" w:rsidRPr="00F84814" w:rsidRDefault="00823DC8" w:rsidP="00BA3866">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r w:rsidR="00823DC8" w:rsidRPr="00F84814" w:rsidTr="00823DC8">
        <w:tc>
          <w:tcPr>
            <w:tcW w:w="1701" w:type="pct"/>
            <w:shd w:val="clear" w:color="auto" w:fill="auto"/>
            <w:noWrap/>
            <w:hideMark/>
          </w:tcPr>
          <w:p w:rsidR="00823DC8" w:rsidRPr="00F84814" w:rsidRDefault="00823DC8" w:rsidP="005C7FAB">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Do you know how many BQ items had a response rate below 85% in the field test?  If so, how many?  Do you expect a similar number in the main study?</w:t>
            </w:r>
          </w:p>
        </w:tc>
        <w:tc>
          <w:tcPr>
            <w:tcW w:w="3299" w:type="pct"/>
            <w:shd w:val="clear" w:color="auto" w:fill="auto"/>
          </w:tcPr>
          <w:p w:rsidR="00823DC8" w:rsidRPr="00F84814" w:rsidRDefault="00780563" w:rsidP="00E71FAE">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 xml:space="preserve">We have not computed this for the field test, but in the 2003 Adult Literacy and </w:t>
            </w:r>
            <w:proofErr w:type="spellStart"/>
            <w:r>
              <w:rPr>
                <w:rFonts w:ascii="Arial" w:eastAsia="Times New Roman" w:hAnsi="Arial" w:cs="Arial"/>
                <w:color w:val="000000"/>
                <w:sz w:val="20"/>
                <w:szCs w:val="20"/>
                <w:lang w:val="en-GB"/>
              </w:rPr>
              <w:t>Lifeskills</w:t>
            </w:r>
            <w:proofErr w:type="spellEnd"/>
            <w:r>
              <w:rPr>
                <w:rFonts w:ascii="Arial" w:eastAsia="Times New Roman" w:hAnsi="Arial" w:cs="Arial"/>
                <w:color w:val="000000"/>
                <w:sz w:val="20"/>
                <w:szCs w:val="20"/>
                <w:lang w:val="en-GB"/>
              </w:rPr>
              <w:t xml:space="preserve"> (ALL) survey, there were 8 BQ items with response rates below 85% (of which 7 were related to income).  We expect similar results for PIAAC.</w:t>
            </w:r>
          </w:p>
        </w:tc>
      </w:tr>
      <w:tr w:rsidR="00823DC8" w:rsidRPr="00F84814" w:rsidTr="00823DC8">
        <w:tc>
          <w:tcPr>
            <w:tcW w:w="1701" w:type="pct"/>
            <w:shd w:val="clear" w:color="auto" w:fill="auto"/>
            <w:noWrap/>
            <w:hideMark/>
          </w:tcPr>
          <w:p w:rsidR="00823DC8" w:rsidRPr="00F84814" w:rsidRDefault="00823DC8" w:rsidP="00863559">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color w:val="000000"/>
                <w:lang w:val="en-GB"/>
              </w:rPr>
              <w:t>Do you foresee any difficulties performing the 4 required item NRBA analyses (listed below)?  If so, please explain.</w:t>
            </w:r>
          </w:p>
          <w:p w:rsidR="00823DC8" w:rsidRPr="00F84814" w:rsidRDefault="00823DC8" w:rsidP="00863559">
            <w:pPr>
              <w:spacing w:after="0" w:line="240" w:lineRule="auto"/>
              <w:rPr>
                <w:rFonts w:ascii="Times New Roman" w:eastAsia="Times New Roman" w:hAnsi="Times New Roman" w:cs="Times New Roman"/>
                <w:i/>
                <w:color w:val="000000"/>
                <w:lang w:val="en-GB"/>
              </w:rPr>
            </w:pPr>
          </w:p>
          <w:p w:rsidR="00823DC8" w:rsidRPr="00F84814" w:rsidRDefault="00823DC8" w:rsidP="00863559">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I1: Response rates</w:t>
            </w:r>
          </w:p>
          <w:p w:rsidR="00823DC8" w:rsidRPr="00F84814" w:rsidRDefault="00823DC8" w:rsidP="00863559">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I2: Chi-square test</w:t>
            </w:r>
          </w:p>
          <w:p w:rsidR="00823DC8" w:rsidRPr="00F84814" w:rsidRDefault="00823DC8" w:rsidP="00863559">
            <w:pPr>
              <w:spacing w:after="0" w:line="240" w:lineRule="auto"/>
              <w:rPr>
                <w:rFonts w:ascii="Times New Roman" w:eastAsia="Times New Roman" w:hAnsi="Times New Roman" w:cs="Times New Roman"/>
                <w:i/>
                <w:color w:val="000000"/>
                <w:lang w:val="en-GB"/>
              </w:rPr>
            </w:pPr>
            <w:r w:rsidRPr="00F84814">
              <w:rPr>
                <w:rFonts w:ascii="Times New Roman" w:eastAsia="Times New Roman" w:hAnsi="Times New Roman" w:cs="Times New Roman"/>
                <w:i/>
                <w:color w:val="000000"/>
                <w:lang w:val="en-GB"/>
              </w:rPr>
              <w:t>I3: Classification tree</w:t>
            </w:r>
          </w:p>
          <w:p w:rsidR="00823DC8" w:rsidRPr="00F84814" w:rsidRDefault="00823DC8" w:rsidP="00823DC8">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i/>
                <w:color w:val="000000"/>
                <w:lang w:val="en-GB"/>
              </w:rPr>
              <w:t>I4: Logistic regression</w:t>
            </w:r>
            <w:r w:rsidRPr="00F84814">
              <w:rPr>
                <w:rFonts w:ascii="Times New Roman" w:eastAsia="Times New Roman" w:hAnsi="Times New Roman" w:cs="Times New Roman"/>
                <w:color w:val="000000"/>
                <w:lang w:val="en-GB"/>
              </w:rPr>
              <w:t xml:space="preserve"> </w:t>
            </w:r>
          </w:p>
        </w:tc>
        <w:tc>
          <w:tcPr>
            <w:tcW w:w="3299" w:type="pct"/>
            <w:shd w:val="clear" w:color="auto" w:fill="auto"/>
          </w:tcPr>
          <w:p w:rsidR="00823DC8" w:rsidRPr="00F84814" w:rsidRDefault="00823DC8" w:rsidP="00BA3866">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bl>
    <w:p w:rsidR="00823DC8" w:rsidRPr="00823DC8" w:rsidRDefault="00823DC8" w:rsidP="00823DC8">
      <w:pPr>
        <w:spacing w:after="0" w:line="240" w:lineRule="auto"/>
        <w:rPr>
          <w:rFonts w:ascii="Times New Roman" w:hAnsi="Times New Roman" w:cs="Times New Roman"/>
          <w:b/>
          <w:sz w:val="24"/>
          <w:lang w:val="en-GB"/>
        </w:rPr>
      </w:pPr>
    </w:p>
    <w:tbl>
      <w:tblPr>
        <w:tblW w:w="5000" w:type="pct"/>
        <w:tblLayout w:type="fixed"/>
        <w:tblLook w:val="04A0"/>
      </w:tblPr>
      <w:tblGrid>
        <w:gridCol w:w="3258"/>
        <w:gridCol w:w="6318"/>
      </w:tblGrid>
      <w:tr w:rsidR="00DA2E02" w:rsidRPr="00F84814" w:rsidTr="00A2515F">
        <w:trPr>
          <w:cantSplit/>
        </w:trPr>
        <w:tc>
          <w:tcPr>
            <w:tcW w:w="1701" w:type="pct"/>
            <w:tcBorders>
              <w:top w:val="single" w:sz="4" w:space="0" w:color="auto"/>
              <w:left w:val="single" w:sz="4" w:space="0" w:color="auto"/>
              <w:bottom w:val="single" w:sz="4" w:space="0" w:color="auto"/>
              <w:right w:val="single" w:sz="4" w:space="0" w:color="auto"/>
            </w:tcBorders>
            <w:shd w:val="clear" w:color="auto" w:fill="auto"/>
            <w:noWrap/>
            <w:hideMark/>
          </w:tcPr>
          <w:p w:rsidR="00DA2E02" w:rsidRPr="00F84814" w:rsidRDefault="00366E17" w:rsidP="006375E0">
            <w:pPr>
              <w:spacing w:after="0" w:line="240" w:lineRule="auto"/>
              <w:rPr>
                <w:rFonts w:ascii="Times New Roman" w:eastAsia="Times New Roman" w:hAnsi="Times New Roman" w:cs="Times New Roman"/>
                <w:color w:val="000000"/>
              </w:rPr>
            </w:pPr>
            <w:r w:rsidRPr="00F84814">
              <w:rPr>
                <w:rFonts w:ascii="Times New Roman" w:eastAsia="Times New Roman" w:hAnsi="Times New Roman" w:cs="Times New Roman"/>
                <w:color w:val="000000"/>
              </w:rPr>
              <w:lastRenderedPageBreak/>
              <w:t>Within your country, are you required to perform a nonresponse bias analysis?  If so, what is the timeline for that analysis?</w:t>
            </w:r>
          </w:p>
        </w:tc>
        <w:tc>
          <w:tcPr>
            <w:tcW w:w="3299" w:type="pct"/>
            <w:tcBorders>
              <w:top w:val="single" w:sz="4" w:space="0" w:color="auto"/>
              <w:left w:val="nil"/>
              <w:bottom w:val="single" w:sz="4" w:space="0" w:color="auto"/>
              <w:right w:val="single" w:sz="4" w:space="0" w:color="auto"/>
            </w:tcBorders>
            <w:shd w:val="clear" w:color="auto" w:fill="auto"/>
            <w:hideMark/>
          </w:tcPr>
          <w:p w:rsidR="00DA2E02" w:rsidRDefault="00780563">
            <w:pPr>
              <w:spacing w:after="0" w:line="240" w:lineRule="auto"/>
              <w:rPr>
                <w:rFonts w:ascii="Arial" w:eastAsia="Times New Roman" w:hAnsi="Arial" w:cs="Arial"/>
                <w:color w:val="000000"/>
                <w:sz w:val="20"/>
                <w:szCs w:val="20"/>
                <w:lang w:val="en-GB"/>
              </w:rPr>
            </w:pPr>
            <w:r>
              <w:rPr>
                <w:rFonts w:ascii="Arial" w:eastAsia="Times New Roman" w:hAnsi="Arial" w:cs="Arial"/>
                <w:color w:val="000000"/>
                <w:sz w:val="20"/>
                <w:szCs w:val="20"/>
                <w:lang w:val="en-GB"/>
              </w:rPr>
              <w:t xml:space="preserve">Yes, </w:t>
            </w:r>
            <w:r w:rsidR="00960065">
              <w:rPr>
                <w:rFonts w:ascii="Arial" w:eastAsia="Times New Roman" w:hAnsi="Arial" w:cs="Arial"/>
                <w:color w:val="000000"/>
                <w:sz w:val="20"/>
                <w:szCs w:val="20"/>
                <w:lang w:val="en-GB"/>
              </w:rPr>
              <w:t xml:space="preserve">the national nonresponse bias analysis is due </w:t>
            </w:r>
            <w:r>
              <w:rPr>
                <w:rFonts w:ascii="Arial" w:eastAsia="Times New Roman" w:hAnsi="Arial" w:cs="Arial"/>
                <w:color w:val="000000"/>
                <w:sz w:val="20"/>
                <w:szCs w:val="20"/>
                <w:lang w:val="en-GB"/>
              </w:rPr>
              <w:t>30 April 2013.</w:t>
            </w:r>
            <w:r w:rsidR="00960065">
              <w:rPr>
                <w:rFonts w:ascii="Arial" w:eastAsia="Times New Roman" w:hAnsi="Arial" w:cs="Arial"/>
                <w:color w:val="000000"/>
                <w:sz w:val="20"/>
                <w:szCs w:val="20"/>
                <w:lang w:val="en-GB"/>
              </w:rPr>
              <w:t xml:space="preserve">  We plan to follow the </w:t>
            </w:r>
            <w:r w:rsidR="00EC6D38">
              <w:rPr>
                <w:rFonts w:ascii="Arial" w:eastAsia="Times New Roman" w:hAnsi="Arial" w:cs="Arial"/>
                <w:color w:val="000000"/>
                <w:sz w:val="20"/>
                <w:szCs w:val="20"/>
                <w:lang w:val="en-GB"/>
              </w:rPr>
              <w:t>timeline</w:t>
            </w:r>
            <w:r w:rsidR="00D94150">
              <w:rPr>
                <w:rFonts w:ascii="Arial" w:eastAsia="Times New Roman" w:hAnsi="Arial" w:cs="Arial"/>
                <w:color w:val="000000"/>
                <w:sz w:val="20"/>
                <w:szCs w:val="20"/>
                <w:lang w:val="en-GB"/>
              </w:rPr>
              <w:t xml:space="preserve"> below</w:t>
            </w:r>
            <w:r w:rsidR="00960065">
              <w:rPr>
                <w:rFonts w:ascii="Arial" w:eastAsia="Times New Roman" w:hAnsi="Arial" w:cs="Arial"/>
                <w:color w:val="000000"/>
                <w:sz w:val="20"/>
                <w:szCs w:val="20"/>
                <w:lang w:val="en-GB"/>
              </w:rPr>
              <w:t>:</w:t>
            </w:r>
          </w:p>
          <w:p w:rsidR="00960065" w:rsidRDefault="00960065">
            <w:pPr>
              <w:spacing w:after="0" w:line="240" w:lineRule="auto"/>
              <w:rPr>
                <w:rFonts w:ascii="Arial" w:eastAsia="Times New Roman" w:hAnsi="Arial" w:cs="Arial"/>
                <w:color w:val="000000"/>
                <w:sz w:val="20"/>
                <w:szCs w:val="20"/>
                <w:lang w:val="en-GB"/>
              </w:rPr>
            </w:pPr>
          </w:p>
          <w:p w:rsidR="00960065" w:rsidRPr="00960065" w:rsidRDefault="00960065" w:rsidP="00723452">
            <w:pPr>
              <w:spacing w:after="120"/>
              <w:ind w:left="1224" w:hanging="1224"/>
              <w:rPr>
                <w:rFonts w:ascii="Arial" w:hAnsi="Arial" w:cs="Arial"/>
                <w:sz w:val="20"/>
                <w:szCs w:val="20"/>
              </w:rPr>
            </w:pPr>
            <w:r>
              <w:rPr>
                <w:rFonts w:ascii="Arial" w:hAnsi="Arial" w:cs="Arial"/>
                <w:sz w:val="20"/>
                <w:szCs w:val="20"/>
                <w:lang w:val="en-GB"/>
              </w:rPr>
              <w:t xml:space="preserve">30 June </w:t>
            </w:r>
            <w:r>
              <w:rPr>
                <w:rFonts w:ascii="Arial" w:hAnsi="Arial" w:cs="Arial"/>
                <w:sz w:val="20"/>
                <w:szCs w:val="20"/>
              </w:rPr>
              <w:t xml:space="preserve">2011 </w:t>
            </w:r>
            <w:r w:rsidRPr="00960065">
              <w:rPr>
                <w:rFonts w:ascii="Arial" w:hAnsi="Arial" w:cs="Arial"/>
                <w:sz w:val="20"/>
                <w:szCs w:val="20"/>
              </w:rPr>
              <w:t>Provide the Consortium with a draft summary of plans for the NRBA</w:t>
            </w:r>
          </w:p>
          <w:p w:rsidR="00960065" w:rsidRPr="00960065" w:rsidRDefault="00960065" w:rsidP="00723452">
            <w:pPr>
              <w:spacing w:after="120"/>
              <w:ind w:left="1224" w:hanging="1224"/>
              <w:rPr>
                <w:rFonts w:ascii="Arial" w:hAnsi="Arial" w:cs="Arial"/>
                <w:sz w:val="20"/>
                <w:szCs w:val="20"/>
              </w:rPr>
            </w:pPr>
            <w:r>
              <w:rPr>
                <w:rFonts w:ascii="Arial" w:hAnsi="Arial" w:cs="Arial"/>
                <w:sz w:val="20"/>
                <w:szCs w:val="20"/>
              </w:rPr>
              <w:t xml:space="preserve">April </w:t>
            </w:r>
            <w:r w:rsidRPr="00960065">
              <w:rPr>
                <w:rFonts w:ascii="Arial" w:hAnsi="Arial" w:cs="Arial"/>
                <w:sz w:val="20"/>
                <w:szCs w:val="20"/>
              </w:rPr>
              <w:t xml:space="preserve">2012 </w:t>
            </w:r>
            <w:r w:rsidR="00723452">
              <w:rPr>
                <w:rFonts w:ascii="Arial" w:hAnsi="Arial" w:cs="Arial"/>
                <w:sz w:val="20"/>
                <w:szCs w:val="20"/>
              </w:rPr>
              <w:t xml:space="preserve">     </w:t>
            </w:r>
            <w:r w:rsidRPr="00960065">
              <w:rPr>
                <w:rFonts w:ascii="Arial" w:hAnsi="Arial" w:cs="Arial"/>
                <w:sz w:val="20"/>
                <w:szCs w:val="20"/>
              </w:rPr>
              <w:t>Begin Basic NRBA</w:t>
            </w:r>
          </w:p>
          <w:p w:rsidR="00960065" w:rsidRPr="00960065" w:rsidRDefault="00960065" w:rsidP="00723452">
            <w:pPr>
              <w:spacing w:after="120"/>
              <w:ind w:left="1224" w:hanging="1224"/>
              <w:rPr>
                <w:rFonts w:ascii="Arial" w:hAnsi="Arial" w:cs="Arial"/>
                <w:sz w:val="20"/>
                <w:szCs w:val="20"/>
              </w:rPr>
            </w:pPr>
            <w:r>
              <w:rPr>
                <w:rFonts w:ascii="Arial" w:hAnsi="Arial" w:cs="Arial"/>
                <w:sz w:val="20"/>
                <w:szCs w:val="20"/>
              </w:rPr>
              <w:t>31 May 2012</w:t>
            </w:r>
            <w:r w:rsidRPr="00960065">
              <w:rPr>
                <w:rFonts w:ascii="Arial" w:hAnsi="Arial" w:cs="Arial"/>
                <w:sz w:val="20"/>
                <w:szCs w:val="20"/>
              </w:rPr>
              <w:t xml:space="preserve"> Deliver weighting variables in the SDIF</w:t>
            </w:r>
          </w:p>
          <w:p w:rsidR="00960065" w:rsidRPr="00960065" w:rsidRDefault="00D94150" w:rsidP="00723452">
            <w:pPr>
              <w:spacing w:after="120"/>
              <w:ind w:left="1224" w:hanging="1224"/>
              <w:rPr>
                <w:rFonts w:ascii="Arial" w:hAnsi="Arial" w:cs="Arial"/>
                <w:sz w:val="20"/>
                <w:szCs w:val="20"/>
              </w:rPr>
            </w:pPr>
            <w:r>
              <w:rPr>
                <w:rFonts w:ascii="Arial" w:hAnsi="Arial" w:cs="Arial"/>
                <w:sz w:val="20"/>
                <w:szCs w:val="20"/>
              </w:rPr>
              <w:t>Dec</w:t>
            </w:r>
            <w:r w:rsidR="00960065">
              <w:rPr>
                <w:rFonts w:ascii="Arial" w:hAnsi="Arial" w:cs="Arial"/>
                <w:sz w:val="20"/>
                <w:szCs w:val="20"/>
              </w:rPr>
              <w:t xml:space="preserve"> 2012 </w:t>
            </w:r>
            <w:r w:rsidR="00723452">
              <w:rPr>
                <w:rFonts w:ascii="Arial" w:hAnsi="Arial" w:cs="Arial"/>
                <w:sz w:val="20"/>
                <w:szCs w:val="20"/>
              </w:rPr>
              <w:t xml:space="preserve">      </w:t>
            </w:r>
            <w:r>
              <w:rPr>
                <w:rFonts w:ascii="Arial" w:hAnsi="Arial" w:cs="Arial"/>
                <w:sz w:val="20"/>
                <w:szCs w:val="20"/>
              </w:rPr>
              <w:t>B</w:t>
            </w:r>
            <w:r w:rsidR="00960065" w:rsidRPr="00960065">
              <w:rPr>
                <w:rFonts w:ascii="Arial" w:hAnsi="Arial" w:cs="Arial"/>
                <w:sz w:val="20"/>
                <w:szCs w:val="20"/>
              </w:rPr>
              <w:t xml:space="preserve">egin </w:t>
            </w:r>
            <w:r w:rsidR="00723452">
              <w:rPr>
                <w:rFonts w:ascii="Arial" w:hAnsi="Arial" w:cs="Arial"/>
                <w:sz w:val="20"/>
                <w:szCs w:val="20"/>
              </w:rPr>
              <w:t xml:space="preserve">item NRBA and </w:t>
            </w:r>
            <w:r w:rsidR="00960065" w:rsidRPr="00960065">
              <w:rPr>
                <w:rFonts w:ascii="Arial" w:hAnsi="Arial" w:cs="Arial"/>
                <w:sz w:val="20"/>
                <w:szCs w:val="20"/>
              </w:rPr>
              <w:t>preparations for extensive NRBA</w:t>
            </w:r>
          </w:p>
          <w:p w:rsidR="00EC6D38" w:rsidRDefault="00960065" w:rsidP="00723452">
            <w:pPr>
              <w:spacing w:after="120"/>
              <w:ind w:left="1224" w:hanging="1224"/>
              <w:rPr>
                <w:rFonts w:ascii="Arial" w:hAnsi="Arial" w:cs="Arial"/>
                <w:sz w:val="20"/>
                <w:szCs w:val="20"/>
              </w:rPr>
            </w:pPr>
            <w:r>
              <w:rPr>
                <w:rFonts w:ascii="Arial" w:hAnsi="Arial" w:cs="Arial"/>
                <w:sz w:val="20"/>
                <w:szCs w:val="20"/>
              </w:rPr>
              <w:t>Jan 2013</w:t>
            </w:r>
            <w:r w:rsidRPr="00960065">
              <w:rPr>
                <w:rFonts w:ascii="Arial" w:hAnsi="Arial" w:cs="Arial"/>
                <w:sz w:val="20"/>
                <w:szCs w:val="20"/>
              </w:rPr>
              <w:t xml:space="preserve"> </w:t>
            </w:r>
            <w:r w:rsidR="00D94150">
              <w:rPr>
                <w:rFonts w:ascii="Arial" w:hAnsi="Arial" w:cs="Arial"/>
                <w:sz w:val="20"/>
                <w:szCs w:val="20"/>
              </w:rPr>
              <w:t xml:space="preserve">      </w:t>
            </w:r>
            <w:r w:rsidR="00723452">
              <w:rPr>
                <w:rFonts w:ascii="Arial" w:hAnsi="Arial" w:cs="Arial"/>
                <w:sz w:val="20"/>
                <w:szCs w:val="20"/>
              </w:rPr>
              <w:t>Receive</w:t>
            </w:r>
            <w:r w:rsidRPr="00960065">
              <w:rPr>
                <w:rFonts w:ascii="Arial" w:hAnsi="Arial" w:cs="Arial"/>
                <w:sz w:val="20"/>
                <w:szCs w:val="20"/>
              </w:rPr>
              <w:t xml:space="preserve"> preliminary scores</w:t>
            </w:r>
            <w:r w:rsidR="00723452">
              <w:rPr>
                <w:rFonts w:ascii="Arial" w:hAnsi="Arial" w:cs="Arial"/>
                <w:sz w:val="20"/>
                <w:szCs w:val="20"/>
              </w:rPr>
              <w:t xml:space="preserve"> from the Consortium</w:t>
            </w:r>
            <w:r w:rsidR="00A2515F">
              <w:rPr>
                <w:rFonts w:ascii="Arial" w:hAnsi="Arial" w:cs="Arial"/>
                <w:sz w:val="20"/>
                <w:szCs w:val="20"/>
              </w:rPr>
              <w:t xml:space="preserve"> </w:t>
            </w:r>
          </w:p>
          <w:p w:rsidR="00723452" w:rsidRPr="00960065" w:rsidRDefault="00A2515F" w:rsidP="00723452">
            <w:pPr>
              <w:spacing w:after="120"/>
              <w:ind w:left="1224" w:hanging="1224"/>
              <w:rPr>
                <w:rFonts w:ascii="Arial" w:hAnsi="Arial" w:cs="Arial"/>
                <w:sz w:val="20"/>
                <w:szCs w:val="20"/>
              </w:rPr>
            </w:pPr>
            <w:r>
              <w:rPr>
                <w:rFonts w:ascii="Arial" w:hAnsi="Arial" w:cs="Arial"/>
                <w:sz w:val="20"/>
                <w:szCs w:val="20"/>
              </w:rPr>
              <w:t>31 Mar</w:t>
            </w:r>
            <w:r w:rsidR="00723452">
              <w:rPr>
                <w:rFonts w:ascii="Arial" w:hAnsi="Arial" w:cs="Arial"/>
                <w:sz w:val="20"/>
                <w:szCs w:val="20"/>
              </w:rPr>
              <w:t xml:space="preserve"> 2013  </w:t>
            </w:r>
            <w:r w:rsidR="00EC6D38">
              <w:rPr>
                <w:rFonts w:ascii="Arial" w:hAnsi="Arial" w:cs="Arial"/>
                <w:sz w:val="20"/>
                <w:szCs w:val="20"/>
              </w:rPr>
              <w:t>Provide NCES with draft NRBA report for review</w:t>
            </w:r>
          </w:p>
          <w:p w:rsidR="00723452" w:rsidRPr="00EC6D38" w:rsidRDefault="00960065" w:rsidP="00EC6D38">
            <w:pPr>
              <w:spacing w:after="120" w:line="240" w:lineRule="auto"/>
              <w:ind w:left="1224" w:hanging="1224"/>
              <w:rPr>
                <w:rFonts w:ascii="Arial" w:hAnsi="Arial" w:cs="Arial"/>
                <w:sz w:val="20"/>
                <w:szCs w:val="20"/>
              </w:rPr>
            </w:pPr>
            <w:r>
              <w:rPr>
                <w:rFonts w:ascii="Arial" w:hAnsi="Arial" w:cs="Arial"/>
                <w:sz w:val="20"/>
                <w:szCs w:val="20"/>
              </w:rPr>
              <w:t>30 April 2013</w:t>
            </w:r>
            <w:r w:rsidRPr="00960065">
              <w:rPr>
                <w:rFonts w:ascii="Arial" w:hAnsi="Arial" w:cs="Arial"/>
                <w:sz w:val="20"/>
                <w:szCs w:val="20"/>
              </w:rPr>
              <w:t xml:space="preserve"> </w:t>
            </w:r>
            <w:r w:rsidR="00723452">
              <w:rPr>
                <w:rFonts w:ascii="Arial" w:hAnsi="Arial" w:cs="Arial"/>
                <w:sz w:val="20"/>
                <w:szCs w:val="20"/>
              </w:rPr>
              <w:t>Deliver NRBA report to the Consortium</w:t>
            </w:r>
          </w:p>
        </w:tc>
      </w:tr>
      <w:tr w:rsidR="00DA2E02" w:rsidRPr="00F84814" w:rsidTr="00F84814">
        <w:tc>
          <w:tcPr>
            <w:tcW w:w="1701" w:type="pct"/>
            <w:tcBorders>
              <w:top w:val="single" w:sz="4" w:space="0" w:color="auto"/>
              <w:left w:val="single" w:sz="4" w:space="0" w:color="auto"/>
              <w:bottom w:val="single" w:sz="4" w:space="0" w:color="auto"/>
              <w:right w:val="single" w:sz="4" w:space="0" w:color="auto"/>
            </w:tcBorders>
            <w:shd w:val="clear" w:color="auto" w:fill="auto"/>
            <w:noWrap/>
            <w:hideMark/>
          </w:tcPr>
          <w:p w:rsidR="00DA2E02" w:rsidRPr="00F84814" w:rsidRDefault="00366E17" w:rsidP="009D6323">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 xml:space="preserve">Your nonresponse bias analysis report should be provided to the Consortium by </w:t>
            </w:r>
            <w:r w:rsidR="000F58CF" w:rsidRPr="00F84814">
              <w:rPr>
                <w:rFonts w:ascii="Times New Roman" w:eastAsia="Times New Roman" w:hAnsi="Times New Roman" w:cs="Times New Roman"/>
                <w:color w:val="000000"/>
                <w:lang w:val="en-GB"/>
              </w:rPr>
              <w:t xml:space="preserve">30 </w:t>
            </w:r>
            <w:r w:rsidR="009D6323">
              <w:rPr>
                <w:rFonts w:ascii="Times New Roman" w:eastAsia="Times New Roman" w:hAnsi="Times New Roman" w:cs="Times New Roman"/>
                <w:color w:val="000000"/>
                <w:lang w:val="en-GB"/>
              </w:rPr>
              <w:t>April</w:t>
            </w:r>
            <w:r w:rsidR="000F58CF" w:rsidRPr="00F84814">
              <w:rPr>
                <w:rFonts w:ascii="Times New Roman" w:eastAsia="Times New Roman" w:hAnsi="Times New Roman" w:cs="Times New Roman"/>
                <w:color w:val="000000"/>
                <w:lang w:val="en-GB"/>
              </w:rPr>
              <w:t xml:space="preserve"> 2013</w:t>
            </w:r>
            <w:r w:rsidRPr="00F84814">
              <w:rPr>
                <w:rFonts w:ascii="Times New Roman" w:eastAsia="Times New Roman" w:hAnsi="Times New Roman" w:cs="Times New Roman"/>
                <w:color w:val="000000"/>
                <w:lang w:val="en-GB"/>
              </w:rPr>
              <w:t xml:space="preserve">.  Do you </w:t>
            </w:r>
            <w:r w:rsidR="0023261F" w:rsidRPr="00F84814">
              <w:rPr>
                <w:rFonts w:ascii="Times New Roman" w:eastAsia="Times New Roman" w:hAnsi="Times New Roman" w:cs="Times New Roman"/>
                <w:color w:val="000000"/>
                <w:lang w:val="en-GB"/>
              </w:rPr>
              <w:t>foresee any problems with meeting this deadline?  If so, please explain.</w:t>
            </w:r>
          </w:p>
        </w:tc>
        <w:tc>
          <w:tcPr>
            <w:tcW w:w="3299" w:type="pct"/>
            <w:tcBorders>
              <w:top w:val="single" w:sz="4" w:space="0" w:color="auto"/>
              <w:left w:val="nil"/>
              <w:bottom w:val="single" w:sz="4" w:space="0" w:color="auto"/>
              <w:right w:val="single" w:sz="4" w:space="0" w:color="auto"/>
            </w:tcBorders>
            <w:shd w:val="clear" w:color="auto" w:fill="auto"/>
            <w:hideMark/>
          </w:tcPr>
          <w:p w:rsidR="00DA2E02" w:rsidRPr="00F84814" w:rsidRDefault="00780563">
            <w:pPr>
              <w:spacing w:after="0" w:line="240" w:lineRule="auto"/>
              <w:rPr>
                <w:rFonts w:ascii="Times New Roman" w:eastAsia="Times New Roman" w:hAnsi="Times New Roman" w:cs="Times New Roman"/>
                <w:color w:val="000000"/>
                <w:lang w:val="en-GB"/>
              </w:rPr>
            </w:pPr>
            <w:r>
              <w:rPr>
                <w:rFonts w:ascii="Arial" w:eastAsia="Times New Roman" w:hAnsi="Arial" w:cs="Arial"/>
                <w:color w:val="000000"/>
                <w:sz w:val="20"/>
                <w:szCs w:val="20"/>
                <w:lang w:val="en-GB"/>
              </w:rPr>
              <w:t>No, but the completion of the nonresponse bias analysis is dependent upon receipt of the respondent proficiency scores in January 2013.</w:t>
            </w:r>
          </w:p>
        </w:tc>
      </w:tr>
      <w:tr w:rsidR="00CA6D36" w:rsidRPr="00F84814" w:rsidTr="00F84814">
        <w:tc>
          <w:tcPr>
            <w:tcW w:w="1701" w:type="pct"/>
            <w:tcBorders>
              <w:top w:val="single" w:sz="4" w:space="0" w:color="auto"/>
              <w:left w:val="single" w:sz="4" w:space="0" w:color="auto"/>
              <w:bottom w:val="single" w:sz="4" w:space="0" w:color="auto"/>
              <w:right w:val="single" w:sz="4" w:space="0" w:color="auto"/>
            </w:tcBorders>
            <w:shd w:val="clear" w:color="auto" w:fill="auto"/>
            <w:noWrap/>
          </w:tcPr>
          <w:p w:rsidR="00CA6D36" w:rsidRPr="00F84814" w:rsidRDefault="00CA6D36" w:rsidP="00C67D95">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Are there any planned deviations from the nonresponse bias analysis standards and guidelines?  If so, please explain</w:t>
            </w:r>
            <w:r w:rsidR="005C7FAB" w:rsidRPr="00F84814">
              <w:rPr>
                <w:rFonts w:ascii="Times New Roman" w:eastAsia="Times New Roman" w:hAnsi="Times New Roman" w:cs="Times New Roman"/>
                <w:color w:val="000000"/>
                <w:lang w:val="en-GB"/>
              </w:rPr>
              <w:t>.</w:t>
            </w:r>
          </w:p>
        </w:tc>
        <w:tc>
          <w:tcPr>
            <w:tcW w:w="3299" w:type="pct"/>
            <w:tcBorders>
              <w:top w:val="single" w:sz="4" w:space="0" w:color="auto"/>
              <w:left w:val="nil"/>
              <w:bottom w:val="single" w:sz="4" w:space="0" w:color="auto"/>
              <w:right w:val="single" w:sz="4" w:space="0" w:color="auto"/>
            </w:tcBorders>
            <w:shd w:val="clear" w:color="auto" w:fill="auto"/>
          </w:tcPr>
          <w:p w:rsidR="00CA6D36" w:rsidRPr="00F84814" w:rsidRDefault="00CA6D36">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r w:rsidR="00CA6D36" w:rsidRPr="00F84814" w:rsidTr="00F84814">
        <w:tc>
          <w:tcPr>
            <w:tcW w:w="1701" w:type="pct"/>
            <w:tcBorders>
              <w:top w:val="single" w:sz="4" w:space="0" w:color="auto"/>
              <w:left w:val="single" w:sz="4" w:space="0" w:color="auto"/>
              <w:bottom w:val="single" w:sz="4" w:space="0" w:color="auto"/>
              <w:right w:val="single" w:sz="4" w:space="0" w:color="auto"/>
            </w:tcBorders>
            <w:shd w:val="clear" w:color="auto" w:fill="auto"/>
            <w:noWrap/>
          </w:tcPr>
          <w:p w:rsidR="00CA6D36" w:rsidRPr="00F84814" w:rsidRDefault="00CA6D36" w:rsidP="00FE6130">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 xml:space="preserve">Are there any other anticipated problems or questions?  If so, please </w:t>
            </w:r>
            <w:r w:rsidR="00FE6130" w:rsidRPr="00F84814">
              <w:rPr>
                <w:rFonts w:ascii="Times New Roman" w:eastAsia="Times New Roman" w:hAnsi="Times New Roman" w:cs="Times New Roman"/>
                <w:color w:val="000000"/>
                <w:lang w:val="en-GB"/>
              </w:rPr>
              <w:t>describe</w:t>
            </w:r>
            <w:r w:rsidR="005C7FAB" w:rsidRPr="00F84814">
              <w:rPr>
                <w:rFonts w:ascii="Times New Roman" w:eastAsia="Times New Roman" w:hAnsi="Times New Roman" w:cs="Times New Roman"/>
                <w:color w:val="000000"/>
                <w:lang w:val="en-GB"/>
              </w:rPr>
              <w:t>.</w:t>
            </w:r>
          </w:p>
        </w:tc>
        <w:tc>
          <w:tcPr>
            <w:tcW w:w="3299" w:type="pct"/>
            <w:tcBorders>
              <w:top w:val="single" w:sz="4" w:space="0" w:color="auto"/>
              <w:left w:val="nil"/>
              <w:bottom w:val="single" w:sz="4" w:space="0" w:color="auto"/>
              <w:right w:val="single" w:sz="4" w:space="0" w:color="auto"/>
            </w:tcBorders>
            <w:shd w:val="clear" w:color="auto" w:fill="auto"/>
          </w:tcPr>
          <w:p w:rsidR="00CA6D36" w:rsidRPr="00F84814" w:rsidRDefault="00CA6D36" w:rsidP="00FE6130">
            <w:pPr>
              <w:spacing w:after="0" w:line="240" w:lineRule="auto"/>
              <w:rPr>
                <w:rFonts w:ascii="Times New Roman" w:eastAsia="Times New Roman" w:hAnsi="Times New Roman" w:cs="Times New Roman"/>
                <w:color w:val="000000"/>
                <w:lang w:val="en-GB"/>
              </w:rPr>
            </w:pPr>
            <w:r w:rsidRPr="00F84814">
              <w:rPr>
                <w:rFonts w:ascii="Times New Roman" w:eastAsia="Times New Roman" w:hAnsi="Times New Roman" w:cs="Times New Roman"/>
                <w:color w:val="000000"/>
                <w:lang w:val="en-GB"/>
              </w:rPr>
              <w:t>No</w:t>
            </w:r>
          </w:p>
        </w:tc>
      </w:tr>
    </w:tbl>
    <w:p w:rsidR="00F45A55" w:rsidRPr="00823DC8" w:rsidRDefault="00F45A55" w:rsidP="0073198C">
      <w:pPr>
        <w:spacing w:line="240" w:lineRule="auto"/>
        <w:rPr>
          <w:rFonts w:ascii="Times New Roman" w:hAnsi="Times New Roman" w:cs="Times New Roman"/>
          <w:lang w:val="en-GB"/>
        </w:rPr>
      </w:pPr>
      <w:r w:rsidRPr="00823DC8">
        <w:rPr>
          <w:rFonts w:ascii="Times New Roman" w:hAnsi="Times New Roman" w:cs="Times New Roman"/>
          <w:sz w:val="20"/>
          <w:szCs w:val="20"/>
          <w:lang w:val="en-GB"/>
        </w:rPr>
        <w:t xml:space="preserve">* For an explanation of the basic, extended, and item nonresponse bias analyses, refer to the slides from Sessions 12 and 14 of the December 2010 Sampling Workshop, located at </w:t>
      </w:r>
      <w:hyperlink r:id="rId8" w:history="1">
        <w:r w:rsidRPr="00823DC8">
          <w:rPr>
            <w:rStyle w:val="Hyperlink"/>
            <w:rFonts w:ascii="Times New Roman" w:hAnsi="Times New Roman" w:cs="Times New Roman"/>
            <w:sz w:val="20"/>
            <w:szCs w:val="20"/>
            <w:lang w:val="en-GB"/>
          </w:rPr>
          <w:t>https://piaac.ets.org/sites/piaac/npms/sampling/December2010_Sampling_Workshop/Forms/AllItems.aspx</w:t>
        </w:r>
      </w:hyperlink>
      <w:r w:rsidRPr="00823DC8">
        <w:rPr>
          <w:rFonts w:ascii="Times New Roman" w:hAnsi="Times New Roman" w:cs="Times New Roman"/>
          <w:sz w:val="20"/>
          <w:szCs w:val="20"/>
          <w:lang w:val="en-GB"/>
        </w:rPr>
        <w:t>.</w:t>
      </w:r>
    </w:p>
    <w:sectPr w:rsidR="00F45A55" w:rsidRPr="00823DC8" w:rsidSect="0008184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15F" w:rsidRDefault="00A2515F" w:rsidP="003A1615">
      <w:pPr>
        <w:spacing w:after="0" w:line="240" w:lineRule="auto"/>
      </w:pPr>
      <w:r>
        <w:separator/>
      </w:r>
    </w:p>
  </w:endnote>
  <w:endnote w:type="continuationSeparator" w:id="0">
    <w:p w:rsidR="00A2515F" w:rsidRDefault="00A2515F" w:rsidP="003A16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5F" w:rsidRDefault="00A2515F">
    <w:pPr>
      <w:pStyle w:val="Footer"/>
      <w:jc w:val="center"/>
    </w:pPr>
  </w:p>
  <w:p w:rsidR="00A2515F" w:rsidRDefault="00A251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15F" w:rsidRDefault="00A2515F" w:rsidP="003A1615">
      <w:pPr>
        <w:spacing w:after="0" w:line="240" w:lineRule="auto"/>
      </w:pPr>
      <w:r>
        <w:separator/>
      </w:r>
    </w:p>
  </w:footnote>
  <w:footnote w:type="continuationSeparator" w:id="0">
    <w:p w:rsidR="00A2515F" w:rsidRDefault="00A2515F" w:rsidP="003A161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901B4"/>
    <w:multiLevelType w:val="hybridMultilevel"/>
    <w:tmpl w:val="3148E9A2"/>
    <w:lvl w:ilvl="0" w:tplc="31B07D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006645"/>
    <w:multiLevelType w:val="hybridMultilevel"/>
    <w:tmpl w:val="F934D320"/>
    <w:lvl w:ilvl="0" w:tplc="FBA8F9A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A30975"/>
    <w:multiLevelType w:val="hybridMultilevel"/>
    <w:tmpl w:val="86865A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A23896"/>
    <w:multiLevelType w:val="hybridMultilevel"/>
    <w:tmpl w:val="A242535C"/>
    <w:lvl w:ilvl="0" w:tplc="B30C64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C2108D"/>
    <w:multiLevelType w:val="hybridMultilevel"/>
    <w:tmpl w:val="66A2CBD8"/>
    <w:lvl w:ilvl="0" w:tplc="E5E41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19322F"/>
    <w:multiLevelType w:val="hybridMultilevel"/>
    <w:tmpl w:val="E01C22D0"/>
    <w:lvl w:ilvl="0" w:tplc="4872AC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useFELayout/>
  </w:compat>
  <w:rsids>
    <w:rsidRoot w:val="009A3206"/>
    <w:rsid w:val="00000575"/>
    <w:rsid w:val="00002CF3"/>
    <w:rsid w:val="000048D9"/>
    <w:rsid w:val="00004A68"/>
    <w:rsid w:val="00005C55"/>
    <w:rsid w:val="00006052"/>
    <w:rsid w:val="00006FF5"/>
    <w:rsid w:val="00007719"/>
    <w:rsid w:val="00007825"/>
    <w:rsid w:val="00010F48"/>
    <w:rsid w:val="000123D6"/>
    <w:rsid w:val="00012C4E"/>
    <w:rsid w:val="00013335"/>
    <w:rsid w:val="000156BB"/>
    <w:rsid w:val="00016191"/>
    <w:rsid w:val="00017845"/>
    <w:rsid w:val="00020477"/>
    <w:rsid w:val="0002058F"/>
    <w:rsid w:val="00020E12"/>
    <w:rsid w:val="00020FBE"/>
    <w:rsid w:val="000216F4"/>
    <w:rsid w:val="000218C8"/>
    <w:rsid w:val="0002372E"/>
    <w:rsid w:val="00023951"/>
    <w:rsid w:val="00024122"/>
    <w:rsid w:val="0002413C"/>
    <w:rsid w:val="00024813"/>
    <w:rsid w:val="00026128"/>
    <w:rsid w:val="000264FA"/>
    <w:rsid w:val="00026828"/>
    <w:rsid w:val="000304B1"/>
    <w:rsid w:val="00030862"/>
    <w:rsid w:val="00030D5B"/>
    <w:rsid w:val="00030DFF"/>
    <w:rsid w:val="00031206"/>
    <w:rsid w:val="000322F1"/>
    <w:rsid w:val="00033B54"/>
    <w:rsid w:val="00037263"/>
    <w:rsid w:val="000400FE"/>
    <w:rsid w:val="000440BE"/>
    <w:rsid w:val="00046778"/>
    <w:rsid w:val="00050490"/>
    <w:rsid w:val="00051EDE"/>
    <w:rsid w:val="00053FA7"/>
    <w:rsid w:val="00054772"/>
    <w:rsid w:val="00055916"/>
    <w:rsid w:val="00055943"/>
    <w:rsid w:val="00057641"/>
    <w:rsid w:val="00057DC3"/>
    <w:rsid w:val="00057DE6"/>
    <w:rsid w:val="000606EC"/>
    <w:rsid w:val="0006224D"/>
    <w:rsid w:val="00062E2C"/>
    <w:rsid w:val="00062F0C"/>
    <w:rsid w:val="0006570A"/>
    <w:rsid w:val="00065B51"/>
    <w:rsid w:val="0006651A"/>
    <w:rsid w:val="00066A40"/>
    <w:rsid w:val="00066EBE"/>
    <w:rsid w:val="00070D14"/>
    <w:rsid w:val="00072B24"/>
    <w:rsid w:val="00075232"/>
    <w:rsid w:val="0008090E"/>
    <w:rsid w:val="00081848"/>
    <w:rsid w:val="000826FB"/>
    <w:rsid w:val="00082724"/>
    <w:rsid w:val="00082E77"/>
    <w:rsid w:val="0008434E"/>
    <w:rsid w:val="00085632"/>
    <w:rsid w:val="000877AE"/>
    <w:rsid w:val="00087F86"/>
    <w:rsid w:val="000955F5"/>
    <w:rsid w:val="00095C88"/>
    <w:rsid w:val="000A254C"/>
    <w:rsid w:val="000A41F5"/>
    <w:rsid w:val="000A42A5"/>
    <w:rsid w:val="000A6BE7"/>
    <w:rsid w:val="000A7723"/>
    <w:rsid w:val="000B4125"/>
    <w:rsid w:val="000B5009"/>
    <w:rsid w:val="000B62AB"/>
    <w:rsid w:val="000C15F6"/>
    <w:rsid w:val="000C3E00"/>
    <w:rsid w:val="000C5085"/>
    <w:rsid w:val="000C7367"/>
    <w:rsid w:val="000C7401"/>
    <w:rsid w:val="000C7E6B"/>
    <w:rsid w:val="000C7F97"/>
    <w:rsid w:val="000D0689"/>
    <w:rsid w:val="000D073F"/>
    <w:rsid w:val="000D27E0"/>
    <w:rsid w:val="000D2B80"/>
    <w:rsid w:val="000D2F97"/>
    <w:rsid w:val="000D477A"/>
    <w:rsid w:val="000D4E0D"/>
    <w:rsid w:val="000D5A15"/>
    <w:rsid w:val="000D5A9A"/>
    <w:rsid w:val="000E0279"/>
    <w:rsid w:val="000E0436"/>
    <w:rsid w:val="000E3352"/>
    <w:rsid w:val="000E337E"/>
    <w:rsid w:val="000E38B2"/>
    <w:rsid w:val="000E4C63"/>
    <w:rsid w:val="000E70D8"/>
    <w:rsid w:val="000F14D1"/>
    <w:rsid w:val="000F5682"/>
    <w:rsid w:val="000F58CF"/>
    <w:rsid w:val="000F596D"/>
    <w:rsid w:val="000F5B1D"/>
    <w:rsid w:val="000F7427"/>
    <w:rsid w:val="001004B2"/>
    <w:rsid w:val="00101BAC"/>
    <w:rsid w:val="0010384E"/>
    <w:rsid w:val="00103AE6"/>
    <w:rsid w:val="00104B31"/>
    <w:rsid w:val="00104D57"/>
    <w:rsid w:val="00106106"/>
    <w:rsid w:val="00106274"/>
    <w:rsid w:val="00110EA7"/>
    <w:rsid w:val="00111CD4"/>
    <w:rsid w:val="00112AA4"/>
    <w:rsid w:val="00112DD7"/>
    <w:rsid w:val="00113074"/>
    <w:rsid w:val="001133AC"/>
    <w:rsid w:val="001144EC"/>
    <w:rsid w:val="001153FC"/>
    <w:rsid w:val="00117EC0"/>
    <w:rsid w:val="00121F23"/>
    <w:rsid w:val="00122CF2"/>
    <w:rsid w:val="00122E0C"/>
    <w:rsid w:val="00123495"/>
    <w:rsid w:val="00123ABA"/>
    <w:rsid w:val="00124299"/>
    <w:rsid w:val="0012508E"/>
    <w:rsid w:val="001252A4"/>
    <w:rsid w:val="00125D2B"/>
    <w:rsid w:val="00126233"/>
    <w:rsid w:val="00126D2F"/>
    <w:rsid w:val="00127C34"/>
    <w:rsid w:val="001305AB"/>
    <w:rsid w:val="00130F2A"/>
    <w:rsid w:val="00132D9D"/>
    <w:rsid w:val="00134CA7"/>
    <w:rsid w:val="0013580F"/>
    <w:rsid w:val="00137CD7"/>
    <w:rsid w:val="00141E52"/>
    <w:rsid w:val="001446B9"/>
    <w:rsid w:val="00145423"/>
    <w:rsid w:val="0014593E"/>
    <w:rsid w:val="00146412"/>
    <w:rsid w:val="001469B2"/>
    <w:rsid w:val="00146DA6"/>
    <w:rsid w:val="00146F14"/>
    <w:rsid w:val="00147A6C"/>
    <w:rsid w:val="0015381A"/>
    <w:rsid w:val="00153D9B"/>
    <w:rsid w:val="0015558E"/>
    <w:rsid w:val="001568E2"/>
    <w:rsid w:val="001573AE"/>
    <w:rsid w:val="00157D89"/>
    <w:rsid w:val="00160129"/>
    <w:rsid w:val="0016078F"/>
    <w:rsid w:val="001612D3"/>
    <w:rsid w:val="001621C6"/>
    <w:rsid w:val="0016282D"/>
    <w:rsid w:val="001640B2"/>
    <w:rsid w:val="001652F9"/>
    <w:rsid w:val="001660F3"/>
    <w:rsid w:val="00167522"/>
    <w:rsid w:val="001679DE"/>
    <w:rsid w:val="00167AF8"/>
    <w:rsid w:val="00172B70"/>
    <w:rsid w:val="00174F17"/>
    <w:rsid w:val="0017750B"/>
    <w:rsid w:val="00180E9F"/>
    <w:rsid w:val="00182537"/>
    <w:rsid w:val="001858E9"/>
    <w:rsid w:val="0019003E"/>
    <w:rsid w:val="0019091B"/>
    <w:rsid w:val="00191C5E"/>
    <w:rsid w:val="001940B7"/>
    <w:rsid w:val="00194B94"/>
    <w:rsid w:val="00197602"/>
    <w:rsid w:val="001A161D"/>
    <w:rsid w:val="001A3CF6"/>
    <w:rsid w:val="001A653F"/>
    <w:rsid w:val="001B0A0C"/>
    <w:rsid w:val="001B1772"/>
    <w:rsid w:val="001B69B6"/>
    <w:rsid w:val="001B6DCC"/>
    <w:rsid w:val="001C026B"/>
    <w:rsid w:val="001C0E31"/>
    <w:rsid w:val="001C5983"/>
    <w:rsid w:val="001D016D"/>
    <w:rsid w:val="001D0326"/>
    <w:rsid w:val="001D14E3"/>
    <w:rsid w:val="001D1D6E"/>
    <w:rsid w:val="001D41D1"/>
    <w:rsid w:val="001D48AA"/>
    <w:rsid w:val="001D49E8"/>
    <w:rsid w:val="001D509B"/>
    <w:rsid w:val="001D61AA"/>
    <w:rsid w:val="001D7E8C"/>
    <w:rsid w:val="001E0275"/>
    <w:rsid w:val="001E21BF"/>
    <w:rsid w:val="001E37B6"/>
    <w:rsid w:val="001E3FC2"/>
    <w:rsid w:val="001E7277"/>
    <w:rsid w:val="001E7890"/>
    <w:rsid w:val="001F112B"/>
    <w:rsid w:val="001F1C6D"/>
    <w:rsid w:val="001F2387"/>
    <w:rsid w:val="001F23E5"/>
    <w:rsid w:val="001F2B79"/>
    <w:rsid w:val="001F57A4"/>
    <w:rsid w:val="001F753E"/>
    <w:rsid w:val="001F7A87"/>
    <w:rsid w:val="00200349"/>
    <w:rsid w:val="002014CD"/>
    <w:rsid w:val="00204511"/>
    <w:rsid w:val="002063B4"/>
    <w:rsid w:val="0021245F"/>
    <w:rsid w:val="00212839"/>
    <w:rsid w:val="00213011"/>
    <w:rsid w:val="0021493E"/>
    <w:rsid w:val="0021532C"/>
    <w:rsid w:val="0021717E"/>
    <w:rsid w:val="00221525"/>
    <w:rsid w:val="00221DF9"/>
    <w:rsid w:val="00222B6E"/>
    <w:rsid w:val="00222C82"/>
    <w:rsid w:val="00223034"/>
    <w:rsid w:val="002269FC"/>
    <w:rsid w:val="00231C9B"/>
    <w:rsid w:val="0023261F"/>
    <w:rsid w:val="0023379C"/>
    <w:rsid w:val="00234A7D"/>
    <w:rsid w:val="002423C4"/>
    <w:rsid w:val="00244E7E"/>
    <w:rsid w:val="00245F82"/>
    <w:rsid w:val="002460AD"/>
    <w:rsid w:val="002514CD"/>
    <w:rsid w:val="00251B3E"/>
    <w:rsid w:val="002527E0"/>
    <w:rsid w:val="0025386D"/>
    <w:rsid w:val="00254465"/>
    <w:rsid w:val="00256219"/>
    <w:rsid w:val="002571AD"/>
    <w:rsid w:val="00257A1B"/>
    <w:rsid w:val="002602EB"/>
    <w:rsid w:val="00262327"/>
    <w:rsid w:val="002626D3"/>
    <w:rsid w:val="00262AE7"/>
    <w:rsid w:val="00262C4A"/>
    <w:rsid w:val="00262CE6"/>
    <w:rsid w:val="00264CB2"/>
    <w:rsid w:val="00265F3A"/>
    <w:rsid w:val="00266054"/>
    <w:rsid w:val="002666DE"/>
    <w:rsid w:val="00266E21"/>
    <w:rsid w:val="00273E2A"/>
    <w:rsid w:val="00274E65"/>
    <w:rsid w:val="00276CAA"/>
    <w:rsid w:val="00282A21"/>
    <w:rsid w:val="002830BD"/>
    <w:rsid w:val="00283868"/>
    <w:rsid w:val="00283FDC"/>
    <w:rsid w:val="00284B30"/>
    <w:rsid w:val="002855B2"/>
    <w:rsid w:val="00286AEF"/>
    <w:rsid w:val="002872D2"/>
    <w:rsid w:val="00290040"/>
    <w:rsid w:val="0029057B"/>
    <w:rsid w:val="00290A5D"/>
    <w:rsid w:val="002920DC"/>
    <w:rsid w:val="00292809"/>
    <w:rsid w:val="00292DA3"/>
    <w:rsid w:val="00293542"/>
    <w:rsid w:val="00296FF1"/>
    <w:rsid w:val="002A2574"/>
    <w:rsid w:val="002A37F0"/>
    <w:rsid w:val="002A39E4"/>
    <w:rsid w:val="002A6169"/>
    <w:rsid w:val="002B0E44"/>
    <w:rsid w:val="002B1872"/>
    <w:rsid w:val="002B1DE5"/>
    <w:rsid w:val="002B493E"/>
    <w:rsid w:val="002B6D05"/>
    <w:rsid w:val="002C462A"/>
    <w:rsid w:val="002C4942"/>
    <w:rsid w:val="002C676B"/>
    <w:rsid w:val="002C6C9E"/>
    <w:rsid w:val="002D1968"/>
    <w:rsid w:val="002D2B3B"/>
    <w:rsid w:val="002D3523"/>
    <w:rsid w:val="002D3F0A"/>
    <w:rsid w:val="002D6A0D"/>
    <w:rsid w:val="002D6B2A"/>
    <w:rsid w:val="002D78F1"/>
    <w:rsid w:val="002D7FD2"/>
    <w:rsid w:val="002E1976"/>
    <w:rsid w:val="002E359A"/>
    <w:rsid w:val="002E4524"/>
    <w:rsid w:val="002E50CA"/>
    <w:rsid w:val="002E620D"/>
    <w:rsid w:val="002E6A98"/>
    <w:rsid w:val="002F028C"/>
    <w:rsid w:val="002F02B1"/>
    <w:rsid w:val="002F1FE8"/>
    <w:rsid w:val="002F243E"/>
    <w:rsid w:val="002F35CD"/>
    <w:rsid w:val="002F5495"/>
    <w:rsid w:val="002F5AD8"/>
    <w:rsid w:val="002F77AE"/>
    <w:rsid w:val="002F7F97"/>
    <w:rsid w:val="00301949"/>
    <w:rsid w:val="00304D16"/>
    <w:rsid w:val="003109C4"/>
    <w:rsid w:val="00310C47"/>
    <w:rsid w:val="003124D5"/>
    <w:rsid w:val="00312779"/>
    <w:rsid w:val="00314444"/>
    <w:rsid w:val="003152DF"/>
    <w:rsid w:val="003157C9"/>
    <w:rsid w:val="0031619F"/>
    <w:rsid w:val="00316CD6"/>
    <w:rsid w:val="003225E3"/>
    <w:rsid w:val="00322996"/>
    <w:rsid w:val="00324A46"/>
    <w:rsid w:val="003251DD"/>
    <w:rsid w:val="00325CC3"/>
    <w:rsid w:val="00326F08"/>
    <w:rsid w:val="00327FC8"/>
    <w:rsid w:val="00333883"/>
    <w:rsid w:val="00333B29"/>
    <w:rsid w:val="003359C7"/>
    <w:rsid w:val="0034187A"/>
    <w:rsid w:val="00342586"/>
    <w:rsid w:val="003430C8"/>
    <w:rsid w:val="003436BA"/>
    <w:rsid w:val="00343AE1"/>
    <w:rsid w:val="0034464A"/>
    <w:rsid w:val="0034538A"/>
    <w:rsid w:val="00345D20"/>
    <w:rsid w:val="0034650C"/>
    <w:rsid w:val="0034771B"/>
    <w:rsid w:val="00355C9D"/>
    <w:rsid w:val="00356451"/>
    <w:rsid w:val="003574F3"/>
    <w:rsid w:val="003602C5"/>
    <w:rsid w:val="00360E01"/>
    <w:rsid w:val="00361FEB"/>
    <w:rsid w:val="0036266F"/>
    <w:rsid w:val="00363F1A"/>
    <w:rsid w:val="003646CA"/>
    <w:rsid w:val="00366756"/>
    <w:rsid w:val="00366E17"/>
    <w:rsid w:val="00367ABC"/>
    <w:rsid w:val="00367AEB"/>
    <w:rsid w:val="0037093A"/>
    <w:rsid w:val="003710B6"/>
    <w:rsid w:val="00371F69"/>
    <w:rsid w:val="00372B30"/>
    <w:rsid w:val="00374F26"/>
    <w:rsid w:val="00375339"/>
    <w:rsid w:val="00375911"/>
    <w:rsid w:val="00376BB0"/>
    <w:rsid w:val="003777CC"/>
    <w:rsid w:val="00380BAE"/>
    <w:rsid w:val="00383575"/>
    <w:rsid w:val="003835AB"/>
    <w:rsid w:val="00383C3E"/>
    <w:rsid w:val="00384317"/>
    <w:rsid w:val="00384FE6"/>
    <w:rsid w:val="00385E54"/>
    <w:rsid w:val="003866D8"/>
    <w:rsid w:val="003904E8"/>
    <w:rsid w:val="00391F8E"/>
    <w:rsid w:val="0039262D"/>
    <w:rsid w:val="0039397E"/>
    <w:rsid w:val="00394E86"/>
    <w:rsid w:val="00396206"/>
    <w:rsid w:val="003A04A3"/>
    <w:rsid w:val="003A1615"/>
    <w:rsid w:val="003A22A1"/>
    <w:rsid w:val="003A231F"/>
    <w:rsid w:val="003A2A38"/>
    <w:rsid w:val="003A41C1"/>
    <w:rsid w:val="003A50A2"/>
    <w:rsid w:val="003A7D0B"/>
    <w:rsid w:val="003B02BE"/>
    <w:rsid w:val="003B28E4"/>
    <w:rsid w:val="003B4E57"/>
    <w:rsid w:val="003B5F61"/>
    <w:rsid w:val="003B7887"/>
    <w:rsid w:val="003C07CF"/>
    <w:rsid w:val="003C2A7E"/>
    <w:rsid w:val="003C38E4"/>
    <w:rsid w:val="003C4502"/>
    <w:rsid w:val="003C6E04"/>
    <w:rsid w:val="003C752B"/>
    <w:rsid w:val="003C7BF6"/>
    <w:rsid w:val="003C7F72"/>
    <w:rsid w:val="003D002D"/>
    <w:rsid w:val="003D04AC"/>
    <w:rsid w:val="003D0CC2"/>
    <w:rsid w:val="003D2420"/>
    <w:rsid w:val="003D25F3"/>
    <w:rsid w:val="003D37BC"/>
    <w:rsid w:val="003D45E3"/>
    <w:rsid w:val="003D4821"/>
    <w:rsid w:val="003D752E"/>
    <w:rsid w:val="003D7DB8"/>
    <w:rsid w:val="003E284F"/>
    <w:rsid w:val="003E2B29"/>
    <w:rsid w:val="003E2CAA"/>
    <w:rsid w:val="003E3525"/>
    <w:rsid w:val="003E5A19"/>
    <w:rsid w:val="003E5C1E"/>
    <w:rsid w:val="003F0738"/>
    <w:rsid w:val="003F0E4C"/>
    <w:rsid w:val="003F1411"/>
    <w:rsid w:val="003F16C7"/>
    <w:rsid w:val="003F2999"/>
    <w:rsid w:val="003F3389"/>
    <w:rsid w:val="003F4511"/>
    <w:rsid w:val="003F4B81"/>
    <w:rsid w:val="003F4DAC"/>
    <w:rsid w:val="003F7589"/>
    <w:rsid w:val="0040077F"/>
    <w:rsid w:val="00402BBB"/>
    <w:rsid w:val="004034D9"/>
    <w:rsid w:val="004037C0"/>
    <w:rsid w:val="00405A1C"/>
    <w:rsid w:val="00405FCE"/>
    <w:rsid w:val="004067FD"/>
    <w:rsid w:val="00410D1E"/>
    <w:rsid w:val="00410F0A"/>
    <w:rsid w:val="004115B0"/>
    <w:rsid w:val="00411D61"/>
    <w:rsid w:val="004135CC"/>
    <w:rsid w:val="00413629"/>
    <w:rsid w:val="004136EC"/>
    <w:rsid w:val="00414965"/>
    <w:rsid w:val="00414A51"/>
    <w:rsid w:val="00414DD0"/>
    <w:rsid w:val="004162CD"/>
    <w:rsid w:val="00416418"/>
    <w:rsid w:val="0041687A"/>
    <w:rsid w:val="00416C74"/>
    <w:rsid w:val="0041782E"/>
    <w:rsid w:val="00422432"/>
    <w:rsid w:val="0042279F"/>
    <w:rsid w:val="00424180"/>
    <w:rsid w:val="00424795"/>
    <w:rsid w:val="00424E45"/>
    <w:rsid w:val="0042573E"/>
    <w:rsid w:val="00426636"/>
    <w:rsid w:val="0043244F"/>
    <w:rsid w:val="00432614"/>
    <w:rsid w:val="00433280"/>
    <w:rsid w:val="0043459A"/>
    <w:rsid w:val="004353D7"/>
    <w:rsid w:val="004355EB"/>
    <w:rsid w:val="00444067"/>
    <w:rsid w:val="00444170"/>
    <w:rsid w:val="00446C6C"/>
    <w:rsid w:val="004536E5"/>
    <w:rsid w:val="00456D5A"/>
    <w:rsid w:val="00457633"/>
    <w:rsid w:val="00461F09"/>
    <w:rsid w:val="00462E2F"/>
    <w:rsid w:val="004646B7"/>
    <w:rsid w:val="00464761"/>
    <w:rsid w:val="00465379"/>
    <w:rsid w:val="00465A91"/>
    <w:rsid w:val="004708AB"/>
    <w:rsid w:val="004726FE"/>
    <w:rsid w:val="004744BC"/>
    <w:rsid w:val="0047466C"/>
    <w:rsid w:val="00474CFB"/>
    <w:rsid w:val="00474F4F"/>
    <w:rsid w:val="004754BA"/>
    <w:rsid w:val="00476C16"/>
    <w:rsid w:val="0047780C"/>
    <w:rsid w:val="004778F3"/>
    <w:rsid w:val="00483CE2"/>
    <w:rsid w:val="0048558B"/>
    <w:rsid w:val="00485D64"/>
    <w:rsid w:val="0049000A"/>
    <w:rsid w:val="00490A67"/>
    <w:rsid w:val="00492F28"/>
    <w:rsid w:val="004938C6"/>
    <w:rsid w:val="00494A6B"/>
    <w:rsid w:val="004955BC"/>
    <w:rsid w:val="00495989"/>
    <w:rsid w:val="004A3810"/>
    <w:rsid w:val="004A7692"/>
    <w:rsid w:val="004A77BF"/>
    <w:rsid w:val="004B0601"/>
    <w:rsid w:val="004B0E90"/>
    <w:rsid w:val="004B17AA"/>
    <w:rsid w:val="004B23FA"/>
    <w:rsid w:val="004B2635"/>
    <w:rsid w:val="004B2F60"/>
    <w:rsid w:val="004B30FC"/>
    <w:rsid w:val="004B3A95"/>
    <w:rsid w:val="004B585A"/>
    <w:rsid w:val="004B6AB0"/>
    <w:rsid w:val="004C0211"/>
    <w:rsid w:val="004C1462"/>
    <w:rsid w:val="004C28D0"/>
    <w:rsid w:val="004C55C8"/>
    <w:rsid w:val="004C5D5E"/>
    <w:rsid w:val="004C60D3"/>
    <w:rsid w:val="004C6392"/>
    <w:rsid w:val="004D43D5"/>
    <w:rsid w:val="004D5104"/>
    <w:rsid w:val="004D6BB4"/>
    <w:rsid w:val="004D7815"/>
    <w:rsid w:val="004E0366"/>
    <w:rsid w:val="004E165B"/>
    <w:rsid w:val="004E1C51"/>
    <w:rsid w:val="004E2B27"/>
    <w:rsid w:val="004E7E6D"/>
    <w:rsid w:val="004F0F06"/>
    <w:rsid w:val="004F12EC"/>
    <w:rsid w:val="004F1A72"/>
    <w:rsid w:val="004F1CC7"/>
    <w:rsid w:val="004F553A"/>
    <w:rsid w:val="004F5C24"/>
    <w:rsid w:val="004F6EFF"/>
    <w:rsid w:val="004F7484"/>
    <w:rsid w:val="005018D5"/>
    <w:rsid w:val="00504D92"/>
    <w:rsid w:val="00505CFC"/>
    <w:rsid w:val="00505EA4"/>
    <w:rsid w:val="005062BF"/>
    <w:rsid w:val="005068FD"/>
    <w:rsid w:val="00506E5C"/>
    <w:rsid w:val="005113ED"/>
    <w:rsid w:val="00513554"/>
    <w:rsid w:val="00514094"/>
    <w:rsid w:val="00514606"/>
    <w:rsid w:val="005156E3"/>
    <w:rsid w:val="005211E8"/>
    <w:rsid w:val="00521505"/>
    <w:rsid w:val="00522C48"/>
    <w:rsid w:val="00525D64"/>
    <w:rsid w:val="00525E70"/>
    <w:rsid w:val="00525ECE"/>
    <w:rsid w:val="00526671"/>
    <w:rsid w:val="005312A1"/>
    <w:rsid w:val="0053251D"/>
    <w:rsid w:val="0053288C"/>
    <w:rsid w:val="00532C0E"/>
    <w:rsid w:val="00532EDE"/>
    <w:rsid w:val="00534212"/>
    <w:rsid w:val="0053461D"/>
    <w:rsid w:val="00536313"/>
    <w:rsid w:val="00536BB2"/>
    <w:rsid w:val="0054017C"/>
    <w:rsid w:val="0054042B"/>
    <w:rsid w:val="005441E2"/>
    <w:rsid w:val="00544C83"/>
    <w:rsid w:val="005453D1"/>
    <w:rsid w:val="00546E83"/>
    <w:rsid w:val="0054736D"/>
    <w:rsid w:val="00552213"/>
    <w:rsid w:val="00554165"/>
    <w:rsid w:val="005543FB"/>
    <w:rsid w:val="005576B1"/>
    <w:rsid w:val="005612A1"/>
    <w:rsid w:val="00561FB3"/>
    <w:rsid w:val="0056208A"/>
    <w:rsid w:val="00564282"/>
    <w:rsid w:val="00566C59"/>
    <w:rsid w:val="00570731"/>
    <w:rsid w:val="0057671D"/>
    <w:rsid w:val="0057671F"/>
    <w:rsid w:val="005813A3"/>
    <w:rsid w:val="00582105"/>
    <w:rsid w:val="00584EA6"/>
    <w:rsid w:val="005916C1"/>
    <w:rsid w:val="00592607"/>
    <w:rsid w:val="0059634F"/>
    <w:rsid w:val="00596D7F"/>
    <w:rsid w:val="00597FB8"/>
    <w:rsid w:val="005A29E2"/>
    <w:rsid w:val="005A39F1"/>
    <w:rsid w:val="005A4387"/>
    <w:rsid w:val="005A501B"/>
    <w:rsid w:val="005A5B12"/>
    <w:rsid w:val="005A643F"/>
    <w:rsid w:val="005A6F04"/>
    <w:rsid w:val="005A74FD"/>
    <w:rsid w:val="005B321C"/>
    <w:rsid w:val="005B36C2"/>
    <w:rsid w:val="005B4C41"/>
    <w:rsid w:val="005B52B8"/>
    <w:rsid w:val="005B65CE"/>
    <w:rsid w:val="005B69F7"/>
    <w:rsid w:val="005B6F45"/>
    <w:rsid w:val="005B742A"/>
    <w:rsid w:val="005C078D"/>
    <w:rsid w:val="005C1650"/>
    <w:rsid w:val="005C1CCE"/>
    <w:rsid w:val="005C39C9"/>
    <w:rsid w:val="005C3EF0"/>
    <w:rsid w:val="005C410A"/>
    <w:rsid w:val="005C4576"/>
    <w:rsid w:val="005C5F05"/>
    <w:rsid w:val="005C688E"/>
    <w:rsid w:val="005C7FAB"/>
    <w:rsid w:val="005D0330"/>
    <w:rsid w:val="005D0ECA"/>
    <w:rsid w:val="005D2F71"/>
    <w:rsid w:val="005D43A1"/>
    <w:rsid w:val="005E029F"/>
    <w:rsid w:val="005E035A"/>
    <w:rsid w:val="005E0844"/>
    <w:rsid w:val="005E0A05"/>
    <w:rsid w:val="005E3259"/>
    <w:rsid w:val="005E3475"/>
    <w:rsid w:val="005E6EE5"/>
    <w:rsid w:val="005E6F89"/>
    <w:rsid w:val="005F0FD7"/>
    <w:rsid w:val="005F3549"/>
    <w:rsid w:val="005F3C1C"/>
    <w:rsid w:val="005F434F"/>
    <w:rsid w:val="005F493F"/>
    <w:rsid w:val="005F4D94"/>
    <w:rsid w:val="005F5062"/>
    <w:rsid w:val="005F5BCD"/>
    <w:rsid w:val="005F75E6"/>
    <w:rsid w:val="006003CA"/>
    <w:rsid w:val="006027D1"/>
    <w:rsid w:val="0060586F"/>
    <w:rsid w:val="006059ED"/>
    <w:rsid w:val="006064C0"/>
    <w:rsid w:val="0061120B"/>
    <w:rsid w:val="00611984"/>
    <w:rsid w:val="0061429D"/>
    <w:rsid w:val="006163C4"/>
    <w:rsid w:val="0061755C"/>
    <w:rsid w:val="0062060E"/>
    <w:rsid w:val="0062097C"/>
    <w:rsid w:val="00620D1E"/>
    <w:rsid w:val="00621A6D"/>
    <w:rsid w:val="00622687"/>
    <w:rsid w:val="00622755"/>
    <w:rsid w:val="0062374D"/>
    <w:rsid w:val="0062481B"/>
    <w:rsid w:val="00625191"/>
    <w:rsid w:val="00627207"/>
    <w:rsid w:val="006352EE"/>
    <w:rsid w:val="0063591B"/>
    <w:rsid w:val="006375E0"/>
    <w:rsid w:val="00645AF5"/>
    <w:rsid w:val="00646309"/>
    <w:rsid w:val="006466D4"/>
    <w:rsid w:val="006474E0"/>
    <w:rsid w:val="006500C4"/>
    <w:rsid w:val="006502A7"/>
    <w:rsid w:val="006518FB"/>
    <w:rsid w:val="00652C26"/>
    <w:rsid w:val="00654392"/>
    <w:rsid w:val="00654964"/>
    <w:rsid w:val="00654CF6"/>
    <w:rsid w:val="00655B99"/>
    <w:rsid w:val="006610E7"/>
    <w:rsid w:val="00661B43"/>
    <w:rsid w:val="00661C55"/>
    <w:rsid w:val="00663196"/>
    <w:rsid w:val="00666D98"/>
    <w:rsid w:val="00666DDA"/>
    <w:rsid w:val="00667E92"/>
    <w:rsid w:val="006702CE"/>
    <w:rsid w:val="00672D08"/>
    <w:rsid w:val="00672FFD"/>
    <w:rsid w:val="006740CC"/>
    <w:rsid w:val="00674792"/>
    <w:rsid w:val="006748CD"/>
    <w:rsid w:val="0067528B"/>
    <w:rsid w:val="00675A3F"/>
    <w:rsid w:val="0068240B"/>
    <w:rsid w:val="0068381F"/>
    <w:rsid w:val="00684FDC"/>
    <w:rsid w:val="00686331"/>
    <w:rsid w:val="00686478"/>
    <w:rsid w:val="0069147F"/>
    <w:rsid w:val="00692899"/>
    <w:rsid w:val="00694EEE"/>
    <w:rsid w:val="00695BF9"/>
    <w:rsid w:val="00695CD7"/>
    <w:rsid w:val="006A0DF6"/>
    <w:rsid w:val="006A172C"/>
    <w:rsid w:val="006A1B49"/>
    <w:rsid w:val="006A1CAA"/>
    <w:rsid w:val="006A2855"/>
    <w:rsid w:val="006A3FE1"/>
    <w:rsid w:val="006A54A4"/>
    <w:rsid w:val="006A6699"/>
    <w:rsid w:val="006B1D02"/>
    <w:rsid w:val="006B2E6A"/>
    <w:rsid w:val="006B3584"/>
    <w:rsid w:val="006B38B0"/>
    <w:rsid w:val="006B3912"/>
    <w:rsid w:val="006B4D2B"/>
    <w:rsid w:val="006B4DC4"/>
    <w:rsid w:val="006B53AD"/>
    <w:rsid w:val="006B5758"/>
    <w:rsid w:val="006B5D8E"/>
    <w:rsid w:val="006B6CE2"/>
    <w:rsid w:val="006C023F"/>
    <w:rsid w:val="006C060D"/>
    <w:rsid w:val="006C2EF1"/>
    <w:rsid w:val="006C400E"/>
    <w:rsid w:val="006C61E6"/>
    <w:rsid w:val="006C682A"/>
    <w:rsid w:val="006C7612"/>
    <w:rsid w:val="006D0FD2"/>
    <w:rsid w:val="006D1C8F"/>
    <w:rsid w:val="006D1D2D"/>
    <w:rsid w:val="006D2C43"/>
    <w:rsid w:val="006D3D30"/>
    <w:rsid w:val="006D4503"/>
    <w:rsid w:val="006D57A2"/>
    <w:rsid w:val="006D75E3"/>
    <w:rsid w:val="006E2807"/>
    <w:rsid w:val="006E32D6"/>
    <w:rsid w:val="006E3805"/>
    <w:rsid w:val="006E3D57"/>
    <w:rsid w:val="006E64EF"/>
    <w:rsid w:val="006E779A"/>
    <w:rsid w:val="006E77E2"/>
    <w:rsid w:val="006F04E1"/>
    <w:rsid w:val="006F3741"/>
    <w:rsid w:val="006F56DA"/>
    <w:rsid w:val="007019CF"/>
    <w:rsid w:val="00705434"/>
    <w:rsid w:val="00706416"/>
    <w:rsid w:val="007077BF"/>
    <w:rsid w:val="007114AA"/>
    <w:rsid w:val="00711BE0"/>
    <w:rsid w:val="007123DF"/>
    <w:rsid w:val="00712B90"/>
    <w:rsid w:val="007135D2"/>
    <w:rsid w:val="007150BA"/>
    <w:rsid w:val="0071650A"/>
    <w:rsid w:val="00720BB7"/>
    <w:rsid w:val="00723452"/>
    <w:rsid w:val="00725999"/>
    <w:rsid w:val="00726A65"/>
    <w:rsid w:val="00727A58"/>
    <w:rsid w:val="00727A75"/>
    <w:rsid w:val="007300F3"/>
    <w:rsid w:val="00730AAC"/>
    <w:rsid w:val="0073198C"/>
    <w:rsid w:val="00733216"/>
    <w:rsid w:val="00733855"/>
    <w:rsid w:val="00735321"/>
    <w:rsid w:val="007360C2"/>
    <w:rsid w:val="00737642"/>
    <w:rsid w:val="0074197F"/>
    <w:rsid w:val="0074255B"/>
    <w:rsid w:val="007433C8"/>
    <w:rsid w:val="0074434D"/>
    <w:rsid w:val="00747C80"/>
    <w:rsid w:val="00755D0A"/>
    <w:rsid w:val="007602BC"/>
    <w:rsid w:val="007607A2"/>
    <w:rsid w:val="00763A4B"/>
    <w:rsid w:val="0076425E"/>
    <w:rsid w:val="007643F1"/>
    <w:rsid w:val="00765CCD"/>
    <w:rsid w:val="007703D9"/>
    <w:rsid w:val="0077141E"/>
    <w:rsid w:val="00771481"/>
    <w:rsid w:val="0077348E"/>
    <w:rsid w:val="007757A2"/>
    <w:rsid w:val="00775CB6"/>
    <w:rsid w:val="00777771"/>
    <w:rsid w:val="00780563"/>
    <w:rsid w:val="00780B2E"/>
    <w:rsid w:val="00781C7C"/>
    <w:rsid w:val="007836A6"/>
    <w:rsid w:val="0078477C"/>
    <w:rsid w:val="0078532B"/>
    <w:rsid w:val="00785E83"/>
    <w:rsid w:val="00786B08"/>
    <w:rsid w:val="00786FF0"/>
    <w:rsid w:val="00787CE1"/>
    <w:rsid w:val="00790DFD"/>
    <w:rsid w:val="00790FBA"/>
    <w:rsid w:val="00793A4B"/>
    <w:rsid w:val="007962DC"/>
    <w:rsid w:val="007972EE"/>
    <w:rsid w:val="007A0610"/>
    <w:rsid w:val="007A0852"/>
    <w:rsid w:val="007A15B5"/>
    <w:rsid w:val="007A23A1"/>
    <w:rsid w:val="007A24BC"/>
    <w:rsid w:val="007A46B9"/>
    <w:rsid w:val="007A66AC"/>
    <w:rsid w:val="007A69B9"/>
    <w:rsid w:val="007A74AB"/>
    <w:rsid w:val="007A7CE9"/>
    <w:rsid w:val="007B3066"/>
    <w:rsid w:val="007B3248"/>
    <w:rsid w:val="007B36E4"/>
    <w:rsid w:val="007B7F96"/>
    <w:rsid w:val="007C0090"/>
    <w:rsid w:val="007C24F1"/>
    <w:rsid w:val="007C264A"/>
    <w:rsid w:val="007C2FFF"/>
    <w:rsid w:val="007C34BC"/>
    <w:rsid w:val="007C4075"/>
    <w:rsid w:val="007C6467"/>
    <w:rsid w:val="007D00DD"/>
    <w:rsid w:val="007D28FC"/>
    <w:rsid w:val="007D450D"/>
    <w:rsid w:val="007D5C41"/>
    <w:rsid w:val="007D7706"/>
    <w:rsid w:val="007D7B41"/>
    <w:rsid w:val="007E0B93"/>
    <w:rsid w:val="007E0F7A"/>
    <w:rsid w:val="007E128D"/>
    <w:rsid w:val="007E131E"/>
    <w:rsid w:val="007E22EE"/>
    <w:rsid w:val="007E2BD4"/>
    <w:rsid w:val="007E4BE3"/>
    <w:rsid w:val="007E4F38"/>
    <w:rsid w:val="007E6238"/>
    <w:rsid w:val="007F118D"/>
    <w:rsid w:val="007F1E3F"/>
    <w:rsid w:val="007F2B6B"/>
    <w:rsid w:val="007F4BC1"/>
    <w:rsid w:val="007F57FD"/>
    <w:rsid w:val="007F5A1A"/>
    <w:rsid w:val="007F65D8"/>
    <w:rsid w:val="007F6A0E"/>
    <w:rsid w:val="007F77EE"/>
    <w:rsid w:val="008004B9"/>
    <w:rsid w:val="0080050C"/>
    <w:rsid w:val="00800707"/>
    <w:rsid w:val="00800F24"/>
    <w:rsid w:val="00803272"/>
    <w:rsid w:val="008036D7"/>
    <w:rsid w:val="00805401"/>
    <w:rsid w:val="008064D8"/>
    <w:rsid w:val="00806AD1"/>
    <w:rsid w:val="008076C5"/>
    <w:rsid w:val="0081077D"/>
    <w:rsid w:val="008111A9"/>
    <w:rsid w:val="00811DC0"/>
    <w:rsid w:val="008126CE"/>
    <w:rsid w:val="00812B85"/>
    <w:rsid w:val="00812C75"/>
    <w:rsid w:val="00812FFB"/>
    <w:rsid w:val="00813714"/>
    <w:rsid w:val="00814C91"/>
    <w:rsid w:val="008161D3"/>
    <w:rsid w:val="008165CD"/>
    <w:rsid w:val="008200CC"/>
    <w:rsid w:val="00820C55"/>
    <w:rsid w:val="00820E5C"/>
    <w:rsid w:val="008216EC"/>
    <w:rsid w:val="00822290"/>
    <w:rsid w:val="008224C9"/>
    <w:rsid w:val="0082291B"/>
    <w:rsid w:val="00822FC0"/>
    <w:rsid w:val="00823DC8"/>
    <w:rsid w:val="00823E5A"/>
    <w:rsid w:val="00823F7B"/>
    <w:rsid w:val="00824169"/>
    <w:rsid w:val="008262D3"/>
    <w:rsid w:val="00827938"/>
    <w:rsid w:val="00827D55"/>
    <w:rsid w:val="00830054"/>
    <w:rsid w:val="008308FF"/>
    <w:rsid w:val="00831555"/>
    <w:rsid w:val="00831607"/>
    <w:rsid w:val="008319D5"/>
    <w:rsid w:val="0083223E"/>
    <w:rsid w:val="00833265"/>
    <w:rsid w:val="008332AB"/>
    <w:rsid w:val="008349D6"/>
    <w:rsid w:val="0083553A"/>
    <w:rsid w:val="0083603C"/>
    <w:rsid w:val="00837630"/>
    <w:rsid w:val="008378C3"/>
    <w:rsid w:val="00841753"/>
    <w:rsid w:val="008422F3"/>
    <w:rsid w:val="00844CC2"/>
    <w:rsid w:val="0084765E"/>
    <w:rsid w:val="00847BC8"/>
    <w:rsid w:val="008508CA"/>
    <w:rsid w:val="00851EF2"/>
    <w:rsid w:val="00852F44"/>
    <w:rsid w:val="00854ED4"/>
    <w:rsid w:val="008568E5"/>
    <w:rsid w:val="00860238"/>
    <w:rsid w:val="00860413"/>
    <w:rsid w:val="00863559"/>
    <w:rsid w:val="0086457E"/>
    <w:rsid w:val="00867374"/>
    <w:rsid w:val="008674D8"/>
    <w:rsid w:val="00867DE2"/>
    <w:rsid w:val="008717E9"/>
    <w:rsid w:val="0087282F"/>
    <w:rsid w:val="00872D62"/>
    <w:rsid w:val="00876D56"/>
    <w:rsid w:val="00876E09"/>
    <w:rsid w:val="008775F1"/>
    <w:rsid w:val="00877640"/>
    <w:rsid w:val="00877736"/>
    <w:rsid w:val="008808BE"/>
    <w:rsid w:val="00880B67"/>
    <w:rsid w:val="008836FC"/>
    <w:rsid w:val="00883FD0"/>
    <w:rsid w:val="00891BC8"/>
    <w:rsid w:val="00892465"/>
    <w:rsid w:val="00894726"/>
    <w:rsid w:val="008950FF"/>
    <w:rsid w:val="00896A92"/>
    <w:rsid w:val="00897B98"/>
    <w:rsid w:val="008A3F16"/>
    <w:rsid w:val="008A6385"/>
    <w:rsid w:val="008A661A"/>
    <w:rsid w:val="008A6DE8"/>
    <w:rsid w:val="008B1591"/>
    <w:rsid w:val="008B2D80"/>
    <w:rsid w:val="008B573F"/>
    <w:rsid w:val="008B6FF6"/>
    <w:rsid w:val="008C0438"/>
    <w:rsid w:val="008C2C29"/>
    <w:rsid w:val="008C3954"/>
    <w:rsid w:val="008C3DAC"/>
    <w:rsid w:val="008C6D8E"/>
    <w:rsid w:val="008D00CB"/>
    <w:rsid w:val="008D1FC1"/>
    <w:rsid w:val="008D3DA7"/>
    <w:rsid w:val="008D4E90"/>
    <w:rsid w:val="008D727B"/>
    <w:rsid w:val="008E0597"/>
    <w:rsid w:val="008E1CA5"/>
    <w:rsid w:val="008E2549"/>
    <w:rsid w:val="008E3A29"/>
    <w:rsid w:val="008E5A7D"/>
    <w:rsid w:val="008F15E6"/>
    <w:rsid w:val="008F2FFA"/>
    <w:rsid w:val="008F6678"/>
    <w:rsid w:val="008F6915"/>
    <w:rsid w:val="00900309"/>
    <w:rsid w:val="00903E18"/>
    <w:rsid w:val="009040F3"/>
    <w:rsid w:val="009058EC"/>
    <w:rsid w:val="009061D4"/>
    <w:rsid w:val="009061D5"/>
    <w:rsid w:val="009110A1"/>
    <w:rsid w:val="009129E9"/>
    <w:rsid w:val="00916C36"/>
    <w:rsid w:val="00917513"/>
    <w:rsid w:val="0091776E"/>
    <w:rsid w:val="00920006"/>
    <w:rsid w:val="00920855"/>
    <w:rsid w:val="00923F42"/>
    <w:rsid w:val="00924A04"/>
    <w:rsid w:val="00927A33"/>
    <w:rsid w:val="00930B6B"/>
    <w:rsid w:val="00934750"/>
    <w:rsid w:val="00934DA5"/>
    <w:rsid w:val="00935217"/>
    <w:rsid w:val="009352B9"/>
    <w:rsid w:val="00936249"/>
    <w:rsid w:val="00937AE4"/>
    <w:rsid w:val="00940187"/>
    <w:rsid w:val="0094045F"/>
    <w:rsid w:val="00943517"/>
    <w:rsid w:val="0094473D"/>
    <w:rsid w:val="009452C7"/>
    <w:rsid w:val="00951890"/>
    <w:rsid w:val="00952333"/>
    <w:rsid w:val="00952967"/>
    <w:rsid w:val="009564B3"/>
    <w:rsid w:val="00956A12"/>
    <w:rsid w:val="009573C7"/>
    <w:rsid w:val="00960065"/>
    <w:rsid w:val="0096048C"/>
    <w:rsid w:val="009609A6"/>
    <w:rsid w:val="00960CBE"/>
    <w:rsid w:val="0096187E"/>
    <w:rsid w:val="009618A9"/>
    <w:rsid w:val="0096337C"/>
    <w:rsid w:val="00964402"/>
    <w:rsid w:val="009660A2"/>
    <w:rsid w:val="009700CD"/>
    <w:rsid w:val="00971084"/>
    <w:rsid w:val="00972B8E"/>
    <w:rsid w:val="00973CFF"/>
    <w:rsid w:val="00974BBE"/>
    <w:rsid w:val="00977870"/>
    <w:rsid w:val="009821EB"/>
    <w:rsid w:val="009849BC"/>
    <w:rsid w:val="00984C80"/>
    <w:rsid w:val="0098633D"/>
    <w:rsid w:val="00986B5F"/>
    <w:rsid w:val="009876B4"/>
    <w:rsid w:val="00987D44"/>
    <w:rsid w:val="00987F3E"/>
    <w:rsid w:val="009902D2"/>
    <w:rsid w:val="00990D68"/>
    <w:rsid w:val="00991E46"/>
    <w:rsid w:val="0099390F"/>
    <w:rsid w:val="00997CB9"/>
    <w:rsid w:val="009A25CA"/>
    <w:rsid w:val="009A29C6"/>
    <w:rsid w:val="009A3206"/>
    <w:rsid w:val="009A5BB1"/>
    <w:rsid w:val="009B1A26"/>
    <w:rsid w:val="009B1B0A"/>
    <w:rsid w:val="009B3CE8"/>
    <w:rsid w:val="009B3FB1"/>
    <w:rsid w:val="009B4E30"/>
    <w:rsid w:val="009B66CF"/>
    <w:rsid w:val="009B69B9"/>
    <w:rsid w:val="009B72BB"/>
    <w:rsid w:val="009B7702"/>
    <w:rsid w:val="009C083E"/>
    <w:rsid w:val="009C42E6"/>
    <w:rsid w:val="009C454E"/>
    <w:rsid w:val="009C79C5"/>
    <w:rsid w:val="009D06D4"/>
    <w:rsid w:val="009D2464"/>
    <w:rsid w:val="009D31AF"/>
    <w:rsid w:val="009D32D2"/>
    <w:rsid w:val="009D3F9C"/>
    <w:rsid w:val="009D48F8"/>
    <w:rsid w:val="009D4995"/>
    <w:rsid w:val="009D588C"/>
    <w:rsid w:val="009D6323"/>
    <w:rsid w:val="009D7C52"/>
    <w:rsid w:val="009E13A6"/>
    <w:rsid w:val="009E1D7E"/>
    <w:rsid w:val="009E4A6F"/>
    <w:rsid w:val="009E60B3"/>
    <w:rsid w:val="009F124A"/>
    <w:rsid w:val="009F25E8"/>
    <w:rsid w:val="009F2BE3"/>
    <w:rsid w:val="009F308E"/>
    <w:rsid w:val="009F49A3"/>
    <w:rsid w:val="009F4DE1"/>
    <w:rsid w:val="009F4EAA"/>
    <w:rsid w:val="009F670D"/>
    <w:rsid w:val="00A02C22"/>
    <w:rsid w:val="00A049C1"/>
    <w:rsid w:val="00A04BC4"/>
    <w:rsid w:val="00A06632"/>
    <w:rsid w:val="00A06EB9"/>
    <w:rsid w:val="00A10249"/>
    <w:rsid w:val="00A11014"/>
    <w:rsid w:val="00A112B2"/>
    <w:rsid w:val="00A13B48"/>
    <w:rsid w:val="00A156DA"/>
    <w:rsid w:val="00A179DE"/>
    <w:rsid w:val="00A2055E"/>
    <w:rsid w:val="00A206AE"/>
    <w:rsid w:val="00A21670"/>
    <w:rsid w:val="00A236B7"/>
    <w:rsid w:val="00A24C72"/>
    <w:rsid w:val="00A2515F"/>
    <w:rsid w:val="00A25C6B"/>
    <w:rsid w:val="00A26166"/>
    <w:rsid w:val="00A278C8"/>
    <w:rsid w:val="00A3049E"/>
    <w:rsid w:val="00A30BF6"/>
    <w:rsid w:val="00A3183E"/>
    <w:rsid w:val="00A3287B"/>
    <w:rsid w:val="00A34025"/>
    <w:rsid w:val="00A35CC6"/>
    <w:rsid w:val="00A3752E"/>
    <w:rsid w:val="00A40EC8"/>
    <w:rsid w:val="00A416D7"/>
    <w:rsid w:val="00A42E58"/>
    <w:rsid w:val="00A43D8B"/>
    <w:rsid w:val="00A44974"/>
    <w:rsid w:val="00A45E5A"/>
    <w:rsid w:val="00A46140"/>
    <w:rsid w:val="00A47453"/>
    <w:rsid w:val="00A476B1"/>
    <w:rsid w:val="00A4774A"/>
    <w:rsid w:val="00A47D24"/>
    <w:rsid w:val="00A501FC"/>
    <w:rsid w:val="00A50CFD"/>
    <w:rsid w:val="00A53443"/>
    <w:rsid w:val="00A53521"/>
    <w:rsid w:val="00A53C84"/>
    <w:rsid w:val="00A53F39"/>
    <w:rsid w:val="00A542F7"/>
    <w:rsid w:val="00A553D7"/>
    <w:rsid w:val="00A56B23"/>
    <w:rsid w:val="00A62C84"/>
    <w:rsid w:val="00A63629"/>
    <w:rsid w:val="00A63BFC"/>
    <w:rsid w:val="00A6502C"/>
    <w:rsid w:val="00A702E9"/>
    <w:rsid w:val="00A7050F"/>
    <w:rsid w:val="00A70910"/>
    <w:rsid w:val="00A714DC"/>
    <w:rsid w:val="00A73D20"/>
    <w:rsid w:val="00A73D37"/>
    <w:rsid w:val="00A742B1"/>
    <w:rsid w:val="00A746A0"/>
    <w:rsid w:val="00A7541A"/>
    <w:rsid w:val="00A7559E"/>
    <w:rsid w:val="00A7580D"/>
    <w:rsid w:val="00A800F8"/>
    <w:rsid w:val="00A8016E"/>
    <w:rsid w:val="00A81607"/>
    <w:rsid w:val="00A823B2"/>
    <w:rsid w:val="00A82520"/>
    <w:rsid w:val="00A85ED1"/>
    <w:rsid w:val="00A87D50"/>
    <w:rsid w:val="00A908E5"/>
    <w:rsid w:val="00A92FE9"/>
    <w:rsid w:val="00A93D34"/>
    <w:rsid w:val="00A95876"/>
    <w:rsid w:val="00A974CC"/>
    <w:rsid w:val="00A97F9B"/>
    <w:rsid w:val="00AA0827"/>
    <w:rsid w:val="00AA1820"/>
    <w:rsid w:val="00AA1FEC"/>
    <w:rsid w:val="00AA27BD"/>
    <w:rsid w:val="00AA522E"/>
    <w:rsid w:val="00AA62BA"/>
    <w:rsid w:val="00AA6ABA"/>
    <w:rsid w:val="00AA6B20"/>
    <w:rsid w:val="00AB0EF0"/>
    <w:rsid w:val="00AB2E65"/>
    <w:rsid w:val="00AB7D3C"/>
    <w:rsid w:val="00AC243E"/>
    <w:rsid w:val="00AC70F5"/>
    <w:rsid w:val="00AC72F2"/>
    <w:rsid w:val="00AD056C"/>
    <w:rsid w:val="00AD2916"/>
    <w:rsid w:val="00AD2C06"/>
    <w:rsid w:val="00AD301E"/>
    <w:rsid w:val="00AD3B7B"/>
    <w:rsid w:val="00AD3CA4"/>
    <w:rsid w:val="00AD48E8"/>
    <w:rsid w:val="00AD4A42"/>
    <w:rsid w:val="00AD56EC"/>
    <w:rsid w:val="00AD6B8F"/>
    <w:rsid w:val="00AD7159"/>
    <w:rsid w:val="00AD7EA2"/>
    <w:rsid w:val="00AE02BE"/>
    <w:rsid w:val="00AE0D17"/>
    <w:rsid w:val="00AE62E9"/>
    <w:rsid w:val="00AF00BC"/>
    <w:rsid w:val="00AF0EB4"/>
    <w:rsid w:val="00AF1B8E"/>
    <w:rsid w:val="00AF226E"/>
    <w:rsid w:val="00AF2AB0"/>
    <w:rsid w:val="00AF32E6"/>
    <w:rsid w:val="00AF42BE"/>
    <w:rsid w:val="00AF4535"/>
    <w:rsid w:val="00AF4EFA"/>
    <w:rsid w:val="00AF78DB"/>
    <w:rsid w:val="00B0031B"/>
    <w:rsid w:val="00B010C8"/>
    <w:rsid w:val="00B0274D"/>
    <w:rsid w:val="00B02BA2"/>
    <w:rsid w:val="00B0724E"/>
    <w:rsid w:val="00B074F6"/>
    <w:rsid w:val="00B1453B"/>
    <w:rsid w:val="00B17402"/>
    <w:rsid w:val="00B20D52"/>
    <w:rsid w:val="00B30F31"/>
    <w:rsid w:val="00B33192"/>
    <w:rsid w:val="00B332E3"/>
    <w:rsid w:val="00B34276"/>
    <w:rsid w:val="00B3428F"/>
    <w:rsid w:val="00B363A4"/>
    <w:rsid w:val="00B37DBE"/>
    <w:rsid w:val="00B40187"/>
    <w:rsid w:val="00B4035F"/>
    <w:rsid w:val="00B42399"/>
    <w:rsid w:val="00B45315"/>
    <w:rsid w:val="00B51993"/>
    <w:rsid w:val="00B53324"/>
    <w:rsid w:val="00B53D51"/>
    <w:rsid w:val="00B54863"/>
    <w:rsid w:val="00B564FF"/>
    <w:rsid w:val="00B575B5"/>
    <w:rsid w:val="00B60246"/>
    <w:rsid w:val="00B603BF"/>
    <w:rsid w:val="00B6314F"/>
    <w:rsid w:val="00B632F4"/>
    <w:rsid w:val="00B63A9B"/>
    <w:rsid w:val="00B6525A"/>
    <w:rsid w:val="00B65284"/>
    <w:rsid w:val="00B6698E"/>
    <w:rsid w:val="00B676C1"/>
    <w:rsid w:val="00B706F4"/>
    <w:rsid w:val="00B71780"/>
    <w:rsid w:val="00B722AE"/>
    <w:rsid w:val="00B7310E"/>
    <w:rsid w:val="00B7330A"/>
    <w:rsid w:val="00B74055"/>
    <w:rsid w:val="00B7565F"/>
    <w:rsid w:val="00B76B13"/>
    <w:rsid w:val="00B77C52"/>
    <w:rsid w:val="00B8044E"/>
    <w:rsid w:val="00B817B5"/>
    <w:rsid w:val="00B8380F"/>
    <w:rsid w:val="00B85525"/>
    <w:rsid w:val="00B8670F"/>
    <w:rsid w:val="00B86B36"/>
    <w:rsid w:val="00B87C74"/>
    <w:rsid w:val="00B90291"/>
    <w:rsid w:val="00B9069C"/>
    <w:rsid w:val="00B912C3"/>
    <w:rsid w:val="00B921FC"/>
    <w:rsid w:val="00B92488"/>
    <w:rsid w:val="00B92559"/>
    <w:rsid w:val="00B92D9B"/>
    <w:rsid w:val="00B92F65"/>
    <w:rsid w:val="00B936FE"/>
    <w:rsid w:val="00B94878"/>
    <w:rsid w:val="00B95CBB"/>
    <w:rsid w:val="00B95CFD"/>
    <w:rsid w:val="00BA0D07"/>
    <w:rsid w:val="00BA1E3C"/>
    <w:rsid w:val="00BA2013"/>
    <w:rsid w:val="00BA2189"/>
    <w:rsid w:val="00BA2FAA"/>
    <w:rsid w:val="00BA3866"/>
    <w:rsid w:val="00BA38D3"/>
    <w:rsid w:val="00BA5F98"/>
    <w:rsid w:val="00BA60E7"/>
    <w:rsid w:val="00BA7A47"/>
    <w:rsid w:val="00BA7A4C"/>
    <w:rsid w:val="00BB04FC"/>
    <w:rsid w:val="00BB09E4"/>
    <w:rsid w:val="00BB1A76"/>
    <w:rsid w:val="00BB27BE"/>
    <w:rsid w:val="00BB297F"/>
    <w:rsid w:val="00BB3739"/>
    <w:rsid w:val="00BB52B7"/>
    <w:rsid w:val="00BC024F"/>
    <w:rsid w:val="00BC29A7"/>
    <w:rsid w:val="00BC36D4"/>
    <w:rsid w:val="00BC5702"/>
    <w:rsid w:val="00BC71FA"/>
    <w:rsid w:val="00BC7D33"/>
    <w:rsid w:val="00BC7DCD"/>
    <w:rsid w:val="00BD424E"/>
    <w:rsid w:val="00BD6420"/>
    <w:rsid w:val="00BD690C"/>
    <w:rsid w:val="00BD787B"/>
    <w:rsid w:val="00BD7BEF"/>
    <w:rsid w:val="00BE29C5"/>
    <w:rsid w:val="00BE3910"/>
    <w:rsid w:val="00BE3A4F"/>
    <w:rsid w:val="00BE7F1F"/>
    <w:rsid w:val="00BF0775"/>
    <w:rsid w:val="00BF104E"/>
    <w:rsid w:val="00BF2776"/>
    <w:rsid w:val="00BF2A73"/>
    <w:rsid w:val="00BF3473"/>
    <w:rsid w:val="00BF3A53"/>
    <w:rsid w:val="00BF488B"/>
    <w:rsid w:val="00BF50F5"/>
    <w:rsid w:val="00BF6EB9"/>
    <w:rsid w:val="00BF7C29"/>
    <w:rsid w:val="00C008DF"/>
    <w:rsid w:val="00C0163D"/>
    <w:rsid w:val="00C03839"/>
    <w:rsid w:val="00C043D9"/>
    <w:rsid w:val="00C069E0"/>
    <w:rsid w:val="00C126A1"/>
    <w:rsid w:val="00C140F3"/>
    <w:rsid w:val="00C1655C"/>
    <w:rsid w:val="00C17215"/>
    <w:rsid w:val="00C2091B"/>
    <w:rsid w:val="00C22B85"/>
    <w:rsid w:val="00C22F38"/>
    <w:rsid w:val="00C24B4F"/>
    <w:rsid w:val="00C24D6C"/>
    <w:rsid w:val="00C25213"/>
    <w:rsid w:val="00C26A9B"/>
    <w:rsid w:val="00C26B9C"/>
    <w:rsid w:val="00C270D3"/>
    <w:rsid w:val="00C278C2"/>
    <w:rsid w:val="00C3023B"/>
    <w:rsid w:val="00C30673"/>
    <w:rsid w:val="00C31560"/>
    <w:rsid w:val="00C3168B"/>
    <w:rsid w:val="00C33D4D"/>
    <w:rsid w:val="00C3454C"/>
    <w:rsid w:val="00C347CC"/>
    <w:rsid w:val="00C347DE"/>
    <w:rsid w:val="00C37A8F"/>
    <w:rsid w:val="00C40D17"/>
    <w:rsid w:val="00C42D33"/>
    <w:rsid w:val="00C42DBA"/>
    <w:rsid w:val="00C44604"/>
    <w:rsid w:val="00C44F11"/>
    <w:rsid w:val="00C45806"/>
    <w:rsid w:val="00C46ED8"/>
    <w:rsid w:val="00C507C9"/>
    <w:rsid w:val="00C512DD"/>
    <w:rsid w:val="00C5165A"/>
    <w:rsid w:val="00C541AE"/>
    <w:rsid w:val="00C56EF7"/>
    <w:rsid w:val="00C57C5E"/>
    <w:rsid w:val="00C610A7"/>
    <w:rsid w:val="00C615B0"/>
    <w:rsid w:val="00C62FE6"/>
    <w:rsid w:val="00C63BD6"/>
    <w:rsid w:val="00C64925"/>
    <w:rsid w:val="00C65437"/>
    <w:rsid w:val="00C65489"/>
    <w:rsid w:val="00C67D95"/>
    <w:rsid w:val="00C7047D"/>
    <w:rsid w:val="00C7091B"/>
    <w:rsid w:val="00C71403"/>
    <w:rsid w:val="00C73BCC"/>
    <w:rsid w:val="00C74492"/>
    <w:rsid w:val="00C774AB"/>
    <w:rsid w:val="00C77D65"/>
    <w:rsid w:val="00C824BE"/>
    <w:rsid w:val="00C825A4"/>
    <w:rsid w:val="00C83781"/>
    <w:rsid w:val="00C84605"/>
    <w:rsid w:val="00C85F80"/>
    <w:rsid w:val="00C870EB"/>
    <w:rsid w:val="00C937E0"/>
    <w:rsid w:val="00C946E5"/>
    <w:rsid w:val="00C94DE1"/>
    <w:rsid w:val="00C9797F"/>
    <w:rsid w:val="00CA1A25"/>
    <w:rsid w:val="00CA2FB4"/>
    <w:rsid w:val="00CA4A92"/>
    <w:rsid w:val="00CA6D36"/>
    <w:rsid w:val="00CB04D6"/>
    <w:rsid w:val="00CB25AF"/>
    <w:rsid w:val="00CB3872"/>
    <w:rsid w:val="00CB3C38"/>
    <w:rsid w:val="00CB4747"/>
    <w:rsid w:val="00CB4A73"/>
    <w:rsid w:val="00CB5605"/>
    <w:rsid w:val="00CB5A84"/>
    <w:rsid w:val="00CB667D"/>
    <w:rsid w:val="00CB6EDC"/>
    <w:rsid w:val="00CC2BEC"/>
    <w:rsid w:val="00CC5144"/>
    <w:rsid w:val="00CC5CA3"/>
    <w:rsid w:val="00CC701E"/>
    <w:rsid w:val="00CC7210"/>
    <w:rsid w:val="00CD16FB"/>
    <w:rsid w:val="00CD3185"/>
    <w:rsid w:val="00CD3FE4"/>
    <w:rsid w:val="00CD4930"/>
    <w:rsid w:val="00CD49DE"/>
    <w:rsid w:val="00CE0510"/>
    <w:rsid w:val="00CE0606"/>
    <w:rsid w:val="00CE232B"/>
    <w:rsid w:val="00CE6984"/>
    <w:rsid w:val="00CF4D93"/>
    <w:rsid w:val="00CF51DF"/>
    <w:rsid w:val="00CF6D07"/>
    <w:rsid w:val="00D019E8"/>
    <w:rsid w:val="00D03436"/>
    <w:rsid w:val="00D0388F"/>
    <w:rsid w:val="00D057C1"/>
    <w:rsid w:val="00D05C49"/>
    <w:rsid w:val="00D05CAF"/>
    <w:rsid w:val="00D06BDB"/>
    <w:rsid w:val="00D07A7B"/>
    <w:rsid w:val="00D10251"/>
    <w:rsid w:val="00D10484"/>
    <w:rsid w:val="00D13B25"/>
    <w:rsid w:val="00D154DB"/>
    <w:rsid w:val="00D15D80"/>
    <w:rsid w:val="00D16DED"/>
    <w:rsid w:val="00D17F4F"/>
    <w:rsid w:val="00D20C10"/>
    <w:rsid w:val="00D21CF7"/>
    <w:rsid w:val="00D2336A"/>
    <w:rsid w:val="00D26B20"/>
    <w:rsid w:val="00D313B0"/>
    <w:rsid w:val="00D3185F"/>
    <w:rsid w:val="00D3297A"/>
    <w:rsid w:val="00D36606"/>
    <w:rsid w:val="00D40150"/>
    <w:rsid w:val="00D40941"/>
    <w:rsid w:val="00D40BC4"/>
    <w:rsid w:val="00D433DB"/>
    <w:rsid w:val="00D44025"/>
    <w:rsid w:val="00D45415"/>
    <w:rsid w:val="00D50269"/>
    <w:rsid w:val="00D50E6C"/>
    <w:rsid w:val="00D51A9D"/>
    <w:rsid w:val="00D52D6C"/>
    <w:rsid w:val="00D52DC2"/>
    <w:rsid w:val="00D535EB"/>
    <w:rsid w:val="00D537C8"/>
    <w:rsid w:val="00D54377"/>
    <w:rsid w:val="00D563AC"/>
    <w:rsid w:val="00D60D72"/>
    <w:rsid w:val="00D60E2E"/>
    <w:rsid w:val="00D61209"/>
    <w:rsid w:val="00D6251F"/>
    <w:rsid w:val="00D625AF"/>
    <w:rsid w:val="00D662B6"/>
    <w:rsid w:val="00D675AB"/>
    <w:rsid w:val="00D67F8B"/>
    <w:rsid w:val="00D718C7"/>
    <w:rsid w:val="00D72402"/>
    <w:rsid w:val="00D74BEC"/>
    <w:rsid w:val="00D751A4"/>
    <w:rsid w:val="00D76F49"/>
    <w:rsid w:val="00D772EA"/>
    <w:rsid w:val="00D77F71"/>
    <w:rsid w:val="00D802ED"/>
    <w:rsid w:val="00D81B0E"/>
    <w:rsid w:val="00D847A3"/>
    <w:rsid w:val="00D849FE"/>
    <w:rsid w:val="00D864C9"/>
    <w:rsid w:val="00D86E96"/>
    <w:rsid w:val="00D924FC"/>
    <w:rsid w:val="00D92EC0"/>
    <w:rsid w:val="00D94150"/>
    <w:rsid w:val="00D94640"/>
    <w:rsid w:val="00D95F1E"/>
    <w:rsid w:val="00DA0691"/>
    <w:rsid w:val="00DA095C"/>
    <w:rsid w:val="00DA2E02"/>
    <w:rsid w:val="00DA363D"/>
    <w:rsid w:val="00DA4564"/>
    <w:rsid w:val="00DA57B6"/>
    <w:rsid w:val="00DB0B67"/>
    <w:rsid w:val="00DB0D7B"/>
    <w:rsid w:val="00DB250A"/>
    <w:rsid w:val="00DB326C"/>
    <w:rsid w:val="00DB5518"/>
    <w:rsid w:val="00DB59D8"/>
    <w:rsid w:val="00DB7A61"/>
    <w:rsid w:val="00DC0BF2"/>
    <w:rsid w:val="00DC103F"/>
    <w:rsid w:val="00DC145C"/>
    <w:rsid w:val="00DC4B69"/>
    <w:rsid w:val="00DC59C5"/>
    <w:rsid w:val="00DC5A5E"/>
    <w:rsid w:val="00DD322E"/>
    <w:rsid w:val="00DD4F9A"/>
    <w:rsid w:val="00DD5C7D"/>
    <w:rsid w:val="00DD615F"/>
    <w:rsid w:val="00DD746B"/>
    <w:rsid w:val="00DD7DBD"/>
    <w:rsid w:val="00DE1E80"/>
    <w:rsid w:val="00DE2B44"/>
    <w:rsid w:val="00DE35C7"/>
    <w:rsid w:val="00DE565B"/>
    <w:rsid w:val="00DE5735"/>
    <w:rsid w:val="00DE57EF"/>
    <w:rsid w:val="00DE6E04"/>
    <w:rsid w:val="00DE6E56"/>
    <w:rsid w:val="00DF4040"/>
    <w:rsid w:val="00DF51E8"/>
    <w:rsid w:val="00DF6217"/>
    <w:rsid w:val="00E0138D"/>
    <w:rsid w:val="00E020B0"/>
    <w:rsid w:val="00E04E27"/>
    <w:rsid w:val="00E055A9"/>
    <w:rsid w:val="00E05AB5"/>
    <w:rsid w:val="00E05F62"/>
    <w:rsid w:val="00E06209"/>
    <w:rsid w:val="00E10B05"/>
    <w:rsid w:val="00E11F2D"/>
    <w:rsid w:val="00E12427"/>
    <w:rsid w:val="00E13004"/>
    <w:rsid w:val="00E13B39"/>
    <w:rsid w:val="00E149B3"/>
    <w:rsid w:val="00E151B7"/>
    <w:rsid w:val="00E1531A"/>
    <w:rsid w:val="00E1543B"/>
    <w:rsid w:val="00E15D94"/>
    <w:rsid w:val="00E16633"/>
    <w:rsid w:val="00E17770"/>
    <w:rsid w:val="00E20F05"/>
    <w:rsid w:val="00E26484"/>
    <w:rsid w:val="00E264E4"/>
    <w:rsid w:val="00E307FF"/>
    <w:rsid w:val="00E30C6F"/>
    <w:rsid w:val="00E336E6"/>
    <w:rsid w:val="00E364E4"/>
    <w:rsid w:val="00E3743E"/>
    <w:rsid w:val="00E4113E"/>
    <w:rsid w:val="00E415A9"/>
    <w:rsid w:val="00E4212A"/>
    <w:rsid w:val="00E44BF6"/>
    <w:rsid w:val="00E46883"/>
    <w:rsid w:val="00E476CE"/>
    <w:rsid w:val="00E50872"/>
    <w:rsid w:val="00E51CF1"/>
    <w:rsid w:val="00E53038"/>
    <w:rsid w:val="00E537C1"/>
    <w:rsid w:val="00E565B1"/>
    <w:rsid w:val="00E573F5"/>
    <w:rsid w:val="00E62BB8"/>
    <w:rsid w:val="00E63069"/>
    <w:rsid w:val="00E6682F"/>
    <w:rsid w:val="00E66D2A"/>
    <w:rsid w:val="00E66F89"/>
    <w:rsid w:val="00E6791A"/>
    <w:rsid w:val="00E67A6C"/>
    <w:rsid w:val="00E71FAE"/>
    <w:rsid w:val="00E7303D"/>
    <w:rsid w:val="00E7361B"/>
    <w:rsid w:val="00E73C49"/>
    <w:rsid w:val="00E74E81"/>
    <w:rsid w:val="00E75D23"/>
    <w:rsid w:val="00E80299"/>
    <w:rsid w:val="00E810C1"/>
    <w:rsid w:val="00E8157A"/>
    <w:rsid w:val="00E8268D"/>
    <w:rsid w:val="00E83A5E"/>
    <w:rsid w:val="00E864BC"/>
    <w:rsid w:val="00E87B18"/>
    <w:rsid w:val="00E87E31"/>
    <w:rsid w:val="00E902A1"/>
    <w:rsid w:val="00E90F12"/>
    <w:rsid w:val="00E9108F"/>
    <w:rsid w:val="00E91339"/>
    <w:rsid w:val="00E92E33"/>
    <w:rsid w:val="00E93258"/>
    <w:rsid w:val="00E95253"/>
    <w:rsid w:val="00E9772C"/>
    <w:rsid w:val="00EA0369"/>
    <w:rsid w:val="00EA0411"/>
    <w:rsid w:val="00EA68C6"/>
    <w:rsid w:val="00EA74BF"/>
    <w:rsid w:val="00EA7523"/>
    <w:rsid w:val="00EB070E"/>
    <w:rsid w:val="00EB1340"/>
    <w:rsid w:val="00EB1F94"/>
    <w:rsid w:val="00EB2D3A"/>
    <w:rsid w:val="00EB392E"/>
    <w:rsid w:val="00EB3D48"/>
    <w:rsid w:val="00EB469A"/>
    <w:rsid w:val="00EB552D"/>
    <w:rsid w:val="00EB7D31"/>
    <w:rsid w:val="00EC0493"/>
    <w:rsid w:val="00EC19C0"/>
    <w:rsid w:val="00EC46F1"/>
    <w:rsid w:val="00EC565B"/>
    <w:rsid w:val="00EC5A55"/>
    <w:rsid w:val="00EC5BF8"/>
    <w:rsid w:val="00EC6D38"/>
    <w:rsid w:val="00EC7DDA"/>
    <w:rsid w:val="00ED1CC4"/>
    <w:rsid w:val="00ED22FB"/>
    <w:rsid w:val="00ED2CDA"/>
    <w:rsid w:val="00ED31E9"/>
    <w:rsid w:val="00ED43E0"/>
    <w:rsid w:val="00ED4A5B"/>
    <w:rsid w:val="00ED7605"/>
    <w:rsid w:val="00EE0D58"/>
    <w:rsid w:val="00EE2503"/>
    <w:rsid w:val="00EE2DBE"/>
    <w:rsid w:val="00EE392E"/>
    <w:rsid w:val="00EE4E68"/>
    <w:rsid w:val="00EE56F8"/>
    <w:rsid w:val="00EE6850"/>
    <w:rsid w:val="00EE7CEB"/>
    <w:rsid w:val="00EF1EC7"/>
    <w:rsid w:val="00EF3ED9"/>
    <w:rsid w:val="00EF4756"/>
    <w:rsid w:val="00EF4D74"/>
    <w:rsid w:val="00EF52EC"/>
    <w:rsid w:val="00EF5A5E"/>
    <w:rsid w:val="00EF71C1"/>
    <w:rsid w:val="00EF733C"/>
    <w:rsid w:val="00F00043"/>
    <w:rsid w:val="00F00871"/>
    <w:rsid w:val="00F00A3C"/>
    <w:rsid w:val="00F01994"/>
    <w:rsid w:val="00F024AF"/>
    <w:rsid w:val="00F051A9"/>
    <w:rsid w:val="00F054D4"/>
    <w:rsid w:val="00F11592"/>
    <w:rsid w:val="00F13781"/>
    <w:rsid w:val="00F13893"/>
    <w:rsid w:val="00F16540"/>
    <w:rsid w:val="00F17A43"/>
    <w:rsid w:val="00F20498"/>
    <w:rsid w:val="00F25222"/>
    <w:rsid w:val="00F25CC1"/>
    <w:rsid w:val="00F26359"/>
    <w:rsid w:val="00F27BC3"/>
    <w:rsid w:val="00F27D1F"/>
    <w:rsid w:val="00F31C1F"/>
    <w:rsid w:val="00F320B3"/>
    <w:rsid w:val="00F32810"/>
    <w:rsid w:val="00F3360D"/>
    <w:rsid w:val="00F36267"/>
    <w:rsid w:val="00F36B3B"/>
    <w:rsid w:val="00F37810"/>
    <w:rsid w:val="00F419E0"/>
    <w:rsid w:val="00F420DA"/>
    <w:rsid w:val="00F43077"/>
    <w:rsid w:val="00F43F16"/>
    <w:rsid w:val="00F44972"/>
    <w:rsid w:val="00F4580D"/>
    <w:rsid w:val="00F45A55"/>
    <w:rsid w:val="00F46A8C"/>
    <w:rsid w:val="00F46DC3"/>
    <w:rsid w:val="00F46E44"/>
    <w:rsid w:val="00F46EC4"/>
    <w:rsid w:val="00F50176"/>
    <w:rsid w:val="00F515A3"/>
    <w:rsid w:val="00F53279"/>
    <w:rsid w:val="00F556B2"/>
    <w:rsid w:val="00F5582C"/>
    <w:rsid w:val="00F56362"/>
    <w:rsid w:val="00F56A7F"/>
    <w:rsid w:val="00F57971"/>
    <w:rsid w:val="00F63BCD"/>
    <w:rsid w:val="00F65C2F"/>
    <w:rsid w:val="00F65CAF"/>
    <w:rsid w:val="00F673F8"/>
    <w:rsid w:val="00F7563E"/>
    <w:rsid w:val="00F75782"/>
    <w:rsid w:val="00F76930"/>
    <w:rsid w:val="00F7741C"/>
    <w:rsid w:val="00F77F97"/>
    <w:rsid w:val="00F80A7E"/>
    <w:rsid w:val="00F80D87"/>
    <w:rsid w:val="00F81297"/>
    <w:rsid w:val="00F8170C"/>
    <w:rsid w:val="00F82359"/>
    <w:rsid w:val="00F83148"/>
    <w:rsid w:val="00F835A6"/>
    <w:rsid w:val="00F84352"/>
    <w:rsid w:val="00F84814"/>
    <w:rsid w:val="00F86840"/>
    <w:rsid w:val="00F871CA"/>
    <w:rsid w:val="00F92011"/>
    <w:rsid w:val="00F94A56"/>
    <w:rsid w:val="00FA1D21"/>
    <w:rsid w:val="00FA4ABB"/>
    <w:rsid w:val="00FA4D7E"/>
    <w:rsid w:val="00FA680F"/>
    <w:rsid w:val="00FA6CFE"/>
    <w:rsid w:val="00FA703D"/>
    <w:rsid w:val="00FB0D31"/>
    <w:rsid w:val="00FB2968"/>
    <w:rsid w:val="00FB3AB7"/>
    <w:rsid w:val="00FB3DB1"/>
    <w:rsid w:val="00FB732D"/>
    <w:rsid w:val="00FB776B"/>
    <w:rsid w:val="00FC0ABD"/>
    <w:rsid w:val="00FC201C"/>
    <w:rsid w:val="00FC2FED"/>
    <w:rsid w:val="00FC3103"/>
    <w:rsid w:val="00FC3530"/>
    <w:rsid w:val="00FC4596"/>
    <w:rsid w:val="00FC4B50"/>
    <w:rsid w:val="00FC5FB3"/>
    <w:rsid w:val="00FC7BE2"/>
    <w:rsid w:val="00FD2EE0"/>
    <w:rsid w:val="00FD38F4"/>
    <w:rsid w:val="00FD7355"/>
    <w:rsid w:val="00FE09FF"/>
    <w:rsid w:val="00FE155C"/>
    <w:rsid w:val="00FE19D3"/>
    <w:rsid w:val="00FE6130"/>
    <w:rsid w:val="00FE730C"/>
    <w:rsid w:val="00FE7B44"/>
    <w:rsid w:val="00FF0D11"/>
    <w:rsid w:val="00FF1FBA"/>
    <w:rsid w:val="00FF2F0C"/>
    <w:rsid w:val="00FF474E"/>
    <w:rsid w:val="00FF55D5"/>
    <w:rsid w:val="00FF58D4"/>
    <w:rsid w:val="00FF5D21"/>
    <w:rsid w:val="00FF79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848"/>
  </w:style>
  <w:style w:type="paragraph" w:styleId="Heading1">
    <w:name w:val="heading 1"/>
    <w:aliases w:val="H1-Sec.Head"/>
    <w:basedOn w:val="Normal"/>
    <w:next w:val="Normal"/>
    <w:link w:val="Heading1Char"/>
    <w:qFormat/>
    <w:rsid w:val="00F84814"/>
    <w:pPr>
      <w:tabs>
        <w:tab w:val="left" w:pos="850"/>
        <w:tab w:val="left" w:pos="1191"/>
        <w:tab w:val="left" w:pos="1531"/>
      </w:tabs>
      <w:autoSpaceDE w:val="0"/>
      <w:autoSpaceDN w:val="0"/>
      <w:adjustRightInd w:val="0"/>
      <w:spacing w:before="1200" w:after="720" w:line="240" w:lineRule="auto"/>
      <w:jc w:val="center"/>
      <w:outlineLvl w:val="0"/>
    </w:pPr>
    <w:rPr>
      <w:rFonts w:ascii="Times New Roman" w:eastAsia="Times New Roman" w:hAnsi="Times New Roman" w:cs="Times New Roman"/>
      <w:b/>
      <w:bCs/>
      <w:caps/>
      <w:kern w:val="28"/>
      <w:lang w:val="en-GB"/>
    </w:rPr>
  </w:style>
  <w:style w:type="paragraph" w:styleId="Heading2">
    <w:name w:val="heading 2"/>
    <w:basedOn w:val="Normal"/>
    <w:next w:val="Normal"/>
    <w:link w:val="Heading2Char"/>
    <w:uiPriority w:val="9"/>
    <w:unhideWhenUsed/>
    <w:qFormat/>
    <w:rsid w:val="007319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392E"/>
    <w:rPr>
      <w:rFonts w:ascii="Tahoma" w:hAnsi="Tahoma" w:cs="Tahoma"/>
      <w:sz w:val="16"/>
      <w:szCs w:val="16"/>
    </w:rPr>
  </w:style>
  <w:style w:type="paragraph" w:styleId="NoSpacing">
    <w:name w:val="No Spacing"/>
    <w:uiPriority w:val="1"/>
    <w:qFormat/>
    <w:rsid w:val="00E05AB5"/>
    <w:pPr>
      <w:spacing w:after="0" w:line="240" w:lineRule="auto"/>
    </w:pPr>
    <w:rPr>
      <w:lang w:eastAsia="zh-TW"/>
    </w:rPr>
  </w:style>
  <w:style w:type="paragraph" w:styleId="EndnoteText">
    <w:name w:val="endnote text"/>
    <w:basedOn w:val="Normal"/>
    <w:link w:val="EndnoteTextChar"/>
    <w:uiPriority w:val="99"/>
    <w:semiHidden/>
    <w:unhideWhenUsed/>
    <w:rsid w:val="003A16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A1615"/>
    <w:rPr>
      <w:sz w:val="20"/>
      <w:szCs w:val="20"/>
    </w:rPr>
  </w:style>
  <w:style w:type="character" w:styleId="EndnoteReference">
    <w:name w:val="endnote reference"/>
    <w:basedOn w:val="DefaultParagraphFont"/>
    <w:uiPriority w:val="99"/>
    <w:semiHidden/>
    <w:unhideWhenUsed/>
    <w:rsid w:val="003A1615"/>
    <w:rPr>
      <w:vertAlign w:val="superscript"/>
    </w:rPr>
  </w:style>
  <w:style w:type="paragraph" w:styleId="ListParagraph">
    <w:name w:val="List Paragraph"/>
    <w:basedOn w:val="Normal"/>
    <w:uiPriority w:val="34"/>
    <w:qFormat/>
    <w:rsid w:val="005A6F04"/>
    <w:pPr>
      <w:ind w:left="720"/>
      <w:contextualSpacing/>
    </w:pPr>
  </w:style>
  <w:style w:type="character" w:styleId="Hyperlink">
    <w:name w:val="Hyperlink"/>
    <w:basedOn w:val="DefaultParagraphFont"/>
    <w:uiPriority w:val="99"/>
    <w:unhideWhenUsed/>
    <w:rsid w:val="00F45A55"/>
    <w:rPr>
      <w:color w:val="0000FF" w:themeColor="hyperlink"/>
      <w:u w:val="single"/>
    </w:rPr>
  </w:style>
  <w:style w:type="character" w:customStyle="1" w:styleId="Heading2Char">
    <w:name w:val="Heading 2 Char"/>
    <w:basedOn w:val="DefaultParagraphFont"/>
    <w:link w:val="Heading2"/>
    <w:uiPriority w:val="9"/>
    <w:rsid w:val="0073198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7319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198C"/>
  </w:style>
  <w:style w:type="paragraph" w:styleId="Footer">
    <w:name w:val="footer"/>
    <w:basedOn w:val="Normal"/>
    <w:link w:val="FooterChar"/>
    <w:uiPriority w:val="99"/>
    <w:unhideWhenUsed/>
    <w:rsid w:val="007319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98C"/>
  </w:style>
  <w:style w:type="character" w:customStyle="1" w:styleId="Heading1Char">
    <w:name w:val="Heading 1 Char"/>
    <w:aliases w:val="H1-Sec.Head Char"/>
    <w:basedOn w:val="DefaultParagraphFont"/>
    <w:link w:val="Heading1"/>
    <w:rsid w:val="00F84814"/>
    <w:rPr>
      <w:rFonts w:ascii="Times New Roman" w:eastAsia="Times New Roman" w:hAnsi="Times New Roman" w:cs="Times New Roman"/>
      <w:b/>
      <w:bCs/>
      <w:caps/>
      <w:kern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0997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aac.ets.org/sites/piaac/npms/sampling/December2010_Sampling_Workshop/Forms/AllItems.asp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C8DDD-4518-4B74-B906-DC98BCD1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Li</dc:creator>
  <cp:lastModifiedBy>katrina.ingalls</cp:lastModifiedBy>
  <cp:revision>2</cp:revision>
  <cp:lastPrinted>2011-05-03T13:24:00Z</cp:lastPrinted>
  <dcterms:created xsi:type="dcterms:W3CDTF">2011-07-05T16:01:00Z</dcterms:created>
  <dcterms:modified xsi:type="dcterms:W3CDTF">2011-07-05T16:01:00Z</dcterms:modified>
</cp:coreProperties>
</file>