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1E" w:rsidRDefault="00E36A1E" w:rsidP="00E36A1E">
      <w:pPr>
        <w:jc w:val="center"/>
        <w:rPr>
          <w:b/>
        </w:rPr>
      </w:pPr>
      <w:r>
        <w:rPr>
          <w:b/>
        </w:rPr>
        <w:t>SYNOPSIS OF WAP ARRA PERIOD EVALUATION</w:t>
      </w:r>
    </w:p>
    <w:p w:rsidR="00E36A1E" w:rsidRPr="00E36A1E" w:rsidRDefault="00235CBE" w:rsidP="00E36A1E">
      <w:pPr>
        <w:jc w:val="center"/>
      </w:pPr>
      <w:r>
        <w:t>May 5, 2012</w:t>
      </w:r>
    </w:p>
    <w:p w:rsidR="00E36A1E" w:rsidRDefault="00E36A1E" w:rsidP="00E36A1E">
      <w:pPr>
        <w:rPr>
          <w:b/>
        </w:rPr>
      </w:pPr>
    </w:p>
    <w:p w:rsidR="00504591" w:rsidRDefault="00504591" w:rsidP="00E36A1E">
      <w:r>
        <w:rPr>
          <w:b/>
        </w:rPr>
        <w:t>1. INTRODUCTION</w:t>
      </w:r>
      <w:r>
        <w:rPr>
          <w:b/>
        </w:rPr>
        <w:tab/>
      </w:r>
    </w:p>
    <w:p w:rsidR="00504591" w:rsidRDefault="00504591" w:rsidP="00E36A1E"/>
    <w:p w:rsidR="00504591" w:rsidRPr="00504591" w:rsidRDefault="00504591" w:rsidP="00E36A1E">
      <w:r>
        <w:t>The U.S. Department of Energy/Office of Weatherization and Intergovernmental Program</w:t>
      </w:r>
      <w:r w:rsidR="00061063">
        <w:t xml:space="preserve"> (DOE/OWIP)</w:t>
      </w:r>
      <w:r>
        <w:t xml:space="preserve"> has tasked Oak Ridge National Laboratory with evaluating its Weatherization Assistance Program (WAP) as it operated during the American Recovery and Reinvestment Act period. The WAP ARRA period evaluation is a companion project to the WAP retrospective evaluation. This synopsis first describes the </w:t>
      </w:r>
      <w:r w:rsidR="00153564">
        <w:t xml:space="preserve">similarities and differences between the retrospective and ARRA period evaluations. Section 3 presents the ARRA period evaluation surveys and dataforms, noting how they are similar or different from those administered by the retrospective evaluation. Section 4 presents the timelines for administering the ARRA period surveys and dataforms. </w:t>
      </w:r>
    </w:p>
    <w:p w:rsidR="00504591" w:rsidRDefault="00504591" w:rsidP="00E36A1E">
      <w:pPr>
        <w:rPr>
          <w:b/>
        </w:rPr>
      </w:pPr>
    </w:p>
    <w:p w:rsidR="00E36A1E" w:rsidRDefault="00504591" w:rsidP="00E36A1E">
      <w:pPr>
        <w:rPr>
          <w:b/>
        </w:rPr>
      </w:pPr>
      <w:r>
        <w:rPr>
          <w:b/>
        </w:rPr>
        <w:t xml:space="preserve">2. </w:t>
      </w:r>
      <w:r w:rsidR="00E36A1E">
        <w:rPr>
          <w:b/>
        </w:rPr>
        <w:t xml:space="preserve"> COMPARISON OF WAP RETROSPECTIVE AND ARRA PERIOD EVALUATIONS </w:t>
      </w:r>
    </w:p>
    <w:p w:rsidR="00E36A1E" w:rsidRDefault="00E36A1E" w:rsidP="00E36A1E"/>
    <w:p w:rsidR="00E36A1E" w:rsidRDefault="00E36A1E" w:rsidP="00E36A1E">
      <w:r>
        <w:t>There are several important points to make regarding the similarities, differences, and overlaps between the retrospective evaluation of WAP as described in Ternes et al. (2007) and the WAP-ARRA evaluation described</w:t>
      </w:r>
      <w:r w:rsidR="00153564">
        <w:t xml:space="preserve"> in Tonn et al</w:t>
      </w:r>
      <w:r>
        <w:t>.</w:t>
      </w:r>
      <w:r w:rsidR="00153564">
        <w:t xml:space="preserve"> (2011).</w:t>
      </w:r>
      <w:r w:rsidR="00153564">
        <w:rPr>
          <w:rStyle w:val="FootnoteReference"/>
        </w:rPr>
        <w:footnoteReference w:id="1"/>
      </w:r>
      <w:r>
        <w:t xml:space="preserve"> First, as</w:t>
      </w:r>
      <w:r w:rsidR="00153564">
        <w:t xml:space="preserve"> Table 1</w:t>
      </w:r>
      <w:r>
        <w:t xml:space="preserve"> shows, the two evaluations generally encompass the same research tasks. For example, the central component of each evaluation is the collection of billing histories for homes heated with electricity and natural gas; these data provide the basis for the national estimate of energy savings attributable to the program as well as associated cost-effectiveness analyses. Non-energy impacts are assessed by both evaluations. Additionally, both evaluations administer a core set of surveys and data forms (e.g., S1: All States Program Information Survey). All of these tasks focus on the Program Years </w:t>
      </w:r>
      <w:r w:rsidR="00153564">
        <w:t>(PYs) indicated in the Table 1</w:t>
      </w:r>
      <w:r>
        <w:t xml:space="preserve">. </w:t>
      </w:r>
    </w:p>
    <w:p w:rsidR="00E36A1E" w:rsidRDefault="00E36A1E" w:rsidP="00E36A1E"/>
    <w:p w:rsidR="00E36A1E" w:rsidRDefault="00153564" w:rsidP="00E36A1E">
      <w:r>
        <w:t>The third column of Table 1</w:t>
      </w:r>
      <w:r w:rsidR="00E36A1E">
        <w:t xml:space="preserve"> shows that the retrospective evaluation overlaps with the ARRA period in five research areas. When the retrospective evaluation was conceived in 2005 and when the plan was written in 2006 and 2007, it was assumed that the Program would not undergo any major changes that could change the evaluation results. Thus, the retrospective evaluation was designed to estimate national energy savings and to constitute most of the process assessment for the immediately past Program Year (PY2008) while simultaneously implementing several research tasks during the Program Year in which the evaluation was to take place (i.e., PY 2009). When the retros</w:t>
      </w:r>
      <w:r>
        <w:t>pective evaluation began,</w:t>
      </w:r>
      <w:r w:rsidR="00E36A1E">
        <w:t xml:space="preserve"> it was decided to look back to pre-AR</w:t>
      </w:r>
      <w:r>
        <w:t xml:space="preserve">RA Program Years 2007 and 2008 though </w:t>
      </w:r>
      <w:r w:rsidR="00E36A1E">
        <w:t xml:space="preserve">the ARRA period had already begun. </w:t>
      </w:r>
    </w:p>
    <w:p w:rsidR="00E36A1E" w:rsidRDefault="00E36A1E" w:rsidP="00E36A1E"/>
    <w:p w:rsidR="00E36A1E" w:rsidRDefault="00E36A1E" w:rsidP="00E36A1E">
      <w:r>
        <w:t xml:space="preserve">Thus, these five research tasks that are being funded by the retrospective evaluation are actually assessing weatherization activities that took place during the ARRA period: analysis of sub-metered data for homes heated with bulk fuels; a major indoor air-quality study; case studies of high-performing agencies and exemplary client-education programs; and the administration of two major surveys, S4 (Occupant Survey) and S5 (Weatherization Staff Survey). </w:t>
      </w:r>
    </w:p>
    <w:p w:rsidR="00E36A1E" w:rsidRDefault="00E36A1E" w:rsidP="00E36A1E"/>
    <w:p w:rsidR="00E36A1E" w:rsidRDefault="00153564" w:rsidP="00E36A1E">
      <w:r>
        <w:lastRenderedPageBreak/>
        <w:t>Table 1 also indicates that three</w:t>
      </w:r>
      <w:r w:rsidR="00E36A1E">
        <w:t xml:space="preserve"> </w:t>
      </w:r>
      <w:r>
        <w:t xml:space="preserve">major </w:t>
      </w:r>
      <w:r w:rsidR="00E36A1E">
        <w:t>tasks undertaken by the retrospective evaluation will not be duplicated by the WAP-ARRA pe</w:t>
      </w:r>
      <w:r>
        <w:t>riod evaluation: Bulk Fuels Study, Indoor Air Quality Study, and Field Process Study. Additionally</w:t>
      </w:r>
      <w:r w:rsidR="00E36A1E">
        <w:t>, the retrospective evaluation will fund case studies of high-performing agencies and exemplary client-education programs, but the WAP-ARRA evaluation will not. Conversely, the WAP-ARRA period evaluation will fund case studies of underperforming weatherized units and one U.S. territory that received new, substantial A</w:t>
      </w:r>
      <w:r>
        <w:t>RRA funding (e.g., Puerto Rico)</w:t>
      </w:r>
      <w:r w:rsidR="00E36A1E">
        <w:t>.</w:t>
      </w:r>
      <w:r>
        <w:t xml:space="preserve"> In summary, Table 1 indicates that twelve areas of major tasking are similar between the two evaluations, three major tasks being conducted by the retrospective evaluation will not be reprised by the</w:t>
      </w:r>
      <w:r w:rsidR="00EA6808">
        <w:t xml:space="preserve"> A</w:t>
      </w:r>
      <w:r w:rsidR="00440F50">
        <w:t>RRA period evaluation, and six</w:t>
      </w:r>
      <w:r>
        <w:t xml:space="preserve"> new tasking areas are being added to the WAP ARRA period evaluation. </w:t>
      </w:r>
    </w:p>
    <w:p w:rsidR="00E36A1E" w:rsidRDefault="00E36A1E" w:rsidP="00E36A1E"/>
    <w:p w:rsidR="00E36A1E" w:rsidRPr="00153564" w:rsidRDefault="00153564" w:rsidP="00E36A1E">
      <w:pPr>
        <w:rPr>
          <w:b/>
        </w:rPr>
      </w:pPr>
      <w:r w:rsidRPr="00153564">
        <w:rPr>
          <w:b/>
        </w:rPr>
        <w:t>Table 1</w:t>
      </w:r>
      <w:r>
        <w:rPr>
          <w:b/>
        </w:rPr>
        <w:t>.</w:t>
      </w:r>
      <w:r w:rsidR="00E36A1E" w:rsidRPr="00153564">
        <w:rPr>
          <w:b/>
        </w:rPr>
        <w:t xml:space="preserve"> Comparison of WAP Retrospective and WAP-ARRA Period Evaluations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2340"/>
        <w:gridCol w:w="2430"/>
        <w:gridCol w:w="2088"/>
      </w:tblGrid>
      <w:tr w:rsidR="00E36A1E">
        <w:tc>
          <w:tcPr>
            <w:tcW w:w="2718" w:type="dxa"/>
            <w:tcBorders>
              <w:top w:val="single" w:sz="4" w:space="0" w:color="000000"/>
              <w:left w:val="single" w:sz="4" w:space="0" w:color="000000"/>
              <w:bottom w:val="single" w:sz="4" w:space="0" w:color="000000"/>
              <w:right w:val="single" w:sz="4" w:space="0" w:color="000000"/>
            </w:tcBorders>
          </w:tcPr>
          <w:p w:rsidR="00E36A1E" w:rsidRDefault="00E36A1E"/>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pPr>
              <w:jc w:val="center"/>
            </w:pPr>
            <w:r>
              <w:t>Retrospective Evaluation on Weatherization Assistance Program</w:t>
            </w:r>
          </w:p>
        </w:tc>
        <w:tc>
          <w:tcPr>
            <w:tcW w:w="2430" w:type="dxa"/>
            <w:tcBorders>
              <w:top w:val="single" w:sz="4" w:space="0" w:color="000000"/>
              <w:left w:val="single" w:sz="4" w:space="0" w:color="000000"/>
              <w:bottom w:val="single" w:sz="4" w:space="0" w:color="000000"/>
              <w:right w:val="single" w:sz="4" w:space="0" w:color="000000"/>
            </w:tcBorders>
            <w:hideMark/>
          </w:tcPr>
          <w:p w:rsidR="00E36A1E" w:rsidRDefault="00E36A1E">
            <w:pPr>
              <w:jc w:val="center"/>
            </w:pPr>
            <w:r>
              <w:t>Retrospective Evaluation Research Taking Place during (Overlapping with) ARRA Period</w:t>
            </w:r>
          </w:p>
        </w:tc>
        <w:tc>
          <w:tcPr>
            <w:tcW w:w="2088" w:type="dxa"/>
            <w:tcBorders>
              <w:top w:val="single" w:sz="4" w:space="0" w:color="000000"/>
              <w:left w:val="single" w:sz="4" w:space="0" w:color="000000"/>
              <w:bottom w:val="single" w:sz="4" w:space="0" w:color="000000"/>
              <w:right w:val="single" w:sz="4" w:space="0" w:color="000000"/>
            </w:tcBorders>
          </w:tcPr>
          <w:p w:rsidR="00E36A1E" w:rsidRDefault="00E36A1E">
            <w:pPr>
              <w:jc w:val="center"/>
            </w:pPr>
          </w:p>
          <w:p w:rsidR="00E36A1E" w:rsidRDefault="00E36A1E">
            <w:pPr>
              <w:jc w:val="center"/>
            </w:pPr>
            <w:r>
              <w:t>WAP-ARRA Period Evaluation Research</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Analysis of Billing Histories: Homes heated with electricity and natural gas </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Years 2007 and 2008</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Program Years 2009, 2010, and 2011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Analysis of Submetered Data: Homes heated with propane and fuel oil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Winter 2010-2011 and Winter 2011-2012 </w:t>
            </w:r>
          </w:p>
        </w:tc>
        <w:tc>
          <w:tcPr>
            <w:tcW w:w="2088" w:type="dxa"/>
            <w:tcBorders>
              <w:top w:val="single" w:sz="4" w:space="0" w:color="000000"/>
              <w:left w:val="single" w:sz="4" w:space="0" w:color="000000"/>
              <w:bottom w:val="single" w:sz="4" w:space="0" w:color="000000"/>
              <w:right w:val="single" w:sz="4" w:space="0" w:color="000000"/>
            </w:tcBorders>
          </w:tcPr>
          <w:p w:rsidR="00E36A1E" w:rsidRDefault="00E36A1E"/>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Analysis of Persistence of Energy Savings in Weatherized Homes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Program Years in the 1990s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Cost-effectiveness Analyses </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2008</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2010</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Non-Energy Impacts </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2008</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2010</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Social Network Study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2011</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S1: All States Program Information Survey</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2008</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343470">
            <w:r>
              <w:t>Program Year</w:t>
            </w:r>
            <w:r w:rsidR="00E36A1E">
              <w:t xml:space="preserve"> 2010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S2: All Agencies Program Information Survey</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2008</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343470">
            <w:r>
              <w:t>Program Year</w:t>
            </w:r>
            <w:r w:rsidR="00E36A1E">
              <w:t xml:space="preserve"> 2010</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S3: Subset of Agencies Detailed Program Information Survey </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2008</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343470">
            <w:r>
              <w:t>Program Year</w:t>
            </w:r>
            <w:r w:rsidR="00E36A1E">
              <w:t xml:space="preserve"> 2010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S4: Occupant Survey</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hideMark/>
          </w:tcPr>
          <w:p w:rsidR="00E36A1E" w:rsidRDefault="00E36A1E">
            <w:r>
              <w:t>CY’s 2011 and 2012</w:t>
            </w:r>
          </w:p>
        </w:tc>
        <w:tc>
          <w:tcPr>
            <w:tcW w:w="2088" w:type="dxa"/>
            <w:tcBorders>
              <w:top w:val="single" w:sz="4" w:space="0" w:color="000000"/>
              <w:left w:val="single" w:sz="4" w:space="0" w:color="000000"/>
              <w:bottom w:val="single" w:sz="4" w:space="0" w:color="000000"/>
              <w:right w:val="single" w:sz="4" w:space="0" w:color="000000"/>
            </w:tcBorders>
          </w:tcPr>
          <w:p w:rsidR="00E36A1E" w:rsidRDefault="00343470">
            <w:r>
              <w:t>CY 2012</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S5: Weatherization Staff Survey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CY 2011 </w:t>
            </w:r>
          </w:p>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CY 2012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Program Characterization</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2008</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2010</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lastRenderedPageBreak/>
              <w:t xml:space="preserve">Case Studies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2008 – Six High Performing Agencies and Six Exemplary Client Ed Programs</w:t>
            </w:r>
          </w:p>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Program Year 2010 – One U.S. Territory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Weatherization Deferral Study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343470">
            <w:r>
              <w:t>Program Year 2010</w:t>
            </w:r>
            <w:r w:rsidR="00E36A1E">
              <w:t xml:space="preserve">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Under-Performers Study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Program Years 2007-2009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DF2/3: Housing and Building Information Data Forms </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 2008</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Program Year 2010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DF4: Utility Information from Agencies Data Form</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Program Years 2007 and 2008</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Program Years 2009, 2010, 2011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DF5: Utility Billing History Data Forms </w:t>
            </w:r>
          </w:p>
        </w:tc>
        <w:tc>
          <w:tcPr>
            <w:tcW w:w="2340"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Program Years 2007 and 2008 </w:t>
            </w:r>
          </w:p>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Program Years 2009, 2010, 2011 </w:t>
            </w:r>
          </w:p>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Indoor Air Quality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Winter 2010-2011, Summer 2011, Winter 2011-2012 </w:t>
            </w:r>
          </w:p>
        </w:tc>
        <w:tc>
          <w:tcPr>
            <w:tcW w:w="2088" w:type="dxa"/>
            <w:tcBorders>
              <w:top w:val="single" w:sz="4" w:space="0" w:color="000000"/>
              <w:left w:val="single" w:sz="4" w:space="0" w:color="000000"/>
              <w:bottom w:val="single" w:sz="4" w:space="0" w:color="000000"/>
              <w:right w:val="single" w:sz="4" w:space="0" w:color="000000"/>
            </w:tcBorders>
          </w:tcPr>
          <w:p w:rsidR="00E36A1E" w:rsidRDefault="00E36A1E"/>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Field Process Study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hideMark/>
          </w:tcPr>
          <w:p w:rsidR="00E36A1E" w:rsidRDefault="00E36A1E">
            <w:r>
              <w:t>CY 2011</w:t>
            </w:r>
          </w:p>
        </w:tc>
        <w:tc>
          <w:tcPr>
            <w:tcW w:w="2088" w:type="dxa"/>
            <w:tcBorders>
              <w:top w:val="single" w:sz="4" w:space="0" w:color="000000"/>
              <w:left w:val="single" w:sz="4" w:space="0" w:color="000000"/>
              <w:bottom w:val="single" w:sz="4" w:space="0" w:color="000000"/>
              <w:right w:val="single" w:sz="4" w:space="0" w:color="000000"/>
            </w:tcBorders>
          </w:tcPr>
          <w:p w:rsidR="00E36A1E" w:rsidRDefault="00E36A1E"/>
        </w:tc>
      </w:tr>
      <w:tr w:rsidR="00E36A1E">
        <w:tc>
          <w:tcPr>
            <w:tcW w:w="271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Special Studies </w:t>
            </w:r>
          </w:p>
        </w:tc>
        <w:tc>
          <w:tcPr>
            <w:tcW w:w="2340" w:type="dxa"/>
            <w:tcBorders>
              <w:top w:val="single" w:sz="4" w:space="0" w:color="000000"/>
              <w:left w:val="single" w:sz="4" w:space="0" w:color="000000"/>
              <w:bottom w:val="single" w:sz="4" w:space="0" w:color="000000"/>
              <w:right w:val="single" w:sz="4" w:space="0" w:color="000000"/>
            </w:tcBorders>
          </w:tcPr>
          <w:p w:rsidR="00E36A1E" w:rsidRDefault="00E36A1E"/>
        </w:tc>
        <w:tc>
          <w:tcPr>
            <w:tcW w:w="2430" w:type="dxa"/>
            <w:tcBorders>
              <w:top w:val="single" w:sz="4" w:space="0" w:color="000000"/>
              <w:left w:val="single" w:sz="4" w:space="0" w:color="000000"/>
              <w:bottom w:val="single" w:sz="4" w:space="0" w:color="000000"/>
              <w:right w:val="single" w:sz="4" w:space="0" w:color="000000"/>
            </w:tcBorders>
          </w:tcPr>
          <w:p w:rsidR="00E36A1E" w:rsidRDefault="00E36A1E"/>
        </w:tc>
        <w:tc>
          <w:tcPr>
            <w:tcW w:w="2088" w:type="dxa"/>
            <w:tcBorders>
              <w:top w:val="single" w:sz="4" w:space="0" w:color="000000"/>
              <w:left w:val="single" w:sz="4" w:space="0" w:color="000000"/>
              <w:bottom w:val="single" w:sz="4" w:space="0" w:color="000000"/>
              <w:right w:val="single" w:sz="4" w:space="0" w:color="000000"/>
            </w:tcBorders>
            <w:hideMark/>
          </w:tcPr>
          <w:p w:rsidR="00E36A1E" w:rsidRDefault="00E36A1E">
            <w:r>
              <w:t xml:space="preserve">WIPP </w:t>
            </w:r>
            <w:r w:rsidR="00343470">
              <w:t>and SERC Program Years 2010-2011</w:t>
            </w:r>
            <w:r>
              <w:t>;</w:t>
            </w:r>
          </w:p>
          <w:p w:rsidR="00E36A1E" w:rsidRDefault="00E36A1E">
            <w:r>
              <w:t>Encouragement Design – Program Year 2011</w:t>
            </w:r>
          </w:p>
        </w:tc>
      </w:tr>
      <w:tr w:rsidR="00EA6808">
        <w:tc>
          <w:tcPr>
            <w:tcW w:w="2718" w:type="dxa"/>
            <w:tcBorders>
              <w:top w:val="single" w:sz="4" w:space="0" w:color="000000"/>
              <w:left w:val="single" w:sz="4" w:space="0" w:color="000000"/>
              <w:bottom w:val="single" w:sz="4" w:space="0" w:color="000000"/>
              <w:right w:val="single" w:sz="4" w:space="0" w:color="000000"/>
            </w:tcBorders>
            <w:hideMark/>
          </w:tcPr>
          <w:p w:rsidR="00EA6808" w:rsidRDefault="00235CBE">
            <w:r>
              <w:t xml:space="preserve">DF12: Weatherization Deferral Data Form </w:t>
            </w:r>
          </w:p>
        </w:tc>
        <w:tc>
          <w:tcPr>
            <w:tcW w:w="2340" w:type="dxa"/>
            <w:tcBorders>
              <w:top w:val="single" w:sz="4" w:space="0" w:color="000000"/>
              <w:left w:val="single" w:sz="4" w:space="0" w:color="000000"/>
              <w:bottom w:val="single" w:sz="4" w:space="0" w:color="000000"/>
              <w:right w:val="single" w:sz="4" w:space="0" w:color="000000"/>
            </w:tcBorders>
          </w:tcPr>
          <w:p w:rsidR="00EA6808" w:rsidRDefault="00EA6808"/>
        </w:tc>
        <w:tc>
          <w:tcPr>
            <w:tcW w:w="2430" w:type="dxa"/>
            <w:tcBorders>
              <w:top w:val="single" w:sz="4" w:space="0" w:color="000000"/>
              <w:left w:val="single" w:sz="4" w:space="0" w:color="000000"/>
              <w:bottom w:val="single" w:sz="4" w:space="0" w:color="000000"/>
              <w:right w:val="single" w:sz="4" w:space="0" w:color="000000"/>
            </w:tcBorders>
          </w:tcPr>
          <w:p w:rsidR="00EA6808" w:rsidRDefault="00EA6808"/>
        </w:tc>
        <w:tc>
          <w:tcPr>
            <w:tcW w:w="2088" w:type="dxa"/>
            <w:tcBorders>
              <w:top w:val="single" w:sz="4" w:space="0" w:color="000000"/>
              <w:left w:val="single" w:sz="4" w:space="0" w:color="000000"/>
              <w:bottom w:val="single" w:sz="4" w:space="0" w:color="000000"/>
              <w:right w:val="single" w:sz="4" w:space="0" w:color="000000"/>
            </w:tcBorders>
            <w:hideMark/>
          </w:tcPr>
          <w:p w:rsidR="00EA6808" w:rsidRDefault="00235CBE">
            <w:r>
              <w:t>Program Year 2010</w:t>
            </w:r>
          </w:p>
        </w:tc>
      </w:tr>
    </w:tbl>
    <w:p w:rsidR="00E36A1E" w:rsidRDefault="00E36A1E" w:rsidP="00E36A1E"/>
    <w:p w:rsidR="00153564" w:rsidRPr="00153564" w:rsidRDefault="00153564" w:rsidP="00E36A1E">
      <w:pPr>
        <w:rPr>
          <w:b/>
        </w:rPr>
      </w:pPr>
      <w:r w:rsidRPr="00153564">
        <w:rPr>
          <w:b/>
        </w:rPr>
        <w:t xml:space="preserve">3. WAP ARRA PERIOD EVALUATION SURVEYS AND DATAFORMS </w:t>
      </w:r>
    </w:p>
    <w:p w:rsidR="00153564" w:rsidRDefault="00153564" w:rsidP="00E36A1E"/>
    <w:p w:rsidR="00061063" w:rsidRDefault="00153564" w:rsidP="00061063">
      <w:r>
        <w:t xml:space="preserve">Table 2 lists the surveys and dataforms that will be administered </w:t>
      </w:r>
      <w:r w:rsidR="00061063">
        <w:t>as part of the WAP ARRA period evaluation. Overall, the ARRA period evaluation will utilize surveys and dataforms developed under the retrospective evaluation that have been reviewed and approved by OMB. Specifically, five surveys and six dataforms will be re-used. Table 2 indicates the revisions, if any, made to the surveys and dataforms for their use in the ARRA period evaluation. Revisions to the dataforms are minor and reflect a shuffling of questions between DF2/3 and DF4 to make it easier for respondents to fill them out. A significant number of questions were added to S1 and S2 to capture ARRA p</w:t>
      </w:r>
      <w:r w:rsidR="00235CBE">
        <w:t>eriod specific issues. One new</w:t>
      </w:r>
      <w:r w:rsidR="00061063">
        <w:t xml:space="preserve"> survey</w:t>
      </w:r>
      <w:r w:rsidR="00235CBE">
        <w:t xml:space="preserve"> has been added, S8,</w:t>
      </w:r>
      <w:r w:rsidR="00061063">
        <w:t xml:space="preserve"> </w:t>
      </w:r>
      <w:r w:rsidR="00235CBE">
        <w:t xml:space="preserve">to </w:t>
      </w:r>
      <w:r w:rsidR="00061063">
        <w:t>collect information from DOE Weatherization Training Centers, respectively, on their post-ARRA issues, challenges and strategies that will be useful management information for DOE/OWIP.</w:t>
      </w:r>
      <w:r w:rsidR="00235CBE">
        <w:t xml:space="preserve"> One new dataform has been added, DF12, which will identify households that had their weatherization service deferred. The evaluation is assessing how often and through what processes deferred homes do or do not eventually received weatherization services.</w:t>
      </w:r>
      <w:r w:rsidR="00061063">
        <w:t xml:space="preserve"> It should be noted that DF1, DF10, DF6, DF7 and DF8 have been dropped. </w:t>
      </w:r>
    </w:p>
    <w:p w:rsidR="00153564" w:rsidRDefault="00153564" w:rsidP="00E36A1E"/>
    <w:p w:rsidR="00153564" w:rsidRDefault="00153564" w:rsidP="00E36A1E"/>
    <w:p w:rsidR="00153564" w:rsidRPr="00153564" w:rsidRDefault="00153564" w:rsidP="00E36A1E">
      <w:pPr>
        <w:rPr>
          <w:b/>
        </w:rPr>
      </w:pPr>
      <w:r w:rsidRPr="00153564">
        <w:rPr>
          <w:b/>
        </w:rPr>
        <w:t xml:space="preserve">Table 2. WAP ARRA Period Evaluation Surveys and Dataforms </w:t>
      </w:r>
    </w:p>
    <w:tbl>
      <w:tblPr>
        <w:tblStyle w:val="TableGrid"/>
        <w:tblW w:w="0" w:type="auto"/>
        <w:tblLook w:val="04A0"/>
      </w:tblPr>
      <w:tblGrid>
        <w:gridCol w:w="1458"/>
        <w:gridCol w:w="4926"/>
        <w:gridCol w:w="3192"/>
      </w:tblGrid>
      <w:tr w:rsidR="00E36A1E" w:rsidTr="00E36A1E">
        <w:tc>
          <w:tcPr>
            <w:tcW w:w="1458" w:type="dxa"/>
          </w:tcPr>
          <w:p w:rsidR="00E36A1E" w:rsidRDefault="00E36A1E" w:rsidP="00E36A1E">
            <w:r>
              <w:t xml:space="preserve">Identifier </w:t>
            </w:r>
          </w:p>
        </w:tc>
        <w:tc>
          <w:tcPr>
            <w:tcW w:w="4926" w:type="dxa"/>
          </w:tcPr>
          <w:p w:rsidR="00E36A1E" w:rsidRDefault="00E36A1E" w:rsidP="00E36A1E">
            <w:r>
              <w:t>Name</w:t>
            </w:r>
          </w:p>
        </w:tc>
        <w:tc>
          <w:tcPr>
            <w:tcW w:w="3192" w:type="dxa"/>
          </w:tcPr>
          <w:p w:rsidR="00E36A1E" w:rsidRDefault="00E36A1E" w:rsidP="00E36A1E">
            <w:r>
              <w:t xml:space="preserve">Changes from WAP Retrospective Version </w:t>
            </w:r>
          </w:p>
        </w:tc>
      </w:tr>
      <w:tr w:rsidR="00E36A1E" w:rsidTr="00E36A1E">
        <w:tc>
          <w:tcPr>
            <w:tcW w:w="1458" w:type="dxa"/>
          </w:tcPr>
          <w:p w:rsidR="00E36A1E" w:rsidRDefault="00E36A1E" w:rsidP="00E36A1E">
            <w:r>
              <w:t>S1</w:t>
            </w:r>
          </w:p>
        </w:tc>
        <w:tc>
          <w:tcPr>
            <w:tcW w:w="4926" w:type="dxa"/>
          </w:tcPr>
          <w:p w:rsidR="00E36A1E" w:rsidRDefault="00E36A1E" w:rsidP="00E36A1E">
            <w:r>
              <w:t>All States Program Information Survey</w:t>
            </w:r>
          </w:p>
        </w:tc>
        <w:tc>
          <w:tcPr>
            <w:tcW w:w="3192" w:type="dxa"/>
          </w:tcPr>
          <w:p w:rsidR="00E36A1E" w:rsidRDefault="008B3F0D" w:rsidP="00E36A1E">
            <w:r>
              <w:t xml:space="preserve">Questions pertaining to ARRA period added; ~ 10% of original questions deleted </w:t>
            </w:r>
          </w:p>
        </w:tc>
      </w:tr>
      <w:tr w:rsidR="00E36A1E" w:rsidTr="00E36A1E">
        <w:tc>
          <w:tcPr>
            <w:tcW w:w="1458" w:type="dxa"/>
          </w:tcPr>
          <w:p w:rsidR="00E36A1E" w:rsidRDefault="00E36A1E" w:rsidP="00E36A1E">
            <w:r>
              <w:t>S2</w:t>
            </w:r>
          </w:p>
        </w:tc>
        <w:tc>
          <w:tcPr>
            <w:tcW w:w="4926" w:type="dxa"/>
          </w:tcPr>
          <w:p w:rsidR="00E36A1E" w:rsidRDefault="00E36A1E" w:rsidP="00E36A1E">
            <w:r>
              <w:t>All Agencies Program Information Survey</w:t>
            </w:r>
          </w:p>
        </w:tc>
        <w:tc>
          <w:tcPr>
            <w:tcW w:w="3192" w:type="dxa"/>
          </w:tcPr>
          <w:p w:rsidR="00E36A1E" w:rsidRDefault="008B3F0D" w:rsidP="00E36A1E">
            <w:r>
              <w:t>Questions pertaining to ARRA period added; ~ 10% of original questions deleted</w:t>
            </w:r>
          </w:p>
        </w:tc>
      </w:tr>
      <w:tr w:rsidR="00E36A1E" w:rsidTr="00E36A1E">
        <w:tc>
          <w:tcPr>
            <w:tcW w:w="1458" w:type="dxa"/>
          </w:tcPr>
          <w:p w:rsidR="00E36A1E" w:rsidRDefault="00E36A1E" w:rsidP="00E36A1E">
            <w:r>
              <w:t>S3</w:t>
            </w:r>
          </w:p>
        </w:tc>
        <w:tc>
          <w:tcPr>
            <w:tcW w:w="4926" w:type="dxa"/>
          </w:tcPr>
          <w:p w:rsidR="00E36A1E" w:rsidRDefault="00E36A1E" w:rsidP="00E36A1E">
            <w:r>
              <w:t>Subset of Agencies Detailed Program Information Survey</w:t>
            </w:r>
          </w:p>
        </w:tc>
        <w:tc>
          <w:tcPr>
            <w:tcW w:w="3192" w:type="dxa"/>
          </w:tcPr>
          <w:p w:rsidR="00E36A1E" w:rsidRDefault="008B3F0D" w:rsidP="00E36A1E">
            <w:r>
              <w:t>Several questions moved to S2</w:t>
            </w:r>
          </w:p>
        </w:tc>
      </w:tr>
      <w:tr w:rsidR="00E36A1E" w:rsidTr="00E36A1E">
        <w:tc>
          <w:tcPr>
            <w:tcW w:w="1458" w:type="dxa"/>
          </w:tcPr>
          <w:p w:rsidR="00E36A1E" w:rsidRDefault="00E36A1E" w:rsidP="00E36A1E">
            <w:r>
              <w:t>S4</w:t>
            </w:r>
          </w:p>
        </w:tc>
        <w:tc>
          <w:tcPr>
            <w:tcW w:w="4926" w:type="dxa"/>
          </w:tcPr>
          <w:p w:rsidR="00E36A1E" w:rsidRDefault="00E36A1E" w:rsidP="00E36A1E">
            <w:r>
              <w:t>Occupant Survey</w:t>
            </w:r>
          </w:p>
        </w:tc>
        <w:tc>
          <w:tcPr>
            <w:tcW w:w="3192" w:type="dxa"/>
          </w:tcPr>
          <w:p w:rsidR="00E36A1E" w:rsidRDefault="008B3F0D" w:rsidP="00E36A1E">
            <w:r>
              <w:t xml:space="preserve">Client satisfaction questions pertaining to WIPP and SERC Programs added; Multi-family section added </w:t>
            </w:r>
          </w:p>
        </w:tc>
      </w:tr>
      <w:tr w:rsidR="00E36A1E" w:rsidTr="00E36A1E">
        <w:tc>
          <w:tcPr>
            <w:tcW w:w="1458" w:type="dxa"/>
          </w:tcPr>
          <w:p w:rsidR="00E36A1E" w:rsidRDefault="00E36A1E" w:rsidP="00E36A1E">
            <w:r>
              <w:t>S5</w:t>
            </w:r>
          </w:p>
        </w:tc>
        <w:tc>
          <w:tcPr>
            <w:tcW w:w="4926" w:type="dxa"/>
          </w:tcPr>
          <w:p w:rsidR="00E36A1E" w:rsidRDefault="00E36A1E" w:rsidP="00E36A1E">
            <w:r>
              <w:t>Weatherization Staff Survey</w:t>
            </w:r>
          </w:p>
        </w:tc>
        <w:tc>
          <w:tcPr>
            <w:tcW w:w="3192" w:type="dxa"/>
          </w:tcPr>
          <w:p w:rsidR="00E36A1E" w:rsidRDefault="008B3F0D" w:rsidP="00E36A1E">
            <w:r>
              <w:t>Questions designed to follow-up from WAP Retrospective were added</w:t>
            </w:r>
          </w:p>
        </w:tc>
      </w:tr>
      <w:tr w:rsidR="00E36A1E" w:rsidTr="00E36A1E">
        <w:tc>
          <w:tcPr>
            <w:tcW w:w="1458" w:type="dxa"/>
          </w:tcPr>
          <w:p w:rsidR="00E36A1E" w:rsidRDefault="00E36A1E" w:rsidP="00E36A1E">
            <w:r>
              <w:t>S8</w:t>
            </w:r>
          </w:p>
        </w:tc>
        <w:tc>
          <w:tcPr>
            <w:tcW w:w="4926" w:type="dxa"/>
          </w:tcPr>
          <w:p w:rsidR="00E36A1E" w:rsidRDefault="00E36A1E" w:rsidP="00E36A1E">
            <w:r>
              <w:t xml:space="preserve">DOE Weatherization Training Centers Post-ARRA Survey </w:t>
            </w:r>
          </w:p>
        </w:tc>
        <w:tc>
          <w:tcPr>
            <w:tcW w:w="3192" w:type="dxa"/>
          </w:tcPr>
          <w:p w:rsidR="00E36A1E" w:rsidRDefault="008B3F0D" w:rsidP="00E36A1E">
            <w:r>
              <w:t>New</w:t>
            </w:r>
          </w:p>
        </w:tc>
      </w:tr>
      <w:tr w:rsidR="00E36A1E" w:rsidTr="00E36A1E">
        <w:tc>
          <w:tcPr>
            <w:tcW w:w="1458" w:type="dxa"/>
          </w:tcPr>
          <w:p w:rsidR="00E36A1E" w:rsidRDefault="00E36A1E" w:rsidP="00E36A1E">
            <w:r>
              <w:t>DF2</w:t>
            </w:r>
          </w:p>
        </w:tc>
        <w:tc>
          <w:tcPr>
            <w:tcW w:w="4926" w:type="dxa"/>
          </w:tcPr>
          <w:p w:rsidR="00E36A1E" w:rsidRDefault="00E36A1E" w:rsidP="00D60F35">
            <w:r>
              <w:t>Housing Unit Information Data Form</w:t>
            </w:r>
          </w:p>
        </w:tc>
        <w:tc>
          <w:tcPr>
            <w:tcW w:w="3192" w:type="dxa"/>
          </w:tcPr>
          <w:p w:rsidR="00E36A1E" w:rsidRDefault="008B3F0D" w:rsidP="00E36A1E">
            <w:r>
              <w:t>Minor revisions</w:t>
            </w:r>
          </w:p>
        </w:tc>
      </w:tr>
      <w:tr w:rsidR="00E36A1E" w:rsidTr="00E36A1E">
        <w:tc>
          <w:tcPr>
            <w:tcW w:w="1458" w:type="dxa"/>
          </w:tcPr>
          <w:p w:rsidR="00E36A1E" w:rsidRDefault="00E36A1E" w:rsidP="00E36A1E">
            <w:r>
              <w:t>DF3</w:t>
            </w:r>
          </w:p>
        </w:tc>
        <w:tc>
          <w:tcPr>
            <w:tcW w:w="4926" w:type="dxa"/>
          </w:tcPr>
          <w:p w:rsidR="00E36A1E" w:rsidRDefault="00E36A1E" w:rsidP="00D60F35">
            <w:r>
              <w:t>Building Information Form</w:t>
            </w:r>
          </w:p>
        </w:tc>
        <w:tc>
          <w:tcPr>
            <w:tcW w:w="3192" w:type="dxa"/>
          </w:tcPr>
          <w:p w:rsidR="00E36A1E" w:rsidRDefault="008B3F0D" w:rsidP="00E36A1E">
            <w:r>
              <w:t>Minor revisions</w:t>
            </w:r>
          </w:p>
        </w:tc>
      </w:tr>
      <w:tr w:rsidR="00E36A1E" w:rsidTr="00E36A1E">
        <w:tc>
          <w:tcPr>
            <w:tcW w:w="1458" w:type="dxa"/>
          </w:tcPr>
          <w:p w:rsidR="00E36A1E" w:rsidRDefault="00E36A1E" w:rsidP="00E36A1E">
            <w:r>
              <w:t>DF4</w:t>
            </w:r>
          </w:p>
        </w:tc>
        <w:tc>
          <w:tcPr>
            <w:tcW w:w="4926" w:type="dxa"/>
          </w:tcPr>
          <w:p w:rsidR="00E36A1E" w:rsidRDefault="008B3F0D" w:rsidP="00E36A1E">
            <w:r>
              <w:t>Electric &amp; Natural Gas Bills Information from Agencies</w:t>
            </w:r>
          </w:p>
        </w:tc>
        <w:tc>
          <w:tcPr>
            <w:tcW w:w="3192" w:type="dxa"/>
          </w:tcPr>
          <w:p w:rsidR="00E36A1E" w:rsidRDefault="008B3F0D" w:rsidP="00E36A1E">
            <w:r>
              <w:t xml:space="preserve">Minor revisions </w:t>
            </w:r>
          </w:p>
        </w:tc>
      </w:tr>
      <w:tr w:rsidR="00E36A1E" w:rsidTr="00E36A1E">
        <w:tc>
          <w:tcPr>
            <w:tcW w:w="1458" w:type="dxa"/>
          </w:tcPr>
          <w:p w:rsidR="00E36A1E" w:rsidRDefault="00E36A1E" w:rsidP="00E36A1E">
            <w:r>
              <w:t>DF5</w:t>
            </w:r>
          </w:p>
        </w:tc>
        <w:tc>
          <w:tcPr>
            <w:tcW w:w="4926" w:type="dxa"/>
          </w:tcPr>
          <w:p w:rsidR="00E36A1E" w:rsidRDefault="008B3F0D" w:rsidP="00E36A1E">
            <w:r>
              <w:t>Electric &amp; Natural Gas Bills from Utilities</w:t>
            </w:r>
          </w:p>
        </w:tc>
        <w:tc>
          <w:tcPr>
            <w:tcW w:w="3192" w:type="dxa"/>
          </w:tcPr>
          <w:p w:rsidR="00E36A1E" w:rsidRDefault="008B3F0D" w:rsidP="00E36A1E">
            <w:r>
              <w:t xml:space="preserve">No Change </w:t>
            </w:r>
          </w:p>
        </w:tc>
      </w:tr>
      <w:tr w:rsidR="00E36A1E" w:rsidTr="00E36A1E">
        <w:tc>
          <w:tcPr>
            <w:tcW w:w="1458" w:type="dxa"/>
          </w:tcPr>
          <w:p w:rsidR="00E36A1E" w:rsidRDefault="00E36A1E" w:rsidP="00E36A1E">
            <w:r>
              <w:t>DF9</w:t>
            </w:r>
          </w:p>
        </w:tc>
        <w:tc>
          <w:tcPr>
            <w:tcW w:w="4926" w:type="dxa"/>
          </w:tcPr>
          <w:p w:rsidR="00E36A1E" w:rsidRDefault="008B3F0D" w:rsidP="00E36A1E">
            <w:r>
              <w:t>Contact Information from Agencies for Occupant Survey Data Form</w:t>
            </w:r>
          </w:p>
        </w:tc>
        <w:tc>
          <w:tcPr>
            <w:tcW w:w="3192" w:type="dxa"/>
          </w:tcPr>
          <w:p w:rsidR="00E36A1E" w:rsidRDefault="00235CBE" w:rsidP="00E36A1E">
            <w:r>
              <w:t xml:space="preserve">Minor revisions </w:t>
            </w:r>
          </w:p>
        </w:tc>
      </w:tr>
      <w:tr w:rsidR="00E36A1E" w:rsidTr="00E36A1E">
        <w:tc>
          <w:tcPr>
            <w:tcW w:w="1458" w:type="dxa"/>
          </w:tcPr>
          <w:p w:rsidR="00E36A1E" w:rsidRDefault="00E36A1E" w:rsidP="00E36A1E">
            <w:r>
              <w:t>DF11</w:t>
            </w:r>
          </w:p>
        </w:tc>
        <w:tc>
          <w:tcPr>
            <w:tcW w:w="4926" w:type="dxa"/>
          </w:tcPr>
          <w:p w:rsidR="00E36A1E" w:rsidRDefault="008B3F0D" w:rsidP="00E36A1E">
            <w:r>
              <w:t xml:space="preserve">Contact Information from Agencies for Weatherization Staff Survey Data Form </w:t>
            </w:r>
          </w:p>
        </w:tc>
        <w:tc>
          <w:tcPr>
            <w:tcW w:w="3192" w:type="dxa"/>
          </w:tcPr>
          <w:p w:rsidR="00E36A1E" w:rsidRDefault="00235CBE" w:rsidP="00E36A1E">
            <w:r>
              <w:t xml:space="preserve">Minor revisions </w:t>
            </w:r>
            <w:r w:rsidR="008B3F0D">
              <w:t xml:space="preserve"> </w:t>
            </w:r>
          </w:p>
        </w:tc>
      </w:tr>
      <w:tr w:rsidR="00235CBE" w:rsidTr="00E36A1E">
        <w:tc>
          <w:tcPr>
            <w:tcW w:w="1458" w:type="dxa"/>
          </w:tcPr>
          <w:p w:rsidR="00235CBE" w:rsidRDefault="00235CBE" w:rsidP="00E36A1E">
            <w:r>
              <w:t xml:space="preserve">DF12 </w:t>
            </w:r>
          </w:p>
        </w:tc>
        <w:tc>
          <w:tcPr>
            <w:tcW w:w="4926" w:type="dxa"/>
          </w:tcPr>
          <w:p w:rsidR="00235CBE" w:rsidRDefault="00235CBE" w:rsidP="00E36A1E">
            <w:r>
              <w:t xml:space="preserve">Weatherization Deferral Data Form </w:t>
            </w:r>
          </w:p>
        </w:tc>
        <w:tc>
          <w:tcPr>
            <w:tcW w:w="3192" w:type="dxa"/>
          </w:tcPr>
          <w:p w:rsidR="00235CBE" w:rsidRDefault="00235CBE" w:rsidP="00E36A1E">
            <w:r>
              <w:t xml:space="preserve">New </w:t>
            </w:r>
          </w:p>
        </w:tc>
      </w:tr>
    </w:tbl>
    <w:p w:rsidR="008B3F0D" w:rsidRDefault="008B3F0D" w:rsidP="00E36A1E"/>
    <w:p w:rsidR="00061063" w:rsidRDefault="00061063" w:rsidP="00E36A1E">
      <w:r>
        <w:t>All the surveys and dataforms will be administered in the same way as they were in the retrospective evaluation. Specifically, they will all be web-based, except S4 Occupant Survey, which will be administered by phone using a CATI system</w:t>
      </w:r>
      <w:r w:rsidR="00EA6808">
        <w:t xml:space="preserve"> and S8, which will also be conducted by phone using open-ended questions</w:t>
      </w:r>
      <w:r>
        <w:t xml:space="preserve">. The same packages of introductory letters and non-response follow-up protocols will be followed. </w:t>
      </w:r>
    </w:p>
    <w:p w:rsidR="00AF2C0B" w:rsidRDefault="00AF2C0B" w:rsidP="00E36A1E"/>
    <w:p w:rsidR="00AF2C0B" w:rsidRDefault="00AF2C0B" w:rsidP="00E36A1E">
      <w:r>
        <w:t xml:space="preserve">It is anticipated that response burdens upon respondents will be less than for the retrospective evaluation for several reasons. First, states, agencies and utilities will benefit from having completed these tasks once before for the retrospective evaluation. Prior experiences with utilities especially suggest that much time is saved from routinized response to requests for billing histories. Second, the ORNL team has learned how to extract much information from state weatherization databases that can pre-populate surveys and dataforms and in some cases eliminate the need for the team to collect billing histories on its own. Third, a shortened version </w:t>
      </w:r>
      <w:r>
        <w:lastRenderedPageBreak/>
        <w:t xml:space="preserve">of DF2/3 will be given to large agencies in order to cut down on their burdens in completing these forms. </w:t>
      </w:r>
    </w:p>
    <w:p w:rsidR="00AF2C0B" w:rsidRDefault="00AF2C0B" w:rsidP="00E36A1E"/>
    <w:p w:rsidR="00AF2C0B" w:rsidRPr="00AF2C0B" w:rsidRDefault="00AF2C0B" w:rsidP="00E36A1E">
      <w:pPr>
        <w:rPr>
          <w:b/>
        </w:rPr>
      </w:pPr>
      <w:r w:rsidRPr="00AF2C0B">
        <w:rPr>
          <w:b/>
        </w:rPr>
        <w:t xml:space="preserve">4.0 Timelines </w:t>
      </w:r>
    </w:p>
    <w:p w:rsidR="00061063" w:rsidRDefault="00061063" w:rsidP="00E36A1E"/>
    <w:p w:rsidR="00AF2C0B" w:rsidRDefault="008F1370" w:rsidP="00E36A1E">
      <w:r>
        <w:t>Table 3 presents timeslines for when survey and dataforms for the WAP ARRA period evaluation will be administered, given an anticipated approval from OMB to b</w:t>
      </w:r>
      <w:r w:rsidR="00235CBE">
        <w:t>egin administration by the second quarter of CY2012</w:t>
      </w:r>
      <w:r>
        <w:t xml:space="preserve">. It should be noted that </w:t>
      </w:r>
      <w:r w:rsidR="00440F50">
        <w:t xml:space="preserve">all of the surveys and data forms </w:t>
      </w:r>
      <w:r>
        <w:t>will only be administered once, all in</w:t>
      </w:r>
      <w:r w:rsidR="00235CBE">
        <w:t xml:space="preserve"> CY2012</w:t>
      </w:r>
      <w:r w:rsidR="00440F50">
        <w:t xml:space="preserve"> and CY2013</w:t>
      </w:r>
      <w:r>
        <w:t xml:space="preserve">. </w:t>
      </w:r>
    </w:p>
    <w:p w:rsidR="00AF2C0B" w:rsidRDefault="00AF2C0B" w:rsidP="00E36A1E"/>
    <w:p w:rsidR="00061063" w:rsidRPr="00AF2C0B" w:rsidRDefault="00AF2C0B" w:rsidP="00E36A1E">
      <w:pPr>
        <w:rPr>
          <w:b/>
        </w:rPr>
      </w:pPr>
      <w:r w:rsidRPr="00AF2C0B">
        <w:rPr>
          <w:b/>
        </w:rPr>
        <w:t xml:space="preserve">Table 3. Survey and Dataform Administration Timelines </w:t>
      </w:r>
    </w:p>
    <w:tbl>
      <w:tblPr>
        <w:tblStyle w:val="TableGrid"/>
        <w:tblW w:w="0" w:type="auto"/>
        <w:tblInd w:w="-162" w:type="dxa"/>
        <w:tblLayout w:type="fixed"/>
        <w:tblLook w:val="04A0"/>
      </w:tblPr>
      <w:tblGrid>
        <w:gridCol w:w="4050"/>
        <w:gridCol w:w="540"/>
        <w:gridCol w:w="540"/>
        <w:gridCol w:w="530"/>
        <w:gridCol w:w="583"/>
        <w:gridCol w:w="582"/>
        <w:gridCol w:w="583"/>
      </w:tblGrid>
      <w:tr w:rsidR="00235CBE" w:rsidTr="00407ABB">
        <w:tc>
          <w:tcPr>
            <w:tcW w:w="4050" w:type="dxa"/>
          </w:tcPr>
          <w:p w:rsidR="00235CBE" w:rsidRDefault="00235CBE" w:rsidP="00E36A1E">
            <w:r>
              <w:t>Instrument/Administration</w:t>
            </w:r>
          </w:p>
        </w:tc>
        <w:tc>
          <w:tcPr>
            <w:tcW w:w="1080" w:type="dxa"/>
            <w:gridSpan w:val="2"/>
          </w:tcPr>
          <w:p w:rsidR="00235CBE" w:rsidRDefault="00235CBE" w:rsidP="0025606F">
            <w:pPr>
              <w:jc w:val="center"/>
            </w:pPr>
            <w:r>
              <w:t>CY2012</w:t>
            </w:r>
          </w:p>
        </w:tc>
        <w:tc>
          <w:tcPr>
            <w:tcW w:w="2278" w:type="dxa"/>
            <w:gridSpan w:val="4"/>
          </w:tcPr>
          <w:p w:rsidR="00235CBE" w:rsidRDefault="00235CBE" w:rsidP="0025606F">
            <w:pPr>
              <w:jc w:val="center"/>
            </w:pPr>
            <w:r>
              <w:t>CY2013</w:t>
            </w:r>
          </w:p>
        </w:tc>
      </w:tr>
      <w:tr w:rsidR="00235CBE" w:rsidTr="00407ABB">
        <w:tc>
          <w:tcPr>
            <w:tcW w:w="4050" w:type="dxa"/>
          </w:tcPr>
          <w:p w:rsidR="00235CBE" w:rsidRDefault="00235CBE" w:rsidP="00E36A1E"/>
        </w:tc>
        <w:tc>
          <w:tcPr>
            <w:tcW w:w="540" w:type="dxa"/>
          </w:tcPr>
          <w:p w:rsidR="00235CBE" w:rsidRDefault="00235CBE" w:rsidP="0025606F">
            <w:pPr>
              <w:jc w:val="center"/>
            </w:pPr>
            <w:r>
              <w:t>Q3</w:t>
            </w:r>
          </w:p>
        </w:tc>
        <w:tc>
          <w:tcPr>
            <w:tcW w:w="540" w:type="dxa"/>
          </w:tcPr>
          <w:p w:rsidR="00235CBE" w:rsidRDefault="00235CBE" w:rsidP="0025606F">
            <w:pPr>
              <w:jc w:val="center"/>
            </w:pPr>
            <w:r>
              <w:t>Q4</w:t>
            </w:r>
          </w:p>
        </w:tc>
        <w:tc>
          <w:tcPr>
            <w:tcW w:w="530" w:type="dxa"/>
          </w:tcPr>
          <w:p w:rsidR="00235CBE" w:rsidRDefault="00235CBE" w:rsidP="0025606F">
            <w:pPr>
              <w:jc w:val="center"/>
            </w:pPr>
            <w:r>
              <w:t>Q1</w:t>
            </w:r>
          </w:p>
        </w:tc>
        <w:tc>
          <w:tcPr>
            <w:tcW w:w="583" w:type="dxa"/>
          </w:tcPr>
          <w:p w:rsidR="00235CBE" w:rsidRDefault="00235CBE" w:rsidP="0025606F">
            <w:pPr>
              <w:jc w:val="center"/>
            </w:pPr>
            <w:r>
              <w:t>Q2</w:t>
            </w:r>
          </w:p>
        </w:tc>
        <w:tc>
          <w:tcPr>
            <w:tcW w:w="582" w:type="dxa"/>
          </w:tcPr>
          <w:p w:rsidR="00235CBE" w:rsidRDefault="00235CBE" w:rsidP="0025606F">
            <w:pPr>
              <w:jc w:val="center"/>
            </w:pPr>
            <w:r>
              <w:t>Q3</w:t>
            </w:r>
          </w:p>
        </w:tc>
        <w:tc>
          <w:tcPr>
            <w:tcW w:w="583" w:type="dxa"/>
          </w:tcPr>
          <w:p w:rsidR="00235CBE" w:rsidRDefault="00235CBE" w:rsidP="0025606F">
            <w:pPr>
              <w:jc w:val="center"/>
            </w:pPr>
            <w:r>
              <w:t>Q4</w:t>
            </w:r>
          </w:p>
        </w:tc>
      </w:tr>
      <w:tr w:rsidR="00235CBE" w:rsidTr="00407ABB">
        <w:tc>
          <w:tcPr>
            <w:tcW w:w="4050" w:type="dxa"/>
          </w:tcPr>
          <w:p w:rsidR="00235CBE" w:rsidRDefault="00235CBE" w:rsidP="00E36A1E">
            <w:r>
              <w:t>S1 – All States Prog. Info.</w:t>
            </w:r>
          </w:p>
        </w:tc>
        <w:tc>
          <w:tcPr>
            <w:tcW w:w="540" w:type="dxa"/>
          </w:tcPr>
          <w:p w:rsidR="00235CBE" w:rsidRDefault="00235CBE" w:rsidP="0025606F">
            <w:pPr>
              <w:jc w:val="center"/>
            </w:pPr>
          </w:p>
        </w:tc>
        <w:tc>
          <w:tcPr>
            <w:tcW w:w="540" w:type="dxa"/>
          </w:tcPr>
          <w:p w:rsidR="00235CBE" w:rsidRDefault="00235CBE" w:rsidP="0025606F">
            <w:pPr>
              <w:jc w:val="center"/>
            </w:pPr>
            <w:r>
              <w:t>X</w:t>
            </w:r>
          </w:p>
        </w:tc>
        <w:tc>
          <w:tcPr>
            <w:tcW w:w="530" w:type="dxa"/>
          </w:tcPr>
          <w:p w:rsidR="00235CBE" w:rsidRDefault="00235CBE" w:rsidP="0025606F">
            <w:pPr>
              <w:jc w:val="center"/>
            </w:pP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S2 – All Agencies Prog. Info.</w:t>
            </w:r>
          </w:p>
        </w:tc>
        <w:tc>
          <w:tcPr>
            <w:tcW w:w="540" w:type="dxa"/>
          </w:tcPr>
          <w:p w:rsidR="00235CBE" w:rsidRDefault="00235CBE" w:rsidP="0025606F">
            <w:pPr>
              <w:jc w:val="center"/>
            </w:pPr>
          </w:p>
        </w:tc>
        <w:tc>
          <w:tcPr>
            <w:tcW w:w="540" w:type="dxa"/>
          </w:tcPr>
          <w:p w:rsidR="00235CBE" w:rsidRDefault="00235CBE" w:rsidP="0025606F">
            <w:pPr>
              <w:jc w:val="center"/>
            </w:pPr>
            <w:r>
              <w:t>X</w:t>
            </w:r>
          </w:p>
        </w:tc>
        <w:tc>
          <w:tcPr>
            <w:tcW w:w="530" w:type="dxa"/>
          </w:tcPr>
          <w:p w:rsidR="00235CBE" w:rsidRDefault="00235CBE" w:rsidP="0025606F">
            <w:pPr>
              <w:jc w:val="center"/>
            </w:pP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 xml:space="preserve">S3 – Subset of Agencies Prog. Info. </w:t>
            </w:r>
          </w:p>
        </w:tc>
        <w:tc>
          <w:tcPr>
            <w:tcW w:w="540" w:type="dxa"/>
          </w:tcPr>
          <w:p w:rsidR="00235CBE" w:rsidRDefault="00235CBE" w:rsidP="0025606F">
            <w:pPr>
              <w:jc w:val="center"/>
            </w:pPr>
          </w:p>
        </w:tc>
        <w:tc>
          <w:tcPr>
            <w:tcW w:w="540" w:type="dxa"/>
          </w:tcPr>
          <w:p w:rsidR="00235CBE" w:rsidRDefault="00235CBE" w:rsidP="0025606F">
            <w:pPr>
              <w:jc w:val="center"/>
            </w:pPr>
            <w:r>
              <w:t>X</w:t>
            </w:r>
          </w:p>
        </w:tc>
        <w:tc>
          <w:tcPr>
            <w:tcW w:w="530" w:type="dxa"/>
          </w:tcPr>
          <w:p w:rsidR="00235CBE" w:rsidRDefault="00235CBE" w:rsidP="0025606F">
            <w:pPr>
              <w:jc w:val="center"/>
            </w:pP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S4 – Occupant Survey: WIPP</w:t>
            </w:r>
          </w:p>
        </w:tc>
        <w:tc>
          <w:tcPr>
            <w:tcW w:w="540" w:type="dxa"/>
          </w:tcPr>
          <w:p w:rsidR="00235CBE" w:rsidRDefault="00235CBE" w:rsidP="0025606F">
            <w:pPr>
              <w:jc w:val="center"/>
            </w:pPr>
            <w:r>
              <w:t>X</w:t>
            </w:r>
          </w:p>
        </w:tc>
        <w:tc>
          <w:tcPr>
            <w:tcW w:w="540" w:type="dxa"/>
          </w:tcPr>
          <w:p w:rsidR="00235CBE" w:rsidRDefault="00235CBE" w:rsidP="0025606F">
            <w:pPr>
              <w:jc w:val="center"/>
            </w:pPr>
          </w:p>
        </w:tc>
        <w:tc>
          <w:tcPr>
            <w:tcW w:w="530" w:type="dxa"/>
          </w:tcPr>
          <w:p w:rsidR="00235CBE" w:rsidRDefault="00440F50" w:rsidP="0025606F">
            <w:pPr>
              <w:jc w:val="center"/>
            </w:pPr>
            <w:r>
              <w:t>X</w:t>
            </w: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S4 – Occupant Survey: SERC</w:t>
            </w:r>
          </w:p>
        </w:tc>
        <w:tc>
          <w:tcPr>
            <w:tcW w:w="540" w:type="dxa"/>
          </w:tcPr>
          <w:p w:rsidR="00235CBE" w:rsidRDefault="00235CBE" w:rsidP="0025606F">
            <w:pPr>
              <w:jc w:val="center"/>
            </w:pPr>
          </w:p>
        </w:tc>
        <w:tc>
          <w:tcPr>
            <w:tcW w:w="540" w:type="dxa"/>
          </w:tcPr>
          <w:p w:rsidR="00235CBE" w:rsidRDefault="00235CBE" w:rsidP="0025606F">
            <w:pPr>
              <w:jc w:val="center"/>
            </w:pPr>
          </w:p>
        </w:tc>
        <w:tc>
          <w:tcPr>
            <w:tcW w:w="530" w:type="dxa"/>
          </w:tcPr>
          <w:p w:rsidR="00235CBE" w:rsidRDefault="00440F50" w:rsidP="0025606F">
            <w:pPr>
              <w:jc w:val="center"/>
            </w:pPr>
            <w:r>
              <w:t>X</w:t>
            </w: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S5 – WX Staff Survey: Follow-up</w:t>
            </w:r>
          </w:p>
        </w:tc>
        <w:tc>
          <w:tcPr>
            <w:tcW w:w="540" w:type="dxa"/>
          </w:tcPr>
          <w:p w:rsidR="00235CBE" w:rsidRDefault="00235CBE" w:rsidP="0025606F">
            <w:pPr>
              <w:jc w:val="center"/>
            </w:pPr>
          </w:p>
        </w:tc>
        <w:tc>
          <w:tcPr>
            <w:tcW w:w="540" w:type="dxa"/>
          </w:tcPr>
          <w:p w:rsidR="00235CBE" w:rsidRDefault="00235CBE" w:rsidP="0025606F">
            <w:pPr>
              <w:jc w:val="center"/>
            </w:pPr>
          </w:p>
        </w:tc>
        <w:tc>
          <w:tcPr>
            <w:tcW w:w="530" w:type="dxa"/>
          </w:tcPr>
          <w:p w:rsidR="00235CBE" w:rsidRDefault="00440F50" w:rsidP="0025606F">
            <w:pPr>
              <w:jc w:val="center"/>
            </w:pPr>
            <w:r>
              <w:t>X</w:t>
            </w: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 xml:space="preserve">S5 – WX Staff Survey: WIPP </w:t>
            </w:r>
          </w:p>
        </w:tc>
        <w:tc>
          <w:tcPr>
            <w:tcW w:w="540" w:type="dxa"/>
          </w:tcPr>
          <w:p w:rsidR="00235CBE" w:rsidRDefault="00235CBE" w:rsidP="0025606F">
            <w:pPr>
              <w:jc w:val="center"/>
            </w:pPr>
          </w:p>
        </w:tc>
        <w:tc>
          <w:tcPr>
            <w:tcW w:w="540" w:type="dxa"/>
          </w:tcPr>
          <w:p w:rsidR="00235CBE" w:rsidRDefault="00235CBE" w:rsidP="0025606F">
            <w:pPr>
              <w:jc w:val="center"/>
            </w:pPr>
          </w:p>
        </w:tc>
        <w:tc>
          <w:tcPr>
            <w:tcW w:w="530" w:type="dxa"/>
          </w:tcPr>
          <w:p w:rsidR="00235CBE" w:rsidRDefault="00235CBE" w:rsidP="0025606F">
            <w:pPr>
              <w:jc w:val="center"/>
            </w:pPr>
          </w:p>
        </w:tc>
        <w:tc>
          <w:tcPr>
            <w:tcW w:w="583" w:type="dxa"/>
          </w:tcPr>
          <w:p w:rsidR="00235CBE" w:rsidRDefault="00440F50" w:rsidP="0025606F">
            <w:pPr>
              <w:jc w:val="center"/>
            </w:pPr>
            <w:r>
              <w:t>X</w:t>
            </w: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S8 – WX Training Centers Post-ARRA</w:t>
            </w:r>
          </w:p>
        </w:tc>
        <w:tc>
          <w:tcPr>
            <w:tcW w:w="540" w:type="dxa"/>
          </w:tcPr>
          <w:p w:rsidR="00235CBE" w:rsidRDefault="00235CBE" w:rsidP="0025606F">
            <w:pPr>
              <w:jc w:val="center"/>
            </w:pPr>
            <w:r>
              <w:t>X</w:t>
            </w:r>
          </w:p>
        </w:tc>
        <w:tc>
          <w:tcPr>
            <w:tcW w:w="540" w:type="dxa"/>
          </w:tcPr>
          <w:p w:rsidR="00235CBE" w:rsidRDefault="00235CBE" w:rsidP="0025606F">
            <w:pPr>
              <w:jc w:val="center"/>
            </w:pPr>
          </w:p>
        </w:tc>
        <w:tc>
          <w:tcPr>
            <w:tcW w:w="530" w:type="dxa"/>
          </w:tcPr>
          <w:p w:rsidR="00235CBE" w:rsidRDefault="00235CBE" w:rsidP="0025606F">
            <w:pPr>
              <w:jc w:val="center"/>
            </w:pP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 xml:space="preserve">DF2/3 – Housing/Building Info. </w:t>
            </w:r>
          </w:p>
        </w:tc>
        <w:tc>
          <w:tcPr>
            <w:tcW w:w="540" w:type="dxa"/>
          </w:tcPr>
          <w:p w:rsidR="00235CBE" w:rsidRDefault="00235CBE" w:rsidP="0025606F">
            <w:pPr>
              <w:jc w:val="center"/>
            </w:pPr>
            <w:r>
              <w:t>X</w:t>
            </w:r>
          </w:p>
        </w:tc>
        <w:tc>
          <w:tcPr>
            <w:tcW w:w="540" w:type="dxa"/>
          </w:tcPr>
          <w:p w:rsidR="00235CBE" w:rsidRDefault="00235CBE" w:rsidP="0025606F">
            <w:pPr>
              <w:jc w:val="center"/>
            </w:pPr>
            <w:r>
              <w:t>X</w:t>
            </w:r>
          </w:p>
        </w:tc>
        <w:tc>
          <w:tcPr>
            <w:tcW w:w="530" w:type="dxa"/>
          </w:tcPr>
          <w:p w:rsidR="00235CBE" w:rsidRDefault="00235CBE" w:rsidP="0025606F">
            <w:pPr>
              <w:jc w:val="center"/>
            </w:pPr>
            <w:r>
              <w:t>X</w:t>
            </w: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DF4 – Billings Info. From Agencies</w:t>
            </w:r>
          </w:p>
        </w:tc>
        <w:tc>
          <w:tcPr>
            <w:tcW w:w="540" w:type="dxa"/>
          </w:tcPr>
          <w:p w:rsidR="00235CBE" w:rsidRDefault="00235CBE" w:rsidP="0025606F">
            <w:pPr>
              <w:jc w:val="center"/>
            </w:pPr>
            <w:r>
              <w:t>X</w:t>
            </w:r>
          </w:p>
        </w:tc>
        <w:tc>
          <w:tcPr>
            <w:tcW w:w="540" w:type="dxa"/>
          </w:tcPr>
          <w:p w:rsidR="00235CBE" w:rsidRDefault="00235CBE" w:rsidP="0025606F">
            <w:pPr>
              <w:jc w:val="center"/>
            </w:pPr>
            <w:r>
              <w:t>X</w:t>
            </w:r>
          </w:p>
        </w:tc>
        <w:tc>
          <w:tcPr>
            <w:tcW w:w="530" w:type="dxa"/>
          </w:tcPr>
          <w:p w:rsidR="00235CBE" w:rsidRDefault="00440F50" w:rsidP="0025606F">
            <w:pPr>
              <w:jc w:val="center"/>
            </w:pPr>
            <w:r>
              <w:t>X</w:t>
            </w: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DF5 – Billings Data from Utilities</w:t>
            </w:r>
          </w:p>
        </w:tc>
        <w:tc>
          <w:tcPr>
            <w:tcW w:w="540" w:type="dxa"/>
          </w:tcPr>
          <w:p w:rsidR="00235CBE" w:rsidRDefault="00235CBE" w:rsidP="0025606F">
            <w:pPr>
              <w:jc w:val="center"/>
            </w:pPr>
          </w:p>
        </w:tc>
        <w:tc>
          <w:tcPr>
            <w:tcW w:w="540" w:type="dxa"/>
          </w:tcPr>
          <w:p w:rsidR="00235CBE" w:rsidRDefault="00235CBE" w:rsidP="0025606F">
            <w:pPr>
              <w:jc w:val="center"/>
            </w:pPr>
            <w:r>
              <w:t>X</w:t>
            </w:r>
          </w:p>
        </w:tc>
        <w:tc>
          <w:tcPr>
            <w:tcW w:w="530" w:type="dxa"/>
          </w:tcPr>
          <w:p w:rsidR="00235CBE" w:rsidRDefault="00235CBE" w:rsidP="0025606F">
            <w:pPr>
              <w:jc w:val="center"/>
            </w:pPr>
            <w:r>
              <w:t>X</w:t>
            </w:r>
          </w:p>
        </w:tc>
        <w:tc>
          <w:tcPr>
            <w:tcW w:w="583" w:type="dxa"/>
          </w:tcPr>
          <w:p w:rsidR="00235CBE" w:rsidRDefault="00440F50" w:rsidP="0025606F">
            <w:pPr>
              <w:jc w:val="center"/>
            </w:pPr>
            <w:r>
              <w:t>X</w:t>
            </w: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 xml:space="preserve">DF9 – Occupant Contact Info. </w:t>
            </w:r>
          </w:p>
        </w:tc>
        <w:tc>
          <w:tcPr>
            <w:tcW w:w="540" w:type="dxa"/>
          </w:tcPr>
          <w:p w:rsidR="00235CBE" w:rsidRDefault="00235CBE" w:rsidP="0025606F">
            <w:pPr>
              <w:jc w:val="center"/>
            </w:pPr>
          </w:p>
        </w:tc>
        <w:tc>
          <w:tcPr>
            <w:tcW w:w="540" w:type="dxa"/>
          </w:tcPr>
          <w:p w:rsidR="00235CBE" w:rsidRDefault="00235CBE" w:rsidP="0025606F">
            <w:pPr>
              <w:jc w:val="center"/>
            </w:pPr>
          </w:p>
        </w:tc>
        <w:tc>
          <w:tcPr>
            <w:tcW w:w="530" w:type="dxa"/>
          </w:tcPr>
          <w:p w:rsidR="00235CBE" w:rsidRDefault="00440F50" w:rsidP="0025606F">
            <w:pPr>
              <w:jc w:val="center"/>
            </w:pPr>
            <w:r>
              <w:t>X</w:t>
            </w: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 xml:space="preserve">DF11 – WX Staff Contact Info. </w:t>
            </w:r>
          </w:p>
        </w:tc>
        <w:tc>
          <w:tcPr>
            <w:tcW w:w="540" w:type="dxa"/>
          </w:tcPr>
          <w:p w:rsidR="00235CBE" w:rsidRDefault="00235CBE" w:rsidP="0025606F">
            <w:pPr>
              <w:jc w:val="center"/>
            </w:pPr>
          </w:p>
        </w:tc>
        <w:tc>
          <w:tcPr>
            <w:tcW w:w="540" w:type="dxa"/>
          </w:tcPr>
          <w:p w:rsidR="00235CBE" w:rsidRDefault="00235CBE" w:rsidP="0025606F">
            <w:pPr>
              <w:jc w:val="center"/>
            </w:pPr>
          </w:p>
        </w:tc>
        <w:tc>
          <w:tcPr>
            <w:tcW w:w="530" w:type="dxa"/>
          </w:tcPr>
          <w:p w:rsidR="00235CBE" w:rsidRDefault="00235CBE" w:rsidP="0025606F">
            <w:pPr>
              <w:jc w:val="center"/>
            </w:pPr>
          </w:p>
        </w:tc>
        <w:tc>
          <w:tcPr>
            <w:tcW w:w="583" w:type="dxa"/>
          </w:tcPr>
          <w:p w:rsidR="00235CBE" w:rsidRDefault="00440F50" w:rsidP="0025606F">
            <w:pPr>
              <w:jc w:val="center"/>
            </w:pPr>
            <w:r>
              <w:t>X</w:t>
            </w:r>
          </w:p>
        </w:tc>
        <w:tc>
          <w:tcPr>
            <w:tcW w:w="582" w:type="dxa"/>
          </w:tcPr>
          <w:p w:rsidR="00235CBE" w:rsidRDefault="00235CBE" w:rsidP="0025606F">
            <w:pPr>
              <w:jc w:val="center"/>
            </w:pPr>
          </w:p>
        </w:tc>
        <w:tc>
          <w:tcPr>
            <w:tcW w:w="583" w:type="dxa"/>
          </w:tcPr>
          <w:p w:rsidR="00235CBE" w:rsidRDefault="00235CBE" w:rsidP="0025606F">
            <w:pPr>
              <w:jc w:val="center"/>
            </w:pPr>
          </w:p>
        </w:tc>
      </w:tr>
      <w:tr w:rsidR="00235CBE" w:rsidTr="00407ABB">
        <w:tc>
          <w:tcPr>
            <w:tcW w:w="4050" w:type="dxa"/>
          </w:tcPr>
          <w:p w:rsidR="00235CBE" w:rsidRDefault="00235CBE" w:rsidP="00E36A1E">
            <w:r>
              <w:t xml:space="preserve">DF12 – WX Deferral </w:t>
            </w:r>
          </w:p>
        </w:tc>
        <w:tc>
          <w:tcPr>
            <w:tcW w:w="540" w:type="dxa"/>
          </w:tcPr>
          <w:p w:rsidR="00235CBE" w:rsidRDefault="00440F50" w:rsidP="0025606F">
            <w:pPr>
              <w:jc w:val="center"/>
            </w:pPr>
            <w:r>
              <w:t>X</w:t>
            </w:r>
          </w:p>
        </w:tc>
        <w:tc>
          <w:tcPr>
            <w:tcW w:w="540" w:type="dxa"/>
          </w:tcPr>
          <w:p w:rsidR="00235CBE" w:rsidRDefault="00235CBE" w:rsidP="0025606F">
            <w:pPr>
              <w:jc w:val="center"/>
            </w:pPr>
          </w:p>
        </w:tc>
        <w:tc>
          <w:tcPr>
            <w:tcW w:w="530" w:type="dxa"/>
          </w:tcPr>
          <w:p w:rsidR="00235CBE" w:rsidRDefault="00235CBE" w:rsidP="0025606F">
            <w:pPr>
              <w:jc w:val="center"/>
            </w:pPr>
          </w:p>
        </w:tc>
        <w:tc>
          <w:tcPr>
            <w:tcW w:w="583" w:type="dxa"/>
          </w:tcPr>
          <w:p w:rsidR="00235CBE" w:rsidRDefault="00235CBE" w:rsidP="0025606F">
            <w:pPr>
              <w:jc w:val="center"/>
            </w:pPr>
          </w:p>
        </w:tc>
        <w:tc>
          <w:tcPr>
            <w:tcW w:w="582" w:type="dxa"/>
          </w:tcPr>
          <w:p w:rsidR="00235CBE" w:rsidRDefault="00235CBE" w:rsidP="0025606F">
            <w:pPr>
              <w:jc w:val="center"/>
            </w:pPr>
          </w:p>
        </w:tc>
        <w:tc>
          <w:tcPr>
            <w:tcW w:w="583" w:type="dxa"/>
          </w:tcPr>
          <w:p w:rsidR="00235CBE" w:rsidRDefault="00235CBE" w:rsidP="0025606F">
            <w:pPr>
              <w:jc w:val="center"/>
            </w:pPr>
          </w:p>
        </w:tc>
      </w:tr>
    </w:tbl>
    <w:p w:rsidR="002B1FED" w:rsidRDefault="0004706C" w:rsidP="00E36A1E"/>
    <w:sectPr w:rsidR="002B1FED" w:rsidSect="00F26D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564" w:rsidRDefault="00153564" w:rsidP="00153564">
      <w:r>
        <w:separator/>
      </w:r>
    </w:p>
  </w:endnote>
  <w:endnote w:type="continuationSeparator" w:id="0">
    <w:p w:rsidR="00153564" w:rsidRDefault="00153564" w:rsidP="00153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564" w:rsidRDefault="00153564" w:rsidP="00153564">
      <w:r>
        <w:separator/>
      </w:r>
    </w:p>
  </w:footnote>
  <w:footnote w:type="continuationSeparator" w:id="0">
    <w:p w:rsidR="00153564" w:rsidRDefault="00153564" w:rsidP="00153564">
      <w:r>
        <w:continuationSeparator/>
      </w:r>
    </w:p>
  </w:footnote>
  <w:footnote w:id="1">
    <w:p w:rsidR="00153564" w:rsidRDefault="00153564">
      <w:pPr>
        <w:pStyle w:val="FootnoteText"/>
      </w:pPr>
      <w:r>
        <w:rPr>
          <w:rStyle w:val="FootnoteReference"/>
        </w:rPr>
        <w:footnoteRef/>
      </w:r>
      <w:r>
        <w:t xml:space="preserve"> Both reports can be found at </w:t>
      </w:r>
      <w:hyperlink r:id="rId1" w:history="1">
        <w:r w:rsidRPr="00BA14A9">
          <w:rPr>
            <w:rStyle w:val="Hyperlink"/>
          </w:rPr>
          <w:t>http://weatherization.ornl.gov</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A1E"/>
    <w:rsid w:val="0004706C"/>
    <w:rsid w:val="00061063"/>
    <w:rsid w:val="000F52F4"/>
    <w:rsid w:val="00153564"/>
    <w:rsid w:val="00235CBE"/>
    <w:rsid w:val="0025606F"/>
    <w:rsid w:val="00343470"/>
    <w:rsid w:val="003F3FA4"/>
    <w:rsid w:val="00407ABB"/>
    <w:rsid w:val="00440F50"/>
    <w:rsid w:val="00441F8F"/>
    <w:rsid w:val="00483A9C"/>
    <w:rsid w:val="00504591"/>
    <w:rsid w:val="005A57C5"/>
    <w:rsid w:val="0060694E"/>
    <w:rsid w:val="006C3DA3"/>
    <w:rsid w:val="00757E13"/>
    <w:rsid w:val="00803E63"/>
    <w:rsid w:val="00881ED7"/>
    <w:rsid w:val="008B3F0D"/>
    <w:rsid w:val="008F1370"/>
    <w:rsid w:val="00A92A23"/>
    <w:rsid w:val="00AF2C0B"/>
    <w:rsid w:val="00B84B24"/>
    <w:rsid w:val="00C44B3B"/>
    <w:rsid w:val="00C77695"/>
    <w:rsid w:val="00CD38ED"/>
    <w:rsid w:val="00D67C08"/>
    <w:rsid w:val="00E15293"/>
    <w:rsid w:val="00E36A1E"/>
    <w:rsid w:val="00E3765A"/>
    <w:rsid w:val="00EA6808"/>
    <w:rsid w:val="00F26DED"/>
    <w:rsid w:val="00F43787"/>
    <w:rsid w:val="00F44B08"/>
    <w:rsid w:val="00F51D87"/>
    <w:rsid w:val="00FB7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1E"/>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591"/>
    <w:rPr>
      <w:rFonts w:ascii="Tahoma" w:hAnsi="Tahoma" w:cs="Tahoma"/>
      <w:sz w:val="16"/>
      <w:szCs w:val="16"/>
    </w:rPr>
  </w:style>
  <w:style w:type="character" w:customStyle="1" w:styleId="BalloonTextChar">
    <w:name w:val="Balloon Text Char"/>
    <w:basedOn w:val="DefaultParagraphFont"/>
    <w:link w:val="BalloonText"/>
    <w:uiPriority w:val="99"/>
    <w:semiHidden/>
    <w:rsid w:val="00504591"/>
    <w:rPr>
      <w:rFonts w:ascii="Tahoma" w:eastAsia="Calibri" w:hAnsi="Tahoma" w:cs="Tahoma"/>
      <w:sz w:val="16"/>
      <w:szCs w:val="16"/>
    </w:rPr>
  </w:style>
  <w:style w:type="paragraph" w:styleId="FootnoteText">
    <w:name w:val="footnote text"/>
    <w:basedOn w:val="Normal"/>
    <w:link w:val="FootnoteTextChar"/>
    <w:uiPriority w:val="99"/>
    <w:semiHidden/>
    <w:unhideWhenUsed/>
    <w:rsid w:val="00153564"/>
    <w:rPr>
      <w:sz w:val="20"/>
      <w:szCs w:val="20"/>
    </w:rPr>
  </w:style>
  <w:style w:type="character" w:customStyle="1" w:styleId="FootnoteTextChar">
    <w:name w:val="Footnote Text Char"/>
    <w:basedOn w:val="DefaultParagraphFont"/>
    <w:link w:val="FootnoteText"/>
    <w:uiPriority w:val="99"/>
    <w:semiHidden/>
    <w:rsid w:val="00153564"/>
    <w:rPr>
      <w:rFonts w:eastAsia="Calibri"/>
      <w:sz w:val="20"/>
      <w:szCs w:val="20"/>
    </w:rPr>
  </w:style>
  <w:style w:type="character" w:styleId="FootnoteReference">
    <w:name w:val="footnote reference"/>
    <w:basedOn w:val="DefaultParagraphFont"/>
    <w:uiPriority w:val="99"/>
    <w:semiHidden/>
    <w:unhideWhenUsed/>
    <w:rsid w:val="00153564"/>
    <w:rPr>
      <w:vertAlign w:val="superscript"/>
    </w:rPr>
  </w:style>
  <w:style w:type="character" w:styleId="Hyperlink">
    <w:name w:val="Hyperlink"/>
    <w:basedOn w:val="DefaultParagraphFont"/>
    <w:uiPriority w:val="99"/>
    <w:unhideWhenUsed/>
    <w:rsid w:val="001535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eatherization.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6BF7-EC4B-41D5-86FF-AF9B0126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Edward Tonn</dc:creator>
  <cp:lastModifiedBy>crutcev</cp:lastModifiedBy>
  <cp:revision>2</cp:revision>
  <cp:lastPrinted>2011-04-01T14:56:00Z</cp:lastPrinted>
  <dcterms:created xsi:type="dcterms:W3CDTF">2012-05-15T14:41:00Z</dcterms:created>
  <dcterms:modified xsi:type="dcterms:W3CDTF">2012-05-15T14:41:00Z</dcterms:modified>
</cp:coreProperties>
</file>