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26" w:rsidRPr="00A62626" w:rsidRDefault="00A62626" w:rsidP="00A62626">
      <w:pPr>
        <w:spacing w:before="100" w:beforeAutospacing="1" w:after="100" w:afterAutospacing="1" w:line="240" w:lineRule="auto"/>
        <w:outlineLvl w:val="2"/>
        <w:rPr>
          <w:rFonts w:ascii="Times New Roman" w:eastAsia="Times New Roman" w:hAnsi="Times New Roman" w:cs="Times New Roman"/>
          <w:b/>
          <w:bCs/>
          <w:sz w:val="27"/>
          <w:szCs w:val="27"/>
        </w:rPr>
      </w:pPr>
      <w:r w:rsidRPr="00A62626">
        <w:rPr>
          <w:rFonts w:ascii="Times New Roman" w:eastAsia="Times New Roman" w:hAnsi="Times New Roman" w:cs="Times New Roman"/>
          <w:b/>
          <w:bCs/>
          <w:sz w:val="27"/>
          <w:szCs w:val="27"/>
        </w:rPr>
        <w:t xml:space="preserve">Rule 19b-1 -- Frequency of Distribution of Capital Gains </w:t>
      </w:r>
    </w:p>
    <w:p w:rsidR="00A62626" w:rsidRPr="00A62626" w:rsidRDefault="00A62626" w:rsidP="00A62626">
      <w:pPr>
        <w:spacing w:before="100" w:beforeAutospacing="1" w:after="100" w:afterAutospacing="1" w:line="240" w:lineRule="auto"/>
        <w:outlineLvl w:val="2"/>
        <w:rPr>
          <w:rFonts w:ascii="Times New Roman" w:eastAsia="Times New Roman" w:hAnsi="Times New Roman" w:cs="Times New Roman"/>
          <w:b/>
          <w:bCs/>
          <w:sz w:val="27"/>
          <w:szCs w:val="27"/>
        </w:rPr>
      </w:pPr>
      <w:r w:rsidRPr="00A62626">
        <w:rPr>
          <w:rFonts w:ascii="Times New Roman" w:eastAsia="Times New Roman" w:hAnsi="Times New Roman" w:cs="Times New Roman"/>
          <w:b/>
          <w:bCs/>
          <w:sz w:val="27"/>
          <w:szCs w:val="27"/>
        </w:rPr>
        <w:pict>
          <v:rect id="_x0000_i1025" style="width:0;height:1.5pt" o:hralign="center" o:hrstd="t" o:hr="t" fillcolor="gray" stroked="f"/>
        </w:pict>
      </w:r>
    </w:p>
    <w:p w:rsidR="00A62626" w:rsidRPr="00A62626" w:rsidRDefault="00A62626" w:rsidP="00A62626">
      <w:pPr>
        <w:spacing w:after="0" w:line="240" w:lineRule="auto"/>
        <w:rPr>
          <w:rFonts w:ascii="Times New Roman" w:eastAsia="Times New Roman" w:hAnsi="Times New Roman" w:cs="Times New Roman"/>
          <w:sz w:val="24"/>
          <w:szCs w:val="24"/>
        </w:rPr>
      </w:pPr>
    </w:p>
    <w:p w:rsidR="00A62626" w:rsidRPr="00A62626" w:rsidRDefault="00A62626" w:rsidP="00A62626">
      <w:pPr>
        <w:numPr>
          <w:ilvl w:val="0"/>
          <w:numId w:val="1"/>
        </w:numPr>
        <w:spacing w:before="100" w:beforeAutospacing="1" w:after="240" w:line="240" w:lineRule="auto"/>
        <w:rPr>
          <w:rFonts w:ascii="Times New Roman" w:eastAsia="Times New Roman" w:hAnsi="Times New Roman" w:cs="Times New Roman"/>
          <w:sz w:val="24"/>
          <w:szCs w:val="24"/>
        </w:rPr>
      </w:pPr>
      <w:bookmarkStart w:id="0" w:name="a"/>
      <w:bookmarkEnd w:id="0"/>
      <w:proofErr w:type="gramStart"/>
      <w:r w:rsidRPr="00A62626">
        <w:rPr>
          <w:rFonts w:ascii="Times New Roman" w:eastAsia="Times New Roman" w:hAnsi="Times New Roman" w:cs="Times New Roman"/>
          <w:sz w:val="24"/>
          <w:szCs w:val="24"/>
        </w:rPr>
        <w:t>No registered investment company which is a "regulated investment company" as defined in section 851 of the Internal Revenue Code of 1986 ("Code") shall distribute more than one capital gain dividend ("distribution"), as defined in section 852(b)(3)(C) of the Code, with respect to any one taxable year of the company, other than a distribution otherwise permitted by this rule or made pursuant to section 855 of the Code which is supplemental to the prior distribution with respect to the same taxable year of the company and which does not exceed 10% of the aggregate amount distributed for such taxable year.</w:t>
      </w:r>
      <w:proofErr w:type="gramEnd"/>
    </w:p>
    <w:p w:rsidR="00A62626" w:rsidRPr="00A62626" w:rsidRDefault="00A62626" w:rsidP="00A62626">
      <w:pPr>
        <w:numPr>
          <w:ilvl w:val="0"/>
          <w:numId w:val="1"/>
        </w:numPr>
        <w:spacing w:before="100" w:beforeAutospacing="1" w:after="240" w:line="240" w:lineRule="auto"/>
        <w:rPr>
          <w:rFonts w:ascii="Times New Roman" w:eastAsia="Times New Roman" w:hAnsi="Times New Roman" w:cs="Times New Roman"/>
          <w:sz w:val="24"/>
          <w:szCs w:val="24"/>
        </w:rPr>
      </w:pPr>
      <w:bookmarkStart w:id="1" w:name="b"/>
      <w:bookmarkEnd w:id="1"/>
      <w:proofErr w:type="gramStart"/>
      <w:r w:rsidRPr="00A62626">
        <w:rPr>
          <w:rFonts w:ascii="Times New Roman" w:eastAsia="Times New Roman" w:hAnsi="Times New Roman" w:cs="Times New Roman"/>
          <w:sz w:val="24"/>
          <w:szCs w:val="24"/>
        </w:rPr>
        <w:t xml:space="preserve">No registered investment company which is not a "regulated investment company" as defined in section 851 of the Code shall make more than one distribution of long-term capital gains, as defined in the Code, in any one taxable year of the company: </w:t>
      </w:r>
      <w:r w:rsidRPr="00A62626">
        <w:rPr>
          <w:rFonts w:ascii="Times New Roman" w:eastAsia="Times New Roman" w:hAnsi="Times New Roman" w:cs="Times New Roman"/>
          <w:i/>
          <w:iCs/>
          <w:sz w:val="24"/>
          <w:szCs w:val="24"/>
        </w:rPr>
        <w:t>Provided,</w:t>
      </w:r>
      <w:r w:rsidRPr="00A62626">
        <w:rPr>
          <w:rFonts w:ascii="Times New Roman" w:eastAsia="Times New Roman" w:hAnsi="Times New Roman" w:cs="Times New Roman"/>
          <w:sz w:val="24"/>
          <w:szCs w:val="24"/>
        </w:rPr>
        <w:t xml:space="preserve"> That a unit investment trust may distribute capital gain dividends received from a "regulated investment company" within a reasonable time after receipt.</w:t>
      </w:r>
      <w:proofErr w:type="gramEnd"/>
    </w:p>
    <w:p w:rsidR="00A62626" w:rsidRPr="00A62626" w:rsidRDefault="00A62626" w:rsidP="00A62626">
      <w:pPr>
        <w:numPr>
          <w:ilvl w:val="0"/>
          <w:numId w:val="1"/>
        </w:numPr>
        <w:spacing w:before="100" w:beforeAutospacing="1" w:after="240" w:line="240" w:lineRule="auto"/>
        <w:rPr>
          <w:rFonts w:ascii="Times New Roman" w:eastAsia="Times New Roman" w:hAnsi="Times New Roman" w:cs="Times New Roman"/>
          <w:sz w:val="24"/>
          <w:szCs w:val="24"/>
        </w:rPr>
      </w:pPr>
      <w:bookmarkStart w:id="2" w:name="c"/>
      <w:bookmarkEnd w:id="2"/>
      <w:r w:rsidRPr="00A62626">
        <w:rPr>
          <w:rFonts w:ascii="Times New Roman" w:eastAsia="Times New Roman" w:hAnsi="Times New Roman" w:cs="Times New Roman"/>
          <w:sz w:val="24"/>
          <w:szCs w:val="24"/>
        </w:rPr>
        <w:t xml:space="preserve">The provisions of this rule shall not apply to a unit investment trust (hereinafter referred to as the "Trust") engaged exclusively in the business of investing in eligible trust securities (as defined in </w:t>
      </w:r>
      <w:hyperlink r:id="rId5" w:anchor="b" w:history="1">
        <w:r w:rsidRPr="00A62626">
          <w:rPr>
            <w:rFonts w:ascii="Times New Roman" w:eastAsia="Times New Roman" w:hAnsi="Times New Roman" w:cs="Times New Roman"/>
            <w:color w:val="0000FF"/>
            <w:sz w:val="24"/>
            <w:szCs w:val="24"/>
            <w:u w:val="single"/>
          </w:rPr>
          <w:t>Rule 14a-3(b)</w:t>
        </w:r>
      </w:hyperlink>
      <w:r w:rsidRPr="00A62626">
        <w:rPr>
          <w:rFonts w:ascii="Times New Roman" w:eastAsia="Times New Roman" w:hAnsi="Times New Roman" w:cs="Times New Roman"/>
          <w:sz w:val="24"/>
          <w:szCs w:val="24"/>
        </w:rPr>
        <w:t xml:space="preserve"> under this Act); </w:t>
      </w:r>
      <w:r w:rsidRPr="00A62626">
        <w:rPr>
          <w:rFonts w:ascii="Times New Roman" w:eastAsia="Times New Roman" w:hAnsi="Times New Roman" w:cs="Times New Roman"/>
          <w:i/>
          <w:iCs/>
          <w:sz w:val="24"/>
          <w:szCs w:val="24"/>
        </w:rPr>
        <w:t xml:space="preserve">Provided, </w:t>
      </w:r>
      <w:r w:rsidRPr="00A62626">
        <w:rPr>
          <w:rFonts w:ascii="Times New Roman" w:eastAsia="Times New Roman" w:hAnsi="Times New Roman" w:cs="Times New Roman"/>
          <w:sz w:val="24"/>
          <w:szCs w:val="24"/>
        </w:rPr>
        <w:t>That:</w:t>
      </w:r>
    </w:p>
    <w:p w:rsidR="00A62626" w:rsidRPr="00A62626" w:rsidRDefault="00A62626" w:rsidP="00A62626">
      <w:pPr>
        <w:numPr>
          <w:ilvl w:val="1"/>
          <w:numId w:val="1"/>
        </w:numPr>
        <w:spacing w:before="100" w:beforeAutospacing="1" w:after="240" w:line="240" w:lineRule="auto"/>
        <w:rPr>
          <w:rFonts w:ascii="Times New Roman" w:eastAsia="Times New Roman" w:hAnsi="Times New Roman" w:cs="Times New Roman"/>
          <w:sz w:val="24"/>
          <w:szCs w:val="24"/>
        </w:rPr>
      </w:pPr>
      <w:bookmarkStart w:id="3" w:name="c.1"/>
      <w:bookmarkEnd w:id="3"/>
      <w:r w:rsidRPr="00A62626">
        <w:rPr>
          <w:rFonts w:ascii="Times New Roman" w:eastAsia="Times New Roman" w:hAnsi="Times New Roman" w:cs="Times New Roman"/>
          <w:sz w:val="24"/>
          <w:szCs w:val="24"/>
        </w:rPr>
        <w:t>The capital gain distribution is a result of-</w:t>
      </w:r>
    </w:p>
    <w:p w:rsidR="00A62626" w:rsidRPr="00A62626" w:rsidRDefault="00A62626" w:rsidP="00A62626">
      <w:pPr>
        <w:numPr>
          <w:ilvl w:val="2"/>
          <w:numId w:val="1"/>
        </w:numPr>
        <w:spacing w:before="100" w:beforeAutospacing="1" w:after="240" w:line="240" w:lineRule="auto"/>
        <w:rPr>
          <w:rFonts w:ascii="Times New Roman" w:eastAsia="Times New Roman" w:hAnsi="Times New Roman" w:cs="Times New Roman"/>
          <w:sz w:val="24"/>
          <w:szCs w:val="24"/>
        </w:rPr>
      </w:pPr>
      <w:bookmarkStart w:id="4" w:name="c.1.i"/>
      <w:bookmarkEnd w:id="4"/>
      <w:r w:rsidRPr="00A62626">
        <w:rPr>
          <w:rFonts w:ascii="Times New Roman" w:eastAsia="Times New Roman" w:hAnsi="Times New Roman" w:cs="Times New Roman"/>
          <w:sz w:val="24"/>
          <w:szCs w:val="24"/>
        </w:rPr>
        <w:t>An issuer's calling or redeeming an eligible trust security held by the Trust,</w:t>
      </w:r>
    </w:p>
    <w:p w:rsidR="00A62626" w:rsidRPr="00A62626" w:rsidRDefault="00A62626" w:rsidP="00A62626">
      <w:pPr>
        <w:numPr>
          <w:ilvl w:val="2"/>
          <w:numId w:val="1"/>
        </w:numPr>
        <w:spacing w:before="100" w:beforeAutospacing="1" w:after="240" w:line="240" w:lineRule="auto"/>
        <w:rPr>
          <w:rFonts w:ascii="Times New Roman" w:eastAsia="Times New Roman" w:hAnsi="Times New Roman" w:cs="Times New Roman"/>
          <w:sz w:val="24"/>
          <w:szCs w:val="24"/>
        </w:rPr>
      </w:pPr>
      <w:bookmarkStart w:id="5" w:name="c.1.ii"/>
      <w:bookmarkEnd w:id="5"/>
      <w:r w:rsidRPr="00A62626">
        <w:rPr>
          <w:rFonts w:ascii="Times New Roman" w:eastAsia="Times New Roman" w:hAnsi="Times New Roman" w:cs="Times New Roman"/>
          <w:sz w:val="24"/>
          <w:szCs w:val="24"/>
        </w:rPr>
        <w:t>The sale of an eligible trust security by the Trust to provide funds for redemption of Trust units when the amount received by the Trust for such sale exceeds the amount required to satisfy the redemption distribution,</w:t>
      </w:r>
    </w:p>
    <w:p w:rsidR="00A62626" w:rsidRPr="00A62626" w:rsidRDefault="00A62626" w:rsidP="00A62626">
      <w:pPr>
        <w:numPr>
          <w:ilvl w:val="2"/>
          <w:numId w:val="1"/>
        </w:numPr>
        <w:spacing w:before="100" w:beforeAutospacing="1" w:after="240" w:line="240" w:lineRule="auto"/>
        <w:rPr>
          <w:rFonts w:ascii="Times New Roman" w:eastAsia="Times New Roman" w:hAnsi="Times New Roman" w:cs="Times New Roman"/>
          <w:sz w:val="24"/>
          <w:szCs w:val="24"/>
        </w:rPr>
      </w:pPr>
      <w:bookmarkStart w:id="6" w:name="c.1.iii"/>
      <w:bookmarkEnd w:id="6"/>
      <w:r w:rsidRPr="00A62626">
        <w:rPr>
          <w:rFonts w:ascii="Times New Roman" w:eastAsia="Times New Roman" w:hAnsi="Times New Roman" w:cs="Times New Roman"/>
          <w:sz w:val="24"/>
          <w:szCs w:val="24"/>
        </w:rPr>
        <w:t>The sale of an eligible trust security to maintain qualification of the Trust as a "regulated investment company" under section 851 of the Code,</w:t>
      </w:r>
    </w:p>
    <w:p w:rsidR="00A62626" w:rsidRPr="00A62626" w:rsidRDefault="00A62626" w:rsidP="00A62626">
      <w:pPr>
        <w:numPr>
          <w:ilvl w:val="2"/>
          <w:numId w:val="1"/>
        </w:numPr>
        <w:spacing w:before="100" w:beforeAutospacing="1" w:after="240" w:line="240" w:lineRule="auto"/>
        <w:rPr>
          <w:rFonts w:ascii="Times New Roman" w:eastAsia="Times New Roman" w:hAnsi="Times New Roman" w:cs="Times New Roman"/>
          <w:sz w:val="24"/>
          <w:szCs w:val="24"/>
        </w:rPr>
      </w:pPr>
      <w:bookmarkStart w:id="7" w:name="c.1.iv"/>
      <w:bookmarkEnd w:id="7"/>
      <w:r w:rsidRPr="00A62626">
        <w:rPr>
          <w:rFonts w:ascii="Times New Roman" w:eastAsia="Times New Roman" w:hAnsi="Times New Roman" w:cs="Times New Roman"/>
          <w:sz w:val="24"/>
          <w:szCs w:val="24"/>
        </w:rPr>
        <w:t>Regular distributions of principal and prepayment of principal on eligible trust securities, or</w:t>
      </w:r>
    </w:p>
    <w:p w:rsidR="00A62626" w:rsidRPr="00A62626" w:rsidRDefault="00A62626" w:rsidP="00A62626">
      <w:pPr>
        <w:numPr>
          <w:ilvl w:val="2"/>
          <w:numId w:val="1"/>
        </w:numPr>
        <w:spacing w:before="100" w:beforeAutospacing="1" w:after="240" w:line="240" w:lineRule="auto"/>
        <w:rPr>
          <w:rFonts w:ascii="Times New Roman" w:eastAsia="Times New Roman" w:hAnsi="Times New Roman" w:cs="Times New Roman"/>
          <w:sz w:val="24"/>
          <w:szCs w:val="24"/>
        </w:rPr>
      </w:pPr>
      <w:bookmarkStart w:id="8" w:name="c.1.v"/>
      <w:bookmarkEnd w:id="8"/>
      <w:r w:rsidRPr="00A62626">
        <w:rPr>
          <w:rFonts w:ascii="Times New Roman" w:eastAsia="Times New Roman" w:hAnsi="Times New Roman" w:cs="Times New Roman"/>
          <w:sz w:val="24"/>
          <w:szCs w:val="24"/>
        </w:rPr>
        <w:t>The sale of an eligible trust security in order to maintain the investment stability of the Trust; and</w:t>
      </w:r>
    </w:p>
    <w:p w:rsidR="00A62626" w:rsidRPr="00A62626" w:rsidRDefault="00A62626" w:rsidP="00A62626">
      <w:pPr>
        <w:numPr>
          <w:ilvl w:val="1"/>
          <w:numId w:val="1"/>
        </w:numPr>
        <w:spacing w:before="100" w:beforeAutospacing="1" w:after="240" w:line="240" w:lineRule="auto"/>
        <w:rPr>
          <w:rFonts w:ascii="Times New Roman" w:eastAsia="Times New Roman" w:hAnsi="Times New Roman" w:cs="Times New Roman"/>
          <w:sz w:val="24"/>
          <w:szCs w:val="24"/>
        </w:rPr>
      </w:pPr>
      <w:bookmarkStart w:id="9" w:name="c.2"/>
      <w:bookmarkEnd w:id="9"/>
      <w:r w:rsidRPr="00A62626">
        <w:rPr>
          <w:rFonts w:ascii="Times New Roman" w:eastAsia="Times New Roman" w:hAnsi="Times New Roman" w:cs="Times New Roman"/>
          <w:sz w:val="24"/>
          <w:szCs w:val="24"/>
        </w:rPr>
        <w:t xml:space="preserve">Capital gains distributions </w:t>
      </w:r>
      <w:proofErr w:type="gramStart"/>
      <w:r w:rsidRPr="00A62626">
        <w:rPr>
          <w:rFonts w:ascii="Times New Roman" w:eastAsia="Times New Roman" w:hAnsi="Times New Roman" w:cs="Times New Roman"/>
          <w:sz w:val="24"/>
          <w:szCs w:val="24"/>
        </w:rPr>
        <w:t>are clearly described</w:t>
      </w:r>
      <w:proofErr w:type="gramEnd"/>
      <w:r w:rsidRPr="00A62626">
        <w:rPr>
          <w:rFonts w:ascii="Times New Roman" w:eastAsia="Times New Roman" w:hAnsi="Times New Roman" w:cs="Times New Roman"/>
          <w:sz w:val="24"/>
          <w:szCs w:val="24"/>
        </w:rPr>
        <w:t xml:space="preserve"> as such in a report to the </w:t>
      </w:r>
      <w:proofErr w:type="spellStart"/>
      <w:r w:rsidRPr="00A62626">
        <w:rPr>
          <w:rFonts w:ascii="Times New Roman" w:eastAsia="Times New Roman" w:hAnsi="Times New Roman" w:cs="Times New Roman"/>
          <w:sz w:val="24"/>
          <w:szCs w:val="24"/>
        </w:rPr>
        <w:t>unitholder</w:t>
      </w:r>
      <w:proofErr w:type="spellEnd"/>
      <w:r w:rsidRPr="00A62626">
        <w:rPr>
          <w:rFonts w:ascii="Times New Roman" w:eastAsia="Times New Roman" w:hAnsi="Times New Roman" w:cs="Times New Roman"/>
          <w:sz w:val="24"/>
          <w:szCs w:val="24"/>
        </w:rPr>
        <w:t xml:space="preserve"> which accompanies each such distribution.</w:t>
      </w:r>
    </w:p>
    <w:p w:rsidR="00A62626" w:rsidRPr="00A62626" w:rsidRDefault="00A62626" w:rsidP="00A62626">
      <w:pPr>
        <w:numPr>
          <w:ilvl w:val="0"/>
          <w:numId w:val="1"/>
        </w:numPr>
        <w:spacing w:before="100" w:beforeAutospacing="1" w:after="240" w:line="240" w:lineRule="auto"/>
        <w:rPr>
          <w:rFonts w:ascii="Times New Roman" w:eastAsia="Times New Roman" w:hAnsi="Times New Roman" w:cs="Times New Roman"/>
          <w:sz w:val="24"/>
          <w:szCs w:val="24"/>
        </w:rPr>
      </w:pPr>
      <w:bookmarkStart w:id="10" w:name="d"/>
      <w:bookmarkEnd w:id="10"/>
      <w:r w:rsidRPr="00A62626">
        <w:rPr>
          <w:rFonts w:ascii="Times New Roman" w:eastAsia="Times New Roman" w:hAnsi="Times New Roman" w:cs="Times New Roman"/>
          <w:sz w:val="24"/>
          <w:szCs w:val="24"/>
        </w:rPr>
        <w:lastRenderedPageBreak/>
        <w:t xml:space="preserve">For purposes of </w:t>
      </w:r>
      <w:hyperlink r:id="rId6" w:anchor="c" w:history="1">
        <w:r w:rsidRPr="00A62626">
          <w:rPr>
            <w:rFonts w:ascii="Times New Roman" w:eastAsia="Times New Roman" w:hAnsi="Times New Roman" w:cs="Times New Roman"/>
            <w:color w:val="0000FF"/>
            <w:sz w:val="24"/>
            <w:szCs w:val="24"/>
            <w:u w:val="single"/>
          </w:rPr>
          <w:t>paragraph (c)</w:t>
        </w:r>
      </w:hyperlink>
      <w:r w:rsidRPr="00A62626">
        <w:rPr>
          <w:rFonts w:ascii="Times New Roman" w:eastAsia="Times New Roman" w:hAnsi="Times New Roman" w:cs="Times New Roman"/>
          <w:sz w:val="24"/>
          <w:szCs w:val="24"/>
        </w:rPr>
        <w:t xml:space="preserve"> of this section, sales made to maintain the investment stability of the Trust means sales made to prevent deterioration of the value of the eligible trust securities held in the Trust portfolio when one or more of the following factors exist:</w:t>
      </w:r>
    </w:p>
    <w:p w:rsidR="00A62626" w:rsidRPr="00A62626" w:rsidRDefault="00A62626" w:rsidP="00A62626">
      <w:pPr>
        <w:numPr>
          <w:ilvl w:val="1"/>
          <w:numId w:val="1"/>
        </w:numPr>
        <w:spacing w:before="100" w:beforeAutospacing="1" w:after="240" w:line="240" w:lineRule="auto"/>
        <w:rPr>
          <w:rFonts w:ascii="Times New Roman" w:eastAsia="Times New Roman" w:hAnsi="Times New Roman" w:cs="Times New Roman"/>
          <w:sz w:val="24"/>
          <w:szCs w:val="24"/>
        </w:rPr>
      </w:pPr>
      <w:bookmarkStart w:id="11" w:name="d.1"/>
      <w:bookmarkEnd w:id="11"/>
      <w:r w:rsidRPr="00A62626">
        <w:rPr>
          <w:rFonts w:ascii="Times New Roman" w:eastAsia="Times New Roman" w:hAnsi="Times New Roman" w:cs="Times New Roman"/>
          <w:sz w:val="24"/>
          <w:szCs w:val="24"/>
        </w:rPr>
        <w:t>A default in the payment of principal or interest on an eligible trust security;</w:t>
      </w:r>
    </w:p>
    <w:p w:rsidR="00A62626" w:rsidRPr="00A62626" w:rsidRDefault="00A62626" w:rsidP="00A62626">
      <w:pPr>
        <w:numPr>
          <w:ilvl w:val="1"/>
          <w:numId w:val="1"/>
        </w:numPr>
        <w:spacing w:before="100" w:beforeAutospacing="1" w:after="240" w:line="240" w:lineRule="auto"/>
        <w:rPr>
          <w:rFonts w:ascii="Times New Roman" w:eastAsia="Times New Roman" w:hAnsi="Times New Roman" w:cs="Times New Roman"/>
          <w:sz w:val="24"/>
          <w:szCs w:val="24"/>
        </w:rPr>
      </w:pPr>
      <w:bookmarkStart w:id="12" w:name="d.2"/>
      <w:bookmarkEnd w:id="12"/>
      <w:r w:rsidRPr="00A62626">
        <w:rPr>
          <w:rFonts w:ascii="Times New Roman" w:eastAsia="Times New Roman" w:hAnsi="Times New Roman" w:cs="Times New Roman"/>
          <w:sz w:val="24"/>
          <w:szCs w:val="24"/>
        </w:rPr>
        <w:t>An action involving the issuer of an eligible trust security which adversely affects the ability of such issuer to continue payment of principal or interest on its eligible trust securities; or</w:t>
      </w:r>
    </w:p>
    <w:p w:rsidR="00A62626" w:rsidRPr="00A62626" w:rsidRDefault="00A62626" w:rsidP="00A62626">
      <w:pPr>
        <w:numPr>
          <w:ilvl w:val="1"/>
          <w:numId w:val="1"/>
        </w:numPr>
        <w:spacing w:before="100" w:beforeAutospacing="1" w:after="240" w:line="240" w:lineRule="auto"/>
        <w:rPr>
          <w:rFonts w:ascii="Times New Roman" w:eastAsia="Times New Roman" w:hAnsi="Times New Roman" w:cs="Times New Roman"/>
          <w:sz w:val="24"/>
          <w:szCs w:val="24"/>
        </w:rPr>
      </w:pPr>
      <w:bookmarkStart w:id="13" w:name="d.3"/>
      <w:bookmarkEnd w:id="13"/>
      <w:r w:rsidRPr="00A62626">
        <w:rPr>
          <w:rFonts w:ascii="Times New Roman" w:eastAsia="Times New Roman" w:hAnsi="Times New Roman" w:cs="Times New Roman"/>
          <w:sz w:val="24"/>
          <w:szCs w:val="24"/>
        </w:rPr>
        <w:t xml:space="preserve">A change in market, </w:t>
      </w:r>
      <w:proofErr w:type="gramStart"/>
      <w:r w:rsidRPr="00A62626">
        <w:rPr>
          <w:rFonts w:ascii="Times New Roman" w:eastAsia="Times New Roman" w:hAnsi="Times New Roman" w:cs="Times New Roman"/>
          <w:sz w:val="24"/>
          <w:szCs w:val="24"/>
        </w:rPr>
        <w:t>revenue</w:t>
      </w:r>
      <w:proofErr w:type="gramEnd"/>
      <w:r w:rsidRPr="00A62626">
        <w:rPr>
          <w:rFonts w:ascii="Times New Roman" w:eastAsia="Times New Roman" w:hAnsi="Times New Roman" w:cs="Times New Roman"/>
          <w:sz w:val="24"/>
          <w:szCs w:val="24"/>
        </w:rPr>
        <w:t xml:space="preserve"> or credit factors which adversely affects the ability of such issuer to continue payment of principal or interest on its eligible trust securities.</w:t>
      </w:r>
    </w:p>
    <w:p w:rsidR="00A62626" w:rsidRPr="00A62626" w:rsidRDefault="00A62626" w:rsidP="00A62626">
      <w:pPr>
        <w:numPr>
          <w:ilvl w:val="0"/>
          <w:numId w:val="1"/>
        </w:numPr>
        <w:spacing w:before="100" w:beforeAutospacing="1" w:after="240" w:line="240" w:lineRule="auto"/>
        <w:rPr>
          <w:rFonts w:ascii="Times New Roman" w:eastAsia="Times New Roman" w:hAnsi="Times New Roman" w:cs="Times New Roman"/>
          <w:sz w:val="24"/>
          <w:szCs w:val="24"/>
        </w:rPr>
      </w:pPr>
      <w:bookmarkStart w:id="14" w:name="e"/>
      <w:bookmarkEnd w:id="14"/>
      <w:r w:rsidRPr="00A62626">
        <w:rPr>
          <w:rFonts w:ascii="Times New Roman" w:eastAsia="Times New Roman" w:hAnsi="Times New Roman" w:cs="Times New Roman"/>
          <w:sz w:val="24"/>
          <w:szCs w:val="24"/>
        </w:rPr>
        <w:t>If a registered investment company because of unforeseen circumstances in a particular taxable year proposes to make a distribution which would be prohibited by the provisions of this section, it may file a request with the Commission for authorization to make such a distribution</w:t>
      </w:r>
      <w:proofErr w:type="gramStart"/>
      <w:r w:rsidRPr="00A62626">
        <w:rPr>
          <w:rFonts w:ascii="Times New Roman" w:eastAsia="Times New Roman" w:hAnsi="Times New Roman" w:cs="Times New Roman"/>
          <w:sz w:val="24"/>
          <w:szCs w:val="24"/>
        </w:rPr>
        <w:t xml:space="preserve">. </w:t>
      </w:r>
      <w:proofErr w:type="gramEnd"/>
      <w:r w:rsidRPr="00A62626">
        <w:rPr>
          <w:rFonts w:ascii="Times New Roman" w:eastAsia="Times New Roman" w:hAnsi="Times New Roman" w:cs="Times New Roman"/>
          <w:sz w:val="24"/>
          <w:szCs w:val="24"/>
        </w:rPr>
        <w:t xml:space="preserve">Such request shall comply with the requirements of </w:t>
      </w:r>
      <w:hyperlink r:id="rId7" w:history="1">
        <w:r w:rsidRPr="00A62626">
          <w:rPr>
            <w:rFonts w:ascii="Times New Roman" w:eastAsia="Times New Roman" w:hAnsi="Times New Roman" w:cs="Times New Roman"/>
            <w:color w:val="0000FF"/>
            <w:sz w:val="24"/>
            <w:szCs w:val="24"/>
            <w:u w:val="single"/>
          </w:rPr>
          <w:t>Rule 0-2</w:t>
        </w:r>
      </w:hyperlink>
      <w:r w:rsidRPr="00A62626">
        <w:rPr>
          <w:rFonts w:ascii="Times New Roman" w:eastAsia="Times New Roman" w:hAnsi="Times New Roman" w:cs="Times New Roman"/>
          <w:sz w:val="24"/>
          <w:szCs w:val="24"/>
        </w:rPr>
        <w:t xml:space="preserve"> of this chapter and shall set forth the pertinent facts and explain the circumstances which the company believes justify such distribution</w:t>
      </w:r>
      <w:proofErr w:type="gramStart"/>
      <w:r w:rsidRPr="00A62626">
        <w:rPr>
          <w:rFonts w:ascii="Times New Roman" w:eastAsia="Times New Roman" w:hAnsi="Times New Roman" w:cs="Times New Roman"/>
          <w:sz w:val="24"/>
          <w:szCs w:val="24"/>
        </w:rPr>
        <w:t xml:space="preserve">. </w:t>
      </w:r>
      <w:proofErr w:type="gramEnd"/>
      <w:r w:rsidRPr="00A62626">
        <w:rPr>
          <w:rFonts w:ascii="Times New Roman" w:eastAsia="Times New Roman" w:hAnsi="Times New Roman" w:cs="Times New Roman"/>
          <w:sz w:val="24"/>
          <w:szCs w:val="24"/>
        </w:rPr>
        <w:t>The request shall be deemed granted unless the Commission within 15 days after receipt thereof shall deny such request as not being necessary or appropriate in the public interest or for the protection of investors and notify the company in writing of such denial.</w:t>
      </w:r>
    </w:p>
    <w:p w:rsidR="00A62626" w:rsidRPr="00A62626" w:rsidRDefault="00A62626" w:rsidP="00A62626">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5" w:name="f"/>
      <w:bookmarkEnd w:id="15"/>
      <w:r w:rsidRPr="00A62626">
        <w:rPr>
          <w:rFonts w:ascii="Times New Roman" w:eastAsia="Times New Roman" w:hAnsi="Times New Roman" w:cs="Times New Roman"/>
          <w:sz w:val="24"/>
          <w:szCs w:val="24"/>
        </w:rPr>
        <w:t>A registered investment company may make one additional distribution of long-term capital gains, as defined in the Code, with respect to any one taxable year of the company, which distribution is made, in whole or in part, for the purpose of not incurring any tax under section 4982 of the Code</w:t>
      </w:r>
      <w:proofErr w:type="gramStart"/>
      <w:r w:rsidRPr="00A62626">
        <w:rPr>
          <w:rFonts w:ascii="Times New Roman" w:eastAsia="Times New Roman" w:hAnsi="Times New Roman" w:cs="Times New Roman"/>
          <w:sz w:val="24"/>
          <w:szCs w:val="24"/>
        </w:rPr>
        <w:t xml:space="preserve">. </w:t>
      </w:r>
      <w:proofErr w:type="gramEnd"/>
      <w:r w:rsidRPr="00A62626">
        <w:rPr>
          <w:rFonts w:ascii="Times New Roman" w:eastAsia="Times New Roman" w:hAnsi="Times New Roman" w:cs="Times New Roman"/>
          <w:sz w:val="24"/>
          <w:szCs w:val="24"/>
        </w:rPr>
        <w:t xml:space="preserve">Such additional distribution </w:t>
      </w:r>
      <w:proofErr w:type="gramStart"/>
      <w:r w:rsidRPr="00A62626">
        <w:rPr>
          <w:rFonts w:ascii="Times New Roman" w:eastAsia="Times New Roman" w:hAnsi="Times New Roman" w:cs="Times New Roman"/>
          <w:sz w:val="24"/>
          <w:szCs w:val="24"/>
        </w:rPr>
        <w:t>may be made</w:t>
      </w:r>
      <w:proofErr w:type="gramEnd"/>
      <w:r w:rsidRPr="00A62626">
        <w:rPr>
          <w:rFonts w:ascii="Times New Roman" w:eastAsia="Times New Roman" w:hAnsi="Times New Roman" w:cs="Times New Roman"/>
          <w:sz w:val="24"/>
          <w:szCs w:val="24"/>
        </w:rPr>
        <w:t xml:space="preserve"> prior or subsequent to any distribution otherwise permitted by </w:t>
      </w:r>
      <w:hyperlink r:id="rId8" w:anchor="a" w:history="1">
        <w:r w:rsidRPr="00A62626">
          <w:rPr>
            <w:rFonts w:ascii="Times New Roman" w:eastAsia="Times New Roman" w:hAnsi="Times New Roman" w:cs="Times New Roman"/>
            <w:color w:val="0000FF"/>
            <w:sz w:val="24"/>
            <w:szCs w:val="24"/>
            <w:u w:val="single"/>
          </w:rPr>
          <w:t>paragraph (a)</w:t>
        </w:r>
      </w:hyperlink>
      <w:r w:rsidRPr="00A62626">
        <w:rPr>
          <w:rFonts w:ascii="Times New Roman" w:eastAsia="Times New Roman" w:hAnsi="Times New Roman" w:cs="Times New Roman"/>
          <w:sz w:val="24"/>
          <w:szCs w:val="24"/>
        </w:rPr>
        <w:t xml:space="preserve"> of this section. </w:t>
      </w:r>
    </w:p>
    <w:p w:rsidR="00A62626" w:rsidRPr="00A62626" w:rsidRDefault="00A62626" w:rsidP="00A62626">
      <w:pPr>
        <w:spacing w:after="0" w:line="240" w:lineRule="auto"/>
        <w:rPr>
          <w:rFonts w:ascii="Times New Roman" w:eastAsia="Times New Roman" w:hAnsi="Times New Roman" w:cs="Times New Roman"/>
          <w:sz w:val="24"/>
          <w:szCs w:val="24"/>
        </w:rPr>
      </w:pPr>
      <w:r w:rsidRPr="00A62626">
        <w:rPr>
          <w:rFonts w:ascii="Times New Roman" w:eastAsia="Times New Roman" w:hAnsi="Times New Roman" w:cs="Times New Roman"/>
          <w:sz w:val="24"/>
          <w:szCs w:val="24"/>
        </w:rPr>
        <w:pict>
          <v:rect id="_x0000_i1026" style="width:0;height:1.5pt" o:hralign="center" o:hrstd="t" o:hr="t" fillcolor="gray" stroked="f"/>
        </w:pict>
      </w:r>
    </w:p>
    <w:p w:rsidR="00224B07" w:rsidRDefault="00224B07"/>
    <w:sectPr w:rsidR="00224B07" w:rsidSect="00224B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115A6"/>
    <w:multiLevelType w:val="multilevel"/>
    <w:tmpl w:val="54FCAF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62626"/>
    <w:rsid w:val="000A5B36"/>
    <w:rsid w:val="00224B07"/>
    <w:rsid w:val="006656C3"/>
    <w:rsid w:val="00702DC5"/>
    <w:rsid w:val="00A62626"/>
    <w:rsid w:val="00D52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07"/>
  </w:style>
  <w:style w:type="paragraph" w:styleId="Heading3">
    <w:name w:val="heading 3"/>
    <w:basedOn w:val="Normal"/>
    <w:link w:val="Heading3Char"/>
    <w:uiPriority w:val="9"/>
    <w:qFormat/>
    <w:rsid w:val="00A626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D5272D"/>
    <w:pPr>
      <w:widowControl w:val="0"/>
      <w:spacing w:before="120" w:after="120" w:line="240" w:lineRule="auto"/>
      <w:ind w:left="720" w:hanging="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5272D"/>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6262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2626"/>
    <w:rPr>
      <w:color w:val="0000FF"/>
      <w:u w:val="single"/>
    </w:rPr>
  </w:style>
</w:styles>
</file>

<file path=word/webSettings.xml><?xml version="1.0" encoding="utf-8"?>
<w:webSettings xmlns:r="http://schemas.openxmlformats.org/officeDocument/2006/relationships" xmlns:w="http://schemas.openxmlformats.org/wordprocessingml/2006/main">
  <w:divs>
    <w:div w:id="6589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ft.law.uc.edu/CCL/InvCoRls/rule19b-1.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aft.law.uc.edu/CCL/InvCoRls/rule0-2.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ft.law.uc.edu/CCL/InvCoRls/rule19b-1.html" TargetMode="External"/><Relationship Id="rId11" Type="http://schemas.openxmlformats.org/officeDocument/2006/relationships/customXml" Target="../customXml/item1.xml"/><Relationship Id="rId5" Type="http://schemas.openxmlformats.org/officeDocument/2006/relationships/hyperlink" Target="http://taft.law.uc.edu/CCL/InvCoRls/rule14a-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E0209887FCC4489928908F1EA849F" ma:contentTypeVersion="2" ma:contentTypeDescription="Create a new document." ma:contentTypeScope="" ma:versionID="9c1074a6858fd67cb9dad43ae063c7cf">
  <xsd:schema xmlns:xsd="http://www.w3.org/2001/XMLSchema" xmlns:p="http://schemas.microsoft.com/office/2006/metadata/properties" xmlns:ns2="edfa8e0c-71d1-4135-9074-aaf557eea0df" targetNamespace="http://schemas.microsoft.com/office/2006/metadata/properties" ma:root="true" ma:fieldsID="8f27bfd4ac3bf40953fd72db045aa167" ns2:_="">
    <xsd:import namespace="edfa8e0c-71d1-4135-9074-aaf557eea0df"/>
    <xsd:element name="properties">
      <xsd:complexType>
        <xsd:sequence>
          <xsd:element name="documentManagement">
            <xsd:complexType>
              <xsd:all>
                <xsd:element ref="ns2:Previously_x0020_Modified" minOccurs="0"/>
                <xsd:element ref="ns2:Previously_x0020_Modified_x0020_By" minOccurs="0"/>
              </xsd:all>
            </xsd:complexType>
          </xsd:element>
        </xsd:sequence>
      </xsd:complexType>
    </xsd:element>
  </xsd:schema>
  <xsd:schema xmlns:xsd="http://www.w3.org/2001/XMLSchema" xmlns:dms="http://schemas.microsoft.com/office/2006/documentManagement/types" targetNamespace="edfa8e0c-71d1-4135-9074-aaf557eea0df" elementFormDefault="qualified">
    <xsd:import namespace="http://schemas.microsoft.com/office/2006/documentManagement/types"/>
    <xsd:element name="Previously_x0020_Modified" ma:index="8" nillable="true" ma:displayName="Previously Modified" ma:format="DateTime" ma:internalName="Previously_x0020_Modified">
      <xsd:simpleType>
        <xsd:restriction base="dms:DateTime"/>
      </xsd:simpleType>
    </xsd:element>
    <xsd:element name="Previously_x0020_Modified_x0020_By" ma:index="9" nillable="true" ma:displayName="Previously Modified By" ma:list="UserInfo"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eviously_x0020_Modified_x0020_By xmlns="edfa8e0c-71d1-4135-9074-aaf557eea0df">
      <UserInfo>
        <DisplayName/>
        <AccountId xsi:nil="true"/>
        <AccountType/>
      </UserInfo>
    </Previously_x0020_Modified_x0020_By>
    <Previously_x0020_Modified xmlns="edfa8e0c-71d1-4135-9074-aaf557eea0df" xsi:nil="true"/>
  </documentManagement>
</p:properties>
</file>

<file path=customXml/itemProps1.xml><?xml version="1.0" encoding="utf-8"?>
<ds:datastoreItem xmlns:ds="http://schemas.openxmlformats.org/officeDocument/2006/customXml" ds:itemID="{F739E3A9-9017-4E0E-8198-F24F0EC56240}"/>
</file>

<file path=customXml/itemProps2.xml><?xml version="1.0" encoding="utf-8"?>
<ds:datastoreItem xmlns:ds="http://schemas.openxmlformats.org/officeDocument/2006/customXml" ds:itemID="{AE13BB12-0D9E-49D1-9CD1-7D6FA3119A2C}"/>
</file>

<file path=customXml/itemProps3.xml><?xml version="1.0" encoding="utf-8"?>
<ds:datastoreItem xmlns:ds="http://schemas.openxmlformats.org/officeDocument/2006/customXml" ds:itemID="{051C0BB0-3DA1-4DBE-A176-7F3E92322540}"/>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Company>U.S. Securities and Exchange Commission</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bartmannt</dc:creator>
  <cp:keywords/>
  <dc:description/>
  <cp:lastModifiedBy>bartmannt</cp:lastModifiedBy>
  <cp:revision>1</cp:revision>
  <dcterms:created xsi:type="dcterms:W3CDTF">2011-02-17T19:45:00Z</dcterms:created>
  <dcterms:modified xsi:type="dcterms:W3CDTF">2011-02-17T19:45:00Z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0x010100F57E0209887FCC4489928908F1EA849F</vt:lpwstr>
  </property>
</Properties>
</file>