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B1" w:rsidRDefault="00527E1E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>
        <w:tab/>
      </w:r>
      <w:r w:rsidR="00C22CB4" w:rsidRPr="00FC2483">
        <w:rPr>
          <w:b/>
          <w:bCs/>
        </w:rPr>
        <w:t xml:space="preserve">SUPPORTING STATEMENT </w:t>
      </w:r>
      <w:r w:rsidR="00C22CB4">
        <w:rPr>
          <w:b/>
          <w:bCs/>
        </w:rPr>
        <w:br/>
      </w:r>
      <w:r w:rsidR="00C22CB4" w:rsidRPr="00FC2483">
        <w:rPr>
          <w:b/>
          <w:bCs/>
        </w:rPr>
        <w:t xml:space="preserve">for the Paperwork Reduction Act </w:t>
      </w:r>
    </w:p>
    <w:p w:rsidR="0043612D" w:rsidRDefault="00C22CB4">
      <w:pPr>
        <w:pStyle w:val="ListParagraph"/>
        <w:tabs>
          <w:tab w:val="num" w:pos="450"/>
        </w:tabs>
        <w:ind w:left="446" w:hanging="360"/>
        <w:jc w:val="center"/>
        <w:rPr>
          <w:u w:val="single"/>
        </w:rPr>
      </w:pPr>
      <w:r w:rsidRPr="00FC2483">
        <w:rPr>
          <w:b/>
          <w:bCs/>
        </w:rPr>
        <w:t xml:space="preserve">Information Collection Submission </w:t>
      </w:r>
      <w:r>
        <w:rPr>
          <w:b/>
          <w:bCs/>
        </w:rPr>
        <w:br/>
      </w:r>
      <w:r w:rsidR="00A27F2F" w:rsidRPr="00400AB1">
        <w:rPr>
          <w:b/>
          <w:u w:val="single"/>
        </w:rPr>
        <w:t>Rule 15g-2</w:t>
      </w:r>
    </w:p>
    <w:p w:rsidR="00A27F2F" w:rsidRPr="00A27F2F" w:rsidRDefault="00A27F2F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527E1E" w:rsidRDefault="00A27F2F" w:rsidP="009748EF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Justification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Necessity </w:t>
      </w:r>
      <w:r w:rsidR="00843A80">
        <w:rPr>
          <w:rFonts w:ascii="Times New Roman" w:hAnsi="Times New Roman" w:cs="Times New Roman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or Information Collection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 w:rsidP="00FC4066">
      <w:pPr>
        <w:pStyle w:val="BodyText"/>
      </w:pPr>
      <w:r>
        <w:tab/>
      </w:r>
      <w:r w:rsidRPr="00FC4066">
        <w:t>Section 15(c)(2) of the Securities Exchange Act of 1934 (</w:t>
      </w:r>
      <w:r w:rsidR="00422238" w:rsidRPr="00FC4066">
        <w:t>“Exchange Act”</w:t>
      </w:r>
      <w:r w:rsidRPr="00FC4066">
        <w:t>) authorizes the Commission to promulgate rules that prescribe means reasonably designed to prevent fraudulent, deceptive, or manipulative acts or practices in connection with over-the-counter securities (</w:t>
      </w:r>
      <w:r w:rsidR="00422238" w:rsidRPr="00FC4066">
        <w:t>“</w:t>
      </w:r>
      <w:r w:rsidRPr="00FC4066">
        <w:t>OTC</w:t>
      </w:r>
      <w:r w:rsidR="00422238" w:rsidRPr="00FC4066">
        <w:t>”</w:t>
      </w:r>
      <w:r w:rsidRPr="00FC4066">
        <w:t>) transaction</w:t>
      </w:r>
      <w:r w:rsidR="00FC4066">
        <w:t>s.  Pursuant to this authority, on July 7, 2005, the Commission amended Exchange Act Rule 15g-2</w:t>
      </w:r>
      <w:r w:rsidR="00B14814">
        <w:t xml:space="preserve"> (the “Rule”)</w:t>
      </w:r>
      <w:r w:rsidR="00FC4066">
        <w:t xml:space="preserve"> to provide an explicit “cooling-off period” </w:t>
      </w:r>
      <w:r w:rsidR="00FC4066" w:rsidRPr="00FC4066">
        <w:t>to replace the implicit period that customers traditionally have had when the disclosure documents required by the</w:t>
      </w:r>
      <w:r w:rsidR="00FC4066">
        <w:t xml:space="preserve"> </w:t>
      </w:r>
      <w:r w:rsidR="00FC4066" w:rsidRPr="00FC4066">
        <w:t>penny stock rules are provided by postal mail rather than electronically</w:t>
      </w:r>
      <w:r>
        <w:t>.</w:t>
      </w:r>
    </w:p>
    <w:p w:rsidR="00B14814" w:rsidRDefault="00B14814" w:rsidP="00FC4066">
      <w:pPr>
        <w:pStyle w:val="BodyText"/>
      </w:pPr>
    </w:p>
    <w:p w:rsidR="00FC4066" w:rsidRDefault="00527E1E" w:rsidP="00FC4066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4066">
        <w:rPr>
          <w:rFonts w:ascii="Times New Roman" w:hAnsi="Times New Roman" w:cs="Times New Roman"/>
          <w:sz w:val="24"/>
          <w:szCs w:val="24"/>
        </w:rPr>
        <w:t xml:space="preserve">Rule 15g-2(a) </w:t>
      </w:r>
      <w:r w:rsidR="00F513E3">
        <w:rPr>
          <w:rFonts w:ascii="Times New Roman" w:hAnsi="Times New Roman" w:cs="Times New Roman"/>
          <w:sz w:val="24"/>
          <w:szCs w:val="24"/>
        </w:rPr>
        <w:t>prohibits a broker-dealer from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effect</w:t>
      </w:r>
      <w:r w:rsidR="00F513E3">
        <w:rPr>
          <w:rFonts w:ascii="Times New Roman" w:hAnsi="Times New Roman" w:cs="Times New Roman"/>
          <w:sz w:val="24"/>
          <w:szCs w:val="24"/>
        </w:rPr>
        <w:t>ing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a transaction in a penny stock with or for the account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of a customer unless the broker-dealer distributes to the customer, prior to effecting a transaction in a penny stock, a</w:t>
      </w:r>
      <w:r w:rsidR="00FC4066">
        <w:rPr>
          <w:rFonts w:ascii="Times New Roman" w:hAnsi="Times New Roman" w:cs="Times New Roman"/>
          <w:sz w:val="24"/>
          <w:szCs w:val="24"/>
        </w:rPr>
        <w:t xml:space="preserve"> disclosure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document, a</w:t>
      </w:r>
      <w:r w:rsidR="00FC4066">
        <w:rPr>
          <w:rFonts w:ascii="Times New Roman" w:hAnsi="Times New Roman" w:cs="Times New Roman"/>
          <w:sz w:val="24"/>
          <w:szCs w:val="24"/>
        </w:rPr>
        <w:t>s set forth in Schedule 15G,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and receives a signed and dated acknowledgement of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receipt of that document from th</w:t>
      </w:r>
      <w:r w:rsidR="00FC4066">
        <w:rPr>
          <w:rFonts w:ascii="Times New Roman" w:hAnsi="Times New Roman" w:cs="Times New Roman"/>
          <w:sz w:val="24"/>
          <w:szCs w:val="24"/>
        </w:rPr>
        <w:t xml:space="preserve">e customer in </w:t>
      </w:r>
      <w:proofErr w:type="gramStart"/>
      <w:r w:rsidR="00FC4066">
        <w:rPr>
          <w:rFonts w:ascii="Times New Roman" w:hAnsi="Times New Roman" w:cs="Times New Roman"/>
          <w:sz w:val="24"/>
          <w:szCs w:val="24"/>
        </w:rPr>
        <w:t>tangible</w:t>
      </w:r>
      <w:proofErr w:type="gramEnd"/>
      <w:r w:rsidR="00FC4066">
        <w:rPr>
          <w:rFonts w:ascii="Times New Roman" w:hAnsi="Times New Roman" w:cs="Times New Roman"/>
          <w:sz w:val="24"/>
          <w:szCs w:val="24"/>
        </w:rPr>
        <w:t xml:space="preserve"> form.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The document (</w:t>
      </w:r>
      <w:r w:rsidR="00FC4066">
        <w:rPr>
          <w:rFonts w:ascii="Times New Roman" w:hAnsi="Times New Roman" w:cs="Times New Roman"/>
          <w:sz w:val="24"/>
          <w:szCs w:val="24"/>
        </w:rPr>
        <w:t>“penny stock disclosure document”</w:t>
      </w:r>
      <w:r w:rsidR="00FC4066" w:rsidRPr="00FC4066">
        <w:rPr>
          <w:rFonts w:ascii="Times New Roman" w:hAnsi="Times New Roman" w:cs="Times New Roman"/>
          <w:sz w:val="24"/>
          <w:szCs w:val="24"/>
        </w:rPr>
        <w:t>),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which must contain the information set forth in Schedule 15G, gives several important warnings to investors concerning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the penny stock market, and cautions investors against makin</w:t>
      </w:r>
      <w:r w:rsidR="00FC4066">
        <w:rPr>
          <w:rFonts w:ascii="Times New Roman" w:hAnsi="Times New Roman" w:cs="Times New Roman"/>
          <w:sz w:val="24"/>
          <w:szCs w:val="24"/>
        </w:rPr>
        <w:t>g a hurried investment decision</w:t>
      </w:r>
      <w:r w:rsidR="00FC4066" w:rsidRPr="00FC4066">
        <w:rPr>
          <w:rFonts w:ascii="Times New Roman" w:hAnsi="Times New Roman" w:cs="Times New Roman"/>
          <w:sz w:val="24"/>
          <w:szCs w:val="24"/>
        </w:rPr>
        <w:t>.</w:t>
      </w:r>
      <w:r w:rsidR="00FC4066">
        <w:rPr>
          <w:rFonts w:ascii="Times New Roman" w:hAnsi="Times New Roman" w:cs="Times New Roman"/>
          <w:sz w:val="24"/>
          <w:szCs w:val="24"/>
        </w:rPr>
        <w:t xml:space="preserve">  </w:t>
      </w:r>
      <w:r w:rsidR="00FC4066" w:rsidRPr="00FC4066">
        <w:rPr>
          <w:rFonts w:ascii="Times New Roman" w:hAnsi="Times New Roman" w:cs="Times New Roman"/>
          <w:sz w:val="24"/>
        </w:rPr>
        <w:t>Rule 15g-2 requires broker-dealers to provide their customers with a penny stock disclosure document, as set forth</w:t>
      </w:r>
      <w:r w:rsidR="00FC4066">
        <w:rPr>
          <w:rFonts w:ascii="Times New Roman" w:hAnsi="Times New Roman" w:cs="Times New Roman"/>
          <w:sz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</w:rPr>
        <w:t xml:space="preserve">in Schedule 15G under the Exchange Act, prior to each customer's first non-exempt transaction in a penny stock. </w:t>
      </w:r>
    </w:p>
    <w:p w:rsidR="00B14814" w:rsidRPr="00FC4066" w:rsidRDefault="00B14814" w:rsidP="00FC406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FC4066" w:rsidRDefault="00FC4066" w:rsidP="00FC4066">
      <w:pPr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FC406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2005 amendments to Rule 15g-2(b)</w:t>
      </w:r>
      <w:r w:rsidRPr="00FC4066">
        <w:rPr>
          <w:rFonts w:ascii="Times New Roman" w:hAnsi="Times New Roman" w:cs="Times New Roman"/>
          <w:sz w:val="24"/>
          <w:szCs w:val="24"/>
        </w:rPr>
        <w:t xml:space="preserve"> impose a uniform waiting period of two business days that can be satisfied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by waiting two days after sending the penny stock disclosure document required by the rule electronically or by mail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 other paper-based means.</w:t>
      </w:r>
      <w:r w:rsidRPr="00FC4066">
        <w:rPr>
          <w:rFonts w:ascii="Times New Roman" w:hAnsi="Times New Roman" w:cs="Times New Roman"/>
          <w:sz w:val="24"/>
          <w:szCs w:val="24"/>
        </w:rPr>
        <w:t xml:space="preserve"> As amended, the rule </w:t>
      </w:r>
      <w:r w:rsidR="009E7275">
        <w:rPr>
          <w:rFonts w:ascii="Times New Roman" w:hAnsi="Times New Roman" w:cs="Times New Roman"/>
          <w:sz w:val="24"/>
          <w:szCs w:val="24"/>
        </w:rPr>
        <w:t>prohibit</w:t>
      </w:r>
      <w:r w:rsidRPr="00FC4066">
        <w:rPr>
          <w:rFonts w:ascii="Times New Roman" w:hAnsi="Times New Roman" w:cs="Times New Roman"/>
          <w:sz w:val="24"/>
          <w:szCs w:val="24"/>
        </w:rPr>
        <w:t xml:space="preserve"> a broker-dealer </w:t>
      </w:r>
      <w:r w:rsidR="009E7275">
        <w:rPr>
          <w:rFonts w:ascii="Times New Roman" w:hAnsi="Times New Roman" w:cs="Times New Roman"/>
          <w:sz w:val="24"/>
          <w:szCs w:val="24"/>
        </w:rPr>
        <w:t>from</w:t>
      </w:r>
      <w:r w:rsidRPr="00FC4066">
        <w:rPr>
          <w:rFonts w:ascii="Times New Roman" w:hAnsi="Times New Roman" w:cs="Times New Roman"/>
          <w:sz w:val="24"/>
          <w:szCs w:val="24"/>
        </w:rPr>
        <w:t xml:space="preserve"> effect</w:t>
      </w:r>
      <w:r w:rsidR="009E7275">
        <w:rPr>
          <w:rFonts w:ascii="Times New Roman" w:hAnsi="Times New Roman" w:cs="Times New Roman"/>
          <w:sz w:val="24"/>
          <w:szCs w:val="24"/>
        </w:rPr>
        <w:t>ing</w:t>
      </w:r>
      <w:r w:rsidRPr="00FC406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transaction in a penny stock for or with the account of a customer unless, prior to effecting the transaction,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broker-dealer distributes to the customer a penny stock disclosure document, and has obtained from the customer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signed and dated acknowledgement of receipt of that do</w:t>
      </w:r>
      <w:r>
        <w:rPr>
          <w:rFonts w:ascii="Times New Roman" w:hAnsi="Times New Roman" w:cs="Times New Roman"/>
          <w:sz w:val="24"/>
          <w:szCs w:val="24"/>
        </w:rPr>
        <w:t>cument.  The amendments to Rule 15g-2 we</w:t>
      </w:r>
      <w:r w:rsidRPr="00FC4066">
        <w:rPr>
          <w:rFonts w:ascii="Times New Roman" w:hAnsi="Times New Roman" w:cs="Times New Roman"/>
          <w:sz w:val="24"/>
          <w:szCs w:val="24"/>
        </w:rPr>
        <w:t>re designed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preserve parity between electronic and paper communications in the context of the disclosure requirements of the penny stock rules.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Purposes 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 xml:space="preserve">and Use </w:t>
      </w:r>
      <w:r>
        <w:rPr>
          <w:rFonts w:ascii="Times New Roman" w:hAnsi="Times New Roman" w:cs="Times New Roman"/>
          <w:sz w:val="24"/>
          <w:szCs w:val="24"/>
          <w:u w:val="single"/>
        </w:rPr>
        <w:t>of</w:t>
      </w:r>
      <w:r w:rsidR="00E840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the Information Collection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4066">
        <w:rPr>
          <w:rFonts w:ascii="Times New Roman" w:hAnsi="Times New Roman" w:cs="Times New Roman"/>
          <w:sz w:val="24"/>
          <w:szCs w:val="24"/>
        </w:rPr>
        <w:t>In adopting Rule 15g-2</w:t>
      </w:r>
      <w:r w:rsidR="00422238">
        <w:rPr>
          <w:rFonts w:ascii="Times New Roman" w:hAnsi="Times New Roman" w:cs="Times New Roman"/>
          <w:sz w:val="24"/>
          <w:szCs w:val="24"/>
        </w:rPr>
        <w:t>, the Commission</w:t>
      </w:r>
      <w:r>
        <w:rPr>
          <w:rFonts w:ascii="Times New Roman" w:hAnsi="Times New Roman" w:cs="Times New Roman"/>
          <w:sz w:val="24"/>
          <w:szCs w:val="24"/>
        </w:rPr>
        <w:t xml:space="preserve"> sought to combat the unscrupulous, high-pressure sales tactics of certain broker-dealers by imposing objective and readily reviewable requirements that discipline the process by which new customers are induced to purchase low-pr</w:t>
      </w:r>
      <w:r w:rsidR="00422238">
        <w:rPr>
          <w:rFonts w:ascii="Times New Roman" w:hAnsi="Times New Roman" w:cs="Times New Roman"/>
          <w:sz w:val="24"/>
          <w:szCs w:val="24"/>
        </w:rPr>
        <w:t>iced stocks.  The requirements we</w:t>
      </w:r>
      <w:r>
        <w:rPr>
          <w:rFonts w:ascii="Times New Roman" w:hAnsi="Times New Roman" w:cs="Times New Roman"/>
          <w:sz w:val="24"/>
          <w:szCs w:val="24"/>
        </w:rPr>
        <w:t xml:space="preserve">re intended to assist investors in protecting themselves from </w:t>
      </w:r>
      <w:r>
        <w:rPr>
          <w:rFonts w:ascii="Times New Roman" w:hAnsi="Times New Roman" w:cs="Times New Roman"/>
          <w:sz w:val="24"/>
          <w:szCs w:val="24"/>
        </w:rPr>
        <w:lastRenderedPageBreak/>
        <w:t>fraudulent sales practices, and al</w:t>
      </w:r>
      <w:r w:rsidR="00422238">
        <w:rPr>
          <w:rFonts w:ascii="Times New Roman" w:hAnsi="Times New Roman" w:cs="Times New Roman"/>
          <w:sz w:val="24"/>
          <w:szCs w:val="24"/>
        </w:rPr>
        <w:t>so to reinforce a broker-dealer’</w:t>
      </w:r>
      <w:r>
        <w:rPr>
          <w:rFonts w:ascii="Times New Roman" w:hAnsi="Times New Roman" w:cs="Times New Roman"/>
          <w:sz w:val="24"/>
          <w:szCs w:val="24"/>
        </w:rPr>
        <w:t>s suitability obligations, which are long-standing obligations under</w:t>
      </w:r>
      <w:r w:rsidR="00422238">
        <w:rPr>
          <w:rFonts w:ascii="Times New Roman" w:hAnsi="Times New Roman" w:cs="Times New Roman"/>
          <w:sz w:val="24"/>
          <w:szCs w:val="24"/>
        </w:rPr>
        <w:t xml:space="preserve"> self-regulatory organization (“SRO”</w:t>
      </w:r>
      <w:r>
        <w:rPr>
          <w:rFonts w:ascii="Times New Roman" w:hAnsi="Times New Roman" w:cs="Times New Roman"/>
          <w:sz w:val="24"/>
          <w:szCs w:val="24"/>
        </w:rPr>
        <w:t>) rules.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 w:rsidP="00A27F2F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 ess</w:t>
      </w:r>
      <w:r w:rsidR="00422238">
        <w:rPr>
          <w:rFonts w:ascii="Times New Roman" w:hAnsi="Times New Roman" w:cs="Times New Roman"/>
          <w:sz w:val="24"/>
          <w:szCs w:val="24"/>
        </w:rPr>
        <w:t>ential aspect of high-pressure “</w:t>
      </w:r>
      <w:r>
        <w:rPr>
          <w:rFonts w:ascii="Times New Roman" w:hAnsi="Times New Roman" w:cs="Times New Roman"/>
          <w:sz w:val="24"/>
          <w:szCs w:val="24"/>
        </w:rPr>
        <w:t>boi</w:t>
      </w:r>
      <w:r w:rsidR="00422238">
        <w:rPr>
          <w:rFonts w:ascii="Times New Roman" w:hAnsi="Times New Roman" w:cs="Times New Roman"/>
          <w:sz w:val="24"/>
          <w:szCs w:val="24"/>
        </w:rPr>
        <w:t>ler-room”</w:t>
      </w:r>
      <w:r>
        <w:rPr>
          <w:rFonts w:ascii="Times New Roman" w:hAnsi="Times New Roman" w:cs="Times New Roman"/>
          <w:sz w:val="24"/>
          <w:szCs w:val="24"/>
        </w:rPr>
        <w:t xml:space="preserve"> operations is the constant solicitation of new, and often unsophisticated, customers.  The Rule disciplines this process by establishing account opening procedures that must be followed before </w:t>
      </w:r>
      <w:r w:rsidR="001C10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enny </w:t>
      </w:r>
      <w:r w:rsidR="001C10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tocks are recommended to unsophisticated new c</w:t>
      </w:r>
      <w:r w:rsidR="00422238">
        <w:rPr>
          <w:rFonts w:ascii="Times New Roman" w:hAnsi="Times New Roman" w:cs="Times New Roman"/>
          <w:sz w:val="24"/>
          <w:szCs w:val="24"/>
        </w:rPr>
        <w:t xml:space="preserve">ustomers.  </w:t>
      </w:r>
      <w:r w:rsidR="00A27F2F">
        <w:rPr>
          <w:rFonts w:ascii="Times New Roman" w:hAnsi="Times New Roman" w:cs="Times New Roman"/>
          <w:sz w:val="24"/>
          <w:szCs w:val="24"/>
        </w:rPr>
        <w:t xml:space="preserve">The </w:t>
      </w:r>
      <w:r w:rsidR="00482D26">
        <w:rPr>
          <w:rFonts w:ascii="Times New Roman" w:hAnsi="Times New Roman" w:cs="Times New Roman"/>
          <w:sz w:val="24"/>
          <w:szCs w:val="24"/>
        </w:rPr>
        <w:t>penny stock disclosure document</w:t>
      </w:r>
      <w:r w:rsidR="00482D26" w:rsidRPr="00482D26">
        <w:rPr>
          <w:rFonts w:ascii="Times New Roman" w:hAnsi="Times New Roman" w:cs="Times New Roman"/>
          <w:sz w:val="24"/>
          <w:szCs w:val="24"/>
        </w:rPr>
        <w:t xml:space="preserve"> gives several important warnings to investors concerning the penny stock market, and cautions investors against making a hurried investment decision. Among other things, the penny stock disclosure document points out that salespersons are not impartial advisors, that investors should compare</w:t>
      </w:r>
      <w:r w:rsidR="00482D26">
        <w:rPr>
          <w:rFonts w:ascii="Times New Roman" w:hAnsi="Times New Roman" w:cs="Times New Roman"/>
          <w:sz w:val="24"/>
          <w:szCs w:val="24"/>
        </w:rPr>
        <w:t xml:space="preserve"> </w:t>
      </w:r>
      <w:r w:rsidR="00482D26" w:rsidRPr="00482D26">
        <w:rPr>
          <w:rFonts w:ascii="Times New Roman" w:hAnsi="Times New Roman" w:cs="Times New Roman"/>
          <w:sz w:val="24"/>
          <w:szCs w:val="24"/>
        </w:rPr>
        <w:t>information from the salesperson with other information on the penny stock, and that investors in penny stocks should</w:t>
      </w:r>
      <w:r w:rsidR="00A27F2F">
        <w:rPr>
          <w:rFonts w:ascii="Times New Roman" w:hAnsi="Times New Roman" w:cs="Times New Roman"/>
          <w:sz w:val="24"/>
          <w:szCs w:val="24"/>
        </w:rPr>
        <w:t xml:space="preserve"> </w:t>
      </w:r>
      <w:r w:rsidR="00482D26" w:rsidRPr="00482D26">
        <w:rPr>
          <w:rFonts w:ascii="Times New Roman" w:hAnsi="Times New Roman" w:cs="Times New Roman"/>
          <w:sz w:val="24"/>
          <w:szCs w:val="24"/>
        </w:rPr>
        <w:t xml:space="preserve">be prepared for the possibility of losing their whole investment. </w:t>
      </w:r>
      <w:r w:rsidRPr="00482D26">
        <w:rPr>
          <w:rFonts w:ascii="Times New Roman" w:hAnsi="Times New Roman" w:cs="Times New Roman"/>
          <w:sz w:val="24"/>
          <w:szCs w:val="24"/>
        </w:rPr>
        <w:t>As a result</w:t>
      </w:r>
      <w:r w:rsidR="00482D26" w:rsidRPr="00482D26">
        <w:rPr>
          <w:rFonts w:ascii="Times New Roman" w:hAnsi="Times New Roman" w:cs="Times New Roman"/>
          <w:sz w:val="24"/>
          <w:szCs w:val="24"/>
        </w:rPr>
        <w:t xml:space="preserve"> of these procedures</w:t>
      </w:r>
      <w:r w:rsidRPr="00482D26">
        <w:rPr>
          <w:rFonts w:ascii="Times New Roman" w:hAnsi="Times New Roman" w:cs="Times New Roman"/>
          <w:sz w:val="24"/>
          <w:szCs w:val="24"/>
        </w:rPr>
        <w:t xml:space="preserve">, the customer </w:t>
      </w:r>
      <w:r w:rsidR="00422238" w:rsidRPr="00482D26">
        <w:rPr>
          <w:rFonts w:ascii="Times New Roman" w:hAnsi="Times New Roman" w:cs="Times New Roman"/>
          <w:sz w:val="24"/>
          <w:szCs w:val="24"/>
        </w:rPr>
        <w:t>has</w:t>
      </w:r>
      <w:r w:rsidRPr="00482D26">
        <w:rPr>
          <w:rFonts w:ascii="Times New Roman" w:hAnsi="Times New Roman" w:cs="Times New Roman"/>
          <w:sz w:val="24"/>
          <w:szCs w:val="24"/>
        </w:rPr>
        <w:t xml:space="preserve"> an opportunity to review the determination and decide whether the broker-dealer has made a good faith attempt to consider</w:t>
      </w:r>
      <w:r w:rsidR="00422238" w:rsidRPr="00482D26">
        <w:rPr>
          <w:rFonts w:ascii="Times New Roman" w:hAnsi="Times New Roman" w:cs="Times New Roman"/>
          <w:sz w:val="24"/>
          <w:szCs w:val="24"/>
        </w:rPr>
        <w:t xml:space="preserve"> the customer’</w:t>
      </w:r>
      <w:r w:rsidRPr="00482D26">
        <w:rPr>
          <w:rFonts w:ascii="Times New Roman" w:hAnsi="Times New Roman" w:cs="Times New Roman"/>
          <w:sz w:val="24"/>
          <w:szCs w:val="24"/>
        </w:rPr>
        <w:t>s financial s</w:t>
      </w:r>
      <w:r w:rsidR="00422238" w:rsidRPr="00482D26">
        <w:rPr>
          <w:rFonts w:ascii="Times New Roman" w:hAnsi="Times New Roman" w:cs="Times New Roman"/>
          <w:sz w:val="24"/>
          <w:szCs w:val="24"/>
        </w:rPr>
        <w:t>ituation, investment experience</w:t>
      </w:r>
      <w:r w:rsidRPr="00482D26">
        <w:rPr>
          <w:rFonts w:ascii="Times New Roman" w:hAnsi="Times New Roman" w:cs="Times New Roman"/>
          <w:sz w:val="24"/>
          <w:szCs w:val="24"/>
        </w:rPr>
        <w:t xml:space="preserve"> and investment objectives.</w:t>
      </w:r>
    </w:p>
    <w:p w:rsidR="00B14814" w:rsidRDefault="00B14814" w:rsidP="00A27F2F">
      <w:pPr>
        <w:widowControl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consequences of not requiring the information specified in the Rule would be a substantial weakening of the Rule's effectiveness.  The Commission believes that certain broker-dealers engaging in abusive sales practices in connection with </w:t>
      </w:r>
      <w:r w:rsidR="00944CA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enny </w:t>
      </w:r>
      <w:r w:rsidR="00944C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tocks may choose to ignore the requirements of the Rule.  The Rule therefore requi</w:t>
      </w:r>
      <w:r w:rsidR="00422238">
        <w:rPr>
          <w:rFonts w:ascii="Times New Roman" w:hAnsi="Times New Roman" w:cs="Times New Roman"/>
          <w:sz w:val="24"/>
          <w:szCs w:val="24"/>
        </w:rPr>
        <w:t>res records to be kept that</w:t>
      </w:r>
      <w:r>
        <w:rPr>
          <w:rFonts w:ascii="Times New Roman" w:hAnsi="Times New Roman" w:cs="Times New Roman"/>
          <w:sz w:val="24"/>
          <w:szCs w:val="24"/>
        </w:rPr>
        <w:t xml:space="preserve"> indicate their compliance with each of its provisions.  Thi</w:t>
      </w:r>
      <w:r w:rsidR="00422238">
        <w:rPr>
          <w:rFonts w:ascii="Times New Roman" w:hAnsi="Times New Roman" w:cs="Times New Roman"/>
          <w:sz w:val="24"/>
          <w:szCs w:val="24"/>
        </w:rPr>
        <w:t xml:space="preserve">s documentation </w:t>
      </w:r>
      <w:r>
        <w:rPr>
          <w:rFonts w:ascii="Times New Roman" w:hAnsi="Times New Roman" w:cs="Times New Roman"/>
          <w:sz w:val="24"/>
          <w:szCs w:val="24"/>
        </w:rPr>
        <w:t>enable</w:t>
      </w:r>
      <w:r w:rsidR="004222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regulatory author</w:t>
      </w:r>
      <w:r w:rsidR="00422238">
        <w:rPr>
          <w:rFonts w:ascii="Times New Roman" w:hAnsi="Times New Roman" w:cs="Times New Roman"/>
          <w:sz w:val="24"/>
          <w:szCs w:val="24"/>
        </w:rPr>
        <w:t>ities to review a broker-dealer’</w:t>
      </w:r>
      <w:r>
        <w:rPr>
          <w:rFonts w:ascii="Times New Roman" w:hAnsi="Times New Roman" w:cs="Times New Roman"/>
          <w:sz w:val="24"/>
          <w:szCs w:val="24"/>
        </w:rPr>
        <w:t>s com</w:t>
      </w:r>
      <w:r w:rsidR="00422238">
        <w:rPr>
          <w:rFonts w:ascii="Times New Roman" w:hAnsi="Times New Roman" w:cs="Times New Roman"/>
          <w:sz w:val="24"/>
          <w:szCs w:val="24"/>
        </w:rPr>
        <w:t xml:space="preserve">pliance with the Rule, and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="004222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basis for simple and direct enforcement actions against broker-dealers that fail to comply.  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31780" w:rsidRPr="00D31780">
        <w:rPr>
          <w:rFonts w:ascii="Times New Roman" w:hAnsi="Times New Roman" w:cs="Times New Roman"/>
          <w:sz w:val="24"/>
          <w:szCs w:val="24"/>
          <w:u w:val="single"/>
        </w:rPr>
        <w:t>Consideration Given to</w:t>
      </w:r>
      <w:r w:rsidR="00FC1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Information Technology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</w:t>
      </w:r>
      <w:r w:rsidR="000303A9">
        <w:rPr>
          <w:rFonts w:ascii="Times New Roman" w:hAnsi="Times New Roman" w:cs="Times New Roman"/>
          <w:sz w:val="24"/>
          <w:szCs w:val="24"/>
        </w:rPr>
        <w:t xml:space="preserve"> </w:t>
      </w:r>
      <w:r w:rsidR="00400AB1">
        <w:rPr>
          <w:rFonts w:ascii="Times New Roman" w:hAnsi="Times New Roman" w:cs="Times New Roman"/>
          <w:sz w:val="24"/>
          <w:szCs w:val="24"/>
        </w:rPr>
        <w:t xml:space="preserve">specific </w:t>
      </w:r>
      <w:r w:rsidR="000303A9">
        <w:rPr>
          <w:rFonts w:ascii="Times New Roman" w:hAnsi="Times New Roman" w:cs="Times New Roman"/>
          <w:sz w:val="24"/>
          <w:szCs w:val="24"/>
        </w:rPr>
        <w:t xml:space="preserve">consideration was given to using information technology to reduce this </w:t>
      </w:r>
      <w:proofErr w:type="gramStart"/>
      <w:r w:rsidR="000303A9">
        <w:rPr>
          <w:rFonts w:ascii="Times New Roman" w:hAnsi="Times New Roman" w:cs="Times New Roman"/>
          <w:sz w:val="24"/>
          <w:szCs w:val="24"/>
        </w:rPr>
        <w:t>burden</w:t>
      </w:r>
      <w:r w:rsidR="00400A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00AB1">
        <w:rPr>
          <w:rFonts w:ascii="Times New Roman" w:hAnsi="Times New Roman" w:cs="Times New Roman"/>
          <w:sz w:val="24"/>
          <w:szCs w:val="24"/>
        </w:rPr>
        <w:t xml:space="preserve"> however a majority of broker-dealers do utilize technology to comply with the rule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Duplication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Broker-dealers are not otherwise required to obtain the written agreement to purchases required by the Rule.  The </w:t>
      </w:r>
      <w:r w:rsidR="001C10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enny </w:t>
      </w:r>
      <w:r w:rsidR="001C10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tock </w:t>
      </w:r>
      <w:r w:rsidR="001C109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ules mandate that broker-dealers disclose certain information about the market for </w:t>
      </w:r>
      <w:r w:rsidR="00D31780" w:rsidRPr="001C1097">
        <w:rPr>
          <w:rFonts w:ascii="Times New Roman" w:hAnsi="Times New Roman" w:cs="Times New Roman"/>
          <w:sz w:val="24"/>
          <w:szCs w:val="24"/>
        </w:rPr>
        <w:t>penny stocks</w:t>
      </w:r>
      <w:r w:rsidRPr="001C1097">
        <w:rPr>
          <w:rFonts w:ascii="Times New Roman" w:hAnsi="Times New Roman" w:cs="Times New Roman"/>
          <w:sz w:val="24"/>
          <w:szCs w:val="24"/>
        </w:rPr>
        <w:t xml:space="preserve"> and the particular penny stock transaction to customers with whom they do business in </w:t>
      </w:r>
      <w:r w:rsidR="001C1097" w:rsidRPr="001C1097">
        <w:rPr>
          <w:rFonts w:ascii="Times New Roman" w:hAnsi="Times New Roman" w:cs="Times New Roman"/>
          <w:sz w:val="24"/>
          <w:szCs w:val="24"/>
        </w:rPr>
        <w:t>p</w:t>
      </w:r>
      <w:r w:rsidR="00D31780" w:rsidRPr="001C1097">
        <w:rPr>
          <w:rFonts w:ascii="Times New Roman" w:hAnsi="Times New Roman" w:cs="Times New Roman"/>
          <w:sz w:val="24"/>
          <w:szCs w:val="24"/>
        </w:rPr>
        <w:t xml:space="preserve">enny </w:t>
      </w:r>
      <w:r w:rsidR="001C1097" w:rsidRPr="001C1097">
        <w:rPr>
          <w:rFonts w:ascii="Times New Roman" w:hAnsi="Times New Roman" w:cs="Times New Roman"/>
          <w:sz w:val="24"/>
          <w:szCs w:val="24"/>
        </w:rPr>
        <w:t>s</w:t>
      </w:r>
      <w:r w:rsidR="00D31780" w:rsidRPr="001C1097">
        <w:rPr>
          <w:rFonts w:ascii="Times New Roman" w:hAnsi="Times New Roman" w:cs="Times New Roman"/>
          <w:sz w:val="24"/>
          <w:szCs w:val="24"/>
        </w:rPr>
        <w:t>tocks</w:t>
      </w:r>
      <w:r w:rsidRPr="001C10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Rule requires broker-dealers who do such business to obtain certain information from custome</w:t>
      </w:r>
      <w:r w:rsidR="00A27F2F">
        <w:rPr>
          <w:rFonts w:ascii="Times New Roman" w:hAnsi="Times New Roman" w:cs="Times New Roman"/>
          <w:sz w:val="24"/>
          <w:szCs w:val="24"/>
        </w:rPr>
        <w:t>rs acknowledging receipt of the penny stock disclosure documents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Effect on Small Entities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7E1E" w:rsidRDefault="00527E1E">
      <w:pPr>
        <w:pStyle w:val="BodyText"/>
      </w:pPr>
      <w:r>
        <w:tab/>
        <w:t>The Commission believes that the changes incorporated in the Rul</w:t>
      </w:r>
      <w:r w:rsidR="00A27F2F">
        <w:t>e</w:t>
      </w:r>
      <w:r w:rsidR="001C1097">
        <w:t xml:space="preserve">, in particular its 2005 </w:t>
      </w:r>
      <w:proofErr w:type="gramStart"/>
      <w:r w:rsidR="001C1097">
        <w:t>amendments</w:t>
      </w:r>
      <w:r w:rsidR="0043612D">
        <w:t>,</w:t>
      </w:r>
      <w:proofErr w:type="gramEnd"/>
      <w:r w:rsidR="00A27F2F">
        <w:t xml:space="preserve"> substantially reduce the Rule’</w:t>
      </w:r>
      <w:r>
        <w:t>s effect on legitimate broker-dealers and issuers.  The Commission also believes that the significant potential for sales practice abuse and manipulation in connection with the transactions covered by the Rule justifies the Rule.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00AB1" w:rsidRDefault="00400AB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Consequences of 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 xml:space="preserve">Not Conducting </w:t>
      </w:r>
      <w:r>
        <w:rPr>
          <w:rFonts w:ascii="Times New Roman" w:hAnsi="Times New Roman" w:cs="Times New Roman"/>
          <w:sz w:val="24"/>
          <w:szCs w:val="24"/>
          <w:u w:val="single"/>
        </w:rPr>
        <w:t>Collection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5104A" w:rsidRDefault="00527E1E" w:rsidP="0005104A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7275">
        <w:rPr>
          <w:rFonts w:ascii="Times New Roman" w:hAnsi="Times New Roman" w:cs="Times New Roman"/>
          <w:sz w:val="24"/>
          <w:szCs w:val="24"/>
        </w:rPr>
        <w:t>As stated at Section 2 above, t</w:t>
      </w:r>
      <w:r w:rsidR="0005104A">
        <w:rPr>
          <w:rFonts w:ascii="Times New Roman" w:hAnsi="Times New Roman" w:cs="Times New Roman"/>
          <w:sz w:val="24"/>
          <w:szCs w:val="24"/>
        </w:rPr>
        <w:t xml:space="preserve">he Rule disciplines the “boiler room” process by establishing account opening procedures that must be followed before </w:t>
      </w:r>
      <w:r w:rsidR="00944CAF">
        <w:rPr>
          <w:rFonts w:ascii="Times New Roman" w:hAnsi="Times New Roman" w:cs="Times New Roman"/>
          <w:sz w:val="24"/>
          <w:szCs w:val="24"/>
        </w:rPr>
        <w:t>p</w:t>
      </w:r>
      <w:r w:rsidR="0005104A">
        <w:rPr>
          <w:rFonts w:ascii="Times New Roman" w:hAnsi="Times New Roman" w:cs="Times New Roman"/>
          <w:sz w:val="24"/>
          <w:szCs w:val="24"/>
        </w:rPr>
        <w:t xml:space="preserve">enny </w:t>
      </w:r>
      <w:r w:rsidR="00944CAF">
        <w:rPr>
          <w:rFonts w:ascii="Times New Roman" w:hAnsi="Times New Roman" w:cs="Times New Roman"/>
          <w:sz w:val="24"/>
          <w:szCs w:val="24"/>
        </w:rPr>
        <w:t>s</w:t>
      </w:r>
      <w:r w:rsidR="0005104A">
        <w:rPr>
          <w:rFonts w:ascii="Times New Roman" w:hAnsi="Times New Roman" w:cs="Times New Roman"/>
          <w:sz w:val="24"/>
          <w:szCs w:val="24"/>
        </w:rPr>
        <w:t>tocks are recommended to unsophisticated new customers.  The penny stock disclosure document</w:t>
      </w:r>
      <w:r w:rsidR="0005104A" w:rsidRPr="00482D26">
        <w:rPr>
          <w:rFonts w:ascii="Times New Roman" w:hAnsi="Times New Roman" w:cs="Times New Roman"/>
          <w:sz w:val="24"/>
          <w:szCs w:val="24"/>
        </w:rPr>
        <w:t xml:space="preserve"> gives several important warnings to investors concerning the penny stock market, and cautions investors against making a hurried investment decision. As a result of these procedures, the customer has an opportunity to review the determination and decide whether the broker-dealer has made a good faith attempt to consider the customer’s financial situation, investment experience and investment objectives.</w:t>
      </w:r>
    </w:p>
    <w:p w:rsidR="009E7275" w:rsidRDefault="009E7275" w:rsidP="0005104A">
      <w:pPr>
        <w:widowControl/>
        <w:rPr>
          <w:rFonts w:ascii="Times New Roman" w:hAnsi="Times New Roman" w:cs="Times New Roman"/>
          <w:sz w:val="24"/>
          <w:szCs w:val="24"/>
        </w:rPr>
      </w:pPr>
    </w:p>
    <w:p w:rsidR="00527E1E" w:rsidRDefault="0005104A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consequences of requiring such disclosure less frequently would be a substantial weakening of the Rule's effectiveness because each new customer would not receive the required warning. Furthermore, a</w:t>
      </w:r>
      <w:r w:rsidR="00527E1E">
        <w:rPr>
          <w:rFonts w:ascii="Times New Roman" w:hAnsi="Times New Roman" w:cs="Times New Roman"/>
          <w:sz w:val="24"/>
          <w:szCs w:val="24"/>
        </w:rPr>
        <w:t>ny less frequent recordkeeping would jeopardize the ability of the Commission and the SROs to monitor compliance with the requirements of the Rule.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Inconsistencies 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ith Guidelines </w:t>
      </w:r>
      <w:r w:rsidR="000303A9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n 5 CFR 1320.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(d)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03A9">
        <w:rPr>
          <w:rFonts w:ascii="Times New Roman" w:hAnsi="Times New Roman" w:cs="Times New Roman"/>
          <w:sz w:val="24"/>
          <w:szCs w:val="24"/>
        </w:rPr>
        <w:t xml:space="preserve">There are no special circumstances.  </w:t>
      </w:r>
      <w:r>
        <w:rPr>
          <w:rFonts w:ascii="Times New Roman" w:hAnsi="Times New Roman" w:cs="Times New Roman"/>
          <w:sz w:val="24"/>
          <w:szCs w:val="24"/>
        </w:rPr>
        <w:t>This collection is consistent with 5 CFR 1320.</w:t>
      </w:r>
      <w:r w:rsidR="00FC12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(d).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Consultations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Outside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the Agency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 w:rsidP="00400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37BB" w:rsidRPr="009037BB">
        <w:rPr>
          <w:rFonts w:ascii="Times New Roman" w:hAnsi="Times New Roman" w:cs="Times New Roman"/>
          <w:sz w:val="24"/>
          <w:szCs w:val="24"/>
        </w:rPr>
        <w:t xml:space="preserve">  The </w:t>
      </w:r>
      <w:r w:rsidR="00594FA7">
        <w:rPr>
          <w:rFonts w:ascii="Times New Roman" w:hAnsi="Times New Roman" w:cs="Times New Roman"/>
          <w:sz w:val="24"/>
          <w:szCs w:val="24"/>
        </w:rPr>
        <w:t xml:space="preserve">required </w:t>
      </w:r>
      <w:r w:rsidR="009037BB" w:rsidRPr="009037BB">
        <w:rPr>
          <w:rFonts w:ascii="Times New Roman" w:hAnsi="Times New Roman" w:cs="Times New Roman"/>
          <w:sz w:val="24"/>
          <w:szCs w:val="24"/>
        </w:rPr>
        <w:t>Federal Register notice with a 60-day comment period soliciting comments on this collection of information was published</w:t>
      </w:r>
      <w:r w:rsidR="00594FA7">
        <w:rPr>
          <w:rFonts w:ascii="Times New Roman" w:hAnsi="Times New Roman" w:cs="Times New Roman"/>
          <w:sz w:val="24"/>
          <w:szCs w:val="24"/>
        </w:rPr>
        <w:t>.</w:t>
      </w:r>
      <w:r w:rsidR="009037BB" w:rsidRPr="009037BB">
        <w:rPr>
          <w:rFonts w:ascii="Times New Roman" w:hAnsi="Times New Roman" w:cs="Times New Roman"/>
          <w:sz w:val="24"/>
          <w:szCs w:val="24"/>
        </w:rPr>
        <w:t xml:space="preserve">  No </w:t>
      </w:r>
      <w:r w:rsidR="00400AB1">
        <w:rPr>
          <w:rFonts w:ascii="Times New Roman" w:hAnsi="Times New Roman" w:cs="Times New Roman"/>
          <w:sz w:val="24"/>
          <w:szCs w:val="24"/>
        </w:rPr>
        <w:t xml:space="preserve">public </w:t>
      </w:r>
      <w:r w:rsidR="009037BB" w:rsidRPr="009037BB">
        <w:rPr>
          <w:rFonts w:ascii="Times New Roman" w:hAnsi="Times New Roman" w:cs="Times New Roman"/>
          <w:sz w:val="24"/>
          <w:szCs w:val="24"/>
        </w:rPr>
        <w:t>comments were received.</w:t>
      </w:r>
    </w:p>
    <w:p w:rsidR="00400AB1" w:rsidRPr="00400AB1" w:rsidRDefault="00400AB1" w:rsidP="00400AB1">
      <w:pPr>
        <w:rPr>
          <w:rFonts w:ascii="Times New Roman" w:hAnsi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Payment o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 xml:space="preserve">r </w:t>
      </w:r>
      <w:r>
        <w:rPr>
          <w:rFonts w:ascii="Times New Roman" w:hAnsi="Times New Roman" w:cs="Times New Roman"/>
          <w:sz w:val="24"/>
          <w:szCs w:val="24"/>
          <w:u w:val="single"/>
        </w:rPr>
        <w:t>Gift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422238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03A9">
        <w:rPr>
          <w:rFonts w:ascii="Times New Roman" w:hAnsi="Times New Roman" w:cs="Times New Roman"/>
          <w:sz w:val="24"/>
          <w:szCs w:val="24"/>
        </w:rPr>
        <w:t>No payments or gifts are provided to any respondents</w:t>
      </w:r>
      <w:r w:rsidR="00527E1E">
        <w:rPr>
          <w:rFonts w:ascii="Times New Roman" w:hAnsi="Times New Roman" w:cs="Times New Roman"/>
          <w:sz w:val="24"/>
          <w:szCs w:val="24"/>
        </w:rPr>
        <w:t>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Confidentiality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information is not confidential.  In fact, this information is subject to inspection by the Commission and the various SROs.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Sensitive Questions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03A9">
        <w:rPr>
          <w:rFonts w:ascii="Times New Roman" w:hAnsi="Times New Roman" w:cs="Times New Roman"/>
          <w:sz w:val="24"/>
          <w:szCs w:val="24"/>
        </w:rPr>
        <w:t>There are n</w:t>
      </w:r>
      <w:r w:rsidR="00422238">
        <w:rPr>
          <w:rFonts w:ascii="Times New Roman" w:hAnsi="Times New Roman" w:cs="Times New Roman"/>
          <w:sz w:val="24"/>
          <w:szCs w:val="24"/>
        </w:rPr>
        <w:t>o q</w:t>
      </w:r>
      <w:r>
        <w:rPr>
          <w:rFonts w:ascii="Times New Roman" w:hAnsi="Times New Roman" w:cs="Times New Roman"/>
          <w:sz w:val="24"/>
          <w:szCs w:val="24"/>
        </w:rPr>
        <w:t>uestio</w:t>
      </w:r>
      <w:r w:rsidR="00422238">
        <w:rPr>
          <w:rFonts w:ascii="Times New Roman" w:hAnsi="Times New Roman" w:cs="Times New Roman"/>
          <w:sz w:val="24"/>
          <w:szCs w:val="24"/>
        </w:rPr>
        <w:t xml:space="preserve">ns of a sensitive nature </w:t>
      </w:r>
      <w:r>
        <w:rPr>
          <w:rFonts w:ascii="Times New Roman" w:hAnsi="Times New Roman" w:cs="Times New Roman"/>
          <w:sz w:val="24"/>
          <w:szCs w:val="24"/>
        </w:rPr>
        <w:t>asked.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Burden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 xml:space="preserve"> of Information Collection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176AE" w:rsidRDefault="00843A80" w:rsidP="00E176AE">
      <w:pPr>
        <w:widowControl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here are approximately </w:t>
      </w:r>
      <w:r w:rsidR="00A323A1">
        <w:rPr>
          <w:rFonts w:ascii="Times New Roman" w:hAnsi="Times New Roman" w:cs="Times New Roman"/>
          <w:sz w:val="24"/>
          <w:szCs w:val="24"/>
        </w:rPr>
        <w:t>253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broker-dealers that could potentially be subject to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current Rule 15g-2</w:t>
      </w:r>
      <w:r w:rsidR="001C1097">
        <w:rPr>
          <w:rFonts w:ascii="Times New Roman" w:hAnsi="Times New Roman" w:cs="Times New Roman"/>
          <w:sz w:val="24"/>
          <w:szCs w:val="24"/>
        </w:rPr>
        <w:t>.  The Commission estimates that approximately 5% of registered broker-dealers are engaged in penny stock transactions, and thereby subject to the Rule</w:t>
      </w:r>
      <w:r w:rsidR="00A323A1">
        <w:rPr>
          <w:rFonts w:ascii="Times New Roman" w:hAnsi="Times New Roman" w:cs="Times New Roman"/>
          <w:sz w:val="24"/>
          <w:szCs w:val="24"/>
        </w:rPr>
        <w:t xml:space="preserve"> </w:t>
      </w:r>
      <w:r w:rsidR="00A323A1" w:rsidRPr="00A323A1">
        <w:rPr>
          <w:rFonts w:ascii="Times New Roman" w:hAnsi="Times New Roman" w:cs="Times New Roman"/>
          <w:sz w:val="24"/>
          <w:szCs w:val="24"/>
        </w:rPr>
        <w:t>(5% x approximately 5,063 registered broker-dealers = 253 broker-dealers)</w:t>
      </w:r>
      <w:r w:rsidR="001C1097">
        <w:rPr>
          <w:rFonts w:ascii="Times New Roman" w:hAnsi="Times New Roman" w:cs="Times New Roman"/>
          <w:sz w:val="24"/>
          <w:szCs w:val="24"/>
        </w:rPr>
        <w:t>.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1C1097">
        <w:rPr>
          <w:rFonts w:ascii="Times New Roman" w:hAnsi="Times New Roman" w:cs="Times New Roman"/>
          <w:sz w:val="24"/>
          <w:szCs w:val="24"/>
        </w:rPr>
        <w:t xml:space="preserve"> T</w:t>
      </w:r>
      <w:r w:rsidR="00594FA7">
        <w:rPr>
          <w:rFonts w:ascii="Times New Roman" w:hAnsi="Times New Roman" w:cs="Times New Roman"/>
          <w:sz w:val="24"/>
          <w:szCs w:val="24"/>
        </w:rPr>
        <w:t xml:space="preserve">he Commission estimates </w:t>
      </w:r>
      <w:r w:rsidR="00FC4066" w:rsidRPr="00FC4066">
        <w:rPr>
          <w:rFonts w:ascii="Times New Roman" w:hAnsi="Times New Roman" w:cs="Times New Roman"/>
          <w:sz w:val="24"/>
          <w:szCs w:val="24"/>
        </w:rPr>
        <w:t>that each one of these firms processes an average of three new customers for penny stocks per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B14814">
        <w:rPr>
          <w:rFonts w:ascii="Times New Roman" w:hAnsi="Times New Roman" w:cs="Times New Roman"/>
          <w:sz w:val="24"/>
          <w:szCs w:val="24"/>
        </w:rPr>
        <w:t xml:space="preserve">week. Thus, </w:t>
      </w:r>
      <w:r w:rsidR="00FC4066" w:rsidRPr="00FC4066">
        <w:rPr>
          <w:rFonts w:ascii="Times New Roman" w:hAnsi="Times New Roman" w:cs="Times New Roman"/>
          <w:sz w:val="24"/>
          <w:szCs w:val="24"/>
        </w:rPr>
        <w:t>each respondent process</w:t>
      </w:r>
      <w:r w:rsidR="00B14814">
        <w:rPr>
          <w:rFonts w:ascii="Times New Roman" w:hAnsi="Times New Roman" w:cs="Times New Roman"/>
          <w:sz w:val="24"/>
          <w:szCs w:val="24"/>
        </w:rPr>
        <w:t>es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approximately 156 penny stock disclosure documents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per year. If </w:t>
      </w:r>
      <w:r w:rsidR="00FC4066" w:rsidRPr="00FC4066">
        <w:rPr>
          <w:rFonts w:ascii="Times New Roman" w:hAnsi="Times New Roman" w:cs="Times New Roman"/>
          <w:sz w:val="24"/>
          <w:szCs w:val="24"/>
        </w:rPr>
        <w:lastRenderedPageBreak/>
        <w:t>communications in tangible form alone are used to satisfy the requirements of Rule 15g-2, the</w:t>
      </w:r>
      <w:r w:rsidR="00B14814">
        <w:rPr>
          <w:rFonts w:ascii="Times New Roman" w:hAnsi="Times New Roman" w:cs="Times New Roman"/>
          <w:sz w:val="24"/>
          <w:szCs w:val="24"/>
        </w:rPr>
        <w:t>n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the copying and mailing of the penny s</w:t>
      </w:r>
      <w:r w:rsidR="00B14814">
        <w:rPr>
          <w:rFonts w:ascii="Times New Roman" w:hAnsi="Times New Roman" w:cs="Times New Roman"/>
          <w:sz w:val="24"/>
          <w:szCs w:val="24"/>
        </w:rPr>
        <w:t xml:space="preserve">tock disclosure document </w:t>
      </w:r>
      <w:r w:rsidR="00FC4066" w:rsidRPr="00FC4066">
        <w:rPr>
          <w:rFonts w:ascii="Times New Roman" w:hAnsi="Times New Roman" w:cs="Times New Roman"/>
          <w:sz w:val="24"/>
          <w:szCs w:val="24"/>
        </w:rPr>
        <w:t>take</w:t>
      </w:r>
      <w:r w:rsidR="00B14814">
        <w:rPr>
          <w:rFonts w:ascii="Times New Roman" w:hAnsi="Times New Roman" w:cs="Times New Roman"/>
          <w:sz w:val="24"/>
          <w:szCs w:val="24"/>
        </w:rPr>
        <w:t>s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no more than two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3B7D87">
        <w:rPr>
          <w:rFonts w:ascii="Times New Roman" w:hAnsi="Times New Roman" w:cs="Times New Roman"/>
          <w:sz w:val="24"/>
          <w:szCs w:val="24"/>
        </w:rPr>
        <w:t xml:space="preserve">minutes. 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Thus, the total </w:t>
      </w:r>
      <w:r w:rsidR="00594FA7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burden is approximately </w:t>
      </w:r>
      <w:r w:rsidR="003B7D87">
        <w:rPr>
          <w:rFonts w:ascii="Times New Roman" w:hAnsi="Times New Roman" w:cs="Times New Roman"/>
          <w:sz w:val="24"/>
          <w:szCs w:val="24"/>
        </w:rPr>
        <w:t>2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minutes per response,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or an aggregate total of </w:t>
      </w:r>
      <w:r w:rsidR="007C47E8">
        <w:rPr>
          <w:rFonts w:ascii="Times New Roman" w:hAnsi="Times New Roman" w:cs="Times New Roman"/>
          <w:sz w:val="24"/>
          <w:szCs w:val="24"/>
        </w:rPr>
        <w:t xml:space="preserve">312 </w:t>
      </w:r>
      <w:r w:rsidR="00FC4066" w:rsidRPr="00FC4066">
        <w:rPr>
          <w:rFonts w:ascii="Times New Roman" w:hAnsi="Times New Roman" w:cs="Times New Roman"/>
          <w:sz w:val="24"/>
          <w:szCs w:val="24"/>
        </w:rPr>
        <w:t>minutes p</w:t>
      </w:r>
      <w:r w:rsidR="00FC4066">
        <w:rPr>
          <w:rFonts w:ascii="Times New Roman" w:hAnsi="Times New Roman" w:cs="Times New Roman"/>
          <w:sz w:val="24"/>
          <w:szCs w:val="24"/>
        </w:rPr>
        <w:t>er respondent. Since there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are 2</w:t>
      </w:r>
      <w:r w:rsidR="00A323A1">
        <w:rPr>
          <w:rFonts w:ascii="Times New Roman" w:hAnsi="Times New Roman" w:cs="Times New Roman"/>
          <w:sz w:val="24"/>
          <w:szCs w:val="24"/>
        </w:rPr>
        <w:t>53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respondents, the current annual burden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is </w:t>
      </w:r>
      <w:r w:rsidR="007C47E8">
        <w:rPr>
          <w:rFonts w:ascii="Times New Roman" w:hAnsi="Times New Roman" w:cs="Times New Roman"/>
          <w:sz w:val="24"/>
          <w:szCs w:val="24"/>
        </w:rPr>
        <w:t xml:space="preserve">78,936 </w:t>
      </w:r>
      <w:r w:rsidR="00FC4066" w:rsidRPr="00FC4066">
        <w:rPr>
          <w:rFonts w:ascii="Times New Roman" w:hAnsi="Times New Roman" w:cs="Times New Roman"/>
          <w:sz w:val="24"/>
          <w:szCs w:val="24"/>
        </w:rPr>
        <w:t>minutes (</w:t>
      </w:r>
      <w:r w:rsidR="007C47E8">
        <w:rPr>
          <w:rFonts w:ascii="Times New Roman" w:hAnsi="Times New Roman" w:cs="Times New Roman"/>
          <w:sz w:val="24"/>
          <w:szCs w:val="24"/>
        </w:rPr>
        <w:t>312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minutes per each of the 2</w:t>
      </w:r>
      <w:r w:rsidR="00A323A1">
        <w:rPr>
          <w:rFonts w:ascii="Times New Roman" w:hAnsi="Times New Roman" w:cs="Times New Roman"/>
          <w:sz w:val="24"/>
          <w:szCs w:val="24"/>
        </w:rPr>
        <w:t>53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respondents) or </w:t>
      </w:r>
      <w:r w:rsidR="007C47E8">
        <w:rPr>
          <w:rFonts w:ascii="Times New Roman" w:hAnsi="Times New Roman" w:cs="Times New Roman"/>
          <w:sz w:val="24"/>
          <w:szCs w:val="24"/>
        </w:rPr>
        <w:t xml:space="preserve">1,316 </w:t>
      </w:r>
      <w:r w:rsidR="00FC4066" w:rsidRPr="00FC4066">
        <w:rPr>
          <w:rFonts w:ascii="Times New Roman" w:hAnsi="Times New Roman" w:cs="Times New Roman"/>
          <w:sz w:val="24"/>
          <w:szCs w:val="24"/>
        </w:rPr>
        <w:t>hours</w:t>
      </w:r>
      <w:r w:rsidR="00594FA7">
        <w:rPr>
          <w:rFonts w:ascii="Times New Roman" w:hAnsi="Times New Roman" w:cs="Times New Roman"/>
          <w:sz w:val="24"/>
          <w:szCs w:val="24"/>
        </w:rPr>
        <w:t xml:space="preserve"> for this third party disclosure burden</w:t>
      </w:r>
      <w:r w:rsidR="00FC4066" w:rsidRPr="00FC4066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>n addition, broker-dealers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incur a recordkeeping burden</w:t>
      </w:r>
      <w:r w:rsidR="00846FF2">
        <w:rPr>
          <w:rFonts w:ascii="Times New Roman" w:hAnsi="Times New Roman" w:cs="Times New Roman"/>
          <w:sz w:val="24"/>
          <w:szCs w:val="24"/>
        </w:rPr>
        <w:t xml:space="preserve"> </w:t>
      </w:r>
      <w:r w:rsidR="00846FF2" w:rsidRPr="00FC4066">
        <w:rPr>
          <w:rFonts w:ascii="Times New Roman" w:hAnsi="Times New Roman" w:cs="Times New Roman"/>
          <w:sz w:val="24"/>
          <w:szCs w:val="24"/>
        </w:rPr>
        <w:t>of approximately two minutes per response</w:t>
      </w:r>
      <w:r w:rsidR="00944CAF">
        <w:rPr>
          <w:rFonts w:ascii="Times New Roman" w:hAnsi="Times New Roman" w:cs="Times New Roman"/>
          <w:sz w:val="24"/>
          <w:szCs w:val="24"/>
        </w:rPr>
        <w:t xml:space="preserve"> when</w:t>
      </w:r>
      <w:r w:rsidR="006B6972">
        <w:rPr>
          <w:rFonts w:ascii="Times New Roman" w:hAnsi="Times New Roman" w:cs="Times New Roman"/>
          <w:sz w:val="24"/>
          <w:szCs w:val="24"/>
        </w:rPr>
        <w:t xml:space="preserve"> filing the completed penny stock disclosure documents as required pursuant to the Rule</w:t>
      </w:r>
      <w:r w:rsidR="00846FF2">
        <w:rPr>
          <w:rFonts w:ascii="Times New Roman" w:hAnsi="Times New Roman" w:cs="Times New Roman"/>
          <w:sz w:val="24"/>
          <w:szCs w:val="24"/>
        </w:rPr>
        <w:t xml:space="preserve"> 15(g)(2)(c), which requires a broker-dealer to preserve a copy of the written acknowledgement pursuant to Rule 17a-4(b)</w:t>
      </w:r>
      <w:r w:rsidR="00944CAF">
        <w:rPr>
          <w:rFonts w:ascii="Times New Roman" w:hAnsi="Times New Roman" w:cs="Times New Roman"/>
          <w:sz w:val="24"/>
          <w:szCs w:val="24"/>
        </w:rPr>
        <w:t xml:space="preserve"> of the Exch</w:t>
      </w:r>
      <w:r w:rsidR="00846FF2">
        <w:rPr>
          <w:rFonts w:ascii="Times New Roman" w:hAnsi="Times New Roman" w:cs="Times New Roman"/>
          <w:sz w:val="24"/>
          <w:szCs w:val="24"/>
        </w:rPr>
        <w:t>a</w:t>
      </w:r>
      <w:r w:rsidR="00944CAF">
        <w:rPr>
          <w:rFonts w:ascii="Times New Roman" w:hAnsi="Times New Roman" w:cs="Times New Roman"/>
          <w:sz w:val="24"/>
          <w:szCs w:val="24"/>
        </w:rPr>
        <w:t>n</w:t>
      </w:r>
      <w:r w:rsidR="00846FF2">
        <w:rPr>
          <w:rFonts w:ascii="Times New Roman" w:hAnsi="Times New Roman" w:cs="Times New Roman"/>
          <w:sz w:val="24"/>
          <w:szCs w:val="24"/>
        </w:rPr>
        <w:t>ge Act</w:t>
      </w:r>
      <w:r w:rsidR="006B6972">
        <w:rPr>
          <w:rFonts w:ascii="Times New Roman" w:hAnsi="Times New Roman" w:cs="Times New Roman"/>
          <w:sz w:val="24"/>
          <w:szCs w:val="24"/>
        </w:rPr>
        <w:t>,</w:t>
      </w:r>
      <w:r w:rsidR="00FC4066" w:rsidRPr="00FC4066">
        <w:rPr>
          <w:rFonts w:ascii="Times New Roman" w:hAnsi="Times New Roman" w:cs="Times New Roman"/>
          <w:sz w:val="24"/>
          <w:szCs w:val="24"/>
        </w:rPr>
        <w:t>. Since there are approximately 156 responses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for each respondent, </w:t>
      </w:r>
      <w:r w:rsidR="00FC4066">
        <w:rPr>
          <w:rFonts w:ascii="Times New Roman" w:hAnsi="Times New Roman" w:cs="Times New Roman"/>
          <w:sz w:val="24"/>
          <w:szCs w:val="24"/>
        </w:rPr>
        <w:t>the respondents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incur an aggregate recordkeeping burden of 7</w:t>
      </w:r>
      <w:r w:rsidR="00A323A1">
        <w:rPr>
          <w:rFonts w:ascii="Times New Roman" w:hAnsi="Times New Roman" w:cs="Times New Roman"/>
          <w:sz w:val="24"/>
          <w:szCs w:val="24"/>
        </w:rPr>
        <w:t>8,936</w:t>
      </w:r>
      <w:r w:rsidR="007C47E8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minutes (2</w:t>
      </w:r>
      <w:r w:rsidR="00A323A1">
        <w:rPr>
          <w:rFonts w:ascii="Times New Roman" w:hAnsi="Times New Roman" w:cs="Times New Roman"/>
          <w:sz w:val="24"/>
          <w:szCs w:val="24"/>
        </w:rPr>
        <w:t>53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respondents x 156 responses for each x 2 minutes per response) or 1,</w:t>
      </w:r>
      <w:r w:rsidR="00A323A1">
        <w:rPr>
          <w:rFonts w:ascii="Times New Roman" w:hAnsi="Times New Roman" w:cs="Times New Roman"/>
          <w:sz w:val="24"/>
          <w:szCs w:val="24"/>
        </w:rPr>
        <w:t>316</w:t>
      </w:r>
      <w:r w:rsidR="007C47E8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hours, under Rule 15g-2.</w:t>
      </w:r>
      <w:r w:rsidR="00E176AE">
        <w:rPr>
          <w:rFonts w:ascii="Times New Roman" w:hAnsi="Times New Roman" w:cs="Times New Roman"/>
          <w:sz w:val="24"/>
          <w:szCs w:val="24"/>
        </w:rPr>
        <w:t xml:space="preserve">  Accordingly, t</w:t>
      </w:r>
      <w:r w:rsidR="00FC4066" w:rsidRPr="00FC4066">
        <w:rPr>
          <w:rFonts w:ascii="Times New Roman" w:hAnsi="Times New Roman" w:cs="Times New Roman"/>
          <w:sz w:val="24"/>
          <w:szCs w:val="24"/>
        </w:rPr>
        <w:t>he current aggregate annual hour burden associated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with Rule 15g-2 (that is, assuming that all respondents provide tangible copies of the required documents) is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7C47E8">
        <w:rPr>
          <w:rFonts w:ascii="Times New Roman" w:hAnsi="Times New Roman" w:cs="Times New Roman"/>
          <w:sz w:val="24"/>
          <w:szCs w:val="24"/>
        </w:rPr>
        <w:t xml:space="preserve">2,632 </w:t>
      </w:r>
      <w:r w:rsidR="00FC4066" w:rsidRPr="00FC4066">
        <w:rPr>
          <w:rFonts w:ascii="Times New Roman" w:hAnsi="Times New Roman" w:cs="Times New Roman"/>
          <w:sz w:val="24"/>
          <w:szCs w:val="24"/>
        </w:rPr>
        <w:t>hours (</w:t>
      </w:r>
      <w:r w:rsidR="007C47E8">
        <w:rPr>
          <w:rFonts w:ascii="Times New Roman" w:hAnsi="Times New Roman" w:cs="Times New Roman"/>
          <w:sz w:val="24"/>
          <w:szCs w:val="24"/>
        </w:rPr>
        <w:t xml:space="preserve">1,316 </w:t>
      </w:r>
      <w:r w:rsidR="00594FA7">
        <w:rPr>
          <w:rFonts w:ascii="Times New Roman" w:hAnsi="Times New Roman" w:cs="Times New Roman"/>
          <w:sz w:val="24"/>
          <w:szCs w:val="24"/>
        </w:rPr>
        <w:t>third party disclosure</w:t>
      </w:r>
      <w:r w:rsidR="00594FA7" w:rsidRP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hours + 1,</w:t>
      </w:r>
      <w:r w:rsidR="00A323A1">
        <w:rPr>
          <w:rFonts w:ascii="Times New Roman" w:hAnsi="Times New Roman" w:cs="Times New Roman"/>
          <w:sz w:val="24"/>
          <w:szCs w:val="24"/>
        </w:rPr>
        <w:t>316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recordkeeping hours). </w:t>
      </w:r>
    </w:p>
    <w:p w:rsidR="00E176AE" w:rsidRDefault="00E176AE" w:rsidP="00E176AE">
      <w:pPr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843A80" w:rsidRDefault="00FC4066" w:rsidP="00E176AE">
      <w:pPr>
        <w:widowControl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C4066">
        <w:rPr>
          <w:rFonts w:ascii="Times New Roman" w:hAnsi="Times New Roman" w:cs="Times New Roman"/>
          <w:sz w:val="24"/>
          <w:szCs w:val="24"/>
        </w:rPr>
        <w:t>he burden hours associated with Rule 15g-2 may be slightly reduced when the</w:t>
      </w:r>
      <w:r w:rsidR="0005104A"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penny stock disclosure document required under the rule is provided through elect</w:t>
      </w:r>
      <w:r>
        <w:rPr>
          <w:rFonts w:ascii="Times New Roman" w:hAnsi="Times New Roman" w:cs="Times New Roman"/>
          <w:sz w:val="24"/>
          <w:szCs w:val="24"/>
        </w:rPr>
        <w:t xml:space="preserve">ronic means such as e-mail </w:t>
      </w:r>
      <w:r w:rsidRPr="00FC4066">
        <w:rPr>
          <w:rFonts w:ascii="Times New Roman" w:hAnsi="Times New Roman" w:cs="Times New Roman"/>
          <w:sz w:val="24"/>
          <w:szCs w:val="24"/>
        </w:rPr>
        <w:t>from the broker-dealer (e.g., the broker-dealer respondent may take only one minute, instead of the two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 xml:space="preserve">estimated above, to provide the penny stock disclosure document by e-mail to its customer). </w:t>
      </w:r>
      <w:r w:rsidR="00843A80"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In this regard, if each of the customer respondents estimated above communicates with 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 xml:space="preserve">or her broker-dealer electronically, the total ongoing respondent burden </w:t>
      </w:r>
      <w:r w:rsidR="00843A80">
        <w:rPr>
          <w:rFonts w:ascii="Times New Roman" w:hAnsi="Times New Roman" w:cs="Times New Roman"/>
          <w:sz w:val="24"/>
          <w:szCs w:val="24"/>
        </w:rPr>
        <w:t>is</w:t>
      </w:r>
      <w:r w:rsidRPr="00FC4066">
        <w:rPr>
          <w:rFonts w:ascii="Times New Roman" w:hAnsi="Times New Roman" w:cs="Times New Roman"/>
          <w:sz w:val="24"/>
          <w:szCs w:val="24"/>
        </w:rPr>
        <w:t xml:space="preserve"> approximately </w:t>
      </w:r>
      <w:r w:rsidR="007C47E8">
        <w:rPr>
          <w:rFonts w:ascii="Times New Roman" w:hAnsi="Times New Roman" w:cs="Times New Roman"/>
          <w:sz w:val="24"/>
          <w:szCs w:val="24"/>
        </w:rPr>
        <w:t>1</w:t>
      </w:r>
      <w:r w:rsidRPr="00FC4066">
        <w:rPr>
          <w:rFonts w:ascii="Times New Roman" w:hAnsi="Times New Roman" w:cs="Times New Roman"/>
          <w:sz w:val="24"/>
          <w:szCs w:val="24"/>
        </w:rPr>
        <w:t xml:space="preserve"> minute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 xml:space="preserve">response, or an aggregate total of </w:t>
      </w:r>
      <w:r w:rsidR="007C47E8">
        <w:rPr>
          <w:rFonts w:ascii="Times New Roman" w:hAnsi="Times New Roman" w:cs="Times New Roman"/>
          <w:sz w:val="24"/>
          <w:szCs w:val="24"/>
        </w:rPr>
        <w:t>156</w:t>
      </w:r>
      <w:r w:rsidRPr="00FC4066">
        <w:rPr>
          <w:rFonts w:ascii="Times New Roman" w:hAnsi="Times New Roman" w:cs="Times New Roman"/>
          <w:sz w:val="24"/>
          <w:szCs w:val="24"/>
        </w:rPr>
        <w:t xml:space="preserve"> minutes (156 customers x </w:t>
      </w:r>
      <w:r w:rsidR="007C47E8">
        <w:rPr>
          <w:rFonts w:ascii="Times New Roman" w:hAnsi="Times New Roman" w:cs="Times New Roman"/>
          <w:sz w:val="24"/>
          <w:szCs w:val="24"/>
        </w:rPr>
        <w:t>1</w:t>
      </w:r>
      <w:r w:rsidRPr="00FC4066">
        <w:rPr>
          <w:rFonts w:ascii="Times New Roman" w:hAnsi="Times New Roman" w:cs="Times New Roman"/>
          <w:sz w:val="24"/>
          <w:szCs w:val="24"/>
        </w:rPr>
        <w:t xml:space="preserve"> minutes per respondent). </w:t>
      </w:r>
      <w:r w:rsidR="00843A80">
        <w:rPr>
          <w:rFonts w:ascii="Times New Roman" w:hAnsi="Times New Roman" w:cs="Times New Roman"/>
          <w:sz w:val="24"/>
          <w:szCs w:val="24"/>
        </w:rPr>
        <w:t>Assuming</w:t>
      </w:r>
      <w:r w:rsidRPr="00FC4066">
        <w:rPr>
          <w:rFonts w:ascii="Times New Roman" w:hAnsi="Times New Roman" w:cs="Times New Roman"/>
          <w:sz w:val="24"/>
          <w:szCs w:val="24"/>
        </w:rPr>
        <w:t xml:space="preserve"> 2</w:t>
      </w:r>
      <w:r w:rsidR="00A323A1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respondents, the annual</w:t>
      </w:r>
      <w:r w:rsidR="006B6972">
        <w:rPr>
          <w:rFonts w:ascii="Times New Roman" w:hAnsi="Times New Roman" w:cs="Times New Roman"/>
          <w:sz w:val="24"/>
          <w:szCs w:val="24"/>
        </w:rPr>
        <w:t xml:space="preserve"> third party disclosure</w:t>
      </w:r>
      <w:r w:rsidRPr="00FC4066">
        <w:rPr>
          <w:rFonts w:ascii="Times New Roman" w:hAnsi="Times New Roman" w:cs="Times New Roman"/>
          <w:sz w:val="24"/>
          <w:szCs w:val="24"/>
        </w:rPr>
        <w:t xml:space="preserve"> burden, if electronic communications were used by all customers, </w:t>
      </w:r>
      <w:r w:rsidR="00B14814">
        <w:rPr>
          <w:rFonts w:ascii="Times New Roman" w:hAnsi="Times New Roman" w:cs="Times New Roman"/>
          <w:sz w:val="24"/>
          <w:szCs w:val="24"/>
        </w:rPr>
        <w:t xml:space="preserve">is </w:t>
      </w:r>
      <w:r w:rsidR="007C47E8">
        <w:rPr>
          <w:rFonts w:ascii="Times New Roman" w:hAnsi="Times New Roman" w:cs="Times New Roman"/>
          <w:sz w:val="24"/>
          <w:szCs w:val="24"/>
        </w:rPr>
        <w:t xml:space="preserve">39,468 </w:t>
      </w:r>
      <w:r w:rsidRPr="00FC4066">
        <w:rPr>
          <w:rFonts w:ascii="Times New Roman" w:hAnsi="Times New Roman" w:cs="Times New Roman"/>
          <w:sz w:val="24"/>
          <w:szCs w:val="24"/>
        </w:rPr>
        <w:t>minutes</w:t>
      </w:r>
      <w:r w:rsidR="00843A80"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(</w:t>
      </w:r>
      <w:r w:rsidR="007C47E8">
        <w:rPr>
          <w:rFonts w:ascii="Times New Roman" w:hAnsi="Times New Roman" w:cs="Times New Roman"/>
          <w:sz w:val="24"/>
          <w:szCs w:val="24"/>
        </w:rPr>
        <w:t>156</w:t>
      </w:r>
      <w:r w:rsidRPr="00FC4066">
        <w:rPr>
          <w:rFonts w:ascii="Times New Roman" w:hAnsi="Times New Roman" w:cs="Times New Roman"/>
          <w:sz w:val="24"/>
          <w:szCs w:val="24"/>
        </w:rPr>
        <w:t xml:space="preserve"> minutes per each of the 2</w:t>
      </w:r>
      <w:r w:rsidR="00C10341">
        <w:rPr>
          <w:rFonts w:ascii="Times New Roman" w:hAnsi="Times New Roman" w:cs="Times New Roman"/>
          <w:sz w:val="24"/>
          <w:szCs w:val="24"/>
        </w:rPr>
        <w:t>53</w:t>
      </w:r>
      <w:r w:rsidRPr="00FC4066">
        <w:rPr>
          <w:rFonts w:ascii="Times New Roman" w:hAnsi="Times New Roman" w:cs="Times New Roman"/>
          <w:sz w:val="24"/>
          <w:szCs w:val="24"/>
        </w:rPr>
        <w:t xml:space="preserve"> respondents) or </w:t>
      </w:r>
      <w:r w:rsidR="007C47E8">
        <w:rPr>
          <w:rFonts w:ascii="Times New Roman" w:hAnsi="Times New Roman" w:cs="Times New Roman"/>
          <w:sz w:val="24"/>
          <w:szCs w:val="24"/>
        </w:rPr>
        <w:t>658</w:t>
      </w:r>
      <w:r w:rsidRPr="00FC4066">
        <w:rPr>
          <w:rFonts w:ascii="Times New Roman" w:hAnsi="Times New Roman" w:cs="Times New Roman"/>
          <w:sz w:val="24"/>
          <w:szCs w:val="24"/>
        </w:rPr>
        <w:t xml:space="preserve"> hours. </w:t>
      </w:r>
      <w:r w:rsidR="00B43004">
        <w:rPr>
          <w:rFonts w:ascii="Times New Roman" w:hAnsi="Times New Roman" w:cs="Times New Roman"/>
          <w:sz w:val="24"/>
          <w:szCs w:val="24"/>
        </w:rPr>
        <w:t>If all respondents were to use electronic means</w:t>
      </w:r>
      <w:r w:rsidR="00843A80">
        <w:rPr>
          <w:rFonts w:ascii="Times New Roman" w:hAnsi="Times New Roman" w:cs="Times New Roman"/>
          <w:sz w:val="24"/>
          <w:szCs w:val="24"/>
        </w:rPr>
        <w:t xml:space="preserve">, the recordkeeping burden </w:t>
      </w:r>
      <w:r w:rsidR="00B14814">
        <w:rPr>
          <w:rFonts w:ascii="Times New Roman" w:hAnsi="Times New Roman" w:cs="Times New Roman"/>
          <w:sz w:val="24"/>
          <w:szCs w:val="24"/>
        </w:rPr>
        <w:t>i</w:t>
      </w:r>
      <w:r w:rsidR="00843A80">
        <w:rPr>
          <w:rFonts w:ascii="Times New Roman" w:hAnsi="Times New Roman" w:cs="Times New Roman"/>
          <w:sz w:val="24"/>
          <w:szCs w:val="24"/>
        </w:rPr>
        <w:t xml:space="preserve">s </w:t>
      </w:r>
      <w:r w:rsidR="009B75D0">
        <w:rPr>
          <w:rFonts w:ascii="Times New Roman" w:hAnsi="Times New Roman" w:cs="Times New Roman"/>
          <w:sz w:val="24"/>
          <w:szCs w:val="24"/>
        </w:rPr>
        <w:t>78,936 minutes or 1</w:t>
      </w:r>
      <w:r w:rsidR="00607CDF">
        <w:rPr>
          <w:rFonts w:ascii="Times New Roman" w:hAnsi="Times New Roman" w:cs="Times New Roman"/>
          <w:sz w:val="24"/>
          <w:szCs w:val="24"/>
        </w:rPr>
        <w:t>,</w:t>
      </w:r>
      <w:r w:rsidR="009B75D0">
        <w:rPr>
          <w:rFonts w:ascii="Times New Roman" w:hAnsi="Times New Roman" w:cs="Times New Roman"/>
          <w:sz w:val="24"/>
          <w:szCs w:val="24"/>
        </w:rPr>
        <w:t>316</w:t>
      </w:r>
      <w:r w:rsidR="00843A80">
        <w:rPr>
          <w:rFonts w:ascii="Times New Roman" w:hAnsi="Times New Roman" w:cs="Times New Roman"/>
          <w:sz w:val="24"/>
          <w:szCs w:val="24"/>
        </w:rPr>
        <w:t xml:space="preserve"> hours</w:t>
      </w:r>
      <w:r w:rsidR="009B75D0">
        <w:rPr>
          <w:rFonts w:ascii="Times New Roman" w:hAnsi="Times New Roman" w:cs="Times New Roman"/>
          <w:sz w:val="24"/>
          <w:szCs w:val="24"/>
        </w:rPr>
        <w:t xml:space="preserve"> (the same as above)</w:t>
      </w:r>
      <w:r w:rsidR="00843A80">
        <w:rPr>
          <w:rFonts w:ascii="Times New Roman" w:hAnsi="Times New Roman" w:cs="Times New Roman"/>
          <w:sz w:val="24"/>
          <w:szCs w:val="24"/>
        </w:rPr>
        <w:t>. Thus,</w:t>
      </w:r>
      <w:r>
        <w:rPr>
          <w:rFonts w:ascii="Times New Roman" w:hAnsi="Times New Roman" w:cs="Times New Roman"/>
          <w:sz w:val="24"/>
          <w:szCs w:val="24"/>
        </w:rPr>
        <w:t xml:space="preserve"> if all broker-dealer</w:t>
      </w:r>
      <w:r w:rsidR="00843A80">
        <w:rPr>
          <w:rFonts w:ascii="Times New Roman" w:hAnsi="Times New Roman" w:cs="Times New Roman"/>
          <w:sz w:val="24"/>
          <w:szCs w:val="24"/>
        </w:rPr>
        <w:t xml:space="preserve"> respondents</w:t>
      </w:r>
      <w:r w:rsidRPr="00FC4066">
        <w:rPr>
          <w:rFonts w:ascii="Times New Roman" w:hAnsi="Times New Roman" w:cs="Times New Roman"/>
          <w:sz w:val="24"/>
          <w:szCs w:val="24"/>
        </w:rPr>
        <w:t xml:space="preserve"> obtain and send the documents required under the rules</w:t>
      </w:r>
      <w:r w:rsidR="00843A80"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 xml:space="preserve">electronically, the aggregate annual hour burden associated with Rule 15g-2 </w:t>
      </w:r>
      <w:r w:rsidR="00B14814">
        <w:rPr>
          <w:rFonts w:ascii="Times New Roman" w:hAnsi="Times New Roman" w:cs="Times New Roman"/>
          <w:sz w:val="24"/>
          <w:szCs w:val="24"/>
        </w:rPr>
        <w:t>is</w:t>
      </w:r>
      <w:r w:rsidRP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607CDF">
        <w:rPr>
          <w:rFonts w:ascii="Times New Roman" w:hAnsi="Times New Roman" w:cs="Times New Roman"/>
          <w:sz w:val="24"/>
          <w:szCs w:val="24"/>
        </w:rPr>
        <w:t>1,974</w:t>
      </w:r>
      <w:r w:rsidR="00C10341">
        <w:rPr>
          <w:rFonts w:ascii="Times New Roman" w:hAnsi="Times New Roman" w:cs="Times New Roman"/>
          <w:sz w:val="24"/>
          <w:szCs w:val="24"/>
        </w:rPr>
        <w:t xml:space="preserve"> </w:t>
      </w:r>
      <w:r w:rsidRPr="00FC4066">
        <w:rPr>
          <w:rFonts w:ascii="Times New Roman" w:hAnsi="Times New Roman" w:cs="Times New Roman"/>
          <w:sz w:val="24"/>
          <w:szCs w:val="24"/>
        </w:rPr>
        <w:t>(</w:t>
      </w:r>
      <w:r w:rsidR="00607CDF">
        <w:rPr>
          <w:rFonts w:ascii="Times New Roman" w:hAnsi="Times New Roman" w:cs="Times New Roman"/>
          <w:sz w:val="24"/>
          <w:szCs w:val="24"/>
        </w:rPr>
        <w:t>658</w:t>
      </w:r>
      <w:r w:rsidRPr="00FC4066">
        <w:rPr>
          <w:rFonts w:ascii="Times New Roman" w:hAnsi="Times New Roman" w:cs="Times New Roman"/>
          <w:sz w:val="24"/>
          <w:szCs w:val="24"/>
        </w:rPr>
        <w:t xml:space="preserve"> hours + </w:t>
      </w:r>
      <w:r w:rsidR="00607CDF">
        <w:rPr>
          <w:rFonts w:ascii="Times New Roman" w:hAnsi="Times New Roman" w:cs="Times New Roman"/>
          <w:sz w:val="24"/>
          <w:szCs w:val="24"/>
        </w:rPr>
        <w:t>1,316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A80">
        <w:rPr>
          <w:rFonts w:ascii="Times New Roman" w:hAnsi="Times New Roman" w:cs="Times New Roman"/>
          <w:sz w:val="24"/>
          <w:szCs w:val="24"/>
        </w:rPr>
        <w:t xml:space="preserve">hours). </w:t>
      </w:r>
    </w:p>
    <w:p w:rsidR="00B14814" w:rsidRDefault="00B14814" w:rsidP="00843A80">
      <w:pPr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E176AE" w:rsidRDefault="00843A80" w:rsidP="00400AB1">
      <w:pPr>
        <w:widowControl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</w:t>
      </w:r>
      <w:r w:rsidR="00FC4066" w:rsidRPr="00FC4066">
        <w:rPr>
          <w:rFonts w:ascii="Times New Roman" w:hAnsi="Times New Roman" w:cs="Times New Roman"/>
          <w:sz w:val="24"/>
          <w:szCs w:val="24"/>
        </w:rPr>
        <w:t>, if the penny stock customer requests a paper copy of the information on the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B14814">
        <w:rPr>
          <w:rFonts w:ascii="Times New Roman" w:hAnsi="Times New Roman" w:cs="Times New Roman"/>
          <w:sz w:val="24"/>
          <w:szCs w:val="24"/>
        </w:rPr>
        <w:t>Commission’</w:t>
      </w:r>
      <w:r w:rsidR="00E84085">
        <w:rPr>
          <w:rFonts w:ascii="Times New Roman" w:hAnsi="Times New Roman" w:cs="Times New Roman"/>
          <w:sz w:val="24"/>
          <w:szCs w:val="24"/>
        </w:rPr>
        <w:t>s web</w:t>
      </w:r>
      <w:r w:rsidR="00FC4066" w:rsidRPr="00FC4066">
        <w:rPr>
          <w:rFonts w:ascii="Times New Roman" w:hAnsi="Times New Roman" w:cs="Times New Roman"/>
          <w:sz w:val="24"/>
          <w:szCs w:val="24"/>
        </w:rPr>
        <w:t>site regarding microcap securities, including penny stocks, from his or her broker-dealer, the printing and mailing of the document containing this information take</w:t>
      </w:r>
      <w:r w:rsidR="00B14814">
        <w:rPr>
          <w:rFonts w:ascii="Times New Roman" w:hAnsi="Times New Roman" w:cs="Times New Roman"/>
          <w:sz w:val="24"/>
          <w:szCs w:val="24"/>
        </w:rPr>
        <w:t>s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no more than 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minutes per custo</w:t>
      </w:r>
      <w:r>
        <w:rPr>
          <w:rFonts w:ascii="Times New Roman" w:hAnsi="Times New Roman" w:cs="Times New Roman"/>
          <w:sz w:val="24"/>
          <w:szCs w:val="24"/>
        </w:rPr>
        <w:t>mer. Because many investors have access to the Commission’</w:t>
      </w:r>
      <w:r w:rsidR="00E84085">
        <w:rPr>
          <w:rFonts w:ascii="Times New Roman" w:hAnsi="Times New Roman" w:cs="Times New Roman"/>
          <w:sz w:val="24"/>
          <w:szCs w:val="24"/>
        </w:rPr>
        <w:t>s web</w:t>
      </w:r>
      <w:r w:rsidR="00FC4066" w:rsidRPr="00FC4066">
        <w:rPr>
          <w:rFonts w:ascii="Times New Roman" w:hAnsi="Times New Roman" w:cs="Times New Roman"/>
          <w:sz w:val="24"/>
          <w:szCs w:val="24"/>
        </w:rPr>
        <w:t>site via computers located in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their homes, or in easily accessible public places such as libraries, </w:t>
      </w:r>
      <w:r>
        <w:rPr>
          <w:rFonts w:ascii="Times New Roman" w:hAnsi="Times New Roman" w:cs="Times New Roman"/>
          <w:sz w:val="24"/>
          <w:szCs w:val="24"/>
        </w:rPr>
        <w:t>then</w:t>
      </w:r>
      <w:r w:rsidR="00FC4066" w:rsidRPr="00FC4066">
        <w:rPr>
          <w:rFonts w:ascii="Times New Roman" w:hAnsi="Times New Roman" w:cs="Times New Roman"/>
          <w:sz w:val="24"/>
          <w:szCs w:val="24"/>
        </w:rPr>
        <w:t>, at most, a quarter of customers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who are required to receive the Rul</w:t>
      </w:r>
      <w:r w:rsidR="00B14814">
        <w:rPr>
          <w:rFonts w:ascii="Times New Roman" w:hAnsi="Times New Roman" w:cs="Times New Roman"/>
          <w:sz w:val="24"/>
          <w:szCs w:val="24"/>
        </w:rPr>
        <w:t>e 15g-2 disclosure document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request that their broker-dealer provide them with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the additional microcap and penny stock informat</w:t>
      </w:r>
      <w:r>
        <w:rPr>
          <w:rFonts w:ascii="Times New Roman" w:hAnsi="Times New Roman" w:cs="Times New Roman"/>
          <w:sz w:val="24"/>
          <w:szCs w:val="24"/>
        </w:rPr>
        <w:t>ion posted on the Commission’</w:t>
      </w:r>
      <w:r w:rsidR="00E84085">
        <w:rPr>
          <w:rFonts w:ascii="Times New Roman" w:hAnsi="Times New Roman" w:cs="Times New Roman"/>
          <w:sz w:val="24"/>
          <w:szCs w:val="24"/>
        </w:rPr>
        <w:t>s web</w:t>
      </w:r>
      <w:r w:rsidR="00FC4066" w:rsidRPr="00FC4066">
        <w:rPr>
          <w:rFonts w:ascii="Times New Roman" w:hAnsi="Times New Roman" w:cs="Times New Roman"/>
          <w:sz w:val="24"/>
          <w:szCs w:val="24"/>
        </w:rPr>
        <w:t>site. Thus, each broker-dealer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approximately 39 requests for paper copies of this information per year or an aggregate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total of 78 minutes per respondent (2 minutes per customer x 39 requests per respondent). Since there are 2</w:t>
      </w:r>
      <w:r w:rsidR="00C10341">
        <w:rPr>
          <w:rFonts w:ascii="Times New Roman" w:hAnsi="Times New Roman" w:cs="Times New Roman"/>
          <w:sz w:val="24"/>
          <w:szCs w:val="24"/>
        </w:rPr>
        <w:t>53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respondents,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the estimated annual burden is </w:t>
      </w:r>
      <w:r w:rsidR="00C10341">
        <w:rPr>
          <w:rFonts w:ascii="Times New Roman" w:hAnsi="Times New Roman" w:cs="Times New Roman"/>
          <w:sz w:val="24"/>
          <w:szCs w:val="24"/>
        </w:rPr>
        <w:t>19,734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minutes (78 minutes per each of the 2</w:t>
      </w:r>
      <w:r w:rsidR="00C10341">
        <w:rPr>
          <w:rFonts w:ascii="Times New Roman" w:hAnsi="Times New Roman" w:cs="Times New Roman"/>
          <w:sz w:val="24"/>
          <w:szCs w:val="24"/>
        </w:rPr>
        <w:t>53</w:t>
      </w:r>
      <w:r w:rsidR="00FC4066">
        <w:rPr>
          <w:rFonts w:ascii="Times New Roman" w:hAnsi="Times New Roman" w:cs="Times New Roman"/>
          <w:sz w:val="24"/>
          <w:szCs w:val="24"/>
        </w:rPr>
        <w:t xml:space="preserve"> </w:t>
      </w:r>
      <w:r w:rsidR="00FC4066" w:rsidRPr="00FC4066">
        <w:rPr>
          <w:rFonts w:ascii="Times New Roman" w:hAnsi="Times New Roman" w:cs="Times New Roman"/>
          <w:sz w:val="24"/>
          <w:szCs w:val="24"/>
        </w:rPr>
        <w:t>respondents) or 3</w:t>
      </w:r>
      <w:r w:rsidR="00C10341">
        <w:rPr>
          <w:rFonts w:ascii="Times New Roman" w:hAnsi="Times New Roman" w:cs="Times New Roman"/>
          <w:sz w:val="24"/>
          <w:szCs w:val="24"/>
        </w:rPr>
        <w:t>29</w:t>
      </w:r>
      <w:r w:rsidR="00FC4066" w:rsidRPr="00FC4066">
        <w:rPr>
          <w:rFonts w:ascii="Times New Roman" w:hAnsi="Times New Roman" w:cs="Times New Roman"/>
          <w:sz w:val="24"/>
          <w:szCs w:val="24"/>
        </w:rPr>
        <w:t xml:space="preserve"> hours. </w:t>
      </w:r>
      <w:r w:rsidR="00B87BA8">
        <w:rPr>
          <w:rFonts w:ascii="Times New Roman" w:hAnsi="Times New Roman" w:cs="Times New Roman"/>
          <w:sz w:val="24"/>
          <w:szCs w:val="24"/>
        </w:rPr>
        <w:t xml:space="preserve"> This is a third </w:t>
      </w:r>
      <w:r w:rsidR="00400AB1">
        <w:rPr>
          <w:rFonts w:ascii="Times New Roman" w:hAnsi="Times New Roman" w:cs="Times New Roman"/>
          <w:sz w:val="24"/>
          <w:szCs w:val="24"/>
        </w:rPr>
        <w:t>party disclosure type of burden</w:t>
      </w:r>
    </w:p>
    <w:p w:rsidR="00527E1E" w:rsidRDefault="00400AB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A4A">
        <w:rPr>
          <w:rFonts w:ascii="Times New Roman" w:hAnsi="Times New Roman" w:cs="Times New Roman"/>
          <w:sz w:val="24"/>
          <w:szCs w:val="24"/>
        </w:rPr>
        <w:t>We have no way of knowing how many broker-dealers and customers will choose to communicate electronically.  Assuming</w:t>
      </w:r>
      <w:r w:rsidR="005A0A4A" w:rsidRPr="00FC4066">
        <w:rPr>
          <w:rFonts w:ascii="Times New Roman" w:hAnsi="Times New Roman" w:cs="Times New Roman"/>
          <w:sz w:val="24"/>
          <w:szCs w:val="24"/>
        </w:rPr>
        <w:t xml:space="preserve"> that 50 percent of respondents continue to provide</w:t>
      </w:r>
      <w:r w:rsidR="005A0A4A">
        <w:rPr>
          <w:rFonts w:ascii="Times New Roman" w:hAnsi="Times New Roman" w:cs="Times New Roman"/>
          <w:sz w:val="24"/>
          <w:szCs w:val="24"/>
        </w:rPr>
        <w:t xml:space="preserve"> </w:t>
      </w:r>
      <w:r w:rsidR="005A0A4A" w:rsidRPr="00B614C3">
        <w:rPr>
          <w:rFonts w:ascii="Times New Roman" w:hAnsi="Times New Roman" w:cs="Times New Roman"/>
          <w:sz w:val="24"/>
          <w:szCs w:val="24"/>
        </w:rPr>
        <w:t xml:space="preserve">documents and obtain signatures in tangible form and 50 percent choose to communicate </w:t>
      </w:r>
      <w:r w:rsidR="005A0A4A" w:rsidRPr="00B614C3">
        <w:rPr>
          <w:rFonts w:ascii="Times New Roman" w:hAnsi="Times New Roman" w:cs="Times New Roman"/>
          <w:sz w:val="24"/>
          <w:szCs w:val="24"/>
        </w:rPr>
        <w:lastRenderedPageBreak/>
        <w:t xml:space="preserve">electronically to satisfy the requirements of Rule 15g-2, the total aggregate burden hours is </w:t>
      </w:r>
      <w:r w:rsidR="00C63C29">
        <w:rPr>
          <w:rFonts w:ascii="Times New Roman" w:hAnsi="Times New Roman"/>
          <w:sz w:val="24"/>
          <w:szCs w:val="24"/>
        </w:rPr>
        <w:t>2,632</w:t>
      </w:r>
      <w:r w:rsidR="005A0A4A" w:rsidRPr="00B614C3">
        <w:rPr>
          <w:rFonts w:ascii="Times New Roman" w:hAnsi="Times New Roman" w:cs="Times New Roman"/>
          <w:sz w:val="24"/>
          <w:szCs w:val="24"/>
        </w:rPr>
        <w:t xml:space="preserve">  ((aggregate burden hours for documents and signatures in tangible form x</w:t>
      </w:r>
      <w:r w:rsidR="00C63C29">
        <w:rPr>
          <w:rFonts w:ascii="Times New Roman" w:hAnsi="Times New Roman" w:cs="Times New Roman"/>
          <w:sz w:val="24"/>
          <w:szCs w:val="24"/>
        </w:rPr>
        <w:t xml:space="preserve"> 0.50 of the respondents = 658</w:t>
      </w:r>
      <w:r w:rsidR="005A0A4A" w:rsidRPr="00B614C3">
        <w:rPr>
          <w:rFonts w:ascii="Times New Roman" w:hAnsi="Times New Roman" w:cs="Times New Roman"/>
          <w:sz w:val="24"/>
          <w:szCs w:val="24"/>
        </w:rPr>
        <w:t xml:space="preserve"> hours) + (aggregate burden hours for electronically signed and transmitted documents</w:t>
      </w:r>
      <w:r w:rsidR="00C63C29">
        <w:rPr>
          <w:rFonts w:ascii="Times New Roman" w:hAnsi="Times New Roman" w:cs="Times New Roman"/>
          <w:sz w:val="24"/>
          <w:szCs w:val="24"/>
        </w:rPr>
        <w:t xml:space="preserve"> x 0.50 of the respondents = 329</w:t>
      </w:r>
      <w:r w:rsidR="005A0A4A" w:rsidRPr="00B614C3">
        <w:rPr>
          <w:rFonts w:ascii="Times New Roman" w:hAnsi="Times New Roman" w:cs="Times New Roman"/>
          <w:sz w:val="24"/>
          <w:szCs w:val="24"/>
        </w:rPr>
        <w:t xml:space="preserve"> hours) + </w:t>
      </w:r>
      <w:r w:rsidR="005A0A4A" w:rsidRPr="00B614C3">
        <w:rPr>
          <w:rFonts w:ascii="Times New Roman" w:hAnsi="Times New Roman"/>
          <w:sz w:val="24"/>
          <w:szCs w:val="24"/>
        </w:rPr>
        <w:t xml:space="preserve">(aggregate burden hours for recordkeeping of tangible documents x 0.50 of the respondents = 658) + (aggregate burden hours for recordkeeping of electronically filed documents = 658) + </w:t>
      </w:r>
      <w:r w:rsidR="005A0A4A" w:rsidRPr="00B614C3">
        <w:rPr>
          <w:rFonts w:ascii="Times New Roman" w:hAnsi="Times New Roman" w:cs="Times New Roman"/>
          <w:sz w:val="24"/>
          <w:szCs w:val="24"/>
        </w:rPr>
        <w:t>(329 burden hours for those customers making requests for a copy of the information on the Commission's website)).</w:t>
      </w:r>
    </w:p>
    <w:p w:rsidR="005A0A4A" w:rsidRDefault="005A0A4A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F37DB" w:rsidRDefault="00527E1E" w:rsidP="00FC4066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Cost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>s to Respondents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37DB" w:rsidRDefault="003F37DB" w:rsidP="00FC406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527E1E" w:rsidRPr="00FC4066" w:rsidRDefault="00B43004" w:rsidP="0028674B">
      <w:pPr>
        <w:widowControl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no capital, start-up or other external costs on respon</w:t>
      </w:r>
      <w:r w:rsidR="00400AB1">
        <w:rPr>
          <w:rFonts w:ascii="Times New Roman" w:hAnsi="Times New Roman" w:cs="Times New Roman"/>
          <w:sz w:val="24"/>
          <w:szCs w:val="24"/>
        </w:rPr>
        <w:t>dents associated with the r</w:t>
      </w:r>
      <w:r>
        <w:rPr>
          <w:rFonts w:ascii="Times New Roman" w:hAnsi="Times New Roman" w:cs="Times New Roman"/>
          <w:sz w:val="24"/>
          <w:szCs w:val="24"/>
        </w:rPr>
        <w:t>ule</w:t>
      </w:r>
      <w:r w:rsidR="0028674B">
        <w:rPr>
          <w:rFonts w:ascii="Times New Roman" w:hAnsi="Times New Roman" w:cs="Times New Roman"/>
          <w:sz w:val="24"/>
          <w:szCs w:val="24"/>
        </w:rPr>
        <w:t>.</w:t>
      </w:r>
    </w:p>
    <w:p w:rsidR="00815306" w:rsidRDefault="00815306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Cost</w:t>
      </w:r>
      <w:r w:rsidR="00FC122A"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to the Federal Government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3004">
        <w:rPr>
          <w:rFonts w:ascii="Times New Roman" w:hAnsi="Times New Roman" w:cs="Times New Roman"/>
          <w:sz w:val="24"/>
          <w:szCs w:val="24"/>
        </w:rPr>
        <w:t>There are no costs to the federal government associated with these rules</w:t>
      </w:r>
      <w:r w:rsidR="0028674B">
        <w:rPr>
          <w:rFonts w:ascii="Times New Roman" w:hAnsi="Times New Roman" w:cs="Times New Roman"/>
          <w:sz w:val="24"/>
          <w:szCs w:val="24"/>
        </w:rPr>
        <w:t>.</w:t>
      </w:r>
    </w:p>
    <w:p w:rsidR="0028674B" w:rsidRDefault="0028674B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Changes in Burden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Pr="00001F9A" w:rsidRDefault="00527E1E" w:rsidP="00EC4A7C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A7C" w:rsidRPr="00001F9A">
        <w:rPr>
          <w:rFonts w:ascii="Times New Roman" w:hAnsi="Times New Roman" w:cs="Times New Roman"/>
          <w:color w:val="000000"/>
          <w:sz w:val="24"/>
          <w:szCs w:val="24"/>
        </w:rPr>
        <w:t>There was a</w:t>
      </w:r>
      <w:r w:rsidR="00001F9A">
        <w:rPr>
          <w:rFonts w:ascii="Times New Roman" w:hAnsi="Times New Roman" w:cs="Times New Roman"/>
          <w:color w:val="000000"/>
          <w:sz w:val="24"/>
          <w:szCs w:val="24"/>
        </w:rPr>
        <w:t>n overall</w:t>
      </w:r>
      <w:r w:rsidR="00EC4A7C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 decrease</w:t>
      </w:r>
      <w:r w:rsidR="000303A9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 in the</w:t>
      </w:r>
      <w:r w:rsidR="00EC4A7C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F9A">
        <w:rPr>
          <w:rFonts w:ascii="Times New Roman" w:hAnsi="Times New Roman" w:cs="Times New Roman"/>
          <w:color w:val="000000"/>
          <w:sz w:val="24"/>
          <w:szCs w:val="24"/>
        </w:rPr>
        <w:t xml:space="preserve">total </w:t>
      </w:r>
      <w:r w:rsidR="00EC4A7C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burden </w:t>
      </w:r>
      <w:r w:rsidR="00001F9A" w:rsidRPr="00001F9A">
        <w:rPr>
          <w:rFonts w:ascii="Times New Roman" w:hAnsi="Times New Roman" w:cs="Times New Roman"/>
          <w:color w:val="000000"/>
          <w:sz w:val="24"/>
          <w:szCs w:val="24"/>
        </w:rPr>
        <w:t>hours because this submission no longer include</w:t>
      </w:r>
      <w:r w:rsidR="00001F9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1F9A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 the time burden associated with customers reading and signing paperwork, which was approximately 80 percent of the 2008 burden.</w:t>
      </w:r>
      <w:r w:rsidR="00001F9A">
        <w:rPr>
          <w:rFonts w:ascii="Times New Roman" w:hAnsi="Times New Roman" w:cs="Times New Roman"/>
          <w:color w:val="000000"/>
          <w:sz w:val="24"/>
          <w:szCs w:val="24"/>
        </w:rPr>
        <w:t xml:space="preserve">  This decrease was offset slightly by an increase in number of registered broker-dealers.</w:t>
      </w:r>
      <w:r w:rsidR="00001F9A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43004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There are no costs being submitted at this time as the only costs are internal labor costs.  </w:t>
      </w:r>
      <w:r w:rsidR="0028674B" w:rsidRPr="00001F9A">
        <w:rPr>
          <w:rFonts w:ascii="Times New Roman" w:hAnsi="Times New Roman" w:cs="Times New Roman"/>
          <w:color w:val="000000"/>
          <w:sz w:val="24"/>
          <w:szCs w:val="24"/>
        </w:rPr>
        <w:t xml:space="preserve">The 2008 approval included a burden of 7,176 hours and $17,000.  These numbers mistakenly included time burdens of third party customers rather than respondents, as well as internal labor costs.   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Information Collect</w:t>
      </w:r>
      <w:r w:rsidR="000303A9">
        <w:rPr>
          <w:rFonts w:ascii="Times New Roman" w:hAnsi="Times New Roman" w:cs="Times New Roman"/>
          <w:sz w:val="24"/>
          <w:szCs w:val="24"/>
          <w:u w:val="single"/>
        </w:rPr>
        <w:t>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Planned For Statistical Purposes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03A9">
        <w:rPr>
          <w:rFonts w:ascii="Times New Roman" w:hAnsi="Times New Roman" w:cs="Times New Roman"/>
          <w:sz w:val="24"/>
          <w:szCs w:val="24"/>
        </w:rPr>
        <w:t>This collection does not involve statistical methods</w:t>
      </w:r>
      <w:r w:rsidR="008153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Pr="003F37DB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="00D31780" w:rsidRPr="00D31780">
        <w:rPr>
          <w:rFonts w:ascii="Times New Roman" w:hAnsi="Times New Roman" w:cs="Times New Roman"/>
          <w:sz w:val="24"/>
          <w:szCs w:val="24"/>
          <w:u w:val="single"/>
        </w:rPr>
        <w:t>OMB Approval Date</w:t>
      </w:r>
      <w:r w:rsidR="008D4CD9">
        <w:rPr>
          <w:rFonts w:ascii="Times New Roman" w:hAnsi="Times New Roman" w:cs="Times New Roman"/>
          <w:sz w:val="24"/>
          <w:szCs w:val="24"/>
          <w:u w:val="single"/>
        </w:rPr>
        <w:t xml:space="preserve"> Display 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22A">
        <w:rPr>
          <w:rFonts w:ascii="Times New Roman" w:hAnsi="Times New Roman" w:cs="Times New Roman"/>
          <w:sz w:val="24"/>
          <w:szCs w:val="24"/>
        </w:rPr>
        <w:t xml:space="preserve">The Commission is not seeking approval to </w:t>
      </w:r>
      <w:r w:rsidR="000303A9">
        <w:rPr>
          <w:rFonts w:ascii="Times New Roman" w:hAnsi="Times New Roman" w:cs="Times New Roman"/>
          <w:sz w:val="24"/>
          <w:szCs w:val="24"/>
        </w:rPr>
        <w:t xml:space="preserve">not </w:t>
      </w:r>
      <w:r w:rsidR="00FC122A">
        <w:rPr>
          <w:rFonts w:ascii="Times New Roman" w:hAnsi="Times New Roman" w:cs="Times New Roman"/>
          <w:sz w:val="24"/>
          <w:szCs w:val="24"/>
        </w:rPr>
        <w:t xml:space="preserve">display the </w:t>
      </w:r>
      <w:r w:rsidR="00CE3A05">
        <w:rPr>
          <w:rFonts w:ascii="Times New Roman" w:hAnsi="Times New Roman" w:cs="Times New Roman"/>
          <w:sz w:val="24"/>
          <w:szCs w:val="24"/>
        </w:rPr>
        <w:t>OMB approval expiration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Exceptions to Certification</w:t>
      </w:r>
      <w:r w:rsidR="009037BB">
        <w:rPr>
          <w:rFonts w:ascii="Times New Roman" w:hAnsi="Times New Roman" w:cs="Times New Roman"/>
          <w:sz w:val="24"/>
          <w:szCs w:val="24"/>
          <w:u w:val="single"/>
        </w:rPr>
        <w:t xml:space="preserve"> for Paperwork Reduction Act Submissions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37BB">
        <w:rPr>
          <w:rFonts w:ascii="Times New Roman" w:hAnsi="Times New Roman" w:cs="Times New Roman"/>
          <w:sz w:val="24"/>
          <w:szCs w:val="24"/>
        </w:rPr>
        <w:t>This collection complies with the requirements in 5 CFR 1320.9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Collection of Information Employing Statistical Methods</w:t>
      </w: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27E1E" w:rsidRDefault="00527E1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</w:t>
      </w:r>
      <w:r w:rsidR="009037BB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collection </w:t>
      </w:r>
      <w:r w:rsidR="00815306">
        <w:rPr>
          <w:rFonts w:ascii="Times New Roman" w:hAnsi="Times New Roman" w:cs="Times New Roman"/>
          <w:sz w:val="24"/>
          <w:szCs w:val="24"/>
        </w:rPr>
        <w:t>do</w:t>
      </w:r>
      <w:r w:rsidR="00293DE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9037BB">
        <w:rPr>
          <w:rFonts w:ascii="Times New Roman" w:hAnsi="Times New Roman" w:cs="Times New Roman"/>
          <w:sz w:val="24"/>
          <w:szCs w:val="24"/>
        </w:rPr>
        <w:t xml:space="preserve">involve </w:t>
      </w:r>
      <w:r>
        <w:rPr>
          <w:rFonts w:ascii="Times New Roman" w:hAnsi="Times New Roman" w:cs="Times New Roman"/>
          <w:sz w:val="24"/>
          <w:szCs w:val="24"/>
        </w:rPr>
        <w:t>statistical methods.</w:t>
      </w:r>
    </w:p>
    <w:sectPr w:rsidR="00527E1E" w:rsidSect="00400AB1">
      <w:headerReference w:type="even" r:id="rId11"/>
      <w:headerReference w:type="default" r:id="rId12"/>
      <w:endnotePr>
        <w:numFmt w:val="decimal"/>
      </w:endnotePr>
      <w:pgSz w:w="12240" w:h="15840"/>
      <w:pgMar w:top="1440" w:right="1440" w:bottom="1440" w:left="1440" w:header="900" w:footer="144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55" w:rsidRDefault="002D0655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2D0655" w:rsidRDefault="002D0655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2D0655" w:rsidRDefault="002D0655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55" w:rsidRDefault="002D0655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2D0655" w:rsidRDefault="002D0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7C" w:rsidRDefault="00EC4A7C" w:rsidP="00400AB1">
    <w:pPr>
      <w:spacing w:after="140" w:line="100" w:lineRule="exact"/>
      <w:rPr>
        <w:rFonts w:cs="Times New Roman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EEE"/>
    <w:rsid w:val="00001F9A"/>
    <w:rsid w:val="000303A9"/>
    <w:rsid w:val="0005104A"/>
    <w:rsid w:val="000C6B6F"/>
    <w:rsid w:val="001C1097"/>
    <w:rsid w:val="0028674B"/>
    <w:rsid w:val="00293DE6"/>
    <w:rsid w:val="002A2FFC"/>
    <w:rsid w:val="002D0655"/>
    <w:rsid w:val="002E1C6A"/>
    <w:rsid w:val="00315BB3"/>
    <w:rsid w:val="003B1C52"/>
    <w:rsid w:val="003B7D87"/>
    <w:rsid w:val="003F37DB"/>
    <w:rsid w:val="00400AB1"/>
    <w:rsid w:val="00422238"/>
    <w:rsid w:val="0043612D"/>
    <w:rsid w:val="00446BCC"/>
    <w:rsid w:val="00482D26"/>
    <w:rsid w:val="004C27A5"/>
    <w:rsid w:val="005103D4"/>
    <w:rsid w:val="00527E1E"/>
    <w:rsid w:val="00572F59"/>
    <w:rsid w:val="00594FA7"/>
    <w:rsid w:val="005A0A4A"/>
    <w:rsid w:val="00607CDF"/>
    <w:rsid w:val="00672B0A"/>
    <w:rsid w:val="006B6972"/>
    <w:rsid w:val="00776081"/>
    <w:rsid w:val="007C47E8"/>
    <w:rsid w:val="007D567D"/>
    <w:rsid w:val="00815306"/>
    <w:rsid w:val="00843A80"/>
    <w:rsid w:val="00846FF2"/>
    <w:rsid w:val="008D280B"/>
    <w:rsid w:val="008D4CD9"/>
    <w:rsid w:val="009037BB"/>
    <w:rsid w:val="00911EBB"/>
    <w:rsid w:val="00944CAF"/>
    <w:rsid w:val="009748EF"/>
    <w:rsid w:val="009B75D0"/>
    <w:rsid w:val="009E7275"/>
    <w:rsid w:val="00A22672"/>
    <w:rsid w:val="00A27F2F"/>
    <w:rsid w:val="00A323A1"/>
    <w:rsid w:val="00A5020F"/>
    <w:rsid w:val="00B14814"/>
    <w:rsid w:val="00B42EEE"/>
    <w:rsid w:val="00B43004"/>
    <w:rsid w:val="00B614C3"/>
    <w:rsid w:val="00B87BA8"/>
    <w:rsid w:val="00C10341"/>
    <w:rsid w:val="00C22CB4"/>
    <w:rsid w:val="00C63C29"/>
    <w:rsid w:val="00CE3A05"/>
    <w:rsid w:val="00D31780"/>
    <w:rsid w:val="00E176AE"/>
    <w:rsid w:val="00E24906"/>
    <w:rsid w:val="00E84085"/>
    <w:rsid w:val="00EC4A7C"/>
    <w:rsid w:val="00F20811"/>
    <w:rsid w:val="00F513E3"/>
    <w:rsid w:val="00FC122A"/>
    <w:rsid w:val="00FC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1780"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semiHidden/>
    <w:rsid w:val="00D31780"/>
    <w:rPr>
      <w:vertAlign w:val="superscript"/>
    </w:rPr>
  </w:style>
  <w:style w:type="paragraph" w:styleId="FootnoteText">
    <w:name w:val="footnote text"/>
    <w:basedOn w:val="Normal"/>
    <w:semiHidden/>
    <w:rsid w:val="00D31780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D31780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317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D317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D317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31780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17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D31780"/>
    <w:rPr>
      <w:rFonts w:cs="Times New Roman"/>
      <w:sz w:val="24"/>
      <w:szCs w:val="24"/>
    </w:rPr>
  </w:style>
  <w:style w:type="character" w:customStyle="1" w:styleId="EquationCaption">
    <w:name w:val="_Equation Caption"/>
    <w:rsid w:val="00D31780"/>
  </w:style>
  <w:style w:type="paragraph" w:styleId="BodyText">
    <w:name w:val="Body Text"/>
    <w:basedOn w:val="Normal"/>
    <w:rsid w:val="00D31780"/>
    <w:pPr>
      <w:tabs>
        <w:tab w:val="left" w:pos="-720"/>
      </w:tabs>
      <w:suppressAutoHyphens/>
      <w:spacing w:line="240" w:lineRule="atLeas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03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37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2CB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C22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2CB4"/>
  </w:style>
  <w:style w:type="character" w:customStyle="1" w:styleId="CommentTextChar">
    <w:name w:val="Comment Text Char"/>
    <w:basedOn w:val="DefaultParagraphFont"/>
    <w:link w:val="CommentText"/>
    <w:rsid w:val="00C22CB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C22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2CB4"/>
    <w:rPr>
      <w:b/>
      <w:bCs/>
    </w:rPr>
  </w:style>
  <w:style w:type="paragraph" w:styleId="Header">
    <w:name w:val="header"/>
    <w:basedOn w:val="Normal"/>
    <w:link w:val="HeaderChar"/>
    <w:rsid w:val="00400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0AB1"/>
    <w:rPr>
      <w:rFonts w:ascii="Courier New" w:hAnsi="Courier New" w:cs="Courier New"/>
    </w:rPr>
  </w:style>
  <w:style w:type="paragraph" w:styleId="Footer">
    <w:name w:val="footer"/>
    <w:basedOn w:val="Normal"/>
    <w:link w:val="FooterChar"/>
    <w:rsid w:val="00400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0AB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pporting Statement" ma:contentTypeID="0x010100104403C7F330A949B0014E85671C68EA0071AEA7D65E5BA640BA7B6E0B0D859662" ma:contentTypeVersion="0" ma:contentTypeDescription="" ma:contentTypeScope="" ma:versionID="82dee29a91b6707069aaba575377df56">
  <xsd:schema xmlns:xsd="http://www.w3.org/2001/XMLSchema" xmlns:p="http://schemas.microsoft.com/office/2006/metadata/properties" targetNamespace="http://schemas.microsoft.com/office/2006/metadata/properties" ma:root="true" ma:fieldsID="94d241c545b3a50638e197b915ed4c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B47A-6597-460E-8C80-7CD9A1512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E7954-2A7C-4139-8EA3-2350F1E07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383E8B7-28D2-414C-8528-079EBA98B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142B74-1604-4F54-848A-716CDEDC5C85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137ABDE-CEBD-488B-B88B-5D88D255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and Exchange Commission</Company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bhaml</cp:lastModifiedBy>
  <cp:revision>2</cp:revision>
  <cp:lastPrinted>2011-06-20T16:34:00Z</cp:lastPrinted>
  <dcterms:created xsi:type="dcterms:W3CDTF">2011-08-26T15:35:00Z</dcterms:created>
  <dcterms:modified xsi:type="dcterms:W3CDTF">2011-08-26T15:35:00Z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0x010100104403C7F330A949B0014E85671C68EA0071AEA7D65E5BA640BA7B6E0B0D859662</vt:lpwstr>
  </property>
  <property fmtid="{D5CDD505-2E9C-101B-9397-08002B2CF9AE}" pid="3" name="ContentType">
    <vt:lpwstr>Supporting Statement</vt:lpwstr>
  </property>
</Properties>
</file>