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40A" w:rsidRPr="00562989" w:rsidRDefault="00C1240A">
      <w:pPr>
        <w:keepLines/>
        <w:tabs>
          <w:tab w:val="left" w:pos="-720"/>
        </w:tabs>
        <w:suppressAutoHyphens/>
        <w:spacing w:line="240" w:lineRule="atLeast"/>
        <w:ind w:firstLine="0"/>
        <w:jc w:val="center"/>
        <w:rPr>
          <w:b/>
          <w:bCs/>
          <w:szCs w:val="24"/>
        </w:rPr>
      </w:pPr>
      <w:r w:rsidRPr="00562989">
        <w:rPr>
          <w:b/>
          <w:bCs/>
          <w:szCs w:val="24"/>
        </w:rPr>
        <w:t>SUPPORTING STATEMENT</w:t>
      </w:r>
    </w:p>
    <w:p w:rsidR="00E95F37" w:rsidRPr="00562989" w:rsidRDefault="004444EA">
      <w:pPr>
        <w:keepLines/>
        <w:tabs>
          <w:tab w:val="left" w:pos="-720"/>
        </w:tabs>
        <w:suppressAutoHyphens/>
        <w:spacing w:line="240" w:lineRule="atLeast"/>
        <w:ind w:firstLine="0"/>
        <w:jc w:val="center"/>
        <w:rPr>
          <w:b/>
          <w:bCs/>
          <w:szCs w:val="24"/>
        </w:rPr>
      </w:pPr>
      <w:r>
        <w:rPr>
          <w:b/>
          <w:bCs/>
          <w:szCs w:val="24"/>
        </w:rPr>
        <w:t>REVISIONS TO</w:t>
      </w:r>
      <w:r w:rsidR="00A00068" w:rsidRPr="00562989">
        <w:rPr>
          <w:b/>
          <w:bCs/>
          <w:szCs w:val="24"/>
        </w:rPr>
        <w:t xml:space="preserve"> RULE</w:t>
      </w:r>
      <w:r w:rsidR="00E95F37" w:rsidRPr="00562989">
        <w:rPr>
          <w:b/>
          <w:bCs/>
          <w:szCs w:val="24"/>
        </w:rPr>
        <w:t xml:space="preserve"> 204-2</w:t>
      </w:r>
    </w:p>
    <w:p w:rsidR="00C1240A" w:rsidRPr="00562989" w:rsidRDefault="00C1240A">
      <w:pPr>
        <w:keepLines/>
        <w:tabs>
          <w:tab w:val="left" w:pos="-720"/>
        </w:tabs>
        <w:suppressAutoHyphens/>
        <w:spacing w:line="240" w:lineRule="atLeast"/>
        <w:jc w:val="center"/>
        <w:rPr>
          <w:b/>
          <w:bCs/>
          <w:szCs w:val="24"/>
        </w:rPr>
      </w:pPr>
    </w:p>
    <w:p w:rsidR="00C1240A" w:rsidRPr="00562989" w:rsidRDefault="00C1240A">
      <w:pPr>
        <w:keepLines/>
        <w:tabs>
          <w:tab w:val="left" w:pos="-720"/>
        </w:tabs>
        <w:suppressAutoHyphens/>
        <w:spacing w:line="240" w:lineRule="atLeast"/>
        <w:jc w:val="both"/>
        <w:rPr>
          <w:b/>
          <w:bCs/>
          <w:szCs w:val="24"/>
        </w:rPr>
        <w:sectPr w:rsidR="00C1240A" w:rsidRPr="00562989">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pPr>
    </w:p>
    <w:p w:rsidR="00C1240A" w:rsidRPr="00562989" w:rsidRDefault="00E95F37">
      <w:pPr>
        <w:pStyle w:val="Heading7"/>
        <w:keepLines/>
        <w:widowControl w:val="0"/>
        <w:tabs>
          <w:tab w:val="left" w:pos="-720"/>
        </w:tabs>
        <w:suppressAutoHyphens/>
        <w:autoSpaceDE w:val="0"/>
        <w:autoSpaceDN w:val="0"/>
        <w:adjustRightInd w:val="0"/>
        <w:ind w:firstLine="0"/>
      </w:pPr>
      <w:r w:rsidRPr="00562989">
        <w:lastRenderedPageBreak/>
        <w:t>A.</w:t>
      </w:r>
      <w:r w:rsidRPr="00562989">
        <w:tab/>
        <w:t>JUSTIFICATION</w:t>
      </w:r>
    </w:p>
    <w:p w:rsidR="00C1240A" w:rsidRPr="008E7C64" w:rsidRDefault="00C1240A">
      <w:pPr>
        <w:keepLines/>
        <w:tabs>
          <w:tab w:val="left" w:pos="-720"/>
        </w:tabs>
        <w:suppressAutoHyphens/>
        <w:rPr>
          <w:color w:val="000000"/>
          <w:szCs w:val="24"/>
        </w:rPr>
      </w:pPr>
      <w:r w:rsidRPr="008E7C64">
        <w:rPr>
          <w:b/>
          <w:bCs/>
          <w:color w:val="000000"/>
          <w:szCs w:val="24"/>
        </w:rPr>
        <w:t>1.</w:t>
      </w:r>
      <w:r w:rsidRPr="008E7C64">
        <w:rPr>
          <w:b/>
          <w:bCs/>
          <w:color w:val="000000"/>
          <w:szCs w:val="24"/>
        </w:rPr>
        <w:tab/>
        <w:t>Necessity for the Information Collection</w:t>
      </w:r>
    </w:p>
    <w:p w:rsidR="00004548" w:rsidRDefault="00004548" w:rsidP="00004548">
      <w:pPr>
        <w:pStyle w:val="BodyTextIndent"/>
        <w:rPr>
          <w:color w:val="000000"/>
          <w:szCs w:val="24"/>
        </w:rPr>
      </w:pPr>
      <w:r w:rsidRPr="008E7C64">
        <w:rPr>
          <w:color w:val="000000"/>
          <w:szCs w:val="24"/>
        </w:rPr>
        <w:t>Section 204 of the Investment Advisers Act of 1940 (“Advisers Act”)</w:t>
      </w:r>
      <w:r w:rsidRPr="008E7C64">
        <w:rPr>
          <w:rStyle w:val="FootnoteReference"/>
          <w:color w:val="000000"/>
          <w:szCs w:val="24"/>
        </w:rPr>
        <w:footnoteReference w:id="1"/>
      </w:r>
      <w:r w:rsidRPr="008E7C64">
        <w:rPr>
          <w:color w:val="000000"/>
          <w:szCs w:val="24"/>
        </w:rPr>
        <w:t xml:space="preserve"> provides that investment advisers required to register with the Securities and Exchange Commission (the “Commission”) must make and keep certain records for prescribed periods, and make and disseminate certain reports.  Advisers Act rule 204-2</w:t>
      </w:r>
      <w:r w:rsidRPr="008E7C64">
        <w:rPr>
          <w:rStyle w:val="FootnoteReference"/>
          <w:color w:val="000000"/>
          <w:szCs w:val="24"/>
        </w:rPr>
        <w:footnoteReference w:id="2"/>
      </w:r>
      <w:r w:rsidRPr="008E7C64">
        <w:rPr>
          <w:color w:val="000000"/>
          <w:szCs w:val="24"/>
        </w:rPr>
        <w:t xml:space="preserve"> also sets forth mandatory requirements for maintaining and preserving specified books and records.  The records that an adviser must keep in accordance with rule 204-2 must generally be retained for not less than five years.</w:t>
      </w:r>
      <w:bookmarkStart w:id="0" w:name="_Ref73499579"/>
      <w:r w:rsidRPr="008E7C64">
        <w:rPr>
          <w:rStyle w:val="FootnoteReference"/>
          <w:color w:val="000000"/>
          <w:szCs w:val="24"/>
        </w:rPr>
        <w:footnoteReference w:id="3"/>
      </w:r>
      <w:bookmarkEnd w:id="0"/>
      <w:r w:rsidRPr="008E7C64">
        <w:rPr>
          <w:color w:val="000000"/>
          <w:szCs w:val="24"/>
        </w:rPr>
        <w:t xml:space="preserve">  </w:t>
      </w:r>
      <w:r w:rsidR="00432046" w:rsidRPr="008E7C64">
        <w:rPr>
          <w:color w:val="000000"/>
          <w:szCs w:val="24"/>
        </w:rPr>
        <w:t>These requirements constitute a mandatory “collection of information,” within the meaning of the Paperwork Reduction Act.  The collection has been previously approved and subsequently extended under O</w:t>
      </w:r>
      <w:r w:rsidR="000D5D73" w:rsidRPr="008E7C64">
        <w:rPr>
          <w:color w:val="000000"/>
          <w:szCs w:val="24"/>
        </w:rPr>
        <w:t xml:space="preserve">ffice of </w:t>
      </w:r>
      <w:r w:rsidR="00432046" w:rsidRPr="008E7C64">
        <w:rPr>
          <w:color w:val="000000"/>
          <w:szCs w:val="24"/>
        </w:rPr>
        <w:t>M</w:t>
      </w:r>
      <w:r w:rsidR="000D5D73" w:rsidRPr="008E7C64">
        <w:rPr>
          <w:color w:val="000000"/>
          <w:szCs w:val="24"/>
        </w:rPr>
        <w:t xml:space="preserve">anagement and </w:t>
      </w:r>
      <w:r w:rsidR="00432046" w:rsidRPr="008E7C64">
        <w:rPr>
          <w:color w:val="000000"/>
          <w:szCs w:val="24"/>
        </w:rPr>
        <w:t>B</w:t>
      </w:r>
      <w:r w:rsidR="000D5D73" w:rsidRPr="008E7C64">
        <w:rPr>
          <w:color w:val="000000"/>
          <w:szCs w:val="24"/>
        </w:rPr>
        <w:t>udget</w:t>
      </w:r>
      <w:r w:rsidR="00432046" w:rsidRPr="008E7C64">
        <w:rPr>
          <w:color w:val="000000"/>
          <w:szCs w:val="24"/>
        </w:rPr>
        <w:t xml:space="preserve"> </w:t>
      </w:r>
      <w:r w:rsidR="000D5D73" w:rsidRPr="008E7C64">
        <w:rPr>
          <w:color w:val="000000"/>
          <w:szCs w:val="24"/>
        </w:rPr>
        <w:t xml:space="preserve">(“OMB”) </w:t>
      </w:r>
      <w:r w:rsidR="00432046" w:rsidRPr="008E7C64">
        <w:rPr>
          <w:color w:val="000000"/>
          <w:szCs w:val="24"/>
        </w:rPr>
        <w:t>control number 3235-0278, and it is found at 17 CFR 275.204-2.</w:t>
      </w:r>
      <w:r w:rsidR="007C203F" w:rsidRPr="008E7C64">
        <w:rPr>
          <w:color w:val="000000"/>
          <w:szCs w:val="24"/>
        </w:rPr>
        <w:t xml:space="preserve"> </w:t>
      </w:r>
      <w:r w:rsidR="000D5D73" w:rsidRPr="008E7C64">
        <w:rPr>
          <w:color w:val="000000"/>
          <w:szCs w:val="24"/>
        </w:rPr>
        <w:t xml:space="preserve"> An agency may not conduct or sponsor, and a person is not required to respond to, a collection of information unless it displays a currently valid OMB number.</w:t>
      </w:r>
    </w:p>
    <w:p w:rsidR="00C661C2" w:rsidRPr="008E7C64" w:rsidRDefault="00C661C2" w:rsidP="00004548">
      <w:pPr>
        <w:pStyle w:val="BodyTextIndent"/>
        <w:rPr>
          <w:color w:val="000000"/>
          <w:szCs w:val="24"/>
        </w:rPr>
      </w:pPr>
      <w:r w:rsidRPr="00C661C2">
        <w:rPr>
          <w:rFonts w:cs="Times New Roman"/>
          <w:color w:val="000000"/>
        </w:rPr>
        <w:t xml:space="preserve">On November 19, 2010, the Commission proposed amendments to </w:t>
      </w:r>
      <w:r>
        <w:rPr>
          <w:rFonts w:cs="Times New Roman"/>
          <w:color w:val="000000"/>
        </w:rPr>
        <w:t>rule 204-2</w:t>
      </w:r>
      <w:r w:rsidRPr="00C661C2">
        <w:rPr>
          <w:rFonts w:cs="Times New Roman"/>
          <w:color w:val="000000"/>
        </w:rPr>
        <w:t xml:space="preserve"> </w:t>
      </w:r>
      <w:r w:rsidR="00BF4110">
        <w:rPr>
          <w:rFonts w:cs="Times New Roman"/>
          <w:color w:val="000000"/>
        </w:rPr>
        <w:t>as part of a broader set of proposed new rules and rule and form amendments meant</w:t>
      </w:r>
      <w:r w:rsidR="008B337D">
        <w:rPr>
          <w:rFonts w:cs="Times New Roman"/>
          <w:color w:val="000000"/>
        </w:rPr>
        <w:t xml:space="preserve"> to</w:t>
      </w:r>
      <w:r w:rsidRPr="00C661C2">
        <w:rPr>
          <w:rFonts w:cs="Times New Roman"/>
          <w:color w:val="000000"/>
        </w:rPr>
        <w:t xml:space="preserve"> </w:t>
      </w:r>
      <w:r w:rsidRPr="00C661C2">
        <w:rPr>
          <w:sz w:val="23"/>
          <w:szCs w:val="23"/>
        </w:rPr>
        <w:t>implement provisions of the Dodd-Frank Wall Street Reform and Consumer Protection Act (“Dodd-Frank Act”)</w:t>
      </w:r>
      <w:r w:rsidRPr="00C661C2">
        <w:rPr>
          <w:rFonts w:cs="Times New Roman"/>
          <w:color w:val="000000"/>
        </w:rPr>
        <w:t>.</w:t>
      </w:r>
      <w:bookmarkStart w:id="1" w:name="_Ref279417754"/>
      <w:r w:rsidRPr="00C661C2">
        <w:rPr>
          <w:rFonts w:cs="Times New Roman"/>
          <w:color w:val="000000"/>
          <w:vertAlign w:val="superscript"/>
        </w:rPr>
        <w:footnoteReference w:id="4"/>
      </w:r>
      <w:bookmarkEnd w:id="1"/>
      <w:r w:rsidR="00C431CB">
        <w:rPr>
          <w:rFonts w:cs="Times New Roman"/>
          <w:color w:val="000000"/>
        </w:rPr>
        <w:t xml:space="preserve">  </w:t>
      </w:r>
      <w:r w:rsidR="00C431CB" w:rsidRPr="00C431CB">
        <w:rPr>
          <w:rFonts w:cs="Times New Roman"/>
          <w:color w:val="000000"/>
        </w:rPr>
        <w:t xml:space="preserve">The </w:t>
      </w:r>
      <w:r w:rsidR="00C431CB" w:rsidRPr="00C431CB">
        <w:rPr>
          <w:rFonts w:cs="Times New Roman"/>
          <w:color w:val="000000"/>
        </w:rPr>
        <w:lastRenderedPageBreak/>
        <w:t xml:space="preserve">Commission </w:t>
      </w:r>
      <w:r w:rsidR="00C431CB">
        <w:rPr>
          <w:rFonts w:cs="Times New Roman"/>
          <w:color w:val="000000"/>
        </w:rPr>
        <w:t>adopted the amendments</w:t>
      </w:r>
      <w:r w:rsidR="00C431CB" w:rsidRPr="00C431CB">
        <w:rPr>
          <w:rFonts w:cs="Times New Roman"/>
          <w:color w:val="000000"/>
        </w:rPr>
        <w:t xml:space="preserve"> on June 22, 2011.</w:t>
      </w:r>
      <w:bookmarkStart w:id="2" w:name="_Ref295725482"/>
      <w:r w:rsidR="00C431CB" w:rsidRPr="00C431CB">
        <w:rPr>
          <w:rFonts w:cs="Times New Roman"/>
          <w:color w:val="000000"/>
          <w:vertAlign w:val="superscript"/>
        </w:rPr>
        <w:footnoteReference w:id="5"/>
      </w:r>
      <w:bookmarkEnd w:id="2"/>
      <w:r w:rsidR="00C431CB">
        <w:rPr>
          <w:rFonts w:cs="Times New Roman"/>
          <w:color w:val="000000"/>
        </w:rPr>
        <w:t xml:space="preserve">  </w:t>
      </w:r>
      <w:r w:rsidR="00BF4110">
        <w:rPr>
          <w:rFonts w:cs="Times New Roman"/>
          <w:color w:val="000000"/>
        </w:rPr>
        <w:t xml:space="preserve">Specifically, the Commission </w:t>
      </w:r>
      <w:r w:rsidR="00C431CB">
        <w:rPr>
          <w:rFonts w:cs="Times New Roman"/>
          <w:color w:val="000000"/>
        </w:rPr>
        <w:t>amended</w:t>
      </w:r>
      <w:r w:rsidR="00BF4110" w:rsidRPr="00B8227A">
        <w:rPr>
          <w:szCs w:val="24"/>
        </w:rPr>
        <w:t xml:space="preserve"> rule 204-2 to update the rule’s “grandfathering provision” for investment advisers that are currently exempt from registration under the “private adviser” exemption, but will be required to register when the Dodd-Frank Act’s elimination of the “private adviser” exemption</w:t>
      </w:r>
      <w:r w:rsidR="00134D9F">
        <w:rPr>
          <w:szCs w:val="24"/>
        </w:rPr>
        <w:t xml:space="preserve"> in section 203(b)(3) of the Advisers Act</w:t>
      </w:r>
      <w:r w:rsidR="00BF4110" w:rsidRPr="00B8227A">
        <w:rPr>
          <w:szCs w:val="24"/>
        </w:rPr>
        <w:t xml:space="preserve"> becomes effective on July 21, 2011.</w:t>
      </w:r>
      <w:r w:rsidR="00BF4110" w:rsidRPr="00BF4110">
        <w:rPr>
          <w:rFonts w:eastAsia="Calibri" w:cs="Times New Roman"/>
          <w:vertAlign w:val="superscript"/>
        </w:rPr>
        <w:t xml:space="preserve"> </w:t>
      </w:r>
      <w:r w:rsidR="00BF4110" w:rsidRPr="00BF4110">
        <w:rPr>
          <w:rFonts w:eastAsia="Calibri" w:cs="Times New Roman"/>
          <w:vertAlign w:val="superscript"/>
        </w:rPr>
        <w:footnoteReference w:id="6"/>
      </w:r>
      <w:r w:rsidR="00BF4110">
        <w:rPr>
          <w:rFonts w:eastAsia="Calibri" w:cs="Times New Roman"/>
          <w:szCs w:val="24"/>
        </w:rPr>
        <w:t xml:space="preserve">  </w:t>
      </w:r>
      <w:r w:rsidR="00BF4110" w:rsidRPr="00BF4110">
        <w:rPr>
          <w:rFonts w:eastAsia="Calibri" w:cs="Times New Roman"/>
          <w:szCs w:val="24"/>
        </w:rPr>
        <w:t xml:space="preserve">Under the amended grandfathering provision, an adviser that was exempt from registration under section 203(b)(3) of the Advisers Act prior to July 21, 2011 </w:t>
      </w:r>
      <w:r w:rsidR="00C431CB">
        <w:rPr>
          <w:rFonts w:eastAsia="Calibri" w:cs="Times New Roman"/>
          <w:szCs w:val="24"/>
        </w:rPr>
        <w:t>is not</w:t>
      </w:r>
      <w:r w:rsidR="00BF4110" w:rsidRPr="00BF4110">
        <w:rPr>
          <w:rFonts w:eastAsia="Calibri" w:cs="Times New Roman"/>
          <w:szCs w:val="24"/>
        </w:rPr>
        <w:t xml:space="preserve"> required to maintain certain books and records concerning performance or rate of return of a private fund or other account for any period </w:t>
      </w:r>
      <w:r w:rsidR="00C431CB">
        <w:rPr>
          <w:rFonts w:eastAsia="Calibri" w:cs="Times New Roman"/>
          <w:szCs w:val="24"/>
        </w:rPr>
        <w:t>the</w:t>
      </w:r>
      <w:r w:rsidR="00BF4110" w:rsidRPr="00BF4110">
        <w:rPr>
          <w:rFonts w:eastAsia="Calibri" w:cs="Times New Roman"/>
          <w:szCs w:val="24"/>
        </w:rPr>
        <w:t xml:space="preserve"> adviser was not registered with the Commission.</w:t>
      </w:r>
    </w:p>
    <w:p w:rsidR="00B9526B" w:rsidRDefault="00E95F37" w:rsidP="000966BA">
      <w:pPr>
        <w:pStyle w:val="BodyTextIndent3"/>
        <w:ind w:left="0"/>
      </w:pPr>
      <w:r w:rsidRPr="00562989">
        <w:rPr>
          <w:b/>
          <w:bCs/>
        </w:rPr>
        <w:t>2.</w:t>
      </w:r>
      <w:r w:rsidRPr="00562989">
        <w:rPr>
          <w:b/>
          <w:bCs/>
        </w:rPr>
        <w:tab/>
        <w:t>Purpose</w:t>
      </w:r>
      <w:r w:rsidR="00C1240A" w:rsidRPr="00562989">
        <w:rPr>
          <w:b/>
          <w:bCs/>
        </w:rPr>
        <w:t xml:space="preserve"> of </w:t>
      </w:r>
      <w:r w:rsidRPr="00562989">
        <w:rPr>
          <w:b/>
          <w:bCs/>
        </w:rPr>
        <w:t xml:space="preserve">the </w:t>
      </w:r>
      <w:r w:rsidR="00C1240A" w:rsidRPr="00562989">
        <w:rPr>
          <w:b/>
          <w:bCs/>
        </w:rPr>
        <w:t>Information Collection</w:t>
      </w:r>
    </w:p>
    <w:p w:rsidR="000966BA" w:rsidRDefault="005B1B1C" w:rsidP="000966BA">
      <w:pPr>
        <w:rPr>
          <w:szCs w:val="24"/>
        </w:rPr>
      </w:pPr>
      <w:r w:rsidRPr="00562989">
        <w:rPr>
          <w:szCs w:val="24"/>
        </w:rPr>
        <w:t>The purpose of the information collecti</w:t>
      </w:r>
      <w:r w:rsidR="000966BA">
        <w:rPr>
          <w:szCs w:val="24"/>
        </w:rPr>
        <w:t>on in rule 204-2</w:t>
      </w:r>
      <w:r w:rsidR="000C23B1" w:rsidRPr="00562989">
        <w:rPr>
          <w:szCs w:val="24"/>
        </w:rPr>
        <w:t xml:space="preserve"> is to assist</w:t>
      </w:r>
      <w:r w:rsidR="00094FE0" w:rsidRPr="00562989">
        <w:rPr>
          <w:szCs w:val="24"/>
        </w:rPr>
        <w:t xml:space="preserve"> the Commission</w:t>
      </w:r>
      <w:r w:rsidR="000C23B1" w:rsidRPr="00562989">
        <w:rPr>
          <w:szCs w:val="24"/>
        </w:rPr>
        <w:t>’s</w:t>
      </w:r>
      <w:r w:rsidR="00094FE0" w:rsidRPr="00562989">
        <w:rPr>
          <w:szCs w:val="24"/>
        </w:rPr>
        <w:t xml:space="preserve"> examination and oversight program</w:t>
      </w:r>
      <w:r w:rsidR="000C23B1" w:rsidRPr="00562989">
        <w:rPr>
          <w:szCs w:val="24"/>
        </w:rPr>
        <w:t xml:space="preserve"> in determining compliance with the Advisers Act and rules</w:t>
      </w:r>
      <w:r w:rsidR="00094FE0" w:rsidRPr="00562989">
        <w:rPr>
          <w:szCs w:val="24"/>
        </w:rPr>
        <w:t xml:space="preserve">.  </w:t>
      </w:r>
      <w:r w:rsidR="00820BB7" w:rsidRPr="008E7C64">
        <w:rPr>
          <w:color w:val="000000"/>
          <w:szCs w:val="24"/>
        </w:rPr>
        <w:t>The respondents are investment advisers registered with us.</w:t>
      </w:r>
      <w:r w:rsidR="00820BB7">
        <w:rPr>
          <w:color w:val="000000"/>
          <w:szCs w:val="24"/>
        </w:rPr>
        <w:t xml:space="preserve">  </w:t>
      </w:r>
      <w:r w:rsidR="00141031" w:rsidRPr="00562989">
        <w:rPr>
          <w:szCs w:val="24"/>
        </w:rPr>
        <w:t>Responses provided to the</w:t>
      </w:r>
      <w:r w:rsidR="00025E2E" w:rsidRPr="00562989">
        <w:rPr>
          <w:szCs w:val="24"/>
        </w:rPr>
        <w:t xml:space="preserve"> </w:t>
      </w:r>
      <w:r w:rsidR="00141031" w:rsidRPr="00562989">
        <w:rPr>
          <w:szCs w:val="24"/>
        </w:rPr>
        <w:t>Commission in the context of its examination and oversight program are generally kept confidential.</w:t>
      </w:r>
      <w:bookmarkStart w:id="3" w:name="_Ref269459858"/>
      <w:r w:rsidR="00141031" w:rsidRPr="00562989">
        <w:rPr>
          <w:rStyle w:val="FootnoteReference"/>
          <w:color w:val="000000"/>
          <w:szCs w:val="24"/>
        </w:rPr>
        <w:footnoteReference w:id="7"/>
      </w:r>
      <w:bookmarkEnd w:id="3"/>
    </w:p>
    <w:p w:rsidR="000966BA" w:rsidRPr="000966BA" w:rsidRDefault="000966BA" w:rsidP="000966BA">
      <w:r>
        <w:rPr>
          <w:szCs w:val="24"/>
        </w:rPr>
        <w:lastRenderedPageBreak/>
        <w:t>The purpose of our amendment to the grandfathering provision in rul</w:t>
      </w:r>
      <w:r>
        <w:rPr>
          <w:szCs w:val="22"/>
        </w:rPr>
        <w:t xml:space="preserve">e 204-2 is to </w:t>
      </w:r>
      <w:r w:rsidRPr="000966BA">
        <w:t xml:space="preserve">assure that advisers newly subject to the rule due to elimination of the “private adviser” exemption in existing section 203(b)(3) do not face a retroactively-imposed recordkeeping requirement.  However, the </w:t>
      </w:r>
      <w:r>
        <w:t xml:space="preserve">amended </w:t>
      </w:r>
      <w:r w:rsidRPr="000966BA">
        <w:t>grandfathering provision require</w:t>
      </w:r>
      <w:r w:rsidR="00C431CB">
        <w:t>s</w:t>
      </w:r>
      <w:r w:rsidRPr="000966BA">
        <w:t xml:space="preserve"> these advisers to continue to preserve any books and records in their possession that pertain to the performance or rate of return of a private fund or other account for the two and five year periods</w:t>
      </w:r>
      <w:r w:rsidR="00134D9F">
        <w:t xml:space="preserve"> otherwise required by the rule</w:t>
      </w:r>
      <w:r w:rsidRPr="000966BA">
        <w:t>.</w:t>
      </w:r>
    </w:p>
    <w:p w:rsidR="00C1240A" w:rsidRPr="00562989" w:rsidRDefault="00C1240A" w:rsidP="004D48A8">
      <w:pPr>
        <w:keepNext/>
        <w:keepLines/>
        <w:tabs>
          <w:tab w:val="left" w:pos="0"/>
        </w:tabs>
        <w:rPr>
          <w:b/>
          <w:bCs/>
          <w:szCs w:val="24"/>
        </w:rPr>
      </w:pPr>
      <w:r w:rsidRPr="00562989">
        <w:rPr>
          <w:b/>
          <w:bCs/>
          <w:szCs w:val="24"/>
        </w:rPr>
        <w:t>3.</w:t>
      </w:r>
      <w:r w:rsidRPr="00562989">
        <w:rPr>
          <w:b/>
          <w:bCs/>
          <w:szCs w:val="24"/>
        </w:rPr>
        <w:tab/>
      </w:r>
      <w:r w:rsidR="00E95F37" w:rsidRPr="00562989">
        <w:rPr>
          <w:b/>
          <w:bCs/>
          <w:szCs w:val="24"/>
        </w:rPr>
        <w:t>Role of Improved Information</w:t>
      </w:r>
      <w:r w:rsidRPr="00562989">
        <w:rPr>
          <w:b/>
          <w:bCs/>
          <w:szCs w:val="24"/>
        </w:rPr>
        <w:t xml:space="preserve"> Technology</w:t>
      </w:r>
    </w:p>
    <w:p w:rsidR="00C1240A" w:rsidRPr="00562989" w:rsidRDefault="0010577E" w:rsidP="004D48A8">
      <w:pPr>
        <w:pStyle w:val="BodyText"/>
        <w:keepNext/>
        <w:keepLines/>
        <w:widowControl/>
        <w:suppressAutoHyphens w:val="0"/>
        <w:spacing w:line="480" w:lineRule="auto"/>
      </w:pPr>
      <w:r w:rsidRPr="00562989">
        <w:t>T</w:t>
      </w:r>
      <w:r w:rsidR="00C1240A" w:rsidRPr="00562989">
        <w:t xml:space="preserve">he Commission’s use of computer technology in connection with </w:t>
      </w:r>
      <w:r w:rsidRPr="00562989">
        <w:t xml:space="preserve">this </w:t>
      </w:r>
      <w:r w:rsidR="00C1240A" w:rsidRPr="00562989">
        <w:t xml:space="preserve">information collection, which has been previously approved by OMB, </w:t>
      </w:r>
      <w:r w:rsidR="00C431CB">
        <w:t>will</w:t>
      </w:r>
      <w:r w:rsidR="00C1240A" w:rsidRPr="00562989">
        <w:t xml:space="preserve"> not change.</w:t>
      </w:r>
      <w:r w:rsidR="007F2DEA" w:rsidRPr="00562989">
        <w:t xml:space="preserve">  The Commission currently permits advisers to </w:t>
      </w:r>
      <w:r w:rsidR="00FD73BB" w:rsidRPr="00562989">
        <w:t>maintain records required by the rule through electronic media</w:t>
      </w:r>
      <w:r w:rsidR="007F2DEA" w:rsidRPr="00562989">
        <w:t>.</w:t>
      </w:r>
      <w:r w:rsidR="007F2DEA" w:rsidRPr="00562989">
        <w:rPr>
          <w:rStyle w:val="FootnoteReference"/>
        </w:rPr>
        <w:footnoteReference w:id="8"/>
      </w:r>
    </w:p>
    <w:p w:rsidR="00C1240A" w:rsidRPr="00562989" w:rsidRDefault="00C1240A" w:rsidP="00BC0FAF">
      <w:pPr>
        <w:keepNext/>
        <w:widowControl/>
        <w:tabs>
          <w:tab w:val="left" w:pos="0"/>
        </w:tabs>
        <w:suppressAutoHyphens/>
        <w:rPr>
          <w:szCs w:val="24"/>
        </w:rPr>
      </w:pPr>
      <w:r w:rsidRPr="00562989">
        <w:rPr>
          <w:b/>
          <w:bCs/>
          <w:szCs w:val="24"/>
        </w:rPr>
        <w:t>4.</w:t>
      </w:r>
      <w:r w:rsidRPr="00562989">
        <w:rPr>
          <w:b/>
          <w:bCs/>
          <w:szCs w:val="24"/>
        </w:rPr>
        <w:tab/>
        <w:t>Efforts to Identify Duplication</w:t>
      </w:r>
    </w:p>
    <w:p w:rsidR="00C1240A" w:rsidRPr="00562989" w:rsidRDefault="00C4363B" w:rsidP="00BC0FAF">
      <w:pPr>
        <w:widowControl/>
        <w:tabs>
          <w:tab w:val="left" w:pos="0"/>
        </w:tabs>
        <w:suppressAutoHyphens/>
        <w:rPr>
          <w:b/>
          <w:bCs/>
          <w:szCs w:val="24"/>
        </w:rPr>
      </w:pPr>
      <w:r w:rsidRPr="00562989">
        <w:rPr>
          <w:szCs w:val="24"/>
        </w:rPr>
        <w:t xml:space="preserve">The collection of information requirements of the </w:t>
      </w:r>
      <w:r w:rsidR="00191715">
        <w:rPr>
          <w:szCs w:val="24"/>
        </w:rPr>
        <w:t>adopted rule</w:t>
      </w:r>
      <w:r w:rsidRPr="00562989">
        <w:rPr>
          <w:szCs w:val="24"/>
        </w:rPr>
        <w:t xml:space="preserve"> </w:t>
      </w:r>
      <w:r w:rsidR="00842616" w:rsidRPr="00562989">
        <w:rPr>
          <w:szCs w:val="24"/>
        </w:rPr>
        <w:t>amendment</w:t>
      </w:r>
      <w:r w:rsidR="00191715">
        <w:rPr>
          <w:szCs w:val="24"/>
        </w:rPr>
        <w:t>s</w:t>
      </w:r>
      <w:r w:rsidR="00842616" w:rsidRPr="00562989">
        <w:rPr>
          <w:szCs w:val="24"/>
        </w:rPr>
        <w:t xml:space="preserve"> </w:t>
      </w:r>
      <w:r w:rsidRPr="00562989">
        <w:rPr>
          <w:szCs w:val="24"/>
        </w:rPr>
        <w:t>are not duplicated elsewhere.</w:t>
      </w:r>
    </w:p>
    <w:p w:rsidR="00C1240A" w:rsidRPr="00562989" w:rsidRDefault="00C1240A" w:rsidP="00CF5E5A">
      <w:pPr>
        <w:keepNext/>
        <w:numPr>
          <w:ilvl w:val="0"/>
          <w:numId w:val="4"/>
        </w:numPr>
        <w:tabs>
          <w:tab w:val="left" w:pos="0"/>
        </w:tabs>
        <w:suppressAutoHyphens/>
        <w:rPr>
          <w:b/>
          <w:bCs/>
          <w:szCs w:val="24"/>
        </w:rPr>
      </w:pPr>
      <w:r w:rsidRPr="00562989">
        <w:rPr>
          <w:b/>
          <w:bCs/>
          <w:szCs w:val="24"/>
        </w:rPr>
        <w:t>Effect on Small Entities</w:t>
      </w:r>
    </w:p>
    <w:p w:rsidR="00CE76EE" w:rsidRPr="003A6F76" w:rsidRDefault="0060351E">
      <w:pPr>
        <w:rPr>
          <w:color w:val="000000"/>
          <w:szCs w:val="24"/>
        </w:rPr>
      </w:pPr>
      <w:r w:rsidRPr="00562989">
        <w:rPr>
          <w:szCs w:val="24"/>
        </w:rPr>
        <w:t xml:space="preserve">The requirements of the </w:t>
      </w:r>
      <w:r w:rsidR="00C221DF">
        <w:rPr>
          <w:szCs w:val="24"/>
        </w:rPr>
        <w:t xml:space="preserve">adopted </w:t>
      </w:r>
      <w:r w:rsidR="00094C5B" w:rsidRPr="00562989">
        <w:rPr>
          <w:szCs w:val="24"/>
        </w:rPr>
        <w:t xml:space="preserve">amendments to </w:t>
      </w:r>
      <w:r w:rsidRPr="00562989">
        <w:rPr>
          <w:szCs w:val="24"/>
        </w:rPr>
        <w:t xml:space="preserve">rule </w:t>
      </w:r>
      <w:r w:rsidR="00094C5B" w:rsidRPr="00562989">
        <w:rPr>
          <w:szCs w:val="24"/>
        </w:rPr>
        <w:t xml:space="preserve">204-2 </w:t>
      </w:r>
      <w:r w:rsidRPr="00562989">
        <w:rPr>
          <w:szCs w:val="24"/>
        </w:rPr>
        <w:t xml:space="preserve">are the same for all investment advisers registered with the Commission, including those that are small </w:t>
      </w:r>
      <w:r w:rsidRPr="003A6F76">
        <w:rPr>
          <w:color w:val="000000"/>
          <w:szCs w:val="24"/>
        </w:rPr>
        <w:t xml:space="preserve">entities.  </w:t>
      </w:r>
      <w:r w:rsidR="00613AA9" w:rsidRPr="003A6F76">
        <w:rPr>
          <w:color w:val="000000"/>
          <w:szCs w:val="24"/>
        </w:rPr>
        <w:t xml:space="preserve">To </w:t>
      </w:r>
      <w:r w:rsidR="003A6F76" w:rsidRPr="003A6F76">
        <w:rPr>
          <w:color w:val="000000"/>
          <w:szCs w:val="24"/>
        </w:rPr>
        <w:t xml:space="preserve">some </w:t>
      </w:r>
      <w:r w:rsidR="00613AA9" w:rsidRPr="003A6F76">
        <w:rPr>
          <w:color w:val="000000"/>
          <w:szCs w:val="24"/>
        </w:rPr>
        <w:t>extent small advisers</w:t>
      </w:r>
      <w:r w:rsidR="003258CB">
        <w:rPr>
          <w:color w:val="000000"/>
          <w:szCs w:val="24"/>
        </w:rPr>
        <w:t xml:space="preserve"> may have reduced burdens under the adopted amendments to rule 204-2.  This is because small advisers usually have less complicated business practices, fewer employees and fewer clients, and therefore may be less likely to have to prepare the memoranda required by the rule.</w:t>
      </w:r>
    </w:p>
    <w:p w:rsidR="00C1240A" w:rsidRPr="00562989" w:rsidRDefault="00C1240A">
      <w:pPr>
        <w:keepNext/>
        <w:tabs>
          <w:tab w:val="left" w:pos="0"/>
        </w:tabs>
        <w:suppressAutoHyphens/>
        <w:rPr>
          <w:szCs w:val="24"/>
        </w:rPr>
      </w:pPr>
      <w:r w:rsidRPr="00562989">
        <w:rPr>
          <w:b/>
          <w:bCs/>
          <w:szCs w:val="24"/>
        </w:rPr>
        <w:lastRenderedPageBreak/>
        <w:t>6.</w:t>
      </w:r>
      <w:r w:rsidRPr="00562989">
        <w:rPr>
          <w:b/>
          <w:bCs/>
          <w:szCs w:val="24"/>
        </w:rPr>
        <w:tab/>
      </w:r>
      <w:r w:rsidR="00E95F37" w:rsidRPr="00562989">
        <w:rPr>
          <w:b/>
          <w:bCs/>
          <w:szCs w:val="24"/>
        </w:rPr>
        <w:t xml:space="preserve">Consequences of </w:t>
      </w:r>
      <w:r w:rsidRPr="00562989">
        <w:rPr>
          <w:b/>
          <w:bCs/>
          <w:szCs w:val="24"/>
        </w:rPr>
        <w:t>Less Frequent Collection</w:t>
      </w:r>
    </w:p>
    <w:p w:rsidR="00C1240A" w:rsidRPr="00562989" w:rsidRDefault="006E5666">
      <w:pPr>
        <w:pStyle w:val="BodyText"/>
        <w:widowControl/>
        <w:spacing w:line="480" w:lineRule="auto"/>
      </w:pPr>
      <w:r w:rsidRPr="00562989">
        <w:t>Less f</w:t>
      </w:r>
      <w:r w:rsidRPr="00562989">
        <w:rPr>
          <w:spacing w:val="-3"/>
        </w:rPr>
        <w:t xml:space="preserve">requent information collection </w:t>
      </w:r>
      <w:r w:rsidR="005B5DD3" w:rsidRPr="00562989">
        <w:rPr>
          <w:spacing w:val="-3"/>
        </w:rPr>
        <w:t xml:space="preserve">would be </w:t>
      </w:r>
      <w:r w:rsidRPr="00562989">
        <w:rPr>
          <w:spacing w:val="-3"/>
        </w:rPr>
        <w:t xml:space="preserve">incompatible with the objectives of the rule and could hinder </w:t>
      </w:r>
      <w:r w:rsidR="005B5DD3" w:rsidRPr="00562989">
        <w:rPr>
          <w:spacing w:val="-3"/>
        </w:rPr>
        <w:t>the Commission</w:t>
      </w:r>
      <w:r w:rsidRPr="00562989">
        <w:rPr>
          <w:spacing w:val="-3"/>
        </w:rPr>
        <w:t xml:space="preserve">’s oversight and examination program for investment advisers and thereby reduce the </w:t>
      </w:r>
      <w:r w:rsidR="005B5DD3" w:rsidRPr="00562989">
        <w:t>protect</w:t>
      </w:r>
      <w:r w:rsidRPr="00562989">
        <w:t xml:space="preserve">ion to </w:t>
      </w:r>
      <w:r w:rsidR="005B5DD3" w:rsidRPr="00562989">
        <w:t>investors.</w:t>
      </w:r>
    </w:p>
    <w:p w:rsidR="00C1240A" w:rsidRPr="00562989" w:rsidRDefault="00C1240A">
      <w:pPr>
        <w:pStyle w:val="BodyTextIndent"/>
        <w:rPr>
          <w:b/>
          <w:bCs/>
          <w:szCs w:val="24"/>
        </w:rPr>
      </w:pPr>
      <w:r w:rsidRPr="00562989">
        <w:rPr>
          <w:b/>
          <w:bCs/>
          <w:szCs w:val="24"/>
        </w:rPr>
        <w:t>7.</w:t>
      </w:r>
      <w:r w:rsidRPr="00562989">
        <w:rPr>
          <w:b/>
          <w:bCs/>
          <w:szCs w:val="24"/>
        </w:rPr>
        <w:tab/>
        <w:t>Inconsistencies with Guidelines in 5 CFR 1320.5(d</w:t>
      </w:r>
      <w:proofErr w:type="gramStart"/>
      <w:r w:rsidRPr="00562989">
        <w:rPr>
          <w:b/>
          <w:bCs/>
          <w:szCs w:val="24"/>
        </w:rPr>
        <w:t>)(</w:t>
      </w:r>
      <w:proofErr w:type="gramEnd"/>
      <w:r w:rsidRPr="00562989">
        <w:rPr>
          <w:b/>
          <w:bCs/>
          <w:szCs w:val="24"/>
        </w:rPr>
        <w:t>2)</w:t>
      </w:r>
    </w:p>
    <w:p w:rsidR="00C1240A" w:rsidRPr="00562989" w:rsidRDefault="00C1240A" w:rsidP="007109F7">
      <w:pPr>
        <w:rPr>
          <w:szCs w:val="24"/>
        </w:rPr>
      </w:pPr>
      <w:r w:rsidRPr="00562989">
        <w:rPr>
          <w:szCs w:val="24"/>
        </w:rPr>
        <w:t>The</w:t>
      </w:r>
      <w:r w:rsidR="001110BA" w:rsidRPr="00562989">
        <w:rPr>
          <w:szCs w:val="24"/>
        </w:rPr>
        <w:t xml:space="preserve"> collection requirements under r</w:t>
      </w:r>
      <w:r w:rsidRPr="00562989">
        <w:rPr>
          <w:szCs w:val="24"/>
        </w:rPr>
        <w:t>ule 204-2 generally require advisers to maintain documents for five years, and in some cases longer.</w:t>
      </w:r>
      <w:r w:rsidRPr="00562989">
        <w:rPr>
          <w:rStyle w:val="FootnoteReference"/>
          <w:szCs w:val="24"/>
        </w:rPr>
        <w:footnoteReference w:id="9"/>
      </w:r>
      <w:r w:rsidRPr="00562989">
        <w:rPr>
          <w:szCs w:val="24"/>
        </w:rPr>
        <w:t xml:space="preserve">  </w:t>
      </w:r>
      <w:r w:rsidR="00F50AA7" w:rsidRPr="00562989">
        <w:rPr>
          <w:szCs w:val="24"/>
        </w:rPr>
        <w:t>This</w:t>
      </w:r>
      <w:r w:rsidR="00CA7D64" w:rsidRPr="00562989">
        <w:rPr>
          <w:szCs w:val="24"/>
        </w:rPr>
        <w:t xml:space="preserve"> retention period </w:t>
      </w:r>
      <w:r w:rsidR="00F50AA7" w:rsidRPr="00562989">
        <w:rPr>
          <w:szCs w:val="24"/>
        </w:rPr>
        <w:t>has</w:t>
      </w:r>
      <w:r w:rsidR="00D96CE7" w:rsidRPr="00562989">
        <w:rPr>
          <w:szCs w:val="24"/>
        </w:rPr>
        <w:t xml:space="preserve"> </w:t>
      </w:r>
      <w:r w:rsidR="00CA7D64" w:rsidRPr="00562989">
        <w:rPr>
          <w:szCs w:val="24"/>
        </w:rPr>
        <w:t xml:space="preserve">not </w:t>
      </w:r>
      <w:r w:rsidR="00F50AA7" w:rsidRPr="00562989">
        <w:rPr>
          <w:szCs w:val="24"/>
        </w:rPr>
        <w:t xml:space="preserve">been </w:t>
      </w:r>
      <w:r w:rsidR="00CA7D64" w:rsidRPr="00562989">
        <w:rPr>
          <w:szCs w:val="24"/>
        </w:rPr>
        <w:t>affected</w:t>
      </w:r>
      <w:r w:rsidR="00D96CE7" w:rsidRPr="00562989">
        <w:rPr>
          <w:szCs w:val="24"/>
        </w:rPr>
        <w:t xml:space="preserve"> by the amendments to rule 204-2</w:t>
      </w:r>
      <w:r w:rsidR="00CA7D64" w:rsidRPr="00562989">
        <w:rPr>
          <w:szCs w:val="24"/>
        </w:rPr>
        <w:t xml:space="preserve">.  </w:t>
      </w:r>
      <w:r w:rsidRPr="00562989">
        <w:rPr>
          <w:szCs w:val="24"/>
        </w:rPr>
        <w:t>Although this period exceeds the three-year guideline for most kinds of records under 5 CFR 1320.5(d</w:t>
      </w:r>
      <w:proofErr w:type="gramStart"/>
      <w:r w:rsidRPr="00562989">
        <w:rPr>
          <w:szCs w:val="24"/>
        </w:rPr>
        <w:t>)(</w:t>
      </w:r>
      <w:proofErr w:type="gramEnd"/>
      <w:r w:rsidRPr="00562989">
        <w:rPr>
          <w:szCs w:val="24"/>
        </w:rPr>
        <w:t>2)(iv), OMB has previously approved the collection with this retention per</w:t>
      </w:r>
      <w:r w:rsidR="00070BB7" w:rsidRPr="00562989">
        <w:rPr>
          <w:szCs w:val="24"/>
        </w:rPr>
        <w:t>iod.  The retention periods in r</w:t>
      </w:r>
      <w:r w:rsidRPr="00562989">
        <w:rPr>
          <w:szCs w:val="24"/>
        </w:rPr>
        <w:t>ule 204-2 are warranted because the recordkeeping requirements in rule 204-2 of the Advisers Act are designed to contribute to the effectiveness of the Commission’s examination and inspection program.  Because the period between examinations may be as long as five years, it is important that the Commission have access to records that cover the entire period between examinations.</w:t>
      </w:r>
    </w:p>
    <w:p w:rsidR="00C1240A" w:rsidRPr="00562989" w:rsidRDefault="00C1240A">
      <w:pPr>
        <w:tabs>
          <w:tab w:val="left" w:pos="0"/>
        </w:tabs>
        <w:suppressAutoHyphens/>
        <w:rPr>
          <w:szCs w:val="24"/>
        </w:rPr>
      </w:pPr>
      <w:r w:rsidRPr="00562989">
        <w:rPr>
          <w:b/>
          <w:bCs/>
          <w:szCs w:val="24"/>
        </w:rPr>
        <w:t>8.</w:t>
      </w:r>
      <w:r w:rsidRPr="00562989">
        <w:rPr>
          <w:b/>
          <w:bCs/>
          <w:szCs w:val="24"/>
        </w:rPr>
        <w:tab/>
        <w:t xml:space="preserve">Consultation </w:t>
      </w:r>
      <w:proofErr w:type="gramStart"/>
      <w:r w:rsidRPr="00562989">
        <w:rPr>
          <w:b/>
          <w:bCs/>
          <w:szCs w:val="24"/>
        </w:rPr>
        <w:t>Outside</w:t>
      </w:r>
      <w:proofErr w:type="gramEnd"/>
      <w:r w:rsidRPr="00562989">
        <w:rPr>
          <w:b/>
          <w:bCs/>
          <w:szCs w:val="24"/>
        </w:rPr>
        <w:t xml:space="preserve"> </w:t>
      </w:r>
      <w:r w:rsidR="00E95F37" w:rsidRPr="00562989">
        <w:rPr>
          <w:b/>
          <w:bCs/>
          <w:szCs w:val="24"/>
        </w:rPr>
        <w:t xml:space="preserve">the </w:t>
      </w:r>
      <w:r w:rsidRPr="00562989">
        <w:rPr>
          <w:b/>
          <w:bCs/>
          <w:szCs w:val="24"/>
        </w:rPr>
        <w:t>Agency</w:t>
      </w:r>
    </w:p>
    <w:p w:rsidR="00DA2B75" w:rsidRPr="00562989" w:rsidRDefault="00610DD9" w:rsidP="0033394A">
      <w:pPr>
        <w:tabs>
          <w:tab w:val="left" w:pos="-720"/>
        </w:tabs>
        <w:suppressAutoHyphens/>
      </w:pPr>
      <w:r w:rsidRPr="00243410">
        <w:rPr>
          <w:color w:val="000000"/>
        </w:rPr>
        <w:t xml:space="preserve">In </w:t>
      </w:r>
      <w:r w:rsidR="000966BA">
        <w:rPr>
          <w:color w:val="000000"/>
        </w:rPr>
        <w:t>the Implementing Release</w:t>
      </w:r>
      <w:r>
        <w:rPr>
          <w:color w:val="000000"/>
        </w:rPr>
        <w:t xml:space="preserve">, </w:t>
      </w:r>
      <w:r w:rsidRPr="00243410">
        <w:rPr>
          <w:color w:val="000000"/>
        </w:rPr>
        <w:t>the Commission requested public comment on</w:t>
      </w:r>
      <w:r w:rsidRPr="0038285F">
        <w:rPr>
          <w:color w:val="000000"/>
        </w:rPr>
        <w:t xml:space="preserve"> the effect of information collections under these amendments.</w:t>
      </w:r>
      <w:r w:rsidR="00E87B71">
        <w:rPr>
          <w:color w:val="000000"/>
        </w:rPr>
        <w:t xml:space="preserve">  </w:t>
      </w:r>
      <w:proofErr w:type="spellStart"/>
      <w:r w:rsidR="00E87B71">
        <w:rPr>
          <w:color w:val="000000"/>
        </w:rPr>
        <w:t>Commenters</w:t>
      </w:r>
      <w:proofErr w:type="spellEnd"/>
      <w:r w:rsidR="008B337D">
        <w:rPr>
          <w:color w:val="000000"/>
        </w:rPr>
        <w:t xml:space="preserve"> did not comment on the effect of the information collections under these amendments</w:t>
      </w:r>
      <w:r w:rsidR="00E87B71">
        <w:rPr>
          <w:color w:val="000000"/>
        </w:rPr>
        <w:t xml:space="preserve">.  </w:t>
      </w:r>
      <w:r w:rsidR="00E87B71">
        <w:t>In addition</w:t>
      </w:r>
      <w:r w:rsidR="0033394A">
        <w:t>, t</w:t>
      </w:r>
      <w:r w:rsidR="00D07CA1" w:rsidRPr="00562989">
        <w:t>he Commission and the staff of the Division of Investment Management continue to participate in an ongoing dialogue with representatives of the investment adviser industry through public conferences, meetings and informal exchanges.  These various forums provide the Commission and the staff with a means of ascertaining and acting upon paperwork burdens facing the industry.</w:t>
      </w:r>
    </w:p>
    <w:p w:rsidR="00C1240A" w:rsidRPr="00562989" w:rsidRDefault="00E570B6">
      <w:pPr>
        <w:tabs>
          <w:tab w:val="left" w:pos="0"/>
        </w:tabs>
        <w:suppressAutoHyphens/>
        <w:rPr>
          <w:szCs w:val="24"/>
        </w:rPr>
      </w:pPr>
      <w:r w:rsidRPr="00562989">
        <w:rPr>
          <w:b/>
          <w:bCs/>
          <w:szCs w:val="24"/>
        </w:rPr>
        <w:lastRenderedPageBreak/>
        <w:t>9.</w:t>
      </w:r>
      <w:r w:rsidRPr="00562989">
        <w:rPr>
          <w:b/>
          <w:bCs/>
          <w:szCs w:val="24"/>
        </w:rPr>
        <w:tab/>
        <w:t>Payment</w:t>
      </w:r>
      <w:r w:rsidR="00C1240A" w:rsidRPr="00562989">
        <w:rPr>
          <w:b/>
          <w:bCs/>
          <w:szCs w:val="24"/>
        </w:rPr>
        <w:t xml:space="preserve"> </w:t>
      </w:r>
      <w:r w:rsidR="00E95F37" w:rsidRPr="00562989">
        <w:rPr>
          <w:b/>
          <w:bCs/>
          <w:szCs w:val="24"/>
        </w:rPr>
        <w:t xml:space="preserve">or Gift </w:t>
      </w:r>
      <w:r w:rsidR="00C1240A" w:rsidRPr="00562989">
        <w:rPr>
          <w:b/>
          <w:bCs/>
          <w:szCs w:val="24"/>
        </w:rPr>
        <w:t>to Respondents</w:t>
      </w:r>
    </w:p>
    <w:p w:rsidR="00C1240A" w:rsidRDefault="00492C04" w:rsidP="001A0E5A">
      <w:pPr>
        <w:tabs>
          <w:tab w:val="left" w:pos="0"/>
        </w:tabs>
        <w:suppressAutoHyphens/>
        <w:rPr>
          <w:szCs w:val="24"/>
        </w:rPr>
      </w:pPr>
      <w:proofErr w:type="gramStart"/>
      <w:r w:rsidRPr="00562989">
        <w:rPr>
          <w:szCs w:val="24"/>
        </w:rPr>
        <w:t>None</w:t>
      </w:r>
      <w:r w:rsidR="00C1240A" w:rsidRPr="00562989">
        <w:rPr>
          <w:szCs w:val="24"/>
        </w:rPr>
        <w:t>.</w:t>
      </w:r>
      <w:proofErr w:type="gramEnd"/>
    </w:p>
    <w:p w:rsidR="00C1240A" w:rsidRPr="00562989" w:rsidRDefault="00E95F37" w:rsidP="004D48A8">
      <w:pPr>
        <w:tabs>
          <w:tab w:val="left" w:pos="0"/>
        </w:tabs>
        <w:suppressAutoHyphens/>
        <w:rPr>
          <w:szCs w:val="24"/>
        </w:rPr>
      </w:pPr>
      <w:r w:rsidRPr="00562989">
        <w:rPr>
          <w:b/>
          <w:bCs/>
          <w:szCs w:val="24"/>
        </w:rPr>
        <w:t>10.</w:t>
      </w:r>
      <w:r w:rsidRPr="00562989">
        <w:rPr>
          <w:b/>
          <w:bCs/>
          <w:szCs w:val="24"/>
        </w:rPr>
        <w:tab/>
        <w:t>Assurance</w:t>
      </w:r>
      <w:r w:rsidR="00C1240A" w:rsidRPr="00562989">
        <w:rPr>
          <w:b/>
          <w:bCs/>
          <w:szCs w:val="24"/>
        </w:rPr>
        <w:t xml:space="preserve"> of Confidentiality</w:t>
      </w:r>
    </w:p>
    <w:p w:rsidR="00C1240A" w:rsidRPr="00562989" w:rsidRDefault="00C1240A" w:rsidP="004D48A8">
      <w:pPr>
        <w:tabs>
          <w:tab w:val="left" w:pos="0"/>
        </w:tabs>
        <w:suppressAutoHyphens/>
        <w:rPr>
          <w:szCs w:val="24"/>
        </w:rPr>
      </w:pPr>
      <w:r w:rsidRPr="00562989">
        <w:rPr>
          <w:szCs w:val="24"/>
        </w:rPr>
        <w:t>Responses provided</w:t>
      </w:r>
      <w:r w:rsidR="00CA0676" w:rsidRPr="00562989">
        <w:rPr>
          <w:szCs w:val="24"/>
        </w:rPr>
        <w:t xml:space="preserve"> to the Commission pursuant to r</w:t>
      </w:r>
      <w:r w:rsidRPr="00562989">
        <w:rPr>
          <w:szCs w:val="24"/>
        </w:rPr>
        <w:t>ule 204-2 in the context of the Commission’s examination and oversight program are generally kept confidential.</w:t>
      </w:r>
      <w:r w:rsidRPr="00562989">
        <w:rPr>
          <w:rStyle w:val="FootnoteReference"/>
          <w:szCs w:val="24"/>
        </w:rPr>
        <w:footnoteReference w:id="10"/>
      </w:r>
    </w:p>
    <w:p w:rsidR="00C1240A" w:rsidRPr="00562989" w:rsidRDefault="00C1240A">
      <w:pPr>
        <w:keepNext/>
        <w:tabs>
          <w:tab w:val="left" w:pos="0"/>
        </w:tabs>
        <w:suppressAutoHyphens/>
        <w:rPr>
          <w:szCs w:val="24"/>
        </w:rPr>
      </w:pPr>
      <w:r w:rsidRPr="00562989">
        <w:rPr>
          <w:b/>
          <w:bCs/>
          <w:szCs w:val="24"/>
        </w:rPr>
        <w:t>11.</w:t>
      </w:r>
      <w:r w:rsidRPr="00562989">
        <w:rPr>
          <w:b/>
          <w:bCs/>
          <w:szCs w:val="24"/>
        </w:rPr>
        <w:tab/>
        <w:t>Sensitive Questions</w:t>
      </w:r>
    </w:p>
    <w:p w:rsidR="00C1240A" w:rsidRPr="00562989" w:rsidRDefault="00C1240A">
      <w:pPr>
        <w:tabs>
          <w:tab w:val="left" w:pos="0"/>
        </w:tabs>
        <w:suppressAutoHyphens/>
        <w:rPr>
          <w:b/>
          <w:bCs/>
          <w:szCs w:val="24"/>
        </w:rPr>
      </w:pPr>
      <w:proofErr w:type="gramStart"/>
      <w:r w:rsidRPr="00562989">
        <w:rPr>
          <w:szCs w:val="24"/>
        </w:rPr>
        <w:t>No</w:t>
      </w:r>
      <w:r w:rsidR="00492C04" w:rsidRPr="00562989">
        <w:rPr>
          <w:szCs w:val="24"/>
        </w:rPr>
        <w:t>n</w:t>
      </w:r>
      <w:r w:rsidRPr="00562989">
        <w:rPr>
          <w:szCs w:val="24"/>
        </w:rPr>
        <w:t>e.</w:t>
      </w:r>
      <w:proofErr w:type="gramEnd"/>
    </w:p>
    <w:p w:rsidR="00C1240A" w:rsidRPr="00562989" w:rsidRDefault="00E95F37" w:rsidP="00CF5E5A">
      <w:pPr>
        <w:keepNext/>
        <w:widowControl/>
        <w:numPr>
          <w:ilvl w:val="0"/>
          <w:numId w:val="2"/>
        </w:numPr>
        <w:tabs>
          <w:tab w:val="left" w:pos="0"/>
        </w:tabs>
        <w:suppressAutoHyphens/>
        <w:rPr>
          <w:b/>
          <w:bCs/>
          <w:szCs w:val="24"/>
        </w:rPr>
      </w:pPr>
      <w:r w:rsidRPr="00562989">
        <w:rPr>
          <w:b/>
          <w:bCs/>
          <w:szCs w:val="24"/>
        </w:rPr>
        <w:t>Estimate of Hour</w:t>
      </w:r>
      <w:r w:rsidR="00C1240A" w:rsidRPr="00562989">
        <w:rPr>
          <w:b/>
          <w:bCs/>
          <w:szCs w:val="24"/>
        </w:rPr>
        <w:t xml:space="preserve"> Burden </w:t>
      </w:r>
    </w:p>
    <w:p w:rsidR="00BB1AE3" w:rsidRPr="00082627" w:rsidRDefault="00CC01FE" w:rsidP="00BB1AE3">
      <w:pPr>
        <w:tabs>
          <w:tab w:val="left" w:pos="-720"/>
        </w:tabs>
        <w:suppressAutoHyphens/>
        <w:rPr>
          <w:color w:val="0070C0"/>
          <w:szCs w:val="24"/>
        </w:rPr>
      </w:pPr>
      <w:r w:rsidRPr="00BD7D8C">
        <w:rPr>
          <w:color w:val="000000"/>
          <w:szCs w:val="24"/>
        </w:rPr>
        <w:t xml:space="preserve">The </w:t>
      </w:r>
      <w:r w:rsidR="00AF3264">
        <w:rPr>
          <w:color w:val="000000"/>
          <w:szCs w:val="24"/>
        </w:rPr>
        <w:t xml:space="preserve">total annual </w:t>
      </w:r>
      <w:r w:rsidR="00AF3264" w:rsidRPr="00BD7D8C">
        <w:rPr>
          <w:color w:val="000000"/>
          <w:szCs w:val="24"/>
        </w:rPr>
        <w:t xml:space="preserve">collection of information </w:t>
      </w:r>
      <w:r w:rsidR="00AF3264">
        <w:rPr>
          <w:color w:val="000000"/>
          <w:szCs w:val="24"/>
        </w:rPr>
        <w:t xml:space="preserve">burden </w:t>
      </w:r>
      <w:r w:rsidRPr="00BD7D8C">
        <w:rPr>
          <w:color w:val="000000"/>
          <w:szCs w:val="24"/>
        </w:rPr>
        <w:t>current</w:t>
      </w:r>
      <w:r w:rsidR="00BD7D8C" w:rsidRPr="00BD7D8C">
        <w:rPr>
          <w:color w:val="000000"/>
          <w:szCs w:val="24"/>
        </w:rPr>
        <w:t>ly</w:t>
      </w:r>
      <w:r w:rsidRPr="00BD7D8C">
        <w:rPr>
          <w:color w:val="000000"/>
          <w:szCs w:val="24"/>
        </w:rPr>
        <w:t xml:space="preserve"> approved </w:t>
      </w:r>
      <w:r w:rsidR="00AF3264">
        <w:rPr>
          <w:color w:val="000000"/>
          <w:szCs w:val="24"/>
        </w:rPr>
        <w:t xml:space="preserve">by OMB </w:t>
      </w:r>
      <w:r w:rsidRPr="00BD7D8C">
        <w:rPr>
          <w:color w:val="000000"/>
          <w:szCs w:val="24"/>
        </w:rPr>
        <w:t xml:space="preserve">for rule </w:t>
      </w:r>
      <w:r w:rsidRPr="006D6564">
        <w:rPr>
          <w:color w:val="000000"/>
          <w:szCs w:val="24"/>
        </w:rPr>
        <w:t>204-2</w:t>
      </w:r>
      <w:r w:rsidR="00BD7D8C" w:rsidRPr="006D6564">
        <w:rPr>
          <w:color w:val="000000"/>
          <w:szCs w:val="24"/>
        </w:rPr>
        <w:t xml:space="preserve"> is </w:t>
      </w:r>
      <w:r w:rsidR="00565AE2">
        <w:rPr>
          <w:color w:val="000000"/>
          <w:szCs w:val="24"/>
        </w:rPr>
        <w:t>2,115,376</w:t>
      </w:r>
      <w:r w:rsidR="00AF3264" w:rsidRPr="006D6564">
        <w:rPr>
          <w:color w:val="000000"/>
          <w:szCs w:val="24"/>
        </w:rPr>
        <w:t xml:space="preserve"> </w:t>
      </w:r>
      <w:r w:rsidR="00BD7D8C" w:rsidRPr="006D6564">
        <w:rPr>
          <w:color w:val="000000"/>
          <w:szCs w:val="24"/>
        </w:rPr>
        <w:t>hours</w:t>
      </w:r>
      <w:r w:rsidR="00AF3264" w:rsidRPr="006D6564">
        <w:rPr>
          <w:color w:val="000000"/>
          <w:szCs w:val="24"/>
        </w:rPr>
        <w:t xml:space="preserve">.  This currently approved annual aggregate burden is </w:t>
      </w:r>
      <w:r w:rsidR="00BB1AE3" w:rsidRPr="006D6564">
        <w:rPr>
          <w:color w:val="000000"/>
          <w:szCs w:val="24"/>
        </w:rPr>
        <w:t xml:space="preserve">based on </w:t>
      </w:r>
      <w:r w:rsidR="00565AE2">
        <w:rPr>
          <w:color w:val="000000"/>
          <w:szCs w:val="24"/>
        </w:rPr>
        <w:t>an estimate of 11,658</w:t>
      </w:r>
      <w:r w:rsidR="00AF3264" w:rsidRPr="006D6564">
        <w:rPr>
          <w:color w:val="000000"/>
          <w:szCs w:val="24"/>
        </w:rPr>
        <w:t xml:space="preserve"> registered advisers, or </w:t>
      </w:r>
      <w:r w:rsidR="000427C5">
        <w:rPr>
          <w:color w:val="000000"/>
          <w:szCs w:val="24"/>
        </w:rPr>
        <w:t xml:space="preserve">approximately </w:t>
      </w:r>
      <w:r w:rsidR="00BB1AE3" w:rsidRPr="006D6564">
        <w:rPr>
          <w:color w:val="000000"/>
          <w:szCs w:val="24"/>
        </w:rPr>
        <w:t>181.</w:t>
      </w:r>
      <w:r w:rsidR="00AF3264" w:rsidRPr="006D6564">
        <w:rPr>
          <w:color w:val="000000"/>
          <w:szCs w:val="24"/>
        </w:rPr>
        <w:t>4</w:t>
      </w:r>
      <w:r w:rsidR="00BB1AE3" w:rsidRPr="006D6564">
        <w:rPr>
          <w:color w:val="000000"/>
          <w:szCs w:val="24"/>
        </w:rPr>
        <w:t>5 burden hours per registered adviser</w:t>
      </w:r>
      <w:r w:rsidR="00AF3264" w:rsidRPr="006D6564">
        <w:rPr>
          <w:color w:val="000000"/>
          <w:szCs w:val="24"/>
        </w:rPr>
        <w:t>.</w:t>
      </w:r>
    </w:p>
    <w:p w:rsidR="00565AE2" w:rsidRDefault="00565AE2" w:rsidP="00BB1AE3">
      <w:pPr>
        <w:suppressAutoHyphens/>
        <w:rPr>
          <w:szCs w:val="24"/>
        </w:rPr>
      </w:pPr>
      <w:r>
        <w:rPr>
          <w:color w:val="000000"/>
          <w:szCs w:val="24"/>
        </w:rPr>
        <w:t xml:space="preserve">We do not believe that our amendment to the “grandfathering provision” in rule 204-2 </w:t>
      </w:r>
      <w:r w:rsidR="00C431CB">
        <w:rPr>
          <w:szCs w:val="24"/>
        </w:rPr>
        <w:t>will</w:t>
      </w:r>
      <w:r w:rsidRPr="00B8227A">
        <w:rPr>
          <w:szCs w:val="24"/>
        </w:rPr>
        <w:t xml:space="preserve"> </w:t>
      </w:r>
      <w:r>
        <w:rPr>
          <w:szCs w:val="24"/>
        </w:rPr>
        <w:t xml:space="preserve">change </w:t>
      </w:r>
      <w:r w:rsidRPr="00B8227A">
        <w:rPr>
          <w:szCs w:val="24"/>
        </w:rPr>
        <w:t>our current approved average annual hourly burden per adviser under rule 204-2.</w:t>
      </w:r>
      <w:r>
        <w:rPr>
          <w:szCs w:val="24"/>
        </w:rPr>
        <w:t xml:space="preserve">  </w:t>
      </w:r>
      <w:r w:rsidRPr="00B8227A">
        <w:rPr>
          <w:szCs w:val="24"/>
        </w:rPr>
        <w:t>Most, if not all, advisers likely gather the records and documents necessary to support the calculation of performance or rate of return as those records or documents are produced or at the time a calculation is made.</w:t>
      </w:r>
      <w:r>
        <w:rPr>
          <w:szCs w:val="24"/>
        </w:rPr>
        <w:t xml:space="preserve">  However, </w:t>
      </w:r>
      <w:r w:rsidRPr="00565AE2">
        <w:rPr>
          <w:rFonts w:eastAsia="Calibri" w:cs="Times New Roman"/>
          <w:szCs w:val="24"/>
        </w:rPr>
        <w:t>the Dodd-Frank Act’s amendments to sections 203A and 203(b</w:t>
      </w:r>
      <w:proofErr w:type="gramStart"/>
      <w:r w:rsidRPr="00565AE2">
        <w:rPr>
          <w:rFonts w:eastAsia="Calibri" w:cs="Times New Roman"/>
          <w:szCs w:val="24"/>
        </w:rPr>
        <w:t>)(</w:t>
      </w:r>
      <w:proofErr w:type="gramEnd"/>
      <w:r w:rsidRPr="00565AE2">
        <w:rPr>
          <w:rFonts w:eastAsia="Calibri" w:cs="Times New Roman"/>
          <w:szCs w:val="24"/>
        </w:rPr>
        <w:t>3)</w:t>
      </w:r>
      <w:r>
        <w:rPr>
          <w:rFonts w:eastAsia="Calibri" w:cs="Times New Roman"/>
          <w:szCs w:val="24"/>
        </w:rPr>
        <w:t xml:space="preserve"> of the Advisers Act</w:t>
      </w:r>
      <w:r w:rsidRPr="00565AE2">
        <w:rPr>
          <w:rFonts w:eastAsia="Calibri" w:cs="Times New Roman"/>
          <w:szCs w:val="24"/>
        </w:rPr>
        <w:t xml:space="preserve"> will change our estimates of the total annual burden associated with the rule.</w:t>
      </w:r>
      <w:r w:rsidRPr="00565AE2">
        <w:rPr>
          <w:rFonts w:eastAsia="Calibri" w:cs="Times New Roman"/>
          <w:vertAlign w:val="superscript"/>
        </w:rPr>
        <w:footnoteReference w:id="11"/>
      </w:r>
      <w:r w:rsidR="00A70845">
        <w:rPr>
          <w:rFonts w:eastAsia="Calibri" w:cs="Times New Roman"/>
          <w:szCs w:val="24"/>
        </w:rPr>
        <w:t xml:space="preserve">  Specifically, w</w:t>
      </w:r>
      <w:r w:rsidR="00A70845" w:rsidRPr="00A70845">
        <w:rPr>
          <w:rFonts w:eastAsia="Calibri" w:cs="Times New Roman"/>
          <w:szCs w:val="24"/>
        </w:rPr>
        <w:t xml:space="preserve">e estimate that the Dodd-Frank Act will reduce the number of </w:t>
      </w:r>
      <w:r w:rsidR="00AE6903">
        <w:rPr>
          <w:rFonts w:eastAsia="Calibri" w:cs="Times New Roman"/>
          <w:szCs w:val="24"/>
        </w:rPr>
        <w:lastRenderedPageBreak/>
        <w:t>registered advisers to 9,750</w:t>
      </w:r>
      <w:r w:rsidR="00A70845" w:rsidRPr="00A70845">
        <w:rPr>
          <w:rFonts w:eastAsia="Calibri" w:cs="Times New Roman"/>
          <w:szCs w:val="24"/>
        </w:rPr>
        <w:t>.</w:t>
      </w:r>
      <w:r w:rsidR="00A70845" w:rsidRPr="00A70845">
        <w:rPr>
          <w:rFonts w:eastAsia="Calibri" w:cs="Times New Roman"/>
          <w:vertAlign w:val="superscript"/>
        </w:rPr>
        <w:footnoteReference w:id="12"/>
      </w:r>
      <w:r w:rsidR="00A70845" w:rsidRPr="00A70845">
        <w:rPr>
          <w:rFonts w:eastAsia="Calibri" w:cs="Times New Roman"/>
          <w:szCs w:val="24"/>
        </w:rPr>
        <w:t xml:space="preserve">  </w:t>
      </w:r>
      <w:r w:rsidR="00A7057A" w:rsidRPr="00A7057A">
        <w:rPr>
          <w:rFonts w:eastAsia="Calibri" w:cs="Times New Roman"/>
          <w:szCs w:val="24"/>
        </w:rPr>
        <w:t xml:space="preserve">Thus, we estimate that the total burden under amended rule 204-2 will </w:t>
      </w:r>
      <w:r w:rsidR="00AE6903">
        <w:rPr>
          <w:rFonts w:eastAsia="Calibri" w:cs="Times New Roman"/>
          <w:szCs w:val="24"/>
        </w:rPr>
        <w:t>be 1,769,138</w:t>
      </w:r>
      <w:r w:rsidR="00A7057A" w:rsidRPr="00A7057A">
        <w:rPr>
          <w:rFonts w:eastAsia="Calibri" w:cs="Times New Roman"/>
          <w:szCs w:val="24"/>
        </w:rPr>
        <w:t>,</w:t>
      </w:r>
      <w:r w:rsidR="00A7057A" w:rsidRPr="00A7057A">
        <w:rPr>
          <w:rFonts w:eastAsia="Calibri" w:cs="Times New Roman"/>
          <w:szCs w:val="24"/>
          <w:vertAlign w:val="superscript"/>
        </w:rPr>
        <w:footnoteReference w:id="13"/>
      </w:r>
      <w:r w:rsidR="00AE6903">
        <w:rPr>
          <w:rFonts w:eastAsia="Calibri" w:cs="Times New Roman"/>
          <w:szCs w:val="24"/>
        </w:rPr>
        <w:t xml:space="preserve"> a reduction of 346,238</w:t>
      </w:r>
      <w:r w:rsidR="00A7057A" w:rsidRPr="00A7057A">
        <w:rPr>
          <w:rFonts w:eastAsia="Calibri" w:cs="Times New Roman"/>
          <w:szCs w:val="24"/>
        </w:rPr>
        <w:t xml:space="preserve"> hours.</w:t>
      </w:r>
      <w:r w:rsidR="00A7057A" w:rsidRPr="00A7057A">
        <w:rPr>
          <w:rFonts w:eastAsia="Calibri" w:cs="Times New Roman"/>
          <w:szCs w:val="24"/>
          <w:vertAlign w:val="superscript"/>
        </w:rPr>
        <w:footnoteReference w:id="14"/>
      </w:r>
      <w:r w:rsidRPr="00565AE2">
        <w:rPr>
          <w:rFonts w:eastAsia="Calibri" w:cs="Times New Roman"/>
          <w:szCs w:val="24"/>
        </w:rPr>
        <w:t xml:space="preserve">  </w:t>
      </w:r>
      <w:r>
        <w:rPr>
          <w:szCs w:val="24"/>
        </w:rPr>
        <w:t xml:space="preserve">  </w:t>
      </w:r>
    </w:p>
    <w:p w:rsidR="000427C5" w:rsidRDefault="000427C5" w:rsidP="00BB1AE3">
      <w:pPr>
        <w:suppressAutoHyphens/>
        <w:rPr>
          <w:szCs w:val="24"/>
        </w:rPr>
      </w:pPr>
      <w:r w:rsidRPr="00A562D8">
        <w:rPr>
          <w:color w:val="000000"/>
        </w:rPr>
        <w:t xml:space="preserve">An adviser </w:t>
      </w:r>
      <w:r w:rsidR="00C431CB">
        <w:rPr>
          <w:color w:val="000000"/>
        </w:rPr>
        <w:t>will</w:t>
      </w:r>
      <w:r w:rsidRPr="00A562D8">
        <w:rPr>
          <w:color w:val="000000"/>
        </w:rPr>
        <w:t xml:space="preserve"> likely use a combination of compliance clerks and </w:t>
      </w:r>
      <w:r>
        <w:rPr>
          <w:color w:val="000000"/>
        </w:rPr>
        <w:t>general clerks</w:t>
      </w:r>
      <w:r w:rsidRPr="00A562D8">
        <w:rPr>
          <w:color w:val="000000"/>
        </w:rPr>
        <w:t xml:space="preserve"> to make and keep the information and records required under the rule.  The Commission staff estimates the hourly wage for compliance clerks to be $</w:t>
      </w:r>
      <w:r w:rsidR="00E660F3">
        <w:rPr>
          <w:color w:val="000000"/>
        </w:rPr>
        <w:t>67</w:t>
      </w:r>
      <w:r w:rsidRPr="00A562D8">
        <w:rPr>
          <w:color w:val="000000"/>
        </w:rPr>
        <w:t xml:space="preserve"> per hour, including benefits, and the hourly wage for </w:t>
      </w:r>
      <w:r w:rsidR="00E660F3">
        <w:rPr>
          <w:color w:val="000000"/>
        </w:rPr>
        <w:t>general clerks to be $50</w:t>
      </w:r>
      <w:r w:rsidRPr="00A562D8">
        <w:rPr>
          <w:color w:val="000000"/>
        </w:rPr>
        <w:t xml:space="preserve"> per hour, including benefits.</w:t>
      </w:r>
      <w:r w:rsidRPr="00A562D8">
        <w:rPr>
          <w:rStyle w:val="FootnoteReference"/>
          <w:color w:val="000000"/>
        </w:rPr>
        <w:footnoteReference w:id="15"/>
      </w:r>
      <w:r w:rsidRPr="00A562D8">
        <w:rPr>
          <w:color w:val="000000"/>
        </w:rPr>
        <w:t xml:space="preserve">  For each adviser 181.</w:t>
      </w:r>
      <w:r>
        <w:rPr>
          <w:color w:val="000000"/>
        </w:rPr>
        <w:t>45</w:t>
      </w:r>
      <w:r w:rsidRPr="00A562D8">
        <w:rPr>
          <w:color w:val="000000"/>
        </w:rPr>
        <w:t xml:space="preserve"> burden hours </w:t>
      </w:r>
      <w:r w:rsidR="00C431CB">
        <w:rPr>
          <w:color w:val="000000"/>
        </w:rPr>
        <w:t>will</w:t>
      </w:r>
      <w:r w:rsidRPr="00A562D8">
        <w:rPr>
          <w:color w:val="000000"/>
        </w:rPr>
        <w:t xml:space="preserve"> be required to make and keep the information and records required under the rule.  </w:t>
      </w:r>
      <w:r>
        <w:rPr>
          <w:color w:val="000000"/>
        </w:rPr>
        <w:t>We anticipate that c</w:t>
      </w:r>
      <w:r w:rsidRPr="00A562D8">
        <w:rPr>
          <w:color w:val="000000"/>
        </w:rPr>
        <w:t xml:space="preserve">ompliance clerks </w:t>
      </w:r>
      <w:r w:rsidR="00C431CB">
        <w:rPr>
          <w:color w:val="000000"/>
        </w:rPr>
        <w:t>will</w:t>
      </w:r>
      <w:r w:rsidRPr="00A562D8">
        <w:rPr>
          <w:color w:val="000000"/>
        </w:rPr>
        <w:t xml:space="preserve"> perform an estimated </w:t>
      </w:r>
      <w:r>
        <w:rPr>
          <w:color w:val="000000"/>
        </w:rPr>
        <w:t xml:space="preserve">31.45 </w:t>
      </w:r>
      <w:r w:rsidRPr="00A562D8">
        <w:rPr>
          <w:color w:val="000000"/>
        </w:rPr>
        <w:t>hours</w:t>
      </w:r>
      <w:r>
        <w:rPr>
          <w:color w:val="000000"/>
        </w:rPr>
        <w:t xml:space="preserve"> of this work</w:t>
      </w:r>
      <w:r w:rsidRPr="00A562D8">
        <w:rPr>
          <w:color w:val="000000"/>
        </w:rPr>
        <w:t xml:space="preserve">, and clerical staff </w:t>
      </w:r>
      <w:r w:rsidR="00C431CB">
        <w:rPr>
          <w:color w:val="000000"/>
        </w:rPr>
        <w:t>will</w:t>
      </w:r>
      <w:r w:rsidRPr="00A562D8">
        <w:rPr>
          <w:color w:val="000000"/>
        </w:rPr>
        <w:t xml:space="preserve"> perform </w:t>
      </w:r>
      <w:r>
        <w:rPr>
          <w:color w:val="000000"/>
        </w:rPr>
        <w:t>the remaining 150</w:t>
      </w:r>
      <w:r w:rsidRPr="00A562D8">
        <w:rPr>
          <w:color w:val="000000"/>
        </w:rPr>
        <w:t xml:space="preserve"> hours.  The total cost per </w:t>
      </w:r>
      <w:r>
        <w:rPr>
          <w:color w:val="000000"/>
        </w:rPr>
        <w:t>respondent</w:t>
      </w:r>
      <w:r w:rsidR="00C431CB">
        <w:rPr>
          <w:color w:val="000000"/>
        </w:rPr>
        <w:t xml:space="preserve"> therefore will</w:t>
      </w:r>
      <w:r w:rsidRPr="00A562D8">
        <w:rPr>
          <w:color w:val="000000"/>
        </w:rPr>
        <w:t xml:space="preserve"> be an estimated $</w:t>
      </w:r>
      <w:r w:rsidR="00E660F3">
        <w:rPr>
          <w:szCs w:val="22"/>
        </w:rPr>
        <w:t>9,607.1</w:t>
      </w:r>
      <w:r w:rsidR="002329A7">
        <w:rPr>
          <w:szCs w:val="22"/>
        </w:rPr>
        <w:t>5</w:t>
      </w:r>
      <w:r w:rsidRPr="00A562D8">
        <w:rPr>
          <w:color w:val="000000"/>
        </w:rPr>
        <w:t>,</w:t>
      </w:r>
      <w:r w:rsidRPr="00A562D8">
        <w:rPr>
          <w:rStyle w:val="FootnoteReference"/>
          <w:color w:val="000000"/>
        </w:rPr>
        <w:footnoteReference w:id="16"/>
      </w:r>
      <w:r w:rsidRPr="00A562D8">
        <w:rPr>
          <w:color w:val="000000"/>
        </w:rPr>
        <w:t xml:space="preserve"> for a total burden cost of </w:t>
      </w:r>
      <w:r w:rsidR="00E660F3">
        <w:rPr>
          <w:color w:val="000000"/>
        </w:rPr>
        <w:t>approximately $93,669,713</w:t>
      </w:r>
      <w:r w:rsidRPr="00A562D8">
        <w:rPr>
          <w:color w:val="000000"/>
        </w:rPr>
        <w:t>.</w:t>
      </w:r>
      <w:r w:rsidRPr="00A562D8">
        <w:rPr>
          <w:rStyle w:val="FootnoteReference"/>
          <w:color w:val="000000"/>
        </w:rPr>
        <w:footnoteReference w:id="17"/>
      </w:r>
    </w:p>
    <w:p w:rsidR="00C1240A" w:rsidRPr="00562989" w:rsidRDefault="00F32314" w:rsidP="001A0E5A">
      <w:pPr>
        <w:keepNext/>
        <w:keepLines/>
        <w:suppressAutoHyphens/>
        <w:rPr>
          <w:b/>
          <w:bCs/>
          <w:szCs w:val="24"/>
        </w:rPr>
      </w:pPr>
      <w:r w:rsidRPr="00FA1E54">
        <w:rPr>
          <w:color w:val="000000"/>
          <w:szCs w:val="24"/>
        </w:rPr>
        <w:t xml:space="preserve">  </w:t>
      </w:r>
      <w:r w:rsidR="00C1240A" w:rsidRPr="00562989">
        <w:rPr>
          <w:b/>
          <w:bCs/>
          <w:szCs w:val="24"/>
        </w:rPr>
        <w:t>13.</w:t>
      </w:r>
      <w:r w:rsidR="00C1240A" w:rsidRPr="00562989">
        <w:rPr>
          <w:b/>
          <w:bCs/>
          <w:szCs w:val="24"/>
        </w:rPr>
        <w:tab/>
        <w:t>Estimate of Total Annual Cost Burden</w:t>
      </w:r>
    </w:p>
    <w:p w:rsidR="00E54F58" w:rsidRPr="00726A41" w:rsidRDefault="00A7057A" w:rsidP="00E54F58">
      <w:pPr>
        <w:suppressAutoHyphens/>
        <w:rPr>
          <w:color w:val="000000"/>
          <w:szCs w:val="24"/>
        </w:rPr>
      </w:pPr>
      <w:r w:rsidRPr="00A7057A">
        <w:rPr>
          <w:rFonts w:eastAsia="Calibri" w:cs="Times New Roman"/>
          <w:szCs w:val="24"/>
        </w:rPr>
        <w:t xml:space="preserve">The reduction in the number of advisers subject to the rule will also reduce the total non-labor cost burden of the rule.  The current approved non-labor cost burden associated with rule </w:t>
      </w:r>
      <w:r w:rsidRPr="00A7057A">
        <w:rPr>
          <w:rFonts w:eastAsia="Calibri" w:cs="Times New Roman"/>
          <w:szCs w:val="24"/>
        </w:rPr>
        <w:lastRenderedPageBreak/>
        <w:t>204-2 is $34,965,063, or an average of approximately $3,000 per adviser.</w:t>
      </w:r>
      <w:r w:rsidRPr="00A7057A">
        <w:rPr>
          <w:rFonts w:eastAsia="Calibri" w:cs="Times New Roman"/>
          <w:szCs w:val="24"/>
          <w:vertAlign w:val="superscript"/>
        </w:rPr>
        <w:footnoteReference w:id="18"/>
      </w:r>
      <w:r w:rsidRPr="00A7057A">
        <w:rPr>
          <w:rFonts w:eastAsia="Calibri" w:cs="Times New Roman"/>
          <w:szCs w:val="24"/>
        </w:rPr>
        <w:t xml:space="preserve">  Due to the reduction in the number of advisers subject to rule 204-2, we estimate that the new total non-labor</w:t>
      </w:r>
      <w:r w:rsidR="00AE6903">
        <w:rPr>
          <w:rFonts w:eastAsia="Calibri" w:cs="Times New Roman"/>
          <w:szCs w:val="24"/>
        </w:rPr>
        <w:t xml:space="preserve"> cost burden will be $29,250</w:t>
      </w:r>
      <w:r w:rsidRPr="00A7057A">
        <w:rPr>
          <w:rFonts w:eastAsia="Calibri" w:cs="Times New Roman"/>
          <w:szCs w:val="24"/>
        </w:rPr>
        <w:t>,</w:t>
      </w:r>
      <w:r w:rsidR="00AE6903">
        <w:rPr>
          <w:rFonts w:eastAsia="Calibri" w:cs="Times New Roman"/>
          <w:szCs w:val="24"/>
        </w:rPr>
        <w:t>000</w:t>
      </w:r>
      <w:r w:rsidRPr="00A7057A">
        <w:rPr>
          <w:rFonts w:eastAsia="Calibri" w:cs="Times New Roman"/>
          <w:szCs w:val="24"/>
          <w:vertAlign w:val="superscript"/>
        </w:rPr>
        <w:footnoteReference w:id="19"/>
      </w:r>
      <w:r w:rsidRPr="00A7057A">
        <w:rPr>
          <w:rFonts w:eastAsia="Calibri" w:cs="Times New Roman"/>
          <w:szCs w:val="24"/>
        </w:rPr>
        <w:t xml:space="preserve"> a reduction of </w:t>
      </w:r>
      <w:r w:rsidR="00AE6903" w:rsidRPr="00AE6903">
        <w:rPr>
          <w:rFonts w:eastAsia="Calibri" w:cs="Times New Roman"/>
          <w:szCs w:val="24"/>
        </w:rPr>
        <w:t>$5,715,063</w:t>
      </w:r>
      <w:r w:rsidRPr="00A7057A">
        <w:rPr>
          <w:rFonts w:eastAsia="Calibri" w:cs="Times New Roman"/>
          <w:szCs w:val="24"/>
        </w:rPr>
        <w:t>.</w:t>
      </w:r>
      <w:r w:rsidRPr="00A7057A">
        <w:rPr>
          <w:rFonts w:eastAsia="Calibri" w:cs="Times New Roman"/>
          <w:szCs w:val="24"/>
          <w:vertAlign w:val="superscript"/>
        </w:rPr>
        <w:footnoteReference w:id="20"/>
      </w:r>
    </w:p>
    <w:p w:rsidR="00C1240A" w:rsidRPr="00562989" w:rsidRDefault="00C1240A" w:rsidP="00CF5E5A">
      <w:pPr>
        <w:keepNext/>
        <w:widowControl/>
        <w:numPr>
          <w:ilvl w:val="0"/>
          <w:numId w:val="3"/>
        </w:numPr>
        <w:tabs>
          <w:tab w:val="clear" w:pos="1800"/>
        </w:tabs>
        <w:ind w:left="1440" w:hanging="720"/>
        <w:rPr>
          <w:szCs w:val="24"/>
        </w:rPr>
      </w:pPr>
      <w:r w:rsidRPr="00562989">
        <w:rPr>
          <w:b/>
          <w:bCs/>
          <w:szCs w:val="24"/>
        </w:rPr>
        <w:t>Estimate of Cost to the Federal Government</w:t>
      </w:r>
    </w:p>
    <w:p w:rsidR="00C1240A" w:rsidRPr="00562989" w:rsidRDefault="00C1240A" w:rsidP="00CF5E5A">
      <w:pPr>
        <w:widowControl/>
        <w:rPr>
          <w:szCs w:val="24"/>
        </w:rPr>
      </w:pPr>
      <w:r w:rsidRPr="00562989">
        <w:rPr>
          <w:szCs w:val="24"/>
        </w:rPr>
        <w:t>There are no costs to the federal government</w:t>
      </w:r>
      <w:r w:rsidR="00BF2A08" w:rsidRPr="00562989">
        <w:rPr>
          <w:szCs w:val="24"/>
        </w:rPr>
        <w:t xml:space="preserve"> directly attributable to rule 204-2</w:t>
      </w:r>
      <w:r w:rsidRPr="00562989">
        <w:rPr>
          <w:szCs w:val="24"/>
        </w:rPr>
        <w:t>.</w:t>
      </w:r>
    </w:p>
    <w:p w:rsidR="00C1240A" w:rsidRDefault="00C1240A" w:rsidP="00CF5E5A">
      <w:pPr>
        <w:keepNext/>
        <w:widowControl/>
        <w:rPr>
          <w:b/>
          <w:bCs/>
          <w:szCs w:val="24"/>
        </w:rPr>
      </w:pPr>
      <w:r w:rsidRPr="00562989">
        <w:rPr>
          <w:b/>
          <w:bCs/>
          <w:szCs w:val="24"/>
        </w:rPr>
        <w:t xml:space="preserve">15. </w:t>
      </w:r>
      <w:r w:rsidRPr="00562989">
        <w:rPr>
          <w:b/>
          <w:bCs/>
          <w:szCs w:val="24"/>
        </w:rPr>
        <w:tab/>
        <w:t>Explanation of Changes in Burden</w:t>
      </w:r>
    </w:p>
    <w:p w:rsidR="005E53C9" w:rsidRPr="00562989" w:rsidRDefault="005E53C9" w:rsidP="00CF5E5A">
      <w:pPr>
        <w:keepNext/>
        <w:widowControl/>
        <w:rPr>
          <w:szCs w:val="24"/>
        </w:rPr>
      </w:pPr>
      <w:r>
        <w:rPr>
          <w:szCs w:val="24"/>
        </w:rPr>
        <w:t xml:space="preserve">As discussed in Items 12 and 13 above, </w:t>
      </w:r>
      <w:r w:rsidRPr="00565AE2">
        <w:rPr>
          <w:rFonts w:eastAsia="Calibri" w:cs="Times New Roman"/>
          <w:szCs w:val="24"/>
        </w:rPr>
        <w:t>the Dodd-Frank Act’s amendments to sections 203A and 203(b)(3)</w:t>
      </w:r>
      <w:r>
        <w:rPr>
          <w:rFonts w:eastAsia="Calibri" w:cs="Times New Roman"/>
          <w:szCs w:val="24"/>
        </w:rPr>
        <w:t xml:space="preserve"> of the Advisers Act</w:t>
      </w:r>
      <w:r w:rsidRPr="00565AE2">
        <w:rPr>
          <w:rFonts w:eastAsia="Calibri" w:cs="Times New Roman"/>
          <w:szCs w:val="24"/>
        </w:rPr>
        <w:t xml:space="preserve"> </w:t>
      </w:r>
      <w:r>
        <w:rPr>
          <w:rFonts w:eastAsia="Calibri" w:cs="Times New Roman"/>
          <w:szCs w:val="24"/>
        </w:rPr>
        <w:t>have caused us to reduce</w:t>
      </w:r>
      <w:r w:rsidRPr="00565AE2">
        <w:rPr>
          <w:rFonts w:eastAsia="Calibri" w:cs="Times New Roman"/>
          <w:szCs w:val="24"/>
        </w:rPr>
        <w:t xml:space="preserve"> our estimates of the total annual burden</w:t>
      </w:r>
      <w:r>
        <w:rPr>
          <w:rFonts w:eastAsia="Calibri" w:cs="Times New Roman"/>
          <w:szCs w:val="24"/>
        </w:rPr>
        <w:t>s</w:t>
      </w:r>
      <w:r w:rsidRPr="00565AE2">
        <w:rPr>
          <w:rFonts w:eastAsia="Calibri" w:cs="Times New Roman"/>
          <w:szCs w:val="24"/>
        </w:rPr>
        <w:t xml:space="preserve"> associated with the rule.</w:t>
      </w:r>
      <w:r>
        <w:rPr>
          <w:rFonts w:eastAsia="Calibri" w:cs="Times New Roman"/>
          <w:szCs w:val="24"/>
        </w:rPr>
        <w:t xml:space="preserve">  We have reduced our estimate of the number of advisers subject to the rule from </w:t>
      </w:r>
      <w:r w:rsidR="00E660F3">
        <w:rPr>
          <w:color w:val="000000"/>
          <w:szCs w:val="24"/>
        </w:rPr>
        <w:t>11,658 to 9,7</w:t>
      </w:r>
      <w:r>
        <w:rPr>
          <w:color w:val="000000"/>
          <w:szCs w:val="24"/>
        </w:rPr>
        <w:t xml:space="preserve">50, resulting in commensurate reductions in our estimates of the total annual hour burden and total annual cost burden of </w:t>
      </w:r>
      <w:r w:rsidR="00E660F3">
        <w:rPr>
          <w:rFonts w:eastAsia="Calibri" w:cs="Times New Roman"/>
          <w:szCs w:val="24"/>
        </w:rPr>
        <w:t>346,238</w:t>
      </w:r>
      <w:r w:rsidR="001231D2" w:rsidRPr="00A7057A">
        <w:rPr>
          <w:rFonts w:eastAsia="Calibri" w:cs="Times New Roman"/>
          <w:szCs w:val="24"/>
        </w:rPr>
        <w:t xml:space="preserve"> </w:t>
      </w:r>
      <w:r w:rsidRPr="00A70845">
        <w:rPr>
          <w:rFonts w:eastAsia="Calibri" w:cs="Times New Roman"/>
          <w:szCs w:val="24"/>
        </w:rPr>
        <w:t>hours</w:t>
      </w:r>
      <w:r>
        <w:rPr>
          <w:rFonts w:eastAsia="Calibri" w:cs="Times New Roman"/>
          <w:szCs w:val="24"/>
        </w:rPr>
        <w:t xml:space="preserve"> and </w:t>
      </w:r>
      <w:r w:rsidR="00E660F3">
        <w:rPr>
          <w:rFonts w:eastAsia="Calibri" w:cs="Times New Roman"/>
          <w:szCs w:val="24"/>
        </w:rPr>
        <w:t>$5,715,063</w:t>
      </w:r>
      <w:r w:rsidR="001231D2">
        <w:rPr>
          <w:rFonts w:eastAsia="Calibri" w:cs="Times New Roman"/>
          <w:szCs w:val="24"/>
        </w:rPr>
        <w:t xml:space="preserve"> </w:t>
      </w:r>
      <w:r>
        <w:rPr>
          <w:szCs w:val="22"/>
        </w:rPr>
        <w:t>respectively.</w:t>
      </w:r>
    </w:p>
    <w:p w:rsidR="00C1240A" w:rsidRPr="00562989" w:rsidRDefault="00C1240A" w:rsidP="00DE722A">
      <w:pPr>
        <w:suppressAutoHyphens/>
        <w:rPr>
          <w:szCs w:val="24"/>
        </w:rPr>
      </w:pPr>
      <w:r w:rsidRPr="00562989">
        <w:rPr>
          <w:b/>
          <w:bCs/>
          <w:szCs w:val="24"/>
        </w:rPr>
        <w:t>16.</w:t>
      </w:r>
      <w:r w:rsidRPr="00562989">
        <w:rPr>
          <w:b/>
          <w:bCs/>
          <w:szCs w:val="24"/>
        </w:rPr>
        <w:tab/>
        <w:t>Information Collection Planned for Statistical Purposes</w:t>
      </w:r>
    </w:p>
    <w:p w:rsidR="00C1240A" w:rsidRPr="00562989" w:rsidRDefault="00880A76">
      <w:pPr>
        <w:tabs>
          <w:tab w:val="left" w:pos="-240"/>
          <w:tab w:val="left" w:pos="0"/>
        </w:tabs>
        <w:suppressAutoHyphens/>
        <w:rPr>
          <w:szCs w:val="24"/>
        </w:rPr>
      </w:pPr>
      <w:proofErr w:type="gramStart"/>
      <w:r w:rsidRPr="00562989">
        <w:rPr>
          <w:szCs w:val="24"/>
        </w:rPr>
        <w:t>None</w:t>
      </w:r>
      <w:r w:rsidR="00C1240A" w:rsidRPr="00562989">
        <w:rPr>
          <w:szCs w:val="24"/>
        </w:rPr>
        <w:t>.</w:t>
      </w:r>
      <w:proofErr w:type="gramEnd"/>
    </w:p>
    <w:p w:rsidR="00C1240A" w:rsidRPr="00562989" w:rsidRDefault="00E95F37">
      <w:pPr>
        <w:keepNext/>
        <w:tabs>
          <w:tab w:val="left" w:pos="-240"/>
          <w:tab w:val="left" w:pos="0"/>
        </w:tabs>
        <w:suppressAutoHyphens/>
        <w:rPr>
          <w:szCs w:val="24"/>
        </w:rPr>
      </w:pPr>
      <w:r w:rsidRPr="00562989">
        <w:rPr>
          <w:b/>
          <w:bCs/>
          <w:szCs w:val="24"/>
        </w:rPr>
        <w:t>17.</w:t>
      </w:r>
      <w:r w:rsidRPr="00562989">
        <w:rPr>
          <w:b/>
          <w:bCs/>
          <w:szCs w:val="24"/>
        </w:rPr>
        <w:tab/>
        <w:t>Approval to n</w:t>
      </w:r>
      <w:r w:rsidR="00C1240A" w:rsidRPr="00562989">
        <w:rPr>
          <w:b/>
          <w:bCs/>
          <w:szCs w:val="24"/>
        </w:rPr>
        <w:t>ot Display Expiration Date</w:t>
      </w:r>
    </w:p>
    <w:p w:rsidR="00880A76" w:rsidRPr="00562989" w:rsidRDefault="00880A76" w:rsidP="00880A76">
      <w:pPr>
        <w:tabs>
          <w:tab w:val="left" w:pos="-240"/>
          <w:tab w:val="left" w:pos="0"/>
        </w:tabs>
        <w:suppressAutoHyphens/>
        <w:rPr>
          <w:szCs w:val="24"/>
        </w:rPr>
      </w:pPr>
      <w:proofErr w:type="gramStart"/>
      <w:r w:rsidRPr="00562989">
        <w:rPr>
          <w:szCs w:val="24"/>
        </w:rPr>
        <w:t>None.</w:t>
      </w:r>
      <w:proofErr w:type="gramEnd"/>
    </w:p>
    <w:p w:rsidR="00C1240A" w:rsidRPr="00562989" w:rsidRDefault="00C1240A">
      <w:pPr>
        <w:keepNext/>
        <w:keepLines/>
        <w:tabs>
          <w:tab w:val="left" w:pos="-240"/>
          <w:tab w:val="left" w:pos="0"/>
        </w:tabs>
        <w:suppressAutoHyphens/>
        <w:rPr>
          <w:szCs w:val="24"/>
        </w:rPr>
      </w:pPr>
      <w:r w:rsidRPr="00562989">
        <w:rPr>
          <w:b/>
          <w:bCs/>
          <w:szCs w:val="24"/>
        </w:rPr>
        <w:t>18.</w:t>
      </w:r>
      <w:r w:rsidRPr="00562989">
        <w:rPr>
          <w:b/>
          <w:bCs/>
          <w:szCs w:val="24"/>
        </w:rPr>
        <w:tab/>
        <w:t>Exception</w:t>
      </w:r>
      <w:r w:rsidR="00E95F37" w:rsidRPr="00562989">
        <w:rPr>
          <w:b/>
          <w:bCs/>
          <w:szCs w:val="24"/>
        </w:rPr>
        <w:t>s</w:t>
      </w:r>
      <w:r w:rsidRPr="00562989">
        <w:rPr>
          <w:b/>
          <w:bCs/>
          <w:szCs w:val="24"/>
        </w:rPr>
        <w:t xml:space="preserve"> to Certification Statement</w:t>
      </w:r>
    </w:p>
    <w:p w:rsidR="00880A76" w:rsidRPr="00562989" w:rsidRDefault="00880A76" w:rsidP="00880A76">
      <w:pPr>
        <w:tabs>
          <w:tab w:val="left" w:pos="-240"/>
          <w:tab w:val="left" w:pos="0"/>
        </w:tabs>
        <w:suppressAutoHyphens/>
        <w:rPr>
          <w:szCs w:val="24"/>
        </w:rPr>
      </w:pPr>
      <w:proofErr w:type="gramStart"/>
      <w:r w:rsidRPr="00562989">
        <w:rPr>
          <w:szCs w:val="24"/>
        </w:rPr>
        <w:t>None.</w:t>
      </w:r>
      <w:proofErr w:type="gramEnd"/>
    </w:p>
    <w:p w:rsidR="00C1240A" w:rsidRPr="00562989" w:rsidRDefault="00C1240A" w:rsidP="00CF5E5A">
      <w:pPr>
        <w:keepNext/>
        <w:keepLines/>
        <w:tabs>
          <w:tab w:val="left" w:pos="-240"/>
          <w:tab w:val="left" w:pos="0"/>
        </w:tabs>
        <w:suppressAutoHyphens/>
        <w:ind w:firstLine="0"/>
        <w:rPr>
          <w:caps/>
          <w:szCs w:val="24"/>
        </w:rPr>
      </w:pPr>
      <w:r w:rsidRPr="00562989">
        <w:rPr>
          <w:b/>
          <w:bCs/>
          <w:smallCaps/>
          <w:szCs w:val="24"/>
        </w:rPr>
        <w:t>B.</w:t>
      </w:r>
      <w:r w:rsidRPr="00562989">
        <w:rPr>
          <w:b/>
          <w:bCs/>
          <w:szCs w:val="24"/>
        </w:rPr>
        <w:tab/>
        <w:t>C</w:t>
      </w:r>
      <w:r w:rsidRPr="00562989">
        <w:rPr>
          <w:b/>
          <w:bCs/>
          <w:caps/>
          <w:szCs w:val="24"/>
        </w:rPr>
        <w:t>ollection of Information Employing Statistical Methods</w:t>
      </w:r>
    </w:p>
    <w:p w:rsidR="00C1240A" w:rsidRPr="00562989" w:rsidRDefault="00C1240A">
      <w:pPr>
        <w:keepLines/>
        <w:tabs>
          <w:tab w:val="left" w:pos="-240"/>
          <w:tab w:val="left" w:pos="0"/>
          <w:tab w:val="left" w:pos="283"/>
          <w:tab w:val="left" w:pos="402"/>
          <w:tab w:val="left" w:pos="720"/>
        </w:tabs>
        <w:suppressAutoHyphens/>
        <w:rPr>
          <w:szCs w:val="24"/>
        </w:rPr>
      </w:pPr>
      <w:r w:rsidRPr="00562989">
        <w:rPr>
          <w:szCs w:val="24"/>
        </w:rPr>
        <w:t>Not applicable.</w:t>
      </w:r>
    </w:p>
    <w:sectPr w:rsidR="00C1240A" w:rsidRPr="00562989" w:rsidSect="00E570B6">
      <w:headerReference w:type="default" r:id="rId10"/>
      <w:footerReference w:type="default" r:id="rId11"/>
      <w:endnotePr>
        <w:numFmt w:val="decimal"/>
      </w:endnotePr>
      <w:type w:val="continuous"/>
      <w:pgSz w:w="12240" w:h="15840"/>
      <w:pgMar w:top="1296" w:right="1440" w:bottom="1296" w:left="1440" w:header="1440" w:footer="403"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57A" w:rsidRDefault="00A7057A">
      <w:pPr>
        <w:spacing w:line="20" w:lineRule="exact"/>
        <w:rPr>
          <w:szCs w:val="24"/>
        </w:rPr>
      </w:pPr>
    </w:p>
  </w:endnote>
  <w:endnote w:type="continuationSeparator" w:id="0">
    <w:p w:rsidR="00A7057A" w:rsidRDefault="00A7057A">
      <w:r>
        <w:rPr>
          <w:szCs w:val="24"/>
        </w:rPr>
        <w:t xml:space="preserve"> </w:t>
      </w:r>
    </w:p>
  </w:endnote>
  <w:endnote w:type="continuationNotice" w:id="1">
    <w:p w:rsidR="00A7057A" w:rsidRDefault="00A7057A">
      <w:r>
        <w:rPr>
          <w:szCs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DeVinn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7A" w:rsidRDefault="00D312E2">
    <w:pPr>
      <w:tabs>
        <w:tab w:val="left" w:pos="0"/>
        <w:tab w:val="center" w:pos="4320"/>
        <w:tab w:val="right" w:pos="8640"/>
      </w:tabs>
      <w:suppressAutoHyphens/>
      <w:spacing w:line="240" w:lineRule="atLeast"/>
      <w:jc w:val="right"/>
      <w:rPr>
        <w:sz w:val="18"/>
        <w:szCs w:val="18"/>
      </w:rPr>
    </w:pPr>
    <w:r w:rsidRPr="00D312E2">
      <w:rPr>
        <w:noProof/>
      </w:rPr>
      <w:pict>
        <v:rect id="_x0000_s1031" style="position:absolute;left:0;text-align:left;margin-left:76.5pt;margin-top:1.2pt;width:463.5pt;height:.05pt;z-index:251658240;mso-position-horizontal-relative:page" o:allowincell="f" filled="f" stroked="f" strokeweight="0">
          <v:textbox inset="0,0,0,0">
            <w:txbxContent>
              <w:p w:rsidR="00A7057A" w:rsidRDefault="00A7057A">
                <w:pPr>
                  <w:tabs>
                    <w:tab w:val="left" w:pos="-720"/>
                  </w:tabs>
                  <w:suppressAutoHyphens/>
                  <w:spacing w:line="240" w:lineRule="atLeast"/>
                  <w:rPr>
                    <w:szCs w:val="24"/>
                  </w:rPr>
                </w:pPr>
              </w:p>
            </w:txbxContent>
          </v:textbox>
          <w10:wrap anchorx="page"/>
        </v:rect>
      </w:pict>
    </w:r>
    <w:r w:rsidR="00A7057A">
      <w:rPr>
        <w:sz w:val="18"/>
        <w:szCs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7A" w:rsidRDefault="00A7057A">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57A" w:rsidRDefault="00A7057A">
      <w:pPr>
        <w:spacing w:line="240" w:lineRule="auto"/>
        <w:ind w:firstLine="0"/>
      </w:pPr>
      <w:r>
        <w:separator/>
      </w:r>
    </w:p>
  </w:footnote>
  <w:footnote w:type="continuationSeparator" w:id="0">
    <w:p w:rsidR="00A7057A" w:rsidRDefault="00A7057A">
      <w:pPr>
        <w:spacing w:line="240" w:lineRule="auto"/>
        <w:ind w:firstLine="0"/>
      </w:pPr>
      <w:r>
        <w:separator/>
      </w:r>
    </w:p>
  </w:footnote>
  <w:footnote w:id="1">
    <w:p w:rsidR="00A7057A" w:rsidRPr="00312BDB" w:rsidRDefault="00A7057A" w:rsidP="001B17E6">
      <w:pPr>
        <w:pStyle w:val="FootnoteText"/>
        <w:spacing w:after="120"/>
        <w:rPr>
          <w:szCs w:val="22"/>
        </w:rPr>
      </w:pPr>
      <w:r w:rsidRPr="00312BDB">
        <w:rPr>
          <w:rStyle w:val="FootnoteReference"/>
          <w:sz w:val="22"/>
          <w:szCs w:val="22"/>
        </w:rPr>
        <w:footnoteRef/>
      </w:r>
      <w:r w:rsidRPr="00312BDB">
        <w:rPr>
          <w:szCs w:val="22"/>
        </w:rPr>
        <w:t xml:space="preserve"> </w:t>
      </w:r>
      <w:r w:rsidRPr="00312BDB">
        <w:rPr>
          <w:szCs w:val="22"/>
        </w:rPr>
        <w:tab/>
      </w:r>
      <w:proofErr w:type="gramStart"/>
      <w:r w:rsidRPr="00312BDB">
        <w:rPr>
          <w:color w:val="000000"/>
          <w:szCs w:val="22"/>
        </w:rPr>
        <w:t>15 U.S.C 80b</w:t>
      </w:r>
      <w:r w:rsidRPr="00312BDB">
        <w:rPr>
          <w:color w:val="000000"/>
          <w:szCs w:val="22"/>
        </w:rPr>
        <w:noBreakHyphen/>
        <w:t>4.</w:t>
      </w:r>
      <w:proofErr w:type="gramEnd"/>
    </w:p>
  </w:footnote>
  <w:footnote w:id="2">
    <w:p w:rsidR="00A7057A" w:rsidRPr="00312BDB" w:rsidRDefault="00A7057A" w:rsidP="001B17E6">
      <w:pPr>
        <w:pStyle w:val="FootnoteText"/>
        <w:spacing w:after="120"/>
        <w:rPr>
          <w:szCs w:val="22"/>
        </w:rPr>
      </w:pPr>
      <w:r w:rsidRPr="00312BDB">
        <w:rPr>
          <w:rStyle w:val="FootnoteReference"/>
          <w:sz w:val="22"/>
          <w:szCs w:val="22"/>
        </w:rPr>
        <w:footnoteRef/>
      </w:r>
      <w:r w:rsidRPr="00312BDB">
        <w:rPr>
          <w:szCs w:val="22"/>
        </w:rPr>
        <w:t xml:space="preserve"> </w:t>
      </w:r>
      <w:r w:rsidRPr="00312BDB">
        <w:rPr>
          <w:szCs w:val="22"/>
        </w:rPr>
        <w:tab/>
      </w:r>
      <w:proofErr w:type="gramStart"/>
      <w:r w:rsidRPr="00312BDB">
        <w:rPr>
          <w:szCs w:val="22"/>
        </w:rPr>
        <w:t>17 CFR 275.204-2.</w:t>
      </w:r>
      <w:proofErr w:type="gramEnd"/>
    </w:p>
  </w:footnote>
  <w:footnote w:id="3">
    <w:p w:rsidR="00A7057A" w:rsidRPr="00312BDB" w:rsidRDefault="00A7057A" w:rsidP="001B17E6">
      <w:pPr>
        <w:pStyle w:val="FootnoteText"/>
        <w:spacing w:after="120"/>
        <w:rPr>
          <w:szCs w:val="22"/>
        </w:rPr>
      </w:pPr>
      <w:r w:rsidRPr="00312BDB">
        <w:rPr>
          <w:rStyle w:val="FootnoteReference"/>
          <w:sz w:val="22"/>
          <w:szCs w:val="22"/>
        </w:rPr>
        <w:footnoteRef/>
      </w:r>
      <w:r w:rsidRPr="00312BDB">
        <w:rPr>
          <w:szCs w:val="22"/>
        </w:rPr>
        <w:t xml:space="preserve"> </w:t>
      </w:r>
      <w:r w:rsidRPr="00312BDB">
        <w:rPr>
          <w:szCs w:val="22"/>
        </w:rPr>
        <w:tab/>
      </w:r>
      <w:proofErr w:type="gramStart"/>
      <w:r w:rsidRPr="00312BDB">
        <w:rPr>
          <w:iCs/>
          <w:szCs w:val="22"/>
          <w:u w:val="single"/>
        </w:rPr>
        <w:t>See</w:t>
      </w:r>
      <w:r w:rsidRPr="00312BDB">
        <w:rPr>
          <w:szCs w:val="22"/>
        </w:rPr>
        <w:t xml:space="preserve"> rule 204-2(e) [17 CFR 275.204-2(e)].</w:t>
      </w:r>
      <w:proofErr w:type="gramEnd"/>
      <w:r w:rsidRPr="00312BDB">
        <w:rPr>
          <w:szCs w:val="22"/>
        </w:rPr>
        <w:t xml:space="preserve">  The standard retention period required for books and records under rule 204-2 is five years, in an easily accessible place, the first two years in an appropriate office of the investment adviser.</w:t>
      </w:r>
    </w:p>
  </w:footnote>
  <w:footnote w:id="4">
    <w:p w:rsidR="00A7057A" w:rsidRPr="00CA50D6" w:rsidRDefault="00A7057A" w:rsidP="00C661C2">
      <w:pPr>
        <w:pStyle w:val="FootnoteText"/>
        <w:spacing w:after="120"/>
        <w:rPr>
          <w:szCs w:val="22"/>
        </w:rPr>
      </w:pPr>
      <w:r w:rsidRPr="00CA50D6">
        <w:rPr>
          <w:rStyle w:val="FootnoteReference"/>
          <w:szCs w:val="22"/>
        </w:rPr>
        <w:footnoteRef/>
      </w:r>
      <w:r w:rsidRPr="00CA50D6">
        <w:rPr>
          <w:szCs w:val="22"/>
        </w:rPr>
        <w:t xml:space="preserve"> </w:t>
      </w:r>
      <w:r w:rsidRPr="00CA50D6">
        <w:rPr>
          <w:szCs w:val="22"/>
        </w:rPr>
        <w:tab/>
      </w:r>
      <w:r w:rsidRPr="00CA50D6">
        <w:rPr>
          <w:i/>
          <w:szCs w:val="22"/>
        </w:rPr>
        <w:t xml:space="preserve">See Rules Implementing Amendments to the Investment Advisers Act of 1940, </w:t>
      </w:r>
      <w:r w:rsidRPr="00CA50D6">
        <w:rPr>
          <w:szCs w:val="22"/>
        </w:rPr>
        <w:t>Investment Advisers Act Release No. 3110 (Nov. 19, 2010)</w:t>
      </w:r>
      <w:r w:rsidR="008B337D">
        <w:rPr>
          <w:szCs w:val="22"/>
        </w:rPr>
        <w:t xml:space="preserve"> [75 FR 77052 (Dec. 10, 2010)]</w:t>
      </w:r>
      <w:r w:rsidRPr="00CA50D6">
        <w:rPr>
          <w:szCs w:val="22"/>
        </w:rPr>
        <w:t xml:space="preserve"> (“Implementing</w:t>
      </w:r>
      <w:r>
        <w:rPr>
          <w:szCs w:val="22"/>
        </w:rPr>
        <w:t xml:space="preserve"> Proposing</w:t>
      </w:r>
      <w:r w:rsidRPr="00CA50D6">
        <w:rPr>
          <w:szCs w:val="22"/>
        </w:rPr>
        <w:t xml:space="preserve"> Release”); Dodd-Frank Wall Street Reform and Consumer Protection Act, Pub. </w:t>
      </w:r>
      <w:proofErr w:type="gramStart"/>
      <w:r w:rsidRPr="00CA50D6">
        <w:rPr>
          <w:szCs w:val="22"/>
        </w:rPr>
        <w:t>L. No. 111-203, 124 Stat. 1376 (2010).</w:t>
      </w:r>
      <w:proofErr w:type="gramEnd"/>
      <w:r w:rsidRPr="00CA50D6">
        <w:rPr>
          <w:szCs w:val="22"/>
        </w:rPr>
        <w:t xml:space="preserve">  </w:t>
      </w:r>
    </w:p>
  </w:footnote>
  <w:footnote w:id="5">
    <w:p w:rsidR="00A7057A" w:rsidRDefault="00A7057A" w:rsidP="00C431CB">
      <w:pPr>
        <w:pStyle w:val="FootnoteText"/>
      </w:pPr>
      <w:r>
        <w:rPr>
          <w:rStyle w:val="FootnoteReference"/>
        </w:rPr>
        <w:footnoteRef/>
      </w:r>
      <w:r>
        <w:t xml:space="preserve"> </w:t>
      </w:r>
      <w:r>
        <w:tab/>
      </w:r>
      <w:r w:rsidRPr="00CA50D6">
        <w:rPr>
          <w:i/>
          <w:szCs w:val="22"/>
        </w:rPr>
        <w:t xml:space="preserve">See Rules Implementing Amendments to the Investment Advisers Act of 1940, </w:t>
      </w:r>
      <w:r w:rsidRPr="00CA50D6">
        <w:rPr>
          <w:szCs w:val="22"/>
        </w:rPr>
        <w:t>Investment Advisers Act Release No.</w:t>
      </w:r>
      <w:r w:rsidR="00C40F91">
        <w:rPr>
          <w:szCs w:val="22"/>
        </w:rPr>
        <w:t xml:space="preserve"> </w:t>
      </w:r>
      <w:r w:rsidR="00C40F91">
        <w:rPr>
          <w:szCs w:val="22"/>
        </w:rPr>
        <w:t>3221</w:t>
      </w:r>
      <w:r>
        <w:rPr>
          <w:szCs w:val="22"/>
        </w:rPr>
        <w:t xml:space="preserve"> (June 22, 2011</w:t>
      </w:r>
      <w:r w:rsidRPr="00CA50D6">
        <w:rPr>
          <w:szCs w:val="22"/>
        </w:rPr>
        <w:t>) (“Implementing</w:t>
      </w:r>
      <w:r>
        <w:rPr>
          <w:szCs w:val="22"/>
        </w:rPr>
        <w:t xml:space="preserve"> Adopting </w:t>
      </w:r>
      <w:r w:rsidRPr="00CA50D6">
        <w:rPr>
          <w:szCs w:val="22"/>
        </w:rPr>
        <w:t>Release”)</w:t>
      </w:r>
      <w:r>
        <w:rPr>
          <w:szCs w:val="22"/>
        </w:rPr>
        <w:t>.</w:t>
      </w:r>
    </w:p>
  </w:footnote>
  <w:footnote w:id="6">
    <w:p w:rsidR="00A7057A" w:rsidRPr="0079152D" w:rsidRDefault="00A7057A" w:rsidP="00BF4110">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r>
      <w:r>
        <w:rPr>
          <w:i/>
          <w:szCs w:val="22"/>
        </w:rPr>
        <w:t xml:space="preserve">See </w:t>
      </w:r>
      <w:r>
        <w:rPr>
          <w:szCs w:val="22"/>
        </w:rPr>
        <w:t>Section 403 of the Dodd-Frank Act (eliminating the current “private adviser” exemption in section 203(b</w:t>
      </w:r>
      <w:proofErr w:type="gramStart"/>
      <w:r>
        <w:rPr>
          <w:szCs w:val="22"/>
        </w:rPr>
        <w:t>)(</w:t>
      </w:r>
      <w:proofErr w:type="gramEnd"/>
      <w:r>
        <w:rPr>
          <w:szCs w:val="22"/>
        </w:rPr>
        <w:t xml:space="preserve">3) of the Advisers Act [15 U.S.C. 80b-3(b)(3)]).  The Commission also adopted a technical amendment to </w:t>
      </w:r>
      <w:r w:rsidRPr="0079152D">
        <w:rPr>
          <w:szCs w:val="22"/>
        </w:rPr>
        <w:t>rule 204-2(e</w:t>
      </w:r>
      <w:proofErr w:type="gramStart"/>
      <w:r w:rsidRPr="0079152D">
        <w:rPr>
          <w:szCs w:val="22"/>
        </w:rPr>
        <w:t>)(</w:t>
      </w:r>
      <w:proofErr w:type="gramEnd"/>
      <w:r w:rsidRPr="0079152D">
        <w:rPr>
          <w:szCs w:val="22"/>
        </w:rPr>
        <w:t>3)(ii)  to cross-reference the new definition of “private fund” added to the Advisers Act by the Dodd-Frank Act where that term is used i</w:t>
      </w:r>
      <w:r>
        <w:rPr>
          <w:szCs w:val="22"/>
        </w:rPr>
        <w:t>n rule 204-2, and a technical amendment to rule 204-2(a)(14)(ii) to replace the term “assets under management” with the term “regulatory assets under management.”</w:t>
      </w:r>
      <w:r w:rsidRPr="0079152D">
        <w:rPr>
          <w:szCs w:val="22"/>
        </w:rPr>
        <w:t xml:space="preserve">  However, </w:t>
      </w:r>
      <w:r>
        <w:rPr>
          <w:szCs w:val="22"/>
        </w:rPr>
        <w:t>these amendments are</w:t>
      </w:r>
      <w:r w:rsidRPr="0079152D">
        <w:rPr>
          <w:szCs w:val="22"/>
        </w:rPr>
        <w:t xml:space="preserve"> technical, and </w:t>
      </w:r>
      <w:r>
        <w:rPr>
          <w:szCs w:val="22"/>
        </w:rPr>
        <w:t>will</w:t>
      </w:r>
      <w:r w:rsidRPr="0079152D">
        <w:rPr>
          <w:szCs w:val="22"/>
        </w:rPr>
        <w:t xml:space="preserve"> not increase or decrease the collection burden on advisers.</w:t>
      </w:r>
      <w:r>
        <w:rPr>
          <w:szCs w:val="22"/>
        </w:rPr>
        <w:t xml:space="preserve"> </w:t>
      </w:r>
    </w:p>
  </w:footnote>
  <w:footnote w:id="7">
    <w:p w:rsidR="00A7057A" w:rsidRPr="00312BDB" w:rsidRDefault="00A7057A" w:rsidP="00D31E3F">
      <w:pPr>
        <w:pStyle w:val="FootnoteText"/>
        <w:spacing w:after="120"/>
        <w:ind w:left="0" w:firstLine="0"/>
        <w:jc w:val="both"/>
        <w:rPr>
          <w:szCs w:val="22"/>
        </w:rPr>
      </w:pPr>
      <w:r w:rsidRPr="00312BDB">
        <w:rPr>
          <w:rStyle w:val="FootnoteReference"/>
          <w:sz w:val="22"/>
          <w:szCs w:val="22"/>
        </w:rPr>
        <w:footnoteRef/>
      </w:r>
      <w:r>
        <w:rPr>
          <w:szCs w:val="22"/>
        </w:rPr>
        <w:tab/>
      </w:r>
      <w:proofErr w:type="gramStart"/>
      <w:r w:rsidRPr="00D31E3F">
        <w:rPr>
          <w:i/>
          <w:iCs/>
          <w:szCs w:val="22"/>
        </w:rPr>
        <w:t>See</w:t>
      </w:r>
      <w:r w:rsidRPr="00D31E3F">
        <w:rPr>
          <w:i/>
          <w:szCs w:val="22"/>
        </w:rPr>
        <w:t xml:space="preserve"> </w:t>
      </w:r>
      <w:r w:rsidRPr="00312BDB">
        <w:rPr>
          <w:szCs w:val="22"/>
        </w:rPr>
        <w:t>section 210(b) of the Advisers Act [15 U.S.C. 80b-10(b)].</w:t>
      </w:r>
      <w:proofErr w:type="gramEnd"/>
    </w:p>
  </w:footnote>
  <w:footnote w:id="8">
    <w:p w:rsidR="00A7057A" w:rsidRPr="00312BDB" w:rsidRDefault="00A7057A" w:rsidP="001B17E6">
      <w:pPr>
        <w:pStyle w:val="NormalWeb"/>
        <w:spacing w:before="0" w:beforeAutospacing="0" w:after="120" w:afterAutospacing="0"/>
        <w:ind w:left="720" w:hanging="720"/>
        <w:outlineLvl w:val="2"/>
        <w:rPr>
          <w:bCs/>
          <w:color w:val="000000"/>
          <w:sz w:val="22"/>
          <w:szCs w:val="22"/>
        </w:rPr>
      </w:pPr>
      <w:r w:rsidRPr="00312BDB">
        <w:rPr>
          <w:rStyle w:val="FootnoteReference"/>
          <w:color w:val="000000"/>
          <w:sz w:val="22"/>
          <w:szCs w:val="22"/>
        </w:rPr>
        <w:footnoteRef/>
      </w:r>
      <w:r w:rsidRPr="00312BDB">
        <w:rPr>
          <w:sz w:val="22"/>
          <w:szCs w:val="22"/>
        </w:rPr>
        <w:t xml:space="preserve"> </w:t>
      </w:r>
      <w:r w:rsidRPr="00312BDB">
        <w:rPr>
          <w:sz w:val="22"/>
          <w:szCs w:val="22"/>
        </w:rPr>
        <w:tab/>
      </w:r>
      <w:r w:rsidRPr="003B5A90">
        <w:rPr>
          <w:i/>
          <w:sz w:val="22"/>
          <w:szCs w:val="22"/>
        </w:rPr>
        <w:t xml:space="preserve">See </w:t>
      </w:r>
      <w:r w:rsidRPr="008B337D">
        <w:rPr>
          <w:i/>
          <w:sz w:val="22"/>
          <w:szCs w:val="22"/>
        </w:rPr>
        <w:t>Electronic Recordkeeping by Investment Companies and Investment Advisers</w:t>
      </w:r>
      <w:r w:rsidRPr="00312BDB">
        <w:rPr>
          <w:sz w:val="22"/>
          <w:szCs w:val="22"/>
        </w:rPr>
        <w:t>, Investment Advisers Act Release No. 1945 (May 24, 2001) [66 FR 29224 (May 30, 2001)].</w:t>
      </w:r>
    </w:p>
  </w:footnote>
  <w:footnote w:id="9">
    <w:p w:rsidR="00A7057A" w:rsidRPr="00312BDB" w:rsidRDefault="00A7057A" w:rsidP="00E87B71">
      <w:pPr>
        <w:pStyle w:val="FootnoteText"/>
        <w:spacing w:after="120"/>
        <w:rPr>
          <w:szCs w:val="22"/>
        </w:rPr>
      </w:pPr>
      <w:r w:rsidRPr="00312BDB">
        <w:rPr>
          <w:rStyle w:val="FootnoteReference"/>
          <w:sz w:val="22"/>
          <w:szCs w:val="22"/>
        </w:rPr>
        <w:footnoteRef/>
      </w:r>
      <w:r w:rsidRPr="00312BDB">
        <w:rPr>
          <w:szCs w:val="22"/>
        </w:rPr>
        <w:t xml:space="preserve"> </w:t>
      </w:r>
      <w:r w:rsidRPr="00312BDB">
        <w:rPr>
          <w:szCs w:val="22"/>
        </w:rPr>
        <w:tab/>
      </w:r>
      <w:r w:rsidRPr="0009651D">
        <w:rPr>
          <w:i/>
          <w:szCs w:val="22"/>
        </w:rPr>
        <w:t xml:space="preserve">See </w:t>
      </w:r>
      <w:r>
        <w:rPr>
          <w:i/>
          <w:szCs w:val="22"/>
        </w:rPr>
        <w:t>s</w:t>
      </w:r>
      <w:r w:rsidRPr="0009651D">
        <w:rPr>
          <w:i/>
          <w:szCs w:val="22"/>
        </w:rPr>
        <w:t>upra</w:t>
      </w:r>
      <w:r>
        <w:rPr>
          <w:szCs w:val="22"/>
        </w:rPr>
        <w:t xml:space="preserve"> note 3. </w:t>
      </w:r>
    </w:p>
  </w:footnote>
  <w:footnote w:id="10">
    <w:p w:rsidR="00A7057A" w:rsidRPr="00312BDB" w:rsidRDefault="00A7057A" w:rsidP="0063438A">
      <w:pPr>
        <w:pStyle w:val="FootnoteText"/>
        <w:spacing w:after="120"/>
        <w:rPr>
          <w:szCs w:val="22"/>
        </w:rPr>
      </w:pPr>
      <w:r w:rsidRPr="00312BDB">
        <w:rPr>
          <w:rStyle w:val="FootnoteReference"/>
          <w:sz w:val="22"/>
          <w:szCs w:val="22"/>
        </w:rPr>
        <w:footnoteRef/>
      </w:r>
      <w:r w:rsidRPr="00312BDB">
        <w:rPr>
          <w:szCs w:val="22"/>
        </w:rPr>
        <w:t xml:space="preserve"> </w:t>
      </w:r>
      <w:r w:rsidRPr="00312BDB">
        <w:rPr>
          <w:szCs w:val="22"/>
        </w:rPr>
        <w:tab/>
      </w:r>
      <w:r w:rsidRPr="003C0151">
        <w:rPr>
          <w:i/>
          <w:iCs/>
          <w:szCs w:val="22"/>
        </w:rPr>
        <w:t>See supra</w:t>
      </w:r>
      <w:r w:rsidRPr="00312BDB">
        <w:rPr>
          <w:iCs/>
          <w:szCs w:val="22"/>
        </w:rPr>
        <w:t xml:space="preserve"> note</w:t>
      </w:r>
      <w:r>
        <w:rPr>
          <w:iCs/>
          <w:szCs w:val="22"/>
        </w:rPr>
        <w:t xml:space="preserve"> 7</w:t>
      </w:r>
      <w:r w:rsidRPr="00312BDB">
        <w:rPr>
          <w:szCs w:val="22"/>
        </w:rPr>
        <w:t>.</w:t>
      </w:r>
    </w:p>
  </w:footnote>
  <w:footnote w:id="11">
    <w:p w:rsidR="00A7057A" w:rsidRPr="00A70845" w:rsidRDefault="00A7057A" w:rsidP="00565AE2">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r>
      <w:r w:rsidRPr="00B8227A">
        <w:rPr>
          <w:sz w:val="24"/>
        </w:rPr>
        <w:t>Section 410 of the Dodd-Frank Act</w:t>
      </w:r>
      <w:r>
        <w:rPr>
          <w:sz w:val="24"/>
        </w:rPr>
        <w:t xml:space="preserve"> has amended section 203A of the Advisers Act [15 U.S.C. 80b-3A] to create</w:t>
      </w:r>
      <w:r w:rsidRPr="00B8227A">
        <w:rPr>
          <w:sz w:val="24"/>
        </w:rPr>
        <w:t xml:space="preserve"> a new group of “mid-sized advisers” </w:t>
      </w:r>
      <w:r>
        <w:rPr>
          <w:rFonts w:eastAsia="DeVinne"/>
          <w:sz w:val="24"/>
        </w:rPr>
        <w:t>and shift</w:t>
      </w:r>
      <w:r w:rsidRPr="00B8227A">
        <w:rPr>
          <w:rFonts w:eastAsia="DeVinne"/>
          <w:sz w:val="24"/>
        </w:rPr>
        <w:t xml:space="preserve"> primary responsibility for their regulatory oversight to the state </w:t>
      </w:r>
      <w:r>
        <w:rPr>
          <w:rFonts w:eastAsia="DeVinne"/>
          <w:sz w:val="24"/>
        </w:rPr>
        <w:t>securities authorities.  It has accomplished</w:t>
      </w:r>
      <w:r w:rsidRPr="00B8227A">
        <w:rPr>
          <w:rFonts w:eastAsia="DeVinne"/>
          <w:sz w:val="24"/>
        </w:rPr>
        <w:t xml:space="preserve"> this by prohibiting from registering with the Commission an investment adviser that is registered as an investment adviser in the state in which it maintains its principal office and place of business and that has assets under management between $25 million and $100 million.</w:t>
      </w:r>
      <w:r>
        <w:rPr>
          <w:rFonts w:eastAsia="DeVinne"/>
          <w:sz w:val="24"/>
        </w:rPr>
        <w:t xml:space="preserve">  In addition, as discussed above, section 403 of the Dodd-Frank Act eliminates the “private adviser” exemption in section 203(b</w:t>
      </w:r>
      <w:proofErr w:type="gramStart"/>
      <w:r>
        <w:rPr>
          <w:rFonts w:eastAsia="DeVinne"/>
          <w:sz w:val="24"/>
        </w:rPr>
        <w:t>)(</w:t>
      </w:r>
      <w:proofErr w:type="gramEnd"/>
      <w:r>
        <w:rPr>
          <w:rFonts w:eastAsia="DeVinne"/>
          <w:sz w:val="24"/>
        </w:rPr>
        <w:t>3) of the Advisers Act.</w:t>
      </w:r>
    </w:p>
  </w:footnote>
  <w:footnote w:id="12">
    <w:p w:rsidR="00A7057A" w:rsidRPr="0079152D" w:rsidRDefault="00A7057A" w:rsidP="00A70845">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r>
      <w:r w:rsidRPr="0079152D">
        <w:rPr>
          <w:i/>
          <w:szCs w:val="22"/>
        </w:rPr>
        <w:t>See</w:t>
      </w:r>
      <w:r>
        <w:rPr>
          <w:i/>
          <w:szCs w:val="22"/>
        </w:rPr>
        <w:t xml:space="preserve"> </w:t>
      </w:r>
      <w:r>
        <w:rPr>
          <w:szCs w:val="22"/>
        </w:rPr>
        <w:t>Implementing Adopting Release,</w:t>
      </w:r>
      <w:r w:rsidRPr="0079152D">
        <w:rPr>
          <w:i/>
          <w:szCs w:val="22"/>
        </w:rPr>
        <w:t xml:space="preserve"> supra</w:t>
      </w:r>
      <w:r w:rsidRPr="0079152D">
        <w:rPr>
          <w:szCs w:val="22"/>
        </w:rPr>
        <w:t xml:space="preserve"> note</w:t>
      </w:r>
      <w:r>
        <w:rPr>
          <w:szCs w:val="22"/>
        </w:rPr>
        <w:t xml:space="preserve"> </w:t>
      </w:r>
      <w:r w:rsidR="00D312E2">
        <w:rPr>
          <w:szCs w:val="22"/>
        </w:rPr>
        <w:fldChar w:fldCharType="begin"/>
      </w:r>
      <w:r>
        <w:rPr>
          <w:szCs w:val="22"/>
        </w:rPr>
        <w:instrText xml:space="preserve"> NOTEREF _Ref295725482 \h </w:instrText>
      </w:r>
      <w:r w:rsidR="00D312E2">
        <w:rPr>
          <w:szCs w:val="22"/>
        </w:rPr>
      </w:r>
      <w:r w:rsidR="00D312E2">
        <w:rPr>
          <w:szCs w:val="22"/>
        </w:rPr>
        <w:fldChar w:fldCharType="separate"/>
      </w:r>
      <w:r>
        <w:rPr>
          <w:szCs w:val="22"/>
        </w:rPr>
        <w:t>5</w:t>
      </w:r>
      <w:r w:rsidR="00D312E2">
        <w:rPr>
          <w:szCs w:val="22"/>
        </w:rPr>
        <w:fldChar w:fldCharType="end"/>
      </w:r>
      <w:r w:rsidR="00AE6903">
        <w:rPr>
          <w:szCs w:val="22"/>
        </w:rPr>
        <w:t>, at n. 655</w:t>
      </w:r>
      <w:r w:rsidRPr="0079152D">
        <w:rPr>
          <w:szCs w:val="22"/>
        </w:rPr>
        <w:t xml:space="preserve"> and accompanying text.</w:t>
      </w:r>
    </w:p>
  </w:footnote>
  <w:footnote w:id="13">
    <w:p w:rsidR="00A7057A" w:rsidRPr="00E26A57" w:rsidRDefault="00A7057A" w:rsidP="00A7057A">
      <w:pPr>
        <w:pStyle w:val="FootnoteText"/>
        <w:tabs>
          <w:tab w:val="left" w:pos="720"/>
        </w:tabs>
        <w:spacing w:before="120" w:after="120"/>
        <w:rPr>
          <w:szCs w:val="22"/>
        </w:rPr>
      </w:pPr>
      <w:r w:rsidRPr="00E26A57">
        <w:rPr>
          <w:rStyle w:val="FootnoteReference"/>
          <w:szCs w:val="22"/>
        </w:rPr>
        <w:footnoteRef/>
      </w:r>
      <w:r w:rsidR="00AE6903">
        <w:rPr>
          <w:szCs w:val="22"/>
        </w:rPr>
        <w:t xml:space="preserve"> </w:t>
      </w:r>
      <w:r w:rsidR="00AE6903">
        <w:rPr>
          <w:szCs w:val="22"/>
        </w:rPr>
        <w:tab/>
        <w:t>9,7</w:t>
      </w:r>
      <w:r w:rsidRPr="00E26A57">
        <w:rPr>
          <w:szCs w:val="22"/>
        </w:rPr>
        <w:t>50 registered advisers x 18</w:t>
      </w:r>
      <w:r w:rsidR="00AE6903">
        <w:rPr>
          <w:szCs w:val="22"/>
        </w:rPr>
        <w:t>1.45 hours = approximately 1,769,138</w:t>
      </w:r>
      <w:r w:rsidRPr="00E26A57">
        <w:rPr>
          <w:szCs w:val="22"/>
        </w:rPr>
        <w:t xml:space="preserve">.  </w:t>
      </w:r>
    </w:p>
  </w:footnote>
  <w:footnote w:id="14">
    <w:p w:rsidR="00A7057A" w:rsidRPr="00E26A57" w:rsidRDefault="00A7057A" w:rsidP="00A7057A">
      <w:pPr>
        <w:pStyle w:val="FootnoteText"/>
        <w:tabs>
          <w:tab w:val="left" w:pos="720"/>
        </w:tabs>
        <w:spacing w:before="120" w:after="120"/>
        <w:rPr>
          <w:szCs w:val="22"/>
        </w:rPr>
      </w:pPr>
      <w:r w:rsidRPr="00E26A57">
        <w:rPr>
          <w:rStyle w:val="FootnoteReference"/>
          <w:szCs w:val="22"/>
        </w:rPr>
        <w:footnoteRef/>
      </w:r>
      <w:r w:rsidR="00AE6903">
        <w:rPr>
          <w:szCs w:val="22"/>
        </w:rPr>
        <w:t xml:space="preserve"> </w:t>
      </w:r>
      <w:r w:rsidR="00AE6903">
        <w:rPr>
          <w:szCs w:val="22"/>
        </w:rPr>
        <w:tab/>
        <w:t>2,115,376 hours – 1,769</w:t>
      </w:r>
      <w:r w:rsidR="00E660F3">
        <w:rPr>
          <w:szCs w:val="22"/>
        </w:rPr>
        <w:t>,138</w:t>
      </w:r>
      <w:r w:rsidR="00AE6903">
        <w:rPr>
          <w:szCs w:val="22"/>
        </w:rPr>
        <w:t xml:space="preserve"> hours = 346,238</w:t>
      </w:r>
      <w:r w:rsidRPr="00E26A57">
        <w:rPr>
          <w:szCs w:val="22"/>
        </w:rPr>
        <w:t xml:space="preserve"> hours.  </w:t>
      </w:r>
    </w:p>
  </w:footnote>
  <w:footnote w:id="15">
    <w:p w:rsidR="00A7057A" w:rsidRDefault="00A7057A" w:rsidP="000427C5">
      <w:pPr>
        <w:pStyle w:val="FootnoteText"/>
      </w:pPr>
      <w:r>
        <w:rPr>
          <w:rStyle w:val="FootnoteReference"/>
        </w:rPr>
        <w:footnoteRef/>
      </w:r>
      <w:r>
        <w:t xml:space="preserve"> </w:t>
      </w:r>
      <w:r>
        <w:tab/>
      </w:r>
      <w:r w:rsidRPr="00A00432">
        <w:rPr>
          <w:szCs w:val="22"/>
        </w:rPr>
        <w:t xml:space="preserve">Our hourly wage rate estimate for a compliance manager and compliance clerk is based on data from the </w:t>
      </w:r>
      <w:r w:rsidRPr="001931FE">
        <w:rPr>
          <w:szCs w:val="22"/>
          <w:u w:val="single"/>
        </w:rPr>
        <w:t>Securities Industry Financial Markets Association’s Office Salaries</w:t>
      </w:r>
      <w:r>
        <w:rPr>
          <w:szCs w:val="22"/>
          <w:u w:val="single"/>
        </w:rPr>
        <w:t xml:space="preserve"> in the Securities Industry 2010</w:t>
      </w:r>
      <w:r w:rsidRPr="00A00432">
        <w:rPr>
          <w:szCs w:val="22"/>
        </w:rPr>
        <w:t>, modified by Commission staff to account for an 1800-hour work-year and multiplied by 2.93, for compliance clerks to account for bonuses, firm size, employee benefits and overhead.</w:t>
      </w:r>
    </w:p>
  </w:footnote>
  <w:footnote w:id="16">
    <w:p w:rsidR="00A7057A" w:rsidRPr="00356F5D" w:rsidRDefault="00A7057A" w:rsidP="000427C5">
      <w:pPr>
        <w:pStyle w:val="FootnoteText"/>
        <w:rPr>
          <w:szCs w:val="22"/>
        </w:rPr>
      </w:pPr>
      <w:r>
        <w:rPr>
          <w:rStyle w:val="FootnoteReference"/>
        </w:rPr>
        <w:footnoteRef/>
      </w:r>
      <w:r>
        <w:t xml:space="preserve"> </w:t>
      </w:r>
      <w:r>
        <w:tab/>
      </w:r>
      <w:r>
        <w:rPr>
          <w:szCs w:val="22"/>
        </w:rPr>
        <w:t>(31.45</w:t>
      </w:r>
      <w:r w:rsidRPr="00467430">
        <w:rPr>
          <w:szCs w:val="22"/>
        </w:rPr>
        <w:t xml:space="preserve"> hour</w:t>
      </w:r>
      <w:r w:rsidR="00E660F3">
        <w:rPr>
          <w:szCs w:val="22"/>
        </w:rPr>
        <w:t>s per compliance clerk x $67</w:t>
      </w:r>
      <w:r>
        <w:rPr>
          <w:szCs w:val="22"/>
        </w:rPr>
        <w:t>) + (15</w:t>
      </w:r>
      <w:r w:rsidR="00E660F3">
        <w:rPr>
          <w:szCs w:val="22"/>
        </w:rPr>
        <w:t>0 hours per clerical staff x $50) = ($2,107.15 + $7,500) = $9,607.15</w:t>
      </w:r>
      <w:r>
        <w:rPr>
          <w:szCs w:val="22"/>
        </w:rPr>
        <w:t>.</w:t>
      </w:r>
    </w:p>
  </w:footnote>
  <w:footnote w:id="17">
    <w:p w:rsidR="00A7057A" w:rsidRDefault="00A7057A" w:rsidP="000427C5">
      <w:pPr>
        <w:pStyle w:val="FootnoteText"/>
      </w:pPr>
      <w:r>
        <w:rPr>
          <w:rStyle w:val="FootnoteReference"/>
        </w:rPr>
        <w:footnoteRef/>
      </w:r>
      <w:r w:rsidR="00E660F3">
        <w:t xml:space="preserve"> </w:t>
      </w:r>
      <w:r w:rsidR="00E660F3">
        <w:tab/>
        <w:t>$9,607.15</w:t>
      </w:r>
      <w:r w:rsidR="00AE6903">
        <w:t xml:space="preserve"> per adviser x 9,7</w:t>
      </w:r>
      <w:r>
        <w:t xml:space="preserve">50 </w:t>
      </w:r>
      <w:r w:rsidR="00566BC5">
        <w:t xml:space="preserve">advisers = </w:t>
      </w:r>
      <w:r w:rsidR="00E660F3">
        <w:t>approximately $93,669,713</w:t>
      </w:r>
      <w:r>
        <w:t>.</w:t>
      </w:r>
    </w:p>
  </w:footnote>
  <w:footnote w:id="18">
    <w:p w:rsidR="00A7057A" w:rsidRPr="00E26A57" w:rsidRDefault="00A7057A" w:rsidP="00A7057A">
      <w:pPr>
        <w:pStyle w:val="FootnoteText"/>
        <w:tabs>
          <w:tab w:val="left" w:pos="720"/>
        </w:tabs>
        <w:spacing w:before="120" w:after="120"/>
        <w:rPr>
          <w:szCs w:val="22"/>
        </w:rPr>
      </w:pPr>
      <w:r w:rsidRPr="00E26A57">
        <w:rPr>
          <w:rStyle w:val="FootnoteReference"/>
          <w:szCs w:val="22"/>
        </w:rPr>
        <w:footnoteRef/>
      </w:r>
      <w:r w:rsidRPr="00E26A57">
        <w:rPr>
          <w:szCs w:val="22"/>
        </w:rPr>
        <w:t xml:space="preserve"> </w:t>
      </w:r>
      <w:r w:rsidRPr="00E26A57">
        <w:rPr>
          <w:szCs w:val="22"/>
        </w:rPr>
        <w:tab/>
        <w:t>$34,965,063 / 11,658 advisers = approximately $3,000.</w:t>
      </w:r>
    </w:p>
  </w:footnote>
  <w:footnote w:id="19">
    <w:p w:rsidR="00A7057A" w:rsidRPr="00E26A57" w:rsidRDefault="00A7057A" w:rsidP="00A7057A">
      <w:pPr>
        <w:pStyle w:val="FootnoteText"/>
        <w:tabs>
          <w:tab w:val="left" w:pos="720"/>
        </w:tabs>
        <w:spacing w:before="120" w:after="120"/>
        <w:rPr>
          <w:szCs w:val="22"/>
        </w:rPr>
      </w:pPr>
      <w:r w:rsidRPr="00E26A57">
        <w:rPr>
          <w:rStyle w:val="FootnoteReference"/>
          <w:szCs w:val="22"/>
        </w:rPr>
        <w:footnoteRef/>
      </w:r>
      <w:r w:rsidR="00AE6903">
        <w:rPr>
          <w:szCs w:val="22"/>
        </w:rPr>
        <w:t xml:space="preserve"> </w:t>
      </w:r>
      <w:r w:rsidR="00AE6903">
        <w:rPr>
          <w:szCs w:val="22"/>
        </w:rPr>
        <w:tab/>
        <w:t>9,750 x $3,000 = $29,250,000</w:t>
      </w:r>
      <w:r w:rsidRPr="00E26A57">
        <w:rPr>
          <w:szCs w:val="22"/>
        </w:rPr>
        <w:t>.</w:t>
      </w:r>
    </w:p>
  </w:footnote>
  <w:footnote w:id="20">
    <w:p w:rsidR="00A7057A" w:rsidRPr="00E26A57" w:rsidRDefault="00A7057A" w:rsidP="00A7057A">
      <w:pPr>
        <w:pStyle w:val="FootnoteText"/>
        <w:tabs>
          <w:tab w:val="left" w:pos="720"/>
        </w:tabs>
        <w:spacing w:before="120" w:after="120"/>
        <w:rPr>
          <w:szCs w:val="22"/>
        </w:rPr>
      </w:pPr>
      <w:r w:rsidRPr="00E26A57">
        <w:rPr>
          <w:rStyle w:val="FootnoteReference"/>
          <w:szCs w:val="22"/>
        </w:rPr>
        <w:footnoteRef/>
      </w:r>
      <w:r w:rsidR="00AE6903">
        <w:rPr>
          <w:szCs w:val="22"/>
        </w:rPr>
        <w:t xml:space="preserve"> </w:t>
      </w:r>
      <w:r w:rsidR="00AE6903">
        <w:rPr>
          <w:szCs w:val="22"/>
        </w:rPr>
        <w:tab/>
        <w:t>$34,965,063 - $29,250,000 = $5,715</w:t>
      </w:r>
      <w:r w:rsidRPr="00E26A57">
        <w:rPr>
          <w:szCs w:val="22"/>
        </w:rPr>
        <w:t>,063.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7A" w:rsidRPr="00F80E03" w:rsidRDefault="00A7057A" w:rsidP="00F80E03">
    <w:pPr>
      <w:tabs>
        <w:tab w:val="left" w:pos="-720"/>
      </w:tabs>
      <w:suppressAutoHyphens/>
      <w:spacing w:line="240" w:lineRule="atLeast"/>
      <w:ind w:left="-120" w:right="90"/>
      <w:jc w:val="righ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7A" w:rsidRDefault="00D312E2">
    <w:pPr>
      <w:tabs>
        <w:tab w:val="left" w:pos="-720"/>
      </w:tabs>
      <w:suppressAutoHyphens/>
      <w:spacing w:line="240" w:lineRule="atLeast"/>
      <w:ind w:firstLine="0"/>
      <w:jc w:val="center"/>
    </w:pPr>
    <w:r>
      <w:rPr>
        <w:rStyle w:val="PageNumber"/>
      </w:rPr>
      <w:fldChar w:fldCharType="begin"/>
    </w:r>
    <w:r w:rsidR="00A7057A">
      <w:rPr>
        <w:rStyle w:val="PageNumber"/>
      </w:rPr>
      <w:instrText xml:space="preserve"> PAGE </w:instrText>
    </w:r>
    <w:r>
      <w:rPr>
        <w:rStyle w:val="PageNumber"/>
      </w:rPr>
      <w:fldChar w:fldCharType="separate"/>
    </w:r>
    <w:r w:rsidR="00C40F91">
      <w:rPr>
        <w:rStyle w:val="PageNumber"/>
        <w:noProof/>
      </w:rPr>
      <w:t>2</w:t>
    </w:r>
    <w:r>
      <w:rPr>
        <w:rStyle w:val="PageNumber"/>
      </w:rPr>
      <w:fldChar w:fldCharType="end"/>
    </w:r>
    <w:r>
      <w:rPr>
        <w:noProof/>
      </w:rPr>
      <w:pict>
        <v:rect id="_x0000_s1028" style="position:absolute;left:0;text-align:left;margin-left:818.6pt;margin-top:0;width:456pt;height:12pt;z-index:-251659264;mso-position-horizontal-relative:margin;mso-position-vertical-relative:text" o:allowincell="f" filled="f" stroked="f" strokeweight="0">
          <v:textbox inset="0,0,0,0">
            <w:txbxContent>
              <w:p w:rsidR="00A7057A" w:rsidRDefault="00A7057A">
                <w:pPr>
                  <w:tabs>
                    <w:tab w:val="center" w:pos="4560"/>
                  </w:tabs>
                  <w:suppressAutoHyphens/>
                  <w:spacing w:line="240" w:lineRule="atLeast"/>
                  <w:jc w:val="both"/>
                  <w:rPr>
                    <w:spacing w:val="-3"/>
                    <w:szCs w:val="24"/>
                  </w:rPr>
                </w:pPr>
                <w:r>
                  <w:rPr>
                    <w:spacing w:val="-3"/>
                    <w:szCs w:val="24"/>
                  </w:rPr>
                  <w:tab/>
                </w:r>
                <w:r w:rsidR="00D312E2">
                  <w:rPr>
                    <w:spacing w:val="-3"/>
                    <w:szCs w:val="24"/>
                  </w:rPr>
                  <w:fldChar w:fldCharType="begin"/>
                </w:r>
                <w:r>
                  <w:rPr>
                    <w:spacing w:val="-3"/>
                    <w:szCs w:val="24"/>
                  </w:rPr>
                  <w:instrText>page \* arabic</w:instrText>
                </w:r>
                <w:r w:rsidR="00D312E2">
                  <w:rPr>
                    <w:spacing w:val="-3"/>
                    <w:szCs w:val="24"/>
                  </w:rPr>
                  <w:fldChar w:fldCharType="separate"/>
                </w:r>
                <w:r w:rsidR="00C40F91">
                  <w:rPr>
                    <w:noProof/>
                    <w:spacing w:val="-3"/>
                    <w:szCs w:val="24"/>
                  </w:rPr>
                  <w:t>2</w:t>
                </w:r>
                <w:r w:rsidR="00D312E2">
                  <w:rPr>
                    <w:spacing w:val="-3"/>
                    <w:szCs w:val="24"/>
                  </w:rPr>
                  <w:fldChar w:fldCharType="end"/>
                </w:r>
              </w:p>
            </w:txbxContent>
          </v:textbox>
          <w10:wrap anchorx="margin"/>
        </v:rect>
      </w:pict>
    </w:r>
  </w:p>
  <w:p w:rsidR="00A7057A" w:rsidRDefault="00A7057A">
    <w:pPr>
      <w:tabs>
        <w:tab w:val="left" w:pos="-720"/>
      </w:tabs>
      <w:suppressAutoHyphens/>
      <w:spacing w:line="240" w:lineRule="atLeast"/>
      <w:ind w:firstLine="0"/>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6E8EE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06E3900"/>
    <w:multiLevelType w:val="hybridMultilevel"/>
    <w:tmpl w:val="C8AE6504"/>
    <w:lvl w:ilvl="0" w:tplc="33A4AA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6A2FAB"/>
    <w:multiLevelType w:val="hybridMultilevel"/>
    <w:tmpl w:val="96663548"/>
    <w:lvl w:ilvl="0" w:tplc="0F800EAE">
      <w:start w:val="1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C2E66DB"/>
    <w:multiLevelType w:val="hybridMultilevel"/>
    <w:tmpl w:val="9A6A83B6"/>
    <w:lvl w:ilvl="0" w:tplc="FDCC2F3C">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FE15DA3"/>
    <w:multiLevelType w:val="hybridMultilevel"/>
    <w:tmpl w:val="147651DC"/>
    <w:lvl w:ilvl="0" w:tplc="63D2DBC8">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610A6B"/>
    <w:rsid w:val="00000878"/>
    <w:rsid w:val="00004548"/>
    <w:rsid w:val="00005130"/>
    <w:rsid w:val="00015548"/>
    <w:rsid w:val="00025E2E"/>
    <w:rsid w:val="00032A41"/>
    <w:rsid w:val="00041E0C"/>
    <w:rsid w:val="000427C5"/>
    <w:rsid w:val="00045166"/>
    <w:rsid w:val="00045A10"/>
    <w:rsid w:val="00046BCB"/>
    <w:rsid w:val="000613E6"/>
    <w:rsid w:val="00070BB7"/>
    <w:rsid w:val="00082627"/>
    <w:rsid w:val="000850B6"/>
    <w:rsid w:val="00090A0D"/>
    <w:rsid w:val="0009401C"/>
    <w:rsid w:val="00094C5B"/>
    <w:rsid w:val="00094FE0"/>
    <w:rsid w:val="00095AE4"/>
    <w:rsid w:val="0009651D"/>
    <w:rsid w:val="000966BA"/>
    <w:rsid w:val="000A15D4"/>
    <w:rsid w:val="000A33C8"/>
    <w:rsid w:val="000A6535"/>
    <w:rsid w:val="000C23B1"/>
    <w:rsid w:val="000C5634"/>
    <w:rsid w:val="000D55AF"/>
    <w:rsid w:val="000D5D73"/>
    <w:rsid w:val="000E7351"/>
    <w:rsid w:val="000F77EA"/>
    <w:rsid w:val="001024A3"/>
    <w:rsid w:val="0010577E"/>
    <w:rsid w:val="001110BA"/>
    <w:rsid w:val="00114EB9"/>
    <w:rsid w:val="00120217"/>
    <w:rsid w:val="00120766"/>
    <w:rsid w:val="001231D2"/>
    <w:rsid w:val="001276EB"/>
    <w:rsid w:val="001309BB"/>
    <w:rsid w:val="00132C79"/>
    <w:rsid w:val="00134D9F"/>
    <w:rsid w:val="00141031"/>
    <w:rsid w:val="0015157B"/>
    <w:rsid w:val="00152CCA"/>
    <w:rsid w:val="00152EC6"/>
    <w:rsid w:val="001570F7"/>
    <w:rsid w:val="00157A40"/>
    <w:rsid w:val="001622B2"/>
    <w:rsid w:val="00170DCB"/>
    <w:rsid w:val="00173B2B"/>
    <w:rsid w:val="001855D8"/>
    <w:rsid w:val="00191715"/>
    <w:rsid w:val="001931FE"/>
    <w:rsid w:val="0019555F"/>
    <w:rsid w:val="001A0E5A"/>
    <w:rsid w:val="001A1D68"/>
    <w:rsid w:val="001A2C5D"/>
    <w:rsid w:val="001A33BA"/>
    <w:rsid w:val="001A725B"/>
    <w:rsid w:val="001B17E6"/>
    <w:rsid w:val="001C01B4"/>
    <w:rsid w:val="001C2219"/>
    <w:rsid w:val="001C324E"/>
    <w:rsid w:val="001C6577"/>
    <w:rsid w:val="001D30D3"/>
    <w:rsid w:val="001E3EEE"/>
    <w:rsid w:val="0020245D"/>
    <w:rsid w:val="00206864"/>
    <w:rsid w:val="002112B2"/>
    <w:rsid w:val="00216D5D"/>
    <w:rsid w:val="0023029D"/>
    <w:rsid w:val="002329A7"/>
    <w:rsid w:val="00235C2B"/>
    <w:rsid w:val="00236858"/>
    <w:rsid w:val="00240348"/>
    <w:rsid w:val="002427F0"/>
    <w:rsid w:val="00250DA9"/>
    <w:rsid w:val="00251429"/>
    <w:rsid w:val="00255FE3"/>
    <w:rsid w:val="00256F02"/>
    <w:rsid w:val="00262A6C"/>
    <w:rsid w:val="00265DD3"/>
    <w:rsid w:val="002662CF"/>
    <w:rsid w:val="0027176E"/>
    <w:rsid w:val="0027285C"/>
    <w:rsid w:val="00273432"/>
    <w:rsid w:val="002744EB"/>
    <w:rsid w:val="00275EEB"/>
    <w:rsid w:val="00282C7B"/>
    <w:rsid w:val="00285EA3"/>
    <w:rsid w:val="00286BAB"/>
    <w:rsid w:val="00290CE5"/>
    <w:rsid w:val="00291161"/>
    <w:rsid w:val="002A48B9"/>
    <w:rsid w:val="002A4902"/>
    <w:rsid w:val="002C055D"/>
    <w:rsid w:val="002C1C20"/>
    <w:rsid w:val="002C762B"/>
    <w:rsid w:val="002D0BC0"/>
    <w:rsid w:val="002D29BF"/>
    <w:rsid w:val="002D36E5"/>
    <w:rsid w:val="002E12DF"/>
    <w:rsid w:val="002F0411"/>
    <w:rsid w:val="002F1944"/>
    <w:rsid w:val="002F4A0F"/>
    <w:rsid w:val="00306C5F"/>
    <w:rsid w:val="00307498"/>
    <w:rsid w:val="00312BDB"/>
    <w:rsid w:val="00314EC7"/>
    <w:rsid w:val="00316E31"/>
    <w:rsid w:val="0032284C"/>
    <w:rsid w:val="003258CB"/>
    <w:rsid w:val="0033394A"/>
    <w:rsid w:val="00336F03"/>
    <w:rsid w:val="00343F86"/>
    <w:rsid w:val="003624CA"/>
    <w:rsid w:val="00371105"/>
    <w:rsid w:val="00374273"/>
    <w:rsid w:val="00374679"/>
    <w:rsid w:val="0037519E"/>
    <w:rsid w:val="003770FF"/>
    <w:rsid w:val="003818B8"/>
    <w:rsid w:val="003861D6"/>
    <w:rsid w:val="003922CC"/>
    <w:rsid w:val="00392D5A"/>
    <w:rsid w:val="00396306"/>
    <w:rsid w:val="003A6F76"/>
    <w:rsid w:val="003B1C6B"/>
    <w:rsid w:val="003B5A90"/>
    <w:rsid w:val="003C0151"/>
    <w:rsid w:val="003C4CD1"/>
    <w:rsid w:val="003D2591"/>
    <w:rsid w:val="003E0285"/>
    <w:rsid w:val="003E08A0"/>
    <w:rsid w:val="003E3B15"/>
    <w:rsid w:val="003F1952"/>
    <w:rsid w:val="003F24BF"/>
    <w:rsid w:val="003F2D42"/>
    <w:rsid w:val="003F36DC"/>
    <w:rsid w:val="003F6EE7"/>
    <w:rsid w:val="00412A84"/>
    <w:rsid w:val="00412C91"/>
    <w:rsid w:val="00417FB5"/>
    <w:rsid w:val="004301AA"/>
    <w:rsid w:val="00432046"/>
    <w:rsid w:val="004444EA"/>
    <w:rsid w:val="00456007"/>
    <w:rsid w:val="00463EBC"/>
    <w:rsid w:val="00466E7E"/>
    <w:rsid w:val="004726A4"/>
    <w:rsid w:val="00476FC8"/>
    <w:rsid w:val="00490370"/>
    <w:rsid w:val="00492C04"/>
    <w:rsid w:val="004A7BF2"/>
    <w:rsid w:val="004B610D"/>
    <w:rsid w:val="004B6B4D"/>
    <w:rsid w:val="004C032C"/>
    <w:rsid w:val="004C69E0"/>
    <w:rsid w:val="004D48A8"/>
    <w:rsid w:val="004D4958"/>
    <w:rsid w:val="004E5034"/>
    <w:rsid w:val="004F2410"/>
    <w:rsid w:val="004F3D4E"/>
    <w:rsid w:val="005075CA"/>
    <w:rsid w:val="00521483"/>
    <w:rsid w:val="00522375"/>
    <w:rsid w:val="00522DDB"/>
    <w:rsid w:val="0052355A"/>
    <w:rsid w:val="00523B36"/>
    <w:rsid w:val="00534203"/>
    <w:rsid w:val="00535F78"/>
    <w:rsid w:val="00544DE2"/>
    <w:rsid w:val="005562D8"/>
    <w:rsid w:val="00562989"/>
    <w:rsid w:val="005635DD"/>
    <w:rsid w:val="00565AE2"/>
    <w:rsid w:val="00565F7C"/>
    <w:rsid w:val="00566BC5"/>
    <w:rsid w:val="005747B2"/>
    <w:rsid w:val="00577CDD"/>
    <w:rsid w:val="00592463"/>
    <w:rsid w:val="00594718"/>
    <w:rsid w:val="005A17A6"/>
    <w:rsid w:val="005A268F"/>
    <w:rsid w:val="005B1B1C"/>
    <w:rsid w:val="005B2ECE"/>
    <w:rsid w:val="005B5DD3"/>
    <w:rsid w:val="005B720D"/>
    <w:rsid w:val="005C06AF"/>
    <w:rsid w:val="005E53C9"/>
    <w:rsid w:val="005F0B08"/>
    <w:rsid w:val="005F30FB"/>
    <w:rsid w:val="005F4178"/>
    <w:rsid w:val="0060351E"/>
    <w:rsid w:val="00610A6B"/>
    <w:rsid w:val="00610DD9"/>
    <w:rsid w:val="00613AA9"/>
    <w:rsid w:val="00627E04"/>
    <w:rsid w:val="0063438A"/>
    <w:rsid w:val="006427EF"/>
    <w:rsid w:val="00644A14"/>
    <w:rsid w:val="006463D6"/>
    <w:rsid w:val="00646FE2"/>
    <w:rsid w:val="006504E5"/>
    <w:rsid w:val="006507C5"/>
    <w:rsid w:val="00650E2A"/>
    <w:rsid w:val="0065129F"/>
    <w:rsid w:val="00652CA2"/>
    <w:rsid w:val="00653D43"/>
    <w:rsid w:val="00660B64"/>
    <w:rsid w:val="00664279"/>
    <w:rsid w:val="006672B9"/>
    <w:rsid w:val="006723DC"/>
    <w:rsid w:val="0067674F"/>
    <w:rsid w:val="006770A3"/>
    <w:rsid w:val="00686896"/>
    <w:rsid w:val="00693E27"/>
    <w:rsid w:val="0069490A"/>
    <w:rsid w:val="006A2925"/>
    <w:rsid w:val="006A4E9B"/>
    <w:rsid w:val="006B038F"/>
    <w:rsid w:val="006B1B4B"/>
    <w:rsid w:val="006B298B"/>
    <w:rsid w:val="006B379C"/>
    <w:rsid w:val="006C014E"/>
    <w:rsid w:val="006C079E"/>
    <w:rsid w:val="006C7A76"/>
    <w:rsid w:val="006D589F"/>
    <w:rsid w:val="006D6564"/>
    <w:rsid w:val="006D6AB1"/>
    <w:rsid w:val="006E2140"/>
    <w:rsid w:val="006E5666"/>
    <w:rsid w:val="007109F7"/>
    <w:rsid w:val="007177CF"/>
    <w:rsid w:val="00717CDB"/>
    <w:rsid w:val="00721CC6"/>
    <w:rsid w:val="00726A41"/>
    <w:rsid w:val="00733CB7"/>
    <w:rsid w:val="00736BBB"/>
    <w:rsid w:val="00740341"/>
    <w:rsid w:val="007414B4"/>
    <w:rsid w:val="0074172F"/>
    <w:rsid w:val="00745075"/>
    <w:rsid w:val="00752DD6"/>
    <w:rsid w:val="007572F1"/>
    <w:rsid w:val="007650C2"/>
    <w:rsid w:val="00767D19"/>
    <w:rsid w:val="00773088"/>
    <w:rsid w:val="0077673D"/>
    <w:rsid w:val="00781D1B"/>
    <w:rsid w:val="0078539B"/>
    <w:rsid w:val="007870C4"/>
    <w:rsid w:val="00790B2D"/>
    <w:rsid w:val="00795CAD"/>
    <w:rsid w:val="007B2009"/>
    <w:rsid w:val="007B3AB4"/>
    <w:rsid w:val="007B7B85"/>
    <w:rsid w:val="007C203F"/>
    <w:rsid w:val="007C55D3"/>
    <w:rsid w:val="007D2A8E"/>
    <w:rsid w:val="007D726A"/>
    <w:rsid w:val="007E6D9F"/>
    <w:rsid w:val="007F0C7E"/>
    <w:rsid w:val="007F2DEA"/>
    <w:rsid w:val="00802057"/>
    <w:rsid w:val="00806904"/>
    <w:rsid w:val="00814EA1"/>
    <w:rsid w:val="00820BB7"/>
    <w:rsid w:val="00822625"/>
    <w:rsid w:val="00825AB7"/>
    <w:rsid w:val="00827E41"/>
    <w:rsid w:val="0083294D"/>
    <w:rsid w:val="008336B5"/>
    <w:rsid w:val="00837462"/>
    <w:rsid w:val="00842616"/>
    <w:rsid w:val="008469CA"/>
    <w:rsid w:val="00846CF8"/>
    <w:rsid w:val="008614EB"/>
    <w:rsid w:val="00861DCE"/>
    <w:rsid w:val="008665F4"/>
    <w:rsid w:val="00866E6B"/>
    <w:rsid w:val="00880A76"/>
    <w:rsid w:val="00890F70"/>
    <w:rsid w:val="008929D7"/>
    <w:rsid w:val="008A17E8"/>
    <w:rsid w:val="008A1CD6"/>
    <w:rsid w:val="008A4925"/>
    <w:rsid w:val="008A7A7F"/>
    <w:rsid w:val="008A7ED3"/>
    <w:rsid w:val="008B0A3C"/>
    <w:rsid w:val="008B1E30"/>
    <w:rsid w:val="008B337D"/>
    <w:rsid w:val="008B5631"/>
    <w:rsid w:val="008C7DD7"/>
    <w:rsid w:val="008D7ACC"/>
    <w:rsid w:val="008E1787"/>
    <w:rsid w:val="008E7C64"/>
    <w:rsid w:val="008F07C7"/>
    <w:rsid w:val="008F15F9"/>
    <w:rsid w:val="008F43FA"/>
    <w:rsid w:val="008F5B27"/>
    <w:rsid w:val="00901D40"/>
    <w:rsid w:val="00902D46"/>
    <w:rsid w:val="009115D7"/>
    <w:rsid w:val="0091335D"/>
    <w:rsid w:val="009159D3"/>
    <w:rsid w:val="0092745A"/>
    <w:rsid w:val="00931B6D"/>
    <w:rsid w:val="00932082"/>
    <w:rsid w:val="00932D89"/>
    <w:rsid w:val="00941590"/>
    <w:rsid w:val="00945386"/>
    <w:rsid w:val="00952B07"/>
    <w:rsid w:val="00956FA0"/>
    <w:rsid w:val="00963B8C"/>
    <w:rsid w:val="00963D35"/>
    <w:rsid w:val="009702E0"/>
    <w:rsid w:val="00992AC2"/>
    <w:rsid w:val="009936BD"/>
    <w:rsid w:val="00996690"/>
    <w:rsid w:val="009B3A6F"/>
    <w:rsid w:val="009C5D2B"/>
    <w:rsid w:val="009D2369"/>
    <w:rsid w:val="009D548E"/>
    <w:rsid w:val="009F637B"/>
    <w:rsid w:val="009F74BC"/>
    <w:rsid w:val="00A00068"/>
    <w:rsid w:val="00A01FEE"/>
    <w:rsid w:val="00A1646C"/>
    <w:rsid w:val="00A1651D"/>
    <w:rsid w:val="00A167F7"/>
    <w:rsid w:val="00A16C55"/>
    <w:rsid w:val="00A1707A"/>
    <w:rsid w:val="00A24383"/>
    <w:rsid w:val="00A318B9"/>
    <w:rsid w:val="00A31DA2"/>
    <w:rsid w:val="00A4552D"/>
    <w:rsid w:val="00A562D8"/>
    <w:rsid w:val="00A622DD"/>
    <w:rsid w:val="00A6709F"/>
    <w:rsid w:val="00A67906"/>
    <w:rsid w:val="00A7057A"/>
    <w:rsid w:val="00A70845"/>
    <w:rsid w:val="00A74DBF"/>
    <w:rsid w:val="00A76D6E"/>
    <w:rsid w:val="00A85BC5"/>
    <w:rsid w:val="00A87997"/>
    <w:rsid w:val="00AA7584"/>
    <w:rsid w:val="00AC5529"/>
    <w:rsid w:val="00AC5B43"/>
    <w:rsid w:val="00AD056F"/>
    <w:rsid w:val="00AD20BD"/>
    <w:rsid w:val="00AE08F6"/>
    <w:rsid w:val="00AE0E2D"/>
    <w:rsid w:val="00AE1C29"/>
    <w:rsid w:val="00AE5F6B"/>
    <w:rsid w:val="00AE6903"/>
    <w:rsid w:val="00AF3121"/>
    <w:rsid w:val="00AF3264"/>
    <w:rsid w:val="00AF5EA0"/>
    <w:rsid w:val="00B056A8"/>
    <w:rsid w:val="00B1160F"/>
    <w:rsid w:val="00B1396C"/>
    <w:rsid w:val="00B144D8"/>
    <w:rsid w:val="00B16B99"/>
    <w:rsid w:val="00B2041E"/>
    <w:rsid w:val="00B25688"/>
    <w:rsid w:val="00B3057A"/>
    <w:rsid w:val="00B30DB7"/>
    <w:rsid w:val="00B4658D"/>
    <w:rsid w:val="00B47FED"/>
    <w:rsid w:val="00B53F6F"/>
    <w:rsid w:val="00B6433F"/>
    <w:rsid w:val="00B6499F"/>
    <w:rsid w:val="00B669A3"/>
    <w:rsid w:val="00B7766F"/>
    <w:rsid w:val="00B94847"/>
    <w:rsid w:val="00B9526B"/>
    <w:rsid w:val="00B974E2"/>
    <w:rsid w:val="00B97945"/>
    <w:rsid w:val="00B97B91"/>
    <w:rsid w:val="00B97EAA"/>
    <w:rsid w:val="00BA2037"/>
    <w:rsid w:val="00BA5F93"/>
    <w:rsid w:val="00BA7C7B"/>
    <w:rsid w:val="00BB1AE3"/>
    <w:rsid w:val="00BB4486"/>
    <w:rsid w:val="00BC0FAF"/>
    <w:rsid w:val="00BC2B20"/>
    <w:rsid w:val="00BC69D9"/>
    <w:rsid w:val="00BC6A6F"/>
    <w:rsid w:val="00BD7D8C"/>
    <w:rsid w:val="00BE7880"/>
    <w:rsid w:val="00BF1C1E"/>
    <w:rsid w:val="00BF2A08"/>
    <w:rsid w:val="00BF4110"/>
    <w:rsid w:val="00C06180"/>
    <w:rsid w:val="00C1240A"/>
    <w:rsid w:val="00C133FB"/>
    <w:rsid w:val="00C14B3C"/>
    <w:rsid w:val="00C16E44"/>
    <w:rsid w:val="00C20F9C"/>
    <w:rsid w:val="00C215D8"/>
    <w:rsid w:val="00C21ED8"/>
    <w:rsid w:val="00C21F4B"/>
    <w:rsid w:val="00C221DF"/>
    <w:rsid w:val="00C22F47"/>
    <w:rsid w:val="00C27590"/>
    <w:rsid w:val="00C37468"/>
    <w:rsid w:val="00C40A23"/>
    <w:rsid w:val="00C40F91"/>
    <w:rsid w:val="00C412A9"/>
    <w:rsid w:val="00C431CB"/>
    <w:rsid w:val="00C4363B"/>
    <w:rsid w:val="00C47D19"/>
    <w:rsid w:val="00C5328A"/>
    <w:rsid w:val="00C603AC"/>
    <w:rsid w:val="00C60E80"/>
    <w:rsid w:val="00C645D7"/>
    <w:rsid w:val="00C661C2"/>
    <w:rsid w:val="00C71575"/>
    <w:rsid w:val="00C727C7"/>
    <w:rsid w:val="00C754DF"/>
    <w:rsid w:val="00C8099E"/>
    <w:rsid w:val="00C82921"/>
    <w:rsid w:val="00C83964"/>
    <w:rsid w:val="00C84D98"/>
    <w:rsid w:val="00C85621"/>
    <w:rsid w:val="00C8728A"/>
    <w:rsid w:val="00C979E6"/>
    <w:rsid w:val="00CA0676"/>
    <w:rsid w:val="00CA2EF5"/>
    <w:rsid w:val="00CA7D64"/>
    <w:rsid w:val="00CB6FEA"/>
    <w:rsid w:val="00CC01FE"/>
    <w:rsid w:val="00CC64F0"/>
    <w:rsid w:val="00CD2E64"/>
    <w:rsid w:val="00CD6427"/>
    <w:rsid w:val="00CE3245"/>
    <w:rsid w:val="00CE48AE"/>
    <w:rsid w:val="00CE632D"/>
    <w:rsid w:val="00CE76EE"/>
    <w:rsid w:val="00CF4633"/>
    <w:rsid w:val="00CF5E5A"/>
    <w:rsid w:val="00D02EEB"/>
    <w:rsid w:val="00D07CA1"/>
    <w:rsid w:val="00D1327C"/>
    <w:rsid w:val="00D15E74"/>
    <w:rsid w:val="00D1718C"/>
    <w:rsid w:val="00D225AF"/>
    <w:rsid w:val="00D246BD"/>
    <w:rsid w:val="00D3065B"/>
    <w:rsid w:val="00D312E2"/>
    <w:rsid w:val="00D317F1"/>
    <w:rsid w:val="00D31E3F"/>
    <w:rsid w:val="00D3370B"/>
    <w:rsid w:val="00D448B7"/>
    <w:rsid w:val="00D46127"/>
    <w:rsid w:val="00D46E85"/>
    <w:rsid w:val="00D5520F"/>
    <w:rsid w:val="00D57B86"/>
    <w:rsid w:val="00D64BD1"/>
    <w:rsid w:val="00D656D9"/>
    <w:rsid w:val="00D70868"/>
    <w:rsid w:val="00D90A17"/>
    <w:rsid w:val="00D917B4"/>
    <w:rsid w:val="00D95B33"/>
    <w:rsid w:val="00D96CE7"/>
    <w:rsid w:val="00DA0F8F"/>
    <w:rsid w:val="00DA2B75"/>
    <w:rsid w:val="00DA5042"/>
    <w:rsid w:val="00DA508E"/>
    <w:rsid w:val="00DB1DD8"/>
    <w:rsid w:val="00DB31D0"/>
    <w:rsid w:val="00DC4EAF"/>
    <w:rsid w:val="00DE04E1"/>
    <w:rsid w:val="00DE70A8"/>
    <w:rsid w:val="00DE722A"/>
    <w:rsid w:val="00DF3351"/>
    <w:rsid w:val="00DF7465"/>
    <w:rsid w:val="00DF7D4A"/>
    <w:rsid w:val="00E04709"/>
    <w:rsid w:val="00E2307A"/>
    <w:rsid w:val="00E23613"/>
    <w:rsid w:val="00E23BBB"/>
    <w:rsid w:val="00E330DB"/>
    <w:rsid w:val="00E41C95"/>
    <w:rsid w:val="00E42128"/>
    <w:rsid w:val="00E47F25"/>
    <w:rsid w:val="00E50BCD"/>
    <w:rsid w:val="00E54F58"/>
    <w:rsid w:val="00E570B6"/>
    <w:rsid w:val="00E571CB"/>
    <w:rsid w:val="00E65006"/>
    <w:rsid w:val="00E660F3"/>
    <w:rsid w:val="00E7473B"/>
    <w:rsid w:val="00E7538B"/>
    <w:rsid w:val="00E778A4"/>
    <w:rsid w:val="00E8386E"/>
    <w:rsid w:val="00E87B71"/>
    <w:rsid w:val="00E95F37"/>
    <w:rsid w:val="00EA4FB7"/>
    <w:rsid w:val="00EA7B82"/>
    <w:rsid w:val="00EB14D3"/>
    <w:rsid w:val="00EB1F3D"/>
    <w:rsid w:val="00EB3780"/>
    <w:rsid w:val="00EC5816"/>
    <w:rsid w:val="00EC70D1"/>
    <w:rsid w:val="00ED7354"/>
    <w:rsid w:val="00EE3743"/>
    <w:rsid w:val="00EE5757"/>
    <w:rsid w:val="00EE60F6"/>
    <w:rsid w:val="00EF5536"/>
    <w:rsid w:val="00EF75E9"/>
    <w:rsid w:val="00F10654"/>
    <w:rsid w:val="00F111D7"/>
    <w:rsid w:val="00F143DD"/>
    <w:rsid w:val="00F26B2B"/>
    <w:rsid w:val="00F27BD1"/>
    <w:rsid w:val="00F30785"/>
    <w:rsid w:val="00F32314"/>
    <w:rsid w:val="00F37472"/>
    <w:rsid w:val="00F374FC"/>
    <w:rsid w:val="00F407F0"/>
    <w:rsid w:val="00F40A95"/>
    <w:rsid w:val="00F40AAF"/>
    <w:rsid w:val="00F50AA7"/>
    <w:rsid w:val="00F51806"/>
    <w:rsid w:val="00F5545B"/>
    <w:rsid w:val="00F62E8E"/>
    <w:rsid w:val="00F63371"/>
    <w:rsid w:val="00F652DC"/>
    <w:rsid w:val="00F74693"/>
    <w:rsid w:val="00F7606A"/>
    <w:rsid w:val="00F80E03"/>
    <w:rsid w:val="00F81CF5"/>
    <w:rsid w:val="00F9606A"/>
    <w:rsid w:val="00FA137E"/>
    <w:rsid w:val="00FA1E54"/>
    <w:rsid w:val="00FA43F4"/>
    <w:rsid w:val="00FA76A5"/>
    <w:rsid w:val="00FB046E"/>
    <w:rsid w:val="00FB073A"/>
    <w:rsid w:val="00FB3CB1"/>
    <w:rsid w:val="00FC1950"/>
    <w:rsid w:val="00FC760C"/>
    <w:rsid w:val="00FD73BB"/>
    <w:rsid w:val="00FE5B62"/>
    <w:rsid w:val="00FF4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2009"/>
    <w:pPr>
      <w:widowControl w:val="0"/>
      <w:autoSpaceDE w:val="0"/>
      <w:autoSpaceDN w:val="0"/>
      <w:adjustRightInd w:val="0"/>
      <w:spacing w:line="480" w:lineRule="auto"/>
      <w:ind w:firstLine="720"/>
    </w:pPr>
    <w:rPr>
      <w:rFonts w:cs="Courier New"/>
      <w:sz w:val="24"/>
    </w:rPr>
  </w:style>
  <w:style w:type="paragraph" w:styleId="Heading1">
    <w:name w:val="heading 1"/>
    <w:basedOn w:val="Normal"/>
    <w:next w:val="Normal"/>
    <w:qFormat/>
    <w:rsid w:val="007B2009"/>
    <w:pPr>
      <w:keepNext/>
      <w:tabs>
        <w:tab w:val="left" w:pos="0"/>
      </w:tabs>
      <w:suppressAutoHyphens/>
      <w:ind w:left="120"/>
      <w:outlineLvl w:val="0"/>
    </w:pPr>
    <w:rPr>
      <w:szCs w:val="24"/>
    </w:rPr>
  </w:style>
  <w:style w:type="paragraph" w:styleId="Heading2">
    <w:name w:val="heading 2"/>
    <w:basedOn w:val="Normal"/>
    <w:next w:val="Normal"/>
    <w:qFormat/>
    <w:rsid w:val="007B2009"/>
    <w:pPr>
      <w:keepNext/>
      <w:jc w:val="both"/>
      <w:outlineLvl w:val="1"/>
    </w:pPr>
    <w:rPr>
      <w:b/>
      <w:bCs/>
      <w:color w:val="000000"/>
    </w:rPr>
  </w:style>
  <w:style w:type="paragraph" w:styleId="Heading3">
    <w:name w:val="heading 3"/>
    <w:basedOn w:val="Normal"/>
    <w:next w:val="Normal"/>
    <w:qFormat/>
    <w:rsid w:val="007B2009"/>
    <w:pPr>
      <w:keepNext/>
      <w:widowControl/>
      <w:autoSpaceDE/>
      <w:autoSpaceDN/>
      <w:adjustRightInd/>
      <w:spacing w:after="240"/>
      <w:ind w:left="1440"/>
      <w:outlineLvl w:val="2"/>
    </w:pPr>
    <w:rPr>
      <w:b/>
      <w:bCs/>
      <w:szCs w:val="24"/>
    </w:rPr>
  </w:style>
  <w:style w:type="paragraph" w:styleId="Heading4">
    <w:name w:val="heading 4"/>
    <w:basedOn w:val="Normal"/>
    <w:next w:val="Normal"/>
    <w:qFormat/>
    <w:rsid w:val="007B2009"/>
    <w:pPr>
      <w:keepNext/>
      <w:keepLines/>
      <w:tabs>
        <w:tab w:val="center" w:pos="4680"/>
      </w:tabs>
      <w:suppressAutoHyphens/>
      <w:spacing w:line="240" w:lineRule="atLeast"/>
      <w:jc w:val="center"/>
      <w:outlineLvl w:val="3"/>
    </w:pPr>
    <w:rPr>
      <w:b/>
      <w:bCs/>
      <w:smallCaps/>
      <w:szCs w:val="24"/>
    </w:rPr>
  </w:style>
  <w:style w:type="paragraph" w:styleId="Heading7">
    <w:name w:val="heading 7"/>
    <w:basedOn w:val="Normal"/>
    <w:next w:val="Normal"/>
    <w:qFormat/>
    <w:rsid w:val="007B2009"/>
    <w:pPr>
      <w:keepNext/>
      <w:widowControl/>
      <w:autoSpaceDE/>
      <w:autoSpaceDN/>
      <w:adjustRightInd/>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B2009"/>
    <w:rPr>
      <w:rFonts w:cs="Times New Roman"/>
      <w:szCs w:val="24"/>
    </w:rPr>
  </w:style>
  <w:style w:type="character" w:styleId="EndnoteReference">
    <w:name w:val="endnote reference"/>
    <w:basedOn w:val="DefaultParagraphFont"/>
    <w:semiHidden/>
    <w:rsid w:val="007B2009"/>
    <w:rPr>
      <w:vertAlign w:val="superscript"/>
    </w:rPr>
  </w:style>
  <w:style w:type="paragraph" w:styleId="FootnoteText">
    <w:name w:val="footnote text"/>
    <w:aliases w:val="ft"/>
    <w:basedOn w:val="Normal"/>
    <w:link w:val="FootnoteTextChar"/>
    <w:uiPriority w:val="99"/>
    <w:rsid w:val="007B2009"/>
    <w:pPr>
      <w:spacing w:after="240" w:line="240" w:lineRule="auto"/>
      <w:ind w:left="720" w:hanging="720"/>
    </w:pPr>
    <w:rPr>
      <w:rFonts w:cs="Times New Roman"/>
      <w:sz w:val="22"/>
      <w:szCs w:val="24"/>
    </w:rPr>
  </w:style>
  <w:style w:type="character" w:styleId="FootnoteReference">
    <w:name w:val="footnote reference"/>
    <w:basedOn w:val="DefaultParagraphFont"/>
    <w:rsid w:val="007B2009"/>
    <w:rPr>
      <w:sz w:val="24"/>
      <w:vertAlign w:val="superscript"/>
    </w:rPr>
  </w:style>
  <w:style w:type="paragraph" w:styleId="TOC1">
    <w:name w:val="toc 1"/>
    <w:basedOn w:val="Normal"/>
    <w:next w:val="Normal"/>
    <w:autoRedefine/>
    <w:semiHidden/>
    <w:rsid w:val="007B2009"/>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7B2009"/>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7B2009"/>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7B2009"/>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7B2009"/>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7B2009"/>
    <w:pPr>
      <w:tabs>
        <w:tab w:val="right" w:pos="9360"/>
      </w:tabs>
      <w:suppressAutoHyphens/>
      <w:spacing w:line="240" w:lineRule="atLeast"/>
      <w:ind w:left="720" w:hanging="720"/>
    </w:pPr>
  </w:style>
  <w:style w:type="paragraph" w:styleId="TOC7">
    <w:name w:val="toc 7"/>
    <w:basedOn w:val="Normal"/>
    <w:next w:val="Normal"/>
    <w:autoRedefine/>
    <w:semiHidden/>
    <w:rsid w:val="007B2009"/>
    <w:pPr>
      <w:suppressAutoHyphens/>
      <w:spacing w:line="240" w:lineRule="atLeast"/>
      <w:ind w:left="720" w:hanging="720"/>
    </w:pPr>
  </w:style>
  <w:style w:type="paragraph" w:styleId="TOC8">
    <w:name w:val="toc 8"/>
    <w:basedOn w:val="Normal"/>
    <w:next w:val="Normal"/>
    <w:autoRedefine/>
    <w:semiHidden/>
    <w:rsid w:val="007B2009"/>
    <w:pPr>
      <w:tabs>
        <w:tab w:val="right" w:pos="9360"/>
      </w:tabs>
      <w:suppressAutoHyphens/>
      <w:spacing w:line="240" w:lineRule="atLeast"/>
      <w:ind w:left="720" w:hanging="720"/>
    </w:pPr>
  </w:style>
  <w:style w:type="paragraph" w:styleId="TOC9">
    <w:name w:val="toc 9"/>
    <w:basedOn w:val="Normal"/>
    <w:next w:val="Normal"/>
    <w:autoRedefine/>
    <w:semiHidden/>
    <w:rsid w:val="007B2009"/>
    <w:pPr>
      <w:tabs>
        <w:tab w:val="right" w:leader="dot" w:pos="9360"/>
      </w:tabs>
      <w:suppressAutoHyphens/>
      <w:spacing w:line="240" w:lineRule="atLeast"/>
      <w:ind w:left="720" w:hanging="720"/>
    </w:pPr>
  </w:style>
  <w:style w:type="paragraph" w:styleId="Index1">
    <w:name w:val="index 1"/>
    <w:basedOn w:val="Normal"/>
    <w:next w:val="Normal"/>
    <w:autoRedefine/>
    <w:semiHidden/>
    <w:rsid w:val="007B2009"/>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7B2009"/>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7B2009"/>
    <w:pPr>
      <w:tabs>
        <w:tab w:val="right" w:pos="9360"/>
      </w:tabs>
      <w:suppressAutoHyphens/>
      <w:spacing w:line="240" w:lineRule="atLeast"/>
    </w:pPr>
  </w:style>
  <w:style w:type="paragraph" w:styleId="Caption">
    <w:name w:val="caption"/>
    <w:basedOn w:val="Normal"/>
    <w:next w:val="Normal"/>
    <w:qFormat/>
    <w:rsid w:val="007B2009"/>
    <w:rPr>
      <w:rFonts w:cs="Times New Roman"/>
      <w:szCs w:val="24"/>
    </w:rPr>
  </w:style>
  <w:style w:type="character" w:customStyle="1" w:styleId="EquationCaption">
    <w:name w:val="_Equation Caption"/>
    <w:rsid w:val="007B2009"/>
  </w:style>
  <w:style w:type="paragraph" w:styleId="Header">
    <w:name w:val="header"/>
    <w:basedOn w:val="Normal"/>
    <w:rsid w:val="007B2009"/>
    <w:pPr>
      <w:tabs>
        <w:tab w:val="center" w:pos="4320"/>
        <w:tab w:val="right" w:pos="8640"/>
      </w:tabs>
    </w:pPr>
  </w:style>
  <w:style w:type="paragraph" w:styleId="Footer">
    <w:name w:val="footer"/>
    <w:basedOn w:val="Normal"/>
    <w:rsid w:val="007B2009"/>
    <w:pPr>
      <w:tabs>
        <w:tab w:val="center" w:pos="4320"/>
        <w:tab w:val="right" w:pos="8640"/>
      </w:tabs>
    </w:pPr>
  </w:style>
  <w:style w:type="paragraph" w:styleId="BodyText">
    <w:name w:val="Body Text"/>
    <w:basedOn w:val="Normal"/>
    <w:rsid w:val="007B2009"/>
    <w:pPr>
      <w:tabs>
        <w:tab w:val="left" w:pos="0"/>
      </w:tabs>
      <w:suppressAutoHyphens/>
      <w:spacing w:line="480" w:lineRule="atLeast"/>
    </w:pPr>
    <w:rPr>
      <w:rFonts w:cs="Times New Roman"/>
      <w:szCs w:val="24"/>
    </w:rPr>
  </w:style>
  <w:style w:type="character" w:styleId="PageNumber">
    <w:name w:val="page number"/>
    <w:basedOn w:val="DefaultParagraphFont"/>
    <w:rsid w:val="007B2009"/>
  </w:style>
  <w:style w:type="paragraph" w:styleId="BodyTextIndent3">
    <w:name w:val="Body Text Indent 3"/>
    <w:basedOn w:val="Normal"/>
    <w:rsid w:val="007B2009"/>
    <w:pPr>
      <w:widowControl/>
      <w:autoSpaceDE/>
      <w:autoSpaceDN/>
      <w:adjustRightInd/>
      <w:ind w:left="1080"/>
    </w:pPr>
    <w:rPr>
      <w:szCs w:val="24"/>
    </w:rPr>
  </w:style>
  <w:style w:type="paragraph" w:styleId="BodyTextIndent">
    <w:name w:val="Body Text Indent"/>
    <w:basedOn w:val="Normal"/>
    <w:rsid w:val="007B2009"/>
  </w:style>
  <w:style w:type="paragraph" w:styleId="BodyTextIndent2">
    <w:name w:val="Body Text Indent 2"/>
    <w:basedOn w:val="Normal"/>
    <w:rsid w:val="007B2009"/>
    <w:pPr>
      <w:tabs>
        <w:tab w:val="left" w:pos="0"/>
      </w:tabs>
      <w:suppressAutoHyphens/>
      <w:ind w:left="115"/>
    </w:pPr>
    <w:rPr>
      <w:szCs w:val="24"/>
    </w:rPr>
  </w:style>
  <w:style w:type="paragraph" w:styleId="BalloonText">
    <w:name w:val="Balloon Text"/>
    <w:basedOn w:val="Normal"/>
    <w:semiHidden/>
    <w:rsid w:val="00417FB5"/>
    <w:rPr>
      <w:rFonts w:ascii="Tahoma" w:hAnsi="Tahoma" w:cs="Tahoma"/>
      <w:sz w:val="16"/>
      <w:szCs w:val="16"/>
    </w:rPr>
  </w:style>
  <w:style w:type="paragraph" w:customStyle="1" w:styleId="Style1">
    <w:name w:val="Style1"/>
    <w:basedOn w:val="Normal"/>
    <w:rsid w:val="00945386"/>
    <w:pPr>
      <w:widowControl/>
      <w:autoSpaceDE/>
      <w:autoSpaceDN/>
      <w:adjustRightInd/>
      <w:spacing w:line="240" w:lineRule="auto"/>
    </w:pPr>
    <w:rPr>
      <w:rFonts w:cs="Times New Roman"/>
      <w:b/>
      <w:szCs w:val="24"/>
    </w:rPr>
  </w:style>
  <w:style w:type="paragraph" w:styleId="NormalWeb">
    <w:name w:val="Normal (Web)"/>
    <w:basedOn w:val="Normal"/>
    <w:rsid w:val="00FD73BB"/>
    <w:pPr>
      <w:widowControl/>
      <w:autoSpaceDE/>
      <w:autoSpaceDN/>
      <w:adjustRightInd/>
      <w:spacing w:before="100" w:beforeAutospacing="1" w:after="100" w:afterAutospacing="1" w:line="240" w:lineRule="auto"/>
      <w:ind w:firstLine="0"/>
    </w:pPr>
    <w:rPr>
      <w:rFonts w:cs="Times New Roman"/>
      <w:szCs w:val="24"/>
    </w:rPr>
  </w:style>
  <w:style w:type="character" w:customStyle="1" w:styleId="FootnoteTextChar">
    <w:name w:val="Footnote Text Char"/>
    <w:aliases w:val="ft Char"/>
    <w:basedOn w:val="DefaultParagraphFont"/>
    <w:link w:val="FootnoteText"/>
    <w:uiPriority w:val="99"/>
    <w:rsid w:val="00CC01FE"/>
    <w:rPr>
      <w:sz w:val="22"/>
      <w:szCs w:val="24"/>
      <w:lang w:val="en-US" w:eastAsia="en-US" w:bidi="ar-SA"/>
    </w:rPr>
  </w:style>
  <w:style w:type="character" w:customStyle="1" w:styleId="FootnoteTextChar2">
    <w:name w:val="Footnote Text Char2"/>
    <w:aliases w:val="ft Char1"/>
    <w:basedOn w:val="DefaultParagraphFont"/>
    <w:locked/>
    <w:rsid w:val="009115D7"/>
    <w:rPr>
      <w:lang w:val="en-US" w:eastAsia="en-US" w:bidi="ar-SA"/>
    </w:rPr>
  </w:style>
  <w:style w:type="paragraph" w:customStyle="1" w:styleId="Default">
    <w:name w:val="Default"/>
    <w:rsid w:val="00BC2B20"/>
    <w:pPr>
      <w:autoSpaceDE w:val="0"/>
      <w:autoSpaceDN w:val="0"/>
      <w:adjustRightInd w:val="0"/>
    </w:pPr>
    <w:rPr>
      <w:color w:val="000000"/>
      <w:sz w:val="24"/>
      <w:szCs w:val="24"/>
    </w:rPr>
  </w:style>
  <w:style w:type="character" w:styleId="Strong">
    <w:name w:val="Strong"/>
    <w:basedOn w:val="DefaultParagraphFont"/>
    <w:qFormat/>
    <w:rsid w:val="00BC2B20"/>
    <w:rPr>
      <w:b/>
      <w:bCs/>
    </w:rPr>
  </w:style>
  <w:style w:type="paragraph" w:styleId="ListParagraph">
    <w:name w:val="List Paragraph"/>
    <w:basedOn w:val="Normal"/>
    <w:uiPriority w:val="34"/>
    <w:qFormat/>
    <w:rsid w:val="005E53C9"/>
    <w:pPr>
      <w:ind w:left="720"/>
      <w:contextualSpacing/>
    </w:pPr>
  </w:style>
  <w:style w:type="paragraph" w:styleId="ListBullet">
    <w:name w:val="List Bullet"/>
    <w:basedOn w:val="Normal"/>
    <w:rsid w:val="00E87B71"/>
    <w:pPr>
      <w:numPr>
        <w:numId w:val="5"/>
      </w:numPr>
      <w:contextualSpacing/>
    </w:pPr>
  </w:style>
</w:styles>
</file>

<file path=word/webSettings.xml><?xml version="1.0" encoding="utf-8"?>
<w:webSettings xmlns:r="http://schemas.openxmlformats.org/officeDocument/2006/relationships" xmlns:w="http://schemas.openxmlformats.org/wordprocessingml/2006/main">
  <w:divs>
    <w:div w:id="8934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0FE0F-FF25-4A4A-85D6-9B4BF4C9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Securities and Exhange Commission</Company>
  <LinksUpToDate>false</LinksUpToDate>
  <CharactersWithSpaces>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us</dc:creator>
  <cp:keywords/>
  <dc:description/>
  <cp:lastModifiedBy>Devin Sullivan</cp:lastModifiedBy>
  <cp:revision>2</cp:revision>
  <cp:lastPrinted>2010-09-13T15:34:00Z</cp:lastPrinted>
  <dcterms:created xsi:type="dcterms:W3CDTF">2011-06-29T14:30:00Z</dcterms:created>
  <dcterms:modified xsi:type="dcterms:W3CDTF">2011-06-29T14:30:00Z</dcterms:modified>
</cp:coreProperties>
</file>