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04" w:rsidRDefault="00DB0904" w:rsidP="00DB0904">
      <w:pPr>
        <w:pStyle w:val="Title"/>
        <w:spacing w:line="240" w:lineRule="auto"/>
      </w:pPr>
      <w:r>
        <w:t>SUPPORTING STATEMENT</w:t>
      </w:r>
    </w:p>
    <w:p w:rsidR="0028225D" w:rsidRDefault="002905F3" w:rsidP="00DB0904">
      <w:pPr>
        <w:pStyle w:val="Title"/>
        <w:spacing w:line="240" w:lineRule="auto"/>
      </w:pPr>
      <w:r>
        <w:t xml:space="preserve">              </w:t>
      </w:r>
    </w:p>
    <w:p w:rsidR="00DB0904" w:rsidRPr="0028225D" w:rsidRDefault="0028225D" w:rsidP="00DB0904">
      <w:pPr>
        <w:spacing w:line="480" w:lineRule="auto"/>
        <w:jc w:val="center"/>
        <w:rPr>
          <w:b/>
          <w:bCs/>
        </w:rPr>
      </w:pPr>
      <w:r w:rsidRPr="0028225D">
        <w:rPr>
          <w:b/>
        </w:rPr>
        <w:t>Exemption for Certain Multi-State Investment Advisers (Rule 203A-2(</w:t>
      </w:r>
      <w:r w:rsidR="00874246">
        <w:rPr>
          <w:b/>
        </w:rPr>
        <w:t>d</w:t>
      </w:r>
      <w:r w:rsidRPr="0028225D">
        <w:rPr>
          <w:b/>
        </w:rPr>
        <w:t>))</w:t>
      </w:r>
    </w:p>
    <w:p w:rsidR="00DB0904" w:rsidRDefault="00DB0904" w:rsidP="00DB0904">
      <w:pPr>
        <w:pStyle w:val="Heading1"/>
      </w:pPr>
      <w:r>
        <w:t>A.</w:t>
      </w:r>
      <w:r>
        <w:tab/>
        <w:t>JUSTIFICATION</w:t>
      </w:r>
    </w:p>
    <w:p w:rsidR="00DB0904" w:rsidRPr="0060142F" w:rsidRDefault="00DB0904" w:rsidP="00DB0904">
      <w:pPr>
        <w:numPr>
          <w:ilvl w:val="0"/>
          <w:numId w:val="3"/>
        </w:numPr>
        <w:spacing w:line="480" w:lineRule="auto"/>
        <w:rPr>
          <w:b/>
        </w:rPr>
      </w:pPr>
      <w:r w:rsidRPr="0060142F">
        <w:rPr>
          <w:b/>
        </w:rPr>
        <w:t>Necessity of Information Collections</w:t>
      </w:r>
    </w:p>
    <w:p w:rsidR="00AD454E" w:rsidRDefault="00AD454E" w:rsidP="00AD454E">
      <w:pPr>
        <w:pStyle w:val="HTMLPreformatted"/>
        <w:spacing w:line="480" w:lineRule="auto"/>
        <w:ind w:firstLine="720"/>
        <w:rPr>
          <w:rFonts w:eastAsia="DeVinne"/>
        </w:rPr>
      </w:pPr>
      <w:r>
        <w:rPr>
          <w:rFonts w:ascii="Times New Roman" w:hAnsi="Times New Roman"/>
          <w:sz w:val="24"/>
          <w:szCs w:val="24"/>
        </w:rPr>
        <w:t>Pursuant to s</w:t>
      </w:r>
      <w:r w:rsidRPr="00644FEB">
        <w:rPr>
          <w:rFonts w:ascii="Times New Roman" w:hAnsi="Times New Roman"/>
          <w:sz w:val="24"/>
          <w:szCs w:val="24"/>
        </w:rPr>
        <w:t xml:space="preserve">ection 203A </w:t>
      </w:r>
      <w:r>
        <w:rPr>
          <w:rFonts w:ascii="Times New Roman" w:hAnsi="Times New Roman"/>
          <w:sz w:val="24"/>
          <w:szCs w:val="24"/>
        </w:rPr>
        <w:t xml:space="preserve">of the Investment Advisers Act of 1940 (“Advisers Act” or “Act”), an investment adviser that is regulated or required to be regulated as an investment adviser in the state in which it maintains its principal office and place of business is prohibited from registering </w:t>
      </w:r>
      <w:r w:rsidRPr="00644FEB">
        <w:rPr>
          <w:rFonts w:ascii="Times New Roman" w:hAnsi="Times New Roman"/>
          <w:sz w:val="24"/>
          <w:szCs w:val="24"/>
        </w:rPr>
        <w:t xml:space="preserve">with the </w:t>
      </w:r>
      <w:r w:rsidR="003C1D42" w:rsidRPr="003C1D42">
        <w:rPr>
          <w:rFonts w:ascii="Times New Roman" w:hAnsi="Times New Roman"/>
          <w:sz w:val="24"/>
          <w:szCs w:val="24"/>
        </w:rPr>
        <w:t xml:space="preserve">Securities and Exchange Commission (“Commission” or “SEC”) </w:t>
      </w:r>
      <w:r>
        <w:rPr>
          <w:rFonts w:ascii="Times New Roman" w:hAnsi="Times New Roman"/>
          <w:sz w:val="24"/>
          <w:szCs w:val="24"/>
        </w:rPr>
        <w:t xml:space="preserve">unless </w:t>
      </w:r>
      <w:r w:rsidRPr="00644FEB">
        <w:rPr>
          <w:rFonts w:ascii="Times New Roman" w:hAnsi="Times New Roman"/>
          <w:sz w:val="24"/>
          <w:szCs w:val="24"/>
        </w:rPr>
        <w:t>th</w:t>
      </w:r>
      <w:r>
        <w:rPr>
          <w:rFonts w:ascii="Times New Roman" w:hAnsi="Times New Roman"/>
          <w:sz w:val="24"/>
          <w:szCs w:val="24"/>
        </w:rPr>
        <w:t>at</w:t>
      </w:r>
      <w:r w:rsidRPr="00644FEB">
        <w:rPr>
          <w:rFonts w:ascii="Times New Roman" w:hAnsi="Times New Roman"/>
          <w:sz w:val="24"/>
          <w:szCs w:val="24"/>
        </w:rPr>
        <w:t xml:space="preserve"> adviser has at least $25 million in assets under management</w:t>
      </w:r>
      <w:r>
        <w:rPr>
          <w:rFonts w:ascii="Times New Roman" w:hAnsi="Times New Roman"/>
          <w:sz w:val="24"/>
          <w:szCs w:val="24"/>
        </w:rPr>
        <w:t xml:space="preserve"> </w:t>
      </w:r>
      <w:r w:rsidRPr="00644FEB">
        <w:rPr>
          <w:rFonts w:ascii="Times New Roman" w:hAnsi="Times New Roman"/>
          <w:sz w:val="24"/>
          <w:szCs w:val="24"/>
        </w:rPr>
        <w:t xml:space="preserve">or advises a </w:t>
      </w:r>
      <w:r w:rsidRPr="00D23C37">
        <w:rPr>
          <w:rFonts w:ascii="Times New Roman" w:hAnsi="Times New Roman" w:cs="Times New Roman"/>
          <w:sz w:val="24"/>
          <w:szCs w:val="24"/>
        </w:rPr>
        <w:t>Commission-registered investment company.  Advisers failing to meet either requirement are prohibited from registering with the Commission.</w:t>
      </w:r>
      <w:r w:rsidRPr="00D23C37">
        <w:rPr>
          <w:rStyle w:val="FootnoteReference"/>
          <w:rFonts w:ascii="Times New Roman" w:hAnsi="Times New Roman" w:cs="Times New Roman"/>
          <w:szCs w:val="24"/>
        </w:rPr>
        <w:footnoteReference w:id="1"/>
      </w:r>
      <w:r w:rsidRPr="00D23C37">
        <w:rPr>
          <w:rFonts w:ascii="Times New Roman" w:hAnsi="Times New Roman" w:cs="Times New Roman"/>
          <w:sz w:val="24"/>
          <w:szCs w:val="24"/>
        </w:rPr>
        <w:t xml:space="preserve">  </w:t>
      </w:r>
      <w:r w:rsidR="00D23C37" w:rsidRPr="00D23C37">
        <w:rPr>
          <w:rFonts w:ascii="Times New Roman" w:hAnsi="Times New Roman" w:cs="Times New Roman"/>
          <w:sz w:val="24"/>
          <w:szCs w:val="24"/>
        </w:rPr>
        <w:t>The Dodd-Frank Wall Street Reform and Consumer Protection Act (“Dodd-Frank Act”)</w:t>
      </w:r>
      <w:bookmarkStart w:id="0" w:name="_Ref277579881"/>
      <w:r w:rsidR="00D23C37" w:rsidRPr="00D23C37">
        <w:rPr>
          <w:rFonts w:ascii="Times New Roman" w:hAnsi="Times New Roman" w:cs="Times New Roman"/>
          <w:sz w:val="24"/>
          <w:szCs w:val="24"/>
          <w:vertAlign w:val="superscript"/>
        </w:rPr>
        <w:footnoteReference w:id="2"/>
      </w:r>
      <w:bookmarkEnd w:id="0"/>
      <w:r w:rsidR="00D23C37" w:rsidRPr="00D23C37">
        <w:rPr>
          <w:rFonts w:ascii="Times New Roman" w:hAnsi="Times New Roman" w:cs="Times New Roman"/>
          <w:sz w:val="24"/>
          <w:szCs w:val="24"/>
        </w:rPr>
        <w:t xml:space="preserve"> </w:t>
      </w:r>
      <w:r w:rsidR="00D23C37">
        <w:rPr>
          <w:rFonts w:ascii="Times New Roman" w:hAnsi="Times New Roman" w:cs="Times New Roman"/>
          <w:sz w:val="24"/>
          <w:szCs w:val="24"/>
        </w:rPr>
        <w:t xml:space="preserve">amends section 203A to </w:t>
      </w:r>
      <w:r w:rsidR="00CD1B13">
        <w:rPr>
          <w:rFonts w:ascii="Times New Roman" w:eastAsia="DeVinne" w:hAnsi="Times New Roman" w:cs="Times New Roman"/>
          <w:sz w:val="24"/>
          <w:szCs w:val="24"/>
        </w:rPr>
        <w:t xml:space="preserve">prohibit from Commission registration </w:t>
      </w:r>
      <w:r w:rsidR="00CD1B13" w:rsidRPr="00CD1B13">
        <w:rPr>
          <w:rFonts w:ascii="Times New Roman" w:hAnsi="Times New Roman" w:cs="Times New Roman"/>
          <w:sz w:val="24"/>
          <w:szCs w:val="24"/>
        </w:rPr>
        <w:t>a</w:t>
      </w:r>
      <w:r w:rsidR="005F454B">
        <w:rPr>
          <w:rFonts w:ascii="Times New Roman" w:hAnsi="Times New Roman" w:cs="Times New Roman"/>
          <w:sz w:val="24"/>
          <w:szCs w:val="24"/>
        </w:rPr>
        <w:t xml:space="preserve">n </w:t>
      </w:r>
      <w:r w:rsidR="00CD1B13" w:rsidRPr="00CD1B13">
        <w:rPr>
          <w:rFonts w:ascii="Times New Roman" w:hAnsi="Times New Roman" w:cs="Times New Roman"/>
          <w:sz w:val="24"/>
          <w:szCs w:val="24"/>
        </w:rPr>
        <w:t xml:space="preserve">adviser </w:t>
      </w:r>
      <w:r w:rsidR="00CD1B13">
        <w:rPr>
          <w:rFonts w:ascii="Times New Roman" w:hAnsi="Times New Roman" w:cs="Times New Roman"/>
          <w:sz w:val="24"/>
          <w:szCs w:val="24"/>
        </w:rPr>
        <w:t>t</w:t>
      </w:r>
      <w:r w:rsidR="00CD1B13" w:rsidRPr="00CD1B13">
        <w:rPr>
          <w:rFonts w:ascii="Times New Roman" w:eastAsia="DeVinne" w:hAnsi="Times New Roman" w:cs="Times New Roman"/>
          <w:sz w:val="24"/>
          <w:szCs w:val="24"/>
        </w:rPr>
        <w:t>hat</w:t>
      </w:r>
      <w:r w:rsidR="008276E8">
        <w:rPr>
          <w:rFonts w:ascii="Times New Roman" w:eastAsia="DeVinne" w:hAnsi="Times New Roman" w:cs="Times New Roman"/>
          <w:sz w:val="24"/>
          <w:szCs w:val="24"/>
        </w:rPr>
        <w:t>: (i)</w:t>
      </w:r>
      <w:r w:rsidR="00CD1B13" w:rsidRPr="00CD1B13">
        <w:rPr>
          <w:rFonts w:ascii="Times New Roman" w:eastAsia="DeVinne" w:hAnsi="Times New Roman" w:cs="Times New Roman"/>
          <w:sz w:val="24"/>
          <w:szCs w:val="24"/>
        </w:rPr>
        <w:t xml:space="preserve"> ha</w:t>
      </w:r>
      <w:r w:rsidR="005F454B">
        <w:rPr>
          <w:rFonts w:ascii="Times New Roman" w:eastAsia="DeVinne" w:hAnsi="Times New Roman" w:cs="Times New Roman"/>
          <w:sz w:val="24"/>
          <w:szCs w:val="24"/>
        </w:rPr>
        <w:t>s</w:t>
      </w:r>
      <w:r w:rsidR="00CD1B13" w:rsidRPr="00CD1B13">
        <w:rPr>
          <w:rFonts w:ascii="Times New Roman" w:eastAsia="DeVinne" w:hAnsi="Times New Roman" w:cs="Times New Roman"/>
          <w:sz w:val="24"/>
          <w:szCs w:val="24"/>
        </w:rPr>
        <w:t xml:space="preserve"> assets under management between $25 million and $100 million</w:t>
      </w:r>
      <w:bookmarkStart w:id="1" w:name="_Ref275364317"/>
      <w:r w:rsidR="008276E8">
        <w:rPr>
          <w:rFonts w:ascii="Times New Roman" w:eastAsia="DeVinne" w:hAnsi="Times New Roman" w:cs="Times New Roman"/>
          <w:sz w:val="24"/>
          <w:szCs w:val="24"/>
        </w:rPr>
        <w:t>; (ii)</w:t>
      </w:r>
      <w:r w:rsidR="00CD1B13">
        <w:rPr>
          <w:rFonts w:ascii="Times New Roman" w:eastAsia="DeVinne" w:hAnsi="Times New Roman" w:cs="Times New Roman"/>
          <w:sz w:val="24"/>
          <w:szCs w:val="24"/>
        </w:rPr>
        <w:t xml:space="preserve"> </w:t>
      </w:r>
      <w:bookmarkEnd w:id="1"/>
      <w:r w:rsidR="00CD1B13" w:rsidRPr="00CD1B13">
        <w:rPr>
          <w:rFonts w:ascii="Times New Roman" w:eastAsia="DeVinne" w:hAnsi="Times New Roman" w:cs="Times New Roman"/>
          <w:sz w:val="24"/>
          <w:szCs w:val="24"/>
        </w:rPr>
        <w:t xml:space="preserve">is required to be registered as an investment adviser with the state </w:t>
      </w:r>
      <w:r w:rsidR="00CA34FE">
        <w:rPr>
          <w:rFonts w:ascii="Times New Roman" w:eastAsia="DeVinne" w:hAnsi="Times New Roman" w:cs="Times New Roman"/>
          <w:sz w:val="24"/>
          <w:szCs w:val="24"/>
        </w:rPr>
        <w:t>in which it maintains</w:t>
      </w:r>
      <w:r w:rsidR="00CD1B13">
        <w:rPr>
          <w:rFonts w:ascii="Times New Roman" w:eastAsia="DeVinne" w:hAnsi="Times New Roman" w:cs="Times New Roman"/>
          <w:sz w:val="24"/>
          <w:szCs w:val="24"/>
        </w:rPr>
        <w:t xml:space="preserve"> </w:t>
      </w:r>
      <w:r w:rsidR="00CD1B13" w:rsidRPr="00CD1B13">
        <w:rPr>
          <w:rFonts w:ascii="Times New Roman" w:eastAsia="DeVinne" w:hAnsi="Times New Roman" w:cs="Times New Roman"/>
          <w:sz w:val="24"/>
          <w:szCs w:val="24"/>
        </w:rPr>
        <w:t>its principal office and place of business</w:t>
      </w:r>
      <w:r w:rsidR="008276E8">
        <w:rPr>
          <w:rFonts w:ascii="Times New Roman" w:eastAsia="DeVinne" w:hAnsi="Times New Roman" w:cs="Times New Roman"/>
          <w:sz w:val="24"/>
          <w:szCs w:val="24"/>
        </w:rPr>
        <w:t>;</w:t>
      </w:r>
      <w:r w:rsidR="00CD1B13">
        <w:rPr>
          <w:rFonts w:ascii="Times New Roman" w:eastAsia="DeVinne" w:hAnsi="Times New Roman" w:cs="Times New Roman"/>
          <w:sz w:val="24"/>
          <w:szCs w:val="24"/>
        </w:rPr>
        <w:t xml:space="preserve"> and</w:t>
      </w:r>
      <w:r w:rsidR="008276E8">
        <w:rPr>
          <w:rFonts w:ascii="Times New Roman" w:eastAsia="DeVinne" w:hAnsi="Times New Roman" w:cs="Times New Roman"/>
          <w:sz w:val="24"/>
          <w:szCs w:val="24"/>
        </w:rPr>
        <w:t xml:space="preserve"> (iii)</w:t>
      </w:r>
      <w:r w:rsidR="00CD1B13">
        <w:rPr>
          <w:rFonts w:ascii="Times New Roman" w:eastAsia="DeVinne" w:hAnsi="Times New Roman" w:cs="Times New Roman"/>
          <w:sz w:val="24"/>
          <w:szCs w:val="24"/>
        </w:rPr>
        <w:t xml:space="preserve"> </w:t>
      </w:r>
      <w:r w:rsidR="00CD1B13" w:rsidRPr="00CD1B13">
        <w:rPr>
          <w:rFonts w:ascii="Times New Roman" w:eastAsia="DeVinne" w:hAnsi="Times New Roman" w:cs="Times New Roman"/>
          <w:sz w:val="24"/>
          <w:szCs w:val="24"/>
        </w:rPr>
        <w:t xml:space="preserve">if registered, would be subject to examination as an adviser by that </w:t>
      </w:r>
      <w:r w:rsidR="00CD1B13">
        <w:rPr>
          <w:rFonts w:ascii="Times New Roman" w:eastAsia="DeVinne" w:hAnsi="Times New Roman" w:cs="Times New Roman"/>
          <w:sz w:val="24"/>
          <w:szCs w:val="24"/>
        </w:rPr>
        <w:t>state.</w:t>
      </w:r>
      <w:bookmarkStart w:id="2" w:name="_Ref275364324"/>
      <w:r w:rsidR="00CD1B13" w:rsidRPr="00CD1B13">
        <w:rPr>
          <w:rStyle w:val="FootnoteReference"/>
          <w:rFonts w:ascii="Times New Roman" w:hAnsi="Times New Roman" w:cs="Times New Roman"/>
          <w:szCs w:val="24"/>
        </w:rPr>
        <w:footnoteReference w:id="3"/>
      </w:r>
      <w:bookmarkEnd w:id="2"/>
      <w:r w:rsidR="00CD1B13">
        <w:rPr>
          <w:rFonts w:ascii="Times New Roman" w:eastAsia="DeVinne" w:hAnsi="Times New Roman" w:cs="Times New Roman"/>
          <w:sz w:val="24"/>
          <w:szCs w:val="24"/>
        </w:rPr>
        <w:t xml:space="preserve">  </w:t>
      </w:r>
      <w:r w:rsidR="00D23C37" w:rsidRPr="00D23C37">
        <w:rPr>
          <w:rFonts w:ascii="Times New Roman" w:eastAsia="DeVinne" w:hAnsi="Times New Roman" w:cs="Times New Roman"/>
          <w:sz w:val="24"/>
          <w:szCs w:val="24"/>
        </w:rPr>
        <w:t xml:space="preserve"> </w:t>
      </w:r>
      <w:r w:rsidR="00F10619">
        <w:rPr>
          <w:rFonts w:ascii="Times New Roman" w:eastAsia="DeVinne" w:hAnsi="Times New Roman" w:cs="Times New Roman"/>
          <w:sz w:val="24"/>
          <w:szCs w:val="24"/>
        </w:rPr>
        <w:t xml:space="preserve">A </w:t>
      </w:r>
      <w:r w:rsidR="00D23C37" w:rsidRPr="00D23C37">
        <w:rPr>
          <w:rFonts w:ascii="Times New Roman" w:eastAsia="DeVinne" w:hAnsi="Times New Roman" w:cs="Times New Roman"/>
          <w:sz w:val="24"/>
          <w:szCs w:val="24"/>
        </w:rPr>
        <w:t xml:space="preserve">mid-sized adviser that otherwise would be prohibited may </w:t>
      </w:r>
      <w:r w:rsidR="00D23C37" w:rsidRPr="00D23C37">
        <w:rPr>
          <w:rFonts w:ascii="Times New Roman" w:eastAsia="DeVinne" w:hAnsi="Times New Roman" w:cs="Times New Roman"/>
          <w:sz w:val="24"/>
          <w:szCs w:val="24"/>
        </w:rPr>
        <w:lastRenderedPageBreak/>
        <w:t>register with the Commission if it would be required to register with 15 or more states.</w:t>
      </w:r>
      <w:r w:rsidR="00D23C37" w:rsidRPr="00D23C37">
        <w:rPr>
          <w:rStyle w:val="FootnoteReference"/>
          <w:rFonts w:ascii="Times New Roman" w:eastAsia="DeVinne" w:hAnsi="Times New Roman" w:cs="Times New Roman"/>
          <w:szCs w:val="24"/>
        </w:rPr>
        <w:footnoteReference w:id="4"/>
      </w:r>
      <w:r w:rsidR="00F10619">
        <w:rPr>
          <w:rFonts w:ascii="Times New Roman" w:eastAsia="DeVinne" w:hAnsi="Times New Roman" w:cs="Times New Roman"/>
          <w:sz w:val="24"/>
          <w:szCs w:val="24"/>
        </w:rPr>
        <w:t xml:space="preserve">  </w:t>
      </w:r>
      <w:r w:rsidR="00F10619">
        <w:rPr>
          <w:rFonts w:ascii="Times New Roman" w:hAnsi="Times New Roman"/>
          <w:sz w:val="24"/>
          <w:szCs w:val="24"/>
        </w:rPr>
        <w:t>Se</w:t>
      </w:r>
      <w:r w:rsidRPr="00644FEB">
        <w:rPr>
          <w:rFonts w:ascii="Times New Roman" w:hAnsi="Times New Roman"/>
          <w:sz w:val="24"/>
          <w:szCs w:val="24"/>
        </w:rPr>
        <w:t xml:space="preserve">ction 203A(c) of the Advisers Act authorizes the Commission to exempt </w:t>
      </w:r>
      <w:r>
        <w:rPr>
          <w:rFonts w:ascii="Times New Roman" w:hAnsi="Times New Roman"/>
          <w:sz w:val="24"/>
          <w:szCs w:val="24"/>
        </w:rPr>
        <w:t xml:space="preserve">an </w:t>
      </w:r>
      <w:r w:rsidRPr="00644FEB">
        <w:rPr>
          <w:rFonts w:ascii="Times New Roman" w:hAnsi="Times New Roman"/>
          <w:sz w:val="24"/>
          <w:szCs w:val="24"/>
        </w:rPr>
        <w:t xml:space="preserve">adviser from the prohibition on Commission registration if the prohibition would be </w:t>
      </w:r>
      <w:r w:rsidR="00AB3E40">
        <w:rPr>
          <w:rFonts w:ascii="Times New Roman" w:hAnsi="Times New Roman"/>
          <w:sz w:val="24"/>
          <w:szCs w:val="24"/>
        </w:rPr>
        <w:t>“</w:t>
      </w:r>
      <w:r w:rsidRPr="00644FEB">
        <w:rPr>
          <w:rFonts w:ascii="Times New Roman" w:hAnsi="Times New Roman"/>
          <w:sz w:val="24"/>
          <w:szCs w:val="24"/>
        </w:rPr>
        <w:t>unfair, a burden on interstate commerce, or otherwise inconsistent with the purposes</w:t>
      </w:r>
      <w:r w:rsidR="00AB3E40">
        <w:rPr>
          <w:rFonts w:ascii="Times New Roman" w:hAnsi="Times New Roman"/>
          <w:sz w:val="24"/>
          <w:szCs w:val="24"/>
        </w:rPr>
        <w:t>”</w:t>
      </w:r>
      <w:r w:rsidRPr="00644FEB">
        <w:rPr>
          <w:rFonts w:ascii="Times New Roman" w:hAnsi="Times New Roman"/>
          <w:sz w:val="24"/>
          <w:szCs w:val="24"/>
        </w:rPr>
        <w:t xml:space="preserve"> of section 203A of the Act.</w:t>
      </w:r>
      <w:r w:rsidRPr="00644FEB">
        <w:rPr>
          <w:rStyle w:val="FootnoteReference"/>
          <w:rFonts w:ascii="Times New Roman" w:hAnsi="Times New Roman"/>
          <w:szCs w:val="24"/>
        </w:rPr>
        <w:footnoteReference w:id="5"/>
      </w:r>
      <w:r w:rsidRPr="00644FEB">
        <w:rPr>
          <w:rFonts w:ascii="Times New Roman" w:hAnsi="Times New Roman"/>
          <w:sz w:val="24"/>
          <w:szCs w:val="24"/>
        </w:rPr>
        <w:t xml:space="preserve">  </w:t>
      </w:r>
      <w:r>
        <w:rPr>
          <w:rFonts w:ascii="Times New Roman" w:hAnsi="Times New Roman"/>
          <w:sz w:val="24"/>
          <w:szCs w:val="24"/>
        </w:rPr>
        <w:t>Under this authority, t</w:t>
      </w:r>
      <w:r w:rsidRPr="00644FEB">
        <w:rPr>
          <w:rFonts w:ascii="Times New Roman" w:hAnsi="Times New Roman" w:cs="Times New Roman"/>
          <w:sz w:val="24"/>
          <w:szCs w:val="24"/>
        </w:rPr>
        <w:t>he Commission adopted rule 203A-2 to p</w:t>
      </w:r>
      <w:r w:rsidRPr="00644FEB">
        <w:rPr>
          <w:rFonts w:ascii="Times New Roman" w:hAnsi="Times New Roman"/>
          <w:sz w:val="24"/>
          <w:szCs w:val="24"/>
        </w:rPr>
        <w:t xml:space="preserve">rovide certain </w:t>
      </w:r>
      <w:r>
        <w:rPr>
          <w:rFonts w:ascii="Times New Roman" w:hAnsi="Times New Roman"/>
          <w:sz w:val="24"/>
          <w:szCs w:val="24"/>
        </w:rPr>
        <w:t xml:space="preserve">types of advisers with </w:t>
      </w:r>
      <w:r w:rsidRPr="00644FEB">
        <w:rPr>
          <w:rFonts w:ascii="Times New Roman" w:hAnsi="Times New Roman"/>
          <w:sz w:val="24"/>
          <w:szCs w:val="24"/>
        </w:rPr>
        <w:t xml:space="preserve">exemptions from the prohibition on </w:t>
      </w:r>
      <w:r w:rsidRPr="00644FEB">
        <w:rPr>
          <w:rFonts w:ascii="Times New Roman" w:hAnsi="Times New Roman" w:cs="Times New Roman"/>
          <w:sz w:val="24"/>
          <w:szCs w:val="24"/>
        </w:rPr>
        <w:t>registration</w:t>
      </w:r>
      <w:r>
        <w:rPr>
          <w:rFonts w:ascii="Times New Roman" w:hAnsi="Times New Roman" w:cs="Times New Roman"/>
          <w:sz w:val="24"/>
          <w:szCs w:val="24"/>
        </w:rPr>
        <w:t xml:space="preserve">.  </w:t>
      </w:r>
    </w:p>
    <w:p w:rsidR="00430967" w:rsidRPr="00B64826" w:rsidRDefault="00E86B89" w:rsidP="00B64826">
      <w:pPr>
        <w:spacing w:line="480" w:lineRule="auto"/>
        <w:ind w:firstLine="720"/>
      </w:pPr>
      <w:r>
        <w:rPr>
          <w:rFonts w:eastAsia="DeVinne"/>
        </w:rPr>
        <w:t>R</w:t>
      </w:r>
      <w:r w:rsidRPr="00B8227A">
        <w:rPr>
          <w:rFonts w:eastAsia="DeVinne"/>
        </w:rPr>
        <w:t>ule 203A-2(e)</w:t>
      </w:r>
      <w:r w:rsidR="00025423">
        <w:rPr>
          <w:rFonts w:eastAsia="DeVinne"/>
        </w:rPr>
        <w:t xml:space="preserve"> </w:t>
      </w:r>
      <w:r w:rsidR="00F03FBB">
        <w:rPr>
          <w:rFonts w:eastAsia="DeVinne"/>
        </w:rPr>
        <w:t xml:space="preserve">currently </w:t>
      </w:r>
      <w:r w:rsidR="00025423">
        <w:rPr>
          <w:rFonts w:eastAsia="DeVinne"/>
        </w:rPr>
        <w:t>provides that</w:t>
      </w:r>
      <w:r w:rsidRPr="00B8227A">
        <w:rPr>
          <w:rFonts w:eastAsia="DeVinne"/>
        </w:rPr>
        <w:t xml:space="preserve"> the prohibition on registration with the </w:t>
      </w:r>
      <w:r w:rsidR="003C1D42">
        <w:rPr>
          <w:rFonts w:eastAsia="DeVinne"/>
        </w:rPr>
        <w:t xml:space="preserve">Commission </w:t>
      </w:r>
      <w:r w:rsidRPr="00B8227A">
        <w:rPr>
          <w:rFonts w:eastAsia="DeVinne"/>
        </w:rPr>
        <w:t xml:space="preserve">does not apply to an investment adviser that is required to register in 30 or more states.  Once registered with the Commission, the adviser remains eligible for </w:t>
      </w:r>
      <w:r w:rsidRPr="00E86343">
        <w:rPr>
          <w:rFonts w:eastAsia="DeVinne"/>
        </w:rPr>
        <w:t>Commission registration as long as it would be obligated, absent the exemption, to register in at least 25 states.</w:t>
      </w:r>
      <w:bookmarkStart w:id="3" w:name="_Ref275364866"/>
      <w:r w:rsidRPr="00E86343">
        <w:rPr>
          <w:rStyle w:val="FootnoteReference"/>
        </w:rPr>
        <w:footnoteReference w:id="6"/>
      </w:r>
      <w:bookmarkEnd w:id="3"/>
      <w:r w:rsidRPr="00E86343">
        <w:t xml:space="preserve"> </w:t>
      </w:r>
      <w:r w:rsidRPr="00E86343">
        <w:rPr>
          <w:rFonts w:eastAsia="DeVinne"/>
        </w:rPr>
        <w:t xml:space="preserve"> </w:t>
      </w:r>
      <w:r w:rsidR="005C148F" w:rsidRPr="00E86343">
        <w:rPr>
          <w:rFonts w:eastAsia="DeVinne"/>
        </w:rPr>
        <w:t xml:space="preserve">An investment adviser relying on this exemption also must: (i) include a representation on Schedule D of Form ADV that </w:t>
      </w:r>
      <w:r w:rsidR="005C148F" w:rsidRPr="00E86343">
        <w:t xml:space="preserve">the investment adviser has concluded that it must register as an investment adviser with the required number of states; (ii) undertake to withdraw from registration with the Commission if the adviser indicates on an annual updating amendment to Form ADV that it would be required by the laws of fewer than 25 states to register as an investment adviser with the </w:t>
      </w:r>
      <w:r w:rsidR="005C148F" w:rsidRPr="00E86343">
        <w:rPr>
          <w:rFonts w:eastAsia="DeVinne"/>
        </w:rPr>
        <w:t>state</w:t>
      </w:r>
      <w:r w:rsidR="005C148F" w:rsidRPr="00E86343">
        <w:t xml:space="preserve">; and (iii) </w:t>
      </w:r>
      <w:r w:rsidR="0094589B" w:rsidRPr="00644FEB">
        <w:t>maintain in an easily accessible place</w:t>
      </w:r>
      <w:r w:rsidR="00F03FBB" w:rsidRPr="00F03FBB">
        <w:t xml:space="preserve"> </w:t>
      </w:r>
      <w:r w:rsidR="00F03FBB" w:rsidRPr="00E86343">
        <w:t>a record of the states in which the investment adviser has determined it would, but for the exemption, be required to register</w:t>
      </w:r>
      <w:r w:rsidR="0094589B" w:rsidRPr="00644FEB">
        <w:t xml:space="preserve"> for a </w:t>
      </w:r>
      <w:r w:rsidR="0094589B" w:rsidRPr="00644FEB">
        <w:lastRenderedPageBreak/>
        <w:t xml:space="preserve">period of not less than five years from the filing of </w:t>
      </w:r>
      <w:r w:rsidR="0094589B">
        <w:t xml:space="preserve">a </w:t>
      </w:r>
      <w:r w:rsidR="0094589B" w:rsidRPr="00644FEB">
        <w:t>Form ADV</w:t>
      </w:r>
      <w:r w:rsidR="0094589B">
        <w:t xml:space="preserve"> relying on the rule</w:t>
      </w:r>
      <w:r w:rsidR="00F03FBB">
        <w:t>.</w:t>
      </w:r>
      <w:r w:rsidR="0094589B" w:rsidRPr="00644FEB">
        <w:rPr>
          <w:rStyle w:val="FootnoteReference"/>
        </w:rPr>
        <w:footnoteReference w:id="7"/>
      </w:r>
      <w:r w:rsidR="005C148F" w:rsidRPr="00E86343">
        <w:t xml:space="preserve"> </w:t>
      </w:r>
      <w:r w:rsidR="005C148F" w:rsidRPr="00515747">
        <w:rPr>
          <w:szCs w:val="22"/>
        </w:rPr>
        <w:t xml:space="preserve"> </w:t>
      </w:r>
      <w:r>
        <w:rPr>
          <w:rFonts w:eastAsia="DeVinne"/>
        </w:rPr>
        <w:t>The Commission</w:t>
      </w:r>
      <w:r w:rsidR="007A0F4D">
        <w:rPr>
          <w:rFonts w:eastAsia="DeVinne"/>
        </w:rPr>
        <w:t xml:space="preserve"> recently amended the rule </w:t>
      </w:r>
      <w:r w:rsidRPr="00B8227A">
        <w:rPr>
          <w:rFonts w:eastAsia="DeVinne"/>
        </w:rPr>
        <w:t xml:space="preserve">to align </w:t>
      </w:r>
      <w:r w:rsidR="007A0F4D">
        <w:rPr>
          <w:rFonts w:eastAsia="DeVinne"/>
        </w:rPr>
        <w:t>it</w:t>
      </w:r>
      <w:r w:rsidRPr="00B8227A">
        <w:rPr>
          <w:rFonts w:eastAsia="DeVinne"/>
        </w:rPr>
        <w:t xml:space="preserve"> with the </w:t>
      </w:r>
      <w:r w:rsidR="00224609">
        <w:rPr>
          <w:rFonts w:eastAsia="DeVinne"/>
        </w:rPr>
        <w:t>Dodd-Frank Act’s</w:t>
      </w:r>
      <w:r w:rsidRPr="00B8227A">
        <w:rPr>
          <w:rFonts w:eastAsia="DeVinne"/>
        </w:rPr>
        <w:t xml:space="preserve"> </w:t>
      </w:r>
      <w:r w:rsidR="00515747" w:rsidRPr="00B8227A">
        <w:rPr>
          <w:rFonts w:eastAsia="DeVinne"/>
        </w:rPr>
        <w:t>multi-state exemption</w:t>
      </w:r>
      <w:r w:rsidR="00224609">
        <w:rPr>
          <w:rFonts w:eastAsia="DeVinne"/>
        </w:rPr>
        <w:t xml:space="preserve"> for mid-sized advisers by </w:t>
      </w:r>
      <w:r w:rsidR="006A559B" w:rsidRPr="00B8227A">
        <w:rPr>
          <w:rFonts w:eastAsia="DeVinne"/>
        </w:rPr>
        <w:t>permit</w:t>
      </w:r>
      <w:r w:rsidR="00D62D0E">
        <w:rPr>
          <w:rFonts w:eastAsia="DeVinne"/>
        </w:rPr>
        <w:t>ting</w:t>
      </w:r>
      <w:r w:rsidR="006A559B" w:rsidRPr="00B8227A">
        <w:rPr>
          <w:rFonts w:eastAsia="DeVinne"/>
        </w:rPr>
        <w:t xml:space="preserve"> all investment advisers required to register as adviser</w:t>
      </w:r>
      <w:r w:rsidR="00C27F84">
        <w:rPr>
          <w:rFonts w:eastAsia="DeVinne"/>
        </w:rPr>
        <w:t>s</w:t>
      </w:r>
      <w:r w:rsidR="006A559B" w:rsidRPr="00B8227A">
        <w:rPr>
          <w:rFonts w:eastAsia="DeVinne"/>
        </w:rPr>
        <w:t xml:space="preserve"> with 15 or more states to register with the Commission</w:t>
      </w:r>
      <w:r w:rsidR="00E97FA7">
        <w:rPr>
          <w:rFonts w:eastAsia="DeVinne"/>
        </w:rPr>
        <w:t xml:space="preserve">, and </w:t>
      </w:r>
      <w:r w:rsidR="00E97FA7" w:rsidRPr="00B8227A">
        <w:rPr>
          <w:rFonts w:eastAsia="DeVinne"/>
        </w:rPr>
        <w:t>renumber</w:t>
      </w:r>
      <w:r w:rsidR="007A0F4D">
        <w:rPr>
          <w:rFonts w:eastAsia="DeVinne"/>
        </w:rPr>
        <w:t>ed</w:t>
      </w:r>
      <w:r w:rsidR="00E97FA7" w:rsidRPr="00B8227A">
        <w:rPr>
          <w:rFonts w:eastAsia="DeVinne"/>
        </w:rPr>
        <w:t xml:space="preserve"> </w:t>
      </w:r>
      <w:r w:rsidR="00E97FA7">
        <w:rPr>
          <w:rFonts w:eastAsia="DeVinne"/>
        </w:rPr>
        <w:t xml:space="preserve">the </w:t>
      </w:r>
      <w:r w:rsidR="00E97FA7" w:rsidRPr="00B8227A">
        <w:rPr>
          <w:rFonts w:eastAsia="DeVinne"/>
        </w:rPr>
        <w:t>rule</w:t>
      </w:r>
      <w:r w:rsidR="00E97FA7">
        <w:rPr>
          <w:rFonts w:eastAsia="DeVinne"/>
        </w:rPr>
        <w:t xml:space="preserve"> as rule</w:t>
      </w:r>
      <w:r w:rsidR="00E97FA7" w:rsidRPr="00B8227A">
        <w:rPr>
          <w:rFonts w:eastAsia="DeVinne"/>
        </w:rPr>
        <w:t xml:space="preserve"> 203A-2(</w:t>
      </w:r>
      <w:r w:rsidR="00E97FA7">
        <w:rPr>
          <w:rFonts w:eastAsia="DeVinne"/>
        </w:rPr>
        <w:t>d</w:t>
      </w:r>
      <w:r w:rsidR="00E97FA7" w:rsidRPr="00B8227A">
        <w:rPr>
          <w:rFonts w:eastAsia="DeVinne"/>
        </w:rPr>
        <w:t>)</w:t>
      </w:r>
      <w:r w:rsidR="00A80B9B">
        <w:rPr>
          <w:rFonts w:eastAsia="DeVinne"/>
        </w:rPr>
        <w:t>.</w:t>
      </w:r>
      <w:r w:rsidR="00AF71C9" w:rsidRPr="00B8227A">
        <w:rPr>
          <w:rStyle w:val="FootnoteReference"/>
          <w:rFonts w:eastAsia="DeVinne"/>
        </w:rPr>
        <w:footnoteReference w:id="8"/>
      </w:r>
      <w:r w:rsidR="00A80B9B">
        <w:rPr>
          <w:rFonts w:eastAsia="DeVinne"/>
        </w:rPr>
        <w:t xml:space="preserve">  The Commission also </w:t>
      </w:r>
      <w:r w:rsidR="006A559B">
        <w:rPr>
          <w:rFonts w:eastAsia="DeVinne"/>
        </w:rPr>
        <w:t>eliminat</w:t>
      </w:r>
      <w:r w:rsidR="00A80B9B">
        <w:rPr>
          <w:rFonts w:eastAsia="DeVinne"/>
        </w:rPr>
        <w:t>e</w:t>
      </w:r>
      <w:r w:rsidR="007A0F4D">
        <w:rPr>
          <w:rFonts w:eastAsia="DeVinne"/>
        </w:rPr>
        <w:t>d</w:t>
      </w:r>
      <w:r w:rsidR="006A559B">
        <w:rPr>
          <w:rFonts w:eastAsia="DeVinne"/>
        </w:rPr>
        <w:t xml:space="preserve"> the cushion for advisers that must register with 25 to 30 states</w:t>
      </w:r>
      <w:r w:rsidR="00C253CB">
        <w:rPr>
          <w:rFonts w:eastAsia="DeVinne"/>
        </w:rPr>
        <w:t xml:space="preserve">, and did not </w:t>
      </w:r>
      <w:r w:rsidR="007A0F4D">
        <w:rPr>
          <w:rFonts w:eastAsia="DeVinne"/>
        </w:rPr>
        <w:t>adopt</w:t>
      </w:r>
      <w:r w:rsidR="00C253CB">
        <w:rPr>
          <w:rFonts w:eastAsia="DeVinne"/>
        </w:rPr>
        <w:t xml:space="preserve"> a similar cushion for the 15-state threshold.</w:t>
      </w:r>
      <w:r w:rsidRPr="00B8227A">
        <w:rPr>
          <w:rStyle w:val="FootnoteReference"/>
          <w:rFonts w:eastAsia="DeVinne"/>
        </w:rPr>
        <w:footnoteReference w:id="9"/>
      </w:r>
      <w:r w:rsidRPr="00B8227A">
        <w:rPr>
          <w:rFonts w:eastAsia="DeVinne"/>
        </w:rPr>
        <w:t xml:space="preserve">  </w:t>
      </w:r>
      <w:r w:rsidR="00661A8B" w:rsidRPr="00B8227A">
        <w:rPr>
          <w:rFonts w:eastAsia="DeVinne"/>
        </w:rPr>
        <w:t xml:space="preserve">An investment adviser relying on this exemption </w:t>
      </w:r>
      <w:r w:rsidR="00A6174C">
        <w:rPr>
          <w:rFonts w:eastAsia="DeVinne"/>
        </w:rPr>
        <w:t xml:space="preserve">is </w:t>
      </w:r>
      <w:r w:rsidR="00661A8B" w:rsidRPr="00B8227A">
        <w:rPr>
          <w:rFonts w:eastAsia="DeVinne"/>
        </w:rPr>
        <w:t>required to maintain in an easily accessible place a record of the states in which the investment adviser has determined it would, but for the exemption, be required to register</w:t>
      </w:r>
      <w:r w:rsidR="00A32382">
        <w:rPr>
          <w:rFonts w:eastAsia="DeVinne"/>
        </w:rPr>
        <w:t xml:space="preserve"> </w:t>
      </w:r>
      <w:r w:rsidR="00A32382" w:rsidRPr="00644FEB">
        <w:t xml:space="preserve">for a period of not less than five years from the filing of </w:t>
      </w:r>
      <w:r w:rsidR="00A32382">
        <w:t xml:space="preserve">a </w:t>
      </w:r>
      <w:r w:rsidR="00A32382" w:rsidRPr="00644FEB">
        <w:t>Form ADV</w:t>
      </w:r>
      <w:r w:rsidR="00A32382">
        <w:t xml:space="preserve"> relying on the rule</w:t>
      </w:r>
      <w:r w:rsidR="00661A8B" w:rsidRPr="00B8227A">
        <w:rPr>
          <w:rFonts w:eastAsia="DeVinne"/>
        </w:rPr>
        <w:t>.</w:t>
      </w:r>
      <w:r w:rsidR="00661A8B" w:rsidRPr="00B8227A">
        <w:rPr>
          <w:rStyle w:val="FootnoteReference"/>
        </w:rPr>
        <w:footnoteReference w:id="10"/>
      </w:r>
      <w:r w:rsidR="00661A8B" w:rsidRPr="00B8227A">
        <w:rPr>
          <w:rFonts w:eastAsia="DeVinne"/>
        </w:rPr>
        <w:t xml:space="preserve"> </w:t>
      </w:r>
      <w:r w:rsidR="00661A8B">
        <w:rPr>
          <w:rFonts w:eastAsia="DeVinne"/>
        </w:rPr>
        <w:t xml:space="preserve"> </w:t>
      </w:r>
      <w:r w:rsidR="00B64826">
        <w:t>The rule’s re</w:t>
      </w:r>
      <w:r w:rsidR="00B64826" w:rsidRPr="00644FEB">
        <w:t xml:space="preserve">cord maintenance requirement is a “collection of information” for </w:t>
      </w:r>
      <w:r w:rsidR="00B64826">
        <w:t>Paperwork Reduction Act (“</w:t>
      </w:r>
      <w:r w:rsidR="00B64826" w:rsidRPr="00644FEB">
        <w:t>PRA</w:t>
      </w:r>
      <w:r w:rsidR="00B64826">
        <w:t>”)</w:t>
      </w:r>
      <w:r w:rsidR="00B64826" w:rsidRPr="00644FEB">
        <w:t xml:space="preserve"> purposes.</w:t>
      </w:r>
      <w:r w:rsidR="00B64826" w:rsidRPr="00E86343">
        <w:rPr>
          <w:rStyle w:val="FootnoteReference"/>
        </w:rPr>
        <w:footnoteReference w:id="11"/>
      </w:r>
      <w:r w:rsidR="00B64826" w:rsidRPr="00644FEB">
        <w:t xml:space="preserve">  </w:t>
      </w:r>
    </w:p>
    <w:p w:rsidR="00430967" w:rsidRDefault="00430967" w:rsidP="00430967">
      <w:pPr>
        <w:spacing w:line="480" w:lineRule="auto"/>
        <w:ind w:firstLine="720"/>
        <w:rPr>
          <w:rFonts w:eastAsia="DeVinne"/>
        </w:rPr>
      </w:pPr>
      <w:r w:rsidRPr="00B8227A">
        <w:lastRenderedPageBreak/>
        <w:t xml:space="preserve">Respondents to this collection of information </w:t>
      </w:r>
      <w:r w:rsidR="00A6174C">
        <w:t>are</w:t>
      </w:r>
      <w:r w:rsidRPr="00B8227A">
        <w:t xml:space="preserve"> investment advisers </w:t>
      </w:r>
      <w:r w:rsidR="005400AC" w:rsidRPr="00B8227A">
        <w:t xml:space="preserve">required to register in 15 or more states </w:t>
      </w:r>
      <w:r w:rsidR="005400AC">
        <w:t xml:space="preserve">absent the exemption </w:t>
      </w:r>
      <w:r w:rsidR="002B282C">
        <w:t>that</w:t>
      </w:r>
      <w:r w:rsidR="005400AC">
        <w:t xml:space="preserve"> rely on rule 203A-2(d) to register with the Commission</w:t>
      </w:r>
      <w:r w:rsidRPr="00B8227A">
        <w:t xml:space="preserve">  The records kept by investment advisers in compliance with the rule </w:t>
      </w:r>
      <w:r w:rsidR="002D3E4D">
        <w:t>are</w:t>
      </w:r>
      <w:r w:rsidRPr="00B8227A">
        <w:t xml:space="preserve"> necessary for the Commission staff to use in its examination and oversight program.   </w:t>
      </w:r>
    </w:p>
    <w:p w:rsidR="00430967" w:rsidRDefault="008D314F" w:rsidP="00DB0904">
      <w:pPr>
        <w:spacing w:line="480" w:lineRule="auto"/>
        <w:ind w:firstLine="720"/>
      </w:pPr>
      <w:r>
        <w:t xml:space="preserve">The title of the </w:t>
      </w:r>
      <w:r w:rsidR="00721377">
        <w:t>new collection of information is</w:t>
      </w:r>
      <w:r>
        <w:t xml:space="preserve">: </w:t>
      </w:r>
      <w:r w:rsidR="00FF21CC">
        <w:t>“</w:t>
      </w:r>
      <w:r w:rsidR="009273B5" w:rsidRPr="00B8227A">
        <w:t>Exemption for Certain Multi-State Investment Advisers (Rule 203A-2</w:t>
      </w:r>
      <w:r w:rsidR="00874246">
        <w:t>(d</w:t>
      </w:r>
      <w:r w:rsidR="009273B5" w:rsidRPr="006106E6">
        <w:t>)</w:t>
      </w:r>
      <w:r w:rsidR="009273B5" w:rsidRPr="00B8227A">
        <w:t>)</w:t>
      </w:r>
      <w:r w:rsidR="00FF21CC">
        <w:t xml:space="preserve">.”  </w:t>
      </w:r>
      <w:r w:rsidR="00430967" w:rsidRPr="00B8227A">
        <w:rPr>
          <w:rFonts w:eastAsia="DeVinne"/>
        </w:rPr>
        <w:t>We have submitted this collection o</w:t>
      </w:r>
      <w:r w:rsidR="00430967">
        <w:rPr>
          <w:rFonts w:eastAsia="DeVinne"/>
        </w:rPr>
        <w:t>f information to OMB for review</w:t>
      </w:r>
      <w:r w:rsidR="00F22A42">
        <w:rPr>
          <w:rFonts w:eastAsia="DeVinne"/>
        </w:rPr>
        <w:t xml:space="preserve">, and </w:t>
      </w:r>
      <w:r w:rsidR="00F22A42">
        <w:t>OMB has not yet assigned t</w:t>
      </w:r>
      <w:r w:rsidR="00ED021D">
        <w:t>his collection a control number</w:t>
      </w:r>
      <w:r w:rsidR="00F22A42">
        <w:t xml:space="preserve">.  </w:t>
      </w:r>
      <w:r w:rsidR="004737EA">
        <w:t xml:space="preserve">An agency may not conduct or sponsor, and a person is not required to respond to, a collection of information unless it displays a currently valid OMB control number.  </w:t>
      </w:r>
      <w:r w:rsidR="00A318EE">
        <w:t>T</w:t>
      </w:r>
      <w:r w:rsidR="00DB0904">
        <w:t xml:space="preserve">his collection of information </w:t>
      </w:r>
      <w:r w:rsidR="008E0DE1">
        <w:t>will be</w:t>
      </w:r>
      <w:r w:rsidR="00DB0904">
        <w:t xml:space="preserve"> found at 17 CFR 275.203</w:t>
      </w:r>
      <w:r w:rsidR="00E86B89">
        <w:t>a</w:t>
      </w:r>
      <w:r w:rsidR="00DB0904">
        <w:t>-2</w:t>
      </w:r>
      <w:r w:rsidR="00E86B89" w:rsidRPr="00430967">
        <w:t>(</w:t>
      </w:r>
      <w:r w:rsidR="007459EF">
        <w:t>d</w:t>
      </w:r>
      <w:r w:rsidR="00E86B89" w:rsidRPr="00430967">
        <w:t>)</w:t>
      </w:r>
      <w:r w:rsidR="00DB0904">
        <w:t xml:space="preserve"> </w:t>
      </w:r>
      <w:r w:rsidR="00430967">
        <w:t>(</w:t>
      </w:r>
      <w:r w:rsidR="007459EF">
        <w:t>currently 17 CFR 275.203a-2(e</w:t>
      </w:r>
      <w:r w:rsidR="00430967">
        <w:t xml:space="preserve">)) and </w:t>
      </w:r>
      <w:r w:rsidR="00BA3B68">
        <w:t xml:space="preserve">is </w:t>
      </w:r>
      <w:r w:rsidR="00430967" w:rsidRPr="00B8227A">
        <w:t xml:space="preserve">mandatory </w:t>
      </w:r>
      <w:r w:rsidR="00EB6A79">
        <w:t>to</w:t>
      </w:r>
      <w:r w:rsidR="00EB6A79" w:rsidRPr="00644FEB">
        <w:t xml:space="preserve"> qualify for </w:t>
      </w:r>
      <w:r w:rsidR="00EB6A79">
        <w:t>and maintai</w:t>
      </w:r>
      <w:r w:rsidR="00361AFC">
        <w:t>n</w:t>
      </w:r>
      <w:r w:rsidR="00EB6A79">
        <w:t xml:space="preserve"> Commission registration eligibility under </w:t>
      </w:r>
      <w:r w:rsidR="00430967" w:rsidRPr="00B8227A">
        <w:t>rule 203A-2(</w:t>
      </w:r>
      <w:r w:rsidR="00874246">
        <w:t>d</w:t>
      </w:r>
      <w:r w:rsidR="00430967" w:rsidRPr="00B8227A">
        <w:t>) (</w:t>
      </w:r>
      <w:r w:rsidR="00874246">
        <w:t>current</w:t>
      </w:r>
      <w:r w:rsidR="00EE1317">
        <w:t>ly</w:t>
      </w:r>
      <w:r w:rsidR="00430967" w:rsidRPr="00B8227A">
        <w:t xml:space="preserve"> rule 203A-2(</w:t>
      </w:r>
      <w:r w:rsidR="00874246">
        <w:t>e</w:t>
      </w:r>
      <w:r w:rsidR="00430967" w:rsidRPr="00B8227A">
        <w:t xml:space="preserve">)).  </w:t>
      </w:r>
      <w:r w:rsidR="006A5B71">
        <w:t>R</w:t>
      </w:r>
      <w:r w:rsidR="006A5B71" w:rsidRPr="00644FEB">
        <w:t xml:space="preserve">esponses </w:t>
      </w:r>
      <w:r w:rsidR="006A5B71">
        <w:t xml:space="preserve">provided to the Commission in the context of its examination and oversight program are generally </w:t>
      </w:r>
      <w:r w:rsidR="006A5B71" w:rsidRPr="00644FEB">
        <w:t>kept confidential</w:t>
      </w:r>
      <w:r w:rsidR="006A5B71">
        <w:t xml:space="preserve"> under section 210(b) of the Advisers Act</w:t>
      </w:r>
      <w:r w:rsidR="006A5B71" w:rsidRPr="00644FEB">
        <w:t>.</w:t>
      </w:r>
      <w:r w:rsidR="006A5B71">
        <w:rPr>
          <w:rStyle w:val="FootnoteReference"/>
        </w:rPr>
        <w:footnoteReference w:id="12"/>
      </w:r>
      <w:r w:rsidR="006A5B71">
        <w:t xml:space="preserve">  </w:t>
      </w:r>
    </w:p>
    <w:p w:rsidR="00DB0904" w:rsidRPr="0060142F" w:rsidRDefault="00DB0904" w:rsidP="00DB0904">
      <w:pPr>
        <w:numPr>
          <w:ilvl w:val="0"/>
          <w:numId w:val="1"/>
        </w:numPr>
        <w:tabs>
          <w:tab w:val="left" w:pos="-720"/>
        </w:tabs>
        <w:suppressAutoHyphens/>
        <w:spacing w:line="480" w:lineRule="auto"/>
        <w:rPr>
          <w:b/>
          <w:spacing w:val="-3"/>
        </w:rPr>
      </w:pPr>
      <w:r w:rsidRPr="0060142F">
        <w:rPr>
          <w:b/>
          <w:spacing w:val="-3"/>
        </w:rPr>
        <w:t>Purposes of Information Collection</w:t>
      </w:r>
    </w:p>
    <w:p w:rsidR="0094589B" w:rsidRDefault="0094589B" w:rsidP="00D66BA0">
      <w:pPr>
        <w:spacing w:line="480" w:lineRule="auto"/>
        <w:ind w:firstLine="720"/>
        <w:rPr>
          <w:rFonts w:eastAsia="DeVinne"/>
        </w:rPr>
      </w:pPr>
      <w:r>
        <w:t>The information collected under rule 203A-2</w:t>
      </w:r>
      <w:r w:rsidR="00874246">
        <w:t>(d</w:t>
      </w:r>
      <w:r>
        <w:t>)</w:t>
      </w:r>
      <w:r w:rsidR="00774CA8">
        <w:t xml:space="preserve"> </w:t>
      </w:r>
      <w:r>
        <w:t>permit</w:t>
      </w:r>
      <w:r w:rsidR="00FE5C85">
        <w:t>s</w:t>
      </w:r>
      <w:r>
        <w:t xml:space="preserve"> the Commission’s examination staff to determine an advisers’ eligibility for registration with the Commission under this exemptive rule.</w:t>
      </w:r>
    </w:p>
    <w:p w:rsidR="00DB0904" w:rsidRPr="00D451EE" w:rsidRDefault="00DB0904" w:rsidP="00DB0904">
      <w:pPr>
        <w:numPr>
          <w:ilvl w:val="0"/>
          <w:numId w:val="1"/>
        </w:numPr>
        <w:tabs>
          <w:tab w:val="left" w:pos="-720"/>
        </w:tabs>
        <w:suppressAutoHyphens/>
        <w:spacing w:line="480" w:lineRule="auto"/>
        <w:rPr>
          <w:b/>
          <w:spacing w:val="-3"/>
        </w:rPr>
      </w:pPr>
      <w:r w:rsidRPr="00D451EE">
        <w:rPr>
          <w:b/>
          <w:spacing w:val="-3"/>
        </w:rPr>
        <w:t>Role of Improved Information Technology</w:t>
      </w:r>
    </w:p>
    <w:p w:rsidR="00072D5A" w:rsidRPr="003E44B5" w:rsidRDefault="00AD454E" w:rsidP="000F6677">
      <w:pPr>
        <w:spacing w:line="480" w:lineRule="auto"/>
        <w:ind w:firstLine="720"/>
      </w:pPr>
      <w:r w:rsidRPr="00B720C5">
        <w:t>An investment adviser registering or registered with th</w:t>
      </w:r>
      <w:r w:rsidR="0094589B">
        <w:t>e Commission under rule 203A-2(</w:t>
      </w:r>
      <w:r w:rsidR="00874246">
        <w:t>d</w:t>
      </w:r>
      <w:r w:rsidRPr="00B720C5">
        <w:t xml:space="preserve">) </w:t>
      </w:r>
      <w:r w:rsidR="008E0DE1">
        <w:t>is</w:t>
      </w:r>
      <w:r w:rsidR="00FE5C85">
        <w:t xml:space="preserve"> </w:t>
      </w:r>
      <w:r w:rsidR="00774CA8">
        <w:t xml:space="preserve">required to </w:t>
      </w:r>
      <w:r w:rsidRPr="00B720C5">
        <w:t>maintain in an easily accessible place</w:t>
      </w:r>
      <w:r w:rsidR="00774CA8" w:rsidRPr="00774CA8">
        <w:t xml:space="preserve"> </w:t>
      </w:r>
      <w:r w:rsidR="00774CA8" w:rsidRPr="00E86343">
        <w:t xml:space="preserve">a record of the states in </w:t>
      </w:r>
      <w:r w:rsidR="00774CA8" w:rsidRPr="00E86343">
        <w:lastRenderedPageBreak/>
        <w:t>which the investment adviser has determined it would, but for the exemption, be required to register</w:t>
      </w:r>
      <w:r w:rsidRPr="00B720C5">
        <w:t xml:space="preserve"> for five years from the filing of a Form ADV</w:t>
      </w:r>
      <w:r w:rsidR="00657EF6" w:rsidRPr="00E86343">
        <w:t>.</w:t>
      </w:r>
      <w:r w:rsidR="00657EF6" w:rsidRPr="00E86343">
        <w:rPr>
          <w:rStyle w:val="FootnoteReference"/>
        </w:rPr>
        <w:footnoteReference w:id="13"/>
      </w:r>
      <w:r w:rsidR="00657EF6" w:rsidRPr="00E86343">
        <w:t xml:space="preserve"> </w:t>
      </w:r>
      <w:r w:rsidR="00657EF6" w:rsidRPr="00515747">
        <w:rPr>
          <w:szCs w:val="22"/>
        </w:rPr>
        <w:t xml:space="preserve"> </w:t>
      </w:r>
      <w:r>
        <w:t xml:space="preserve">Advisers </w:t>
      </w:r>
      <w:r w:rsidR="00FE5C85">
        <w:t>are</w:t>
      </w:r>
      <w:r>
        <w:t xml:space="preserve"> permitted to meet the recordkeeping obligation under the rule micrographically or electronically, and their</w:t>
      </w:r>
      <w:r w:rsidRPr="00B720C5">
        <w:t xml:space="preserve"> storage of this required record </w:t>
      </w:r>
      <w:r>
        <w:t xml:space="preserve">in such media </w:t>
      </w:r>
      <w:r w:rsidR="00A94029">
        <w:t xml:space="preserve">is </w:t>
      </w:r>
      <w:r w:rsidRPr="00B720C5">
        <w:t>governed by Advisers Act rule 204-2(g).</w:t>
      </w:r>
      <w:r w:rsidRPr="00B720C5">
        <w:rPr>
          <w:rStyle w:val="FootnoteReference"/>
        </w:rPr>
        <w:footnoteReference w:id="14"/>
      </w:r>
    </w:p>
    <w:p w:rsidR="00DB0904" w:rsidRPr="00D451EE" w:rsidRDefault="00DB0904" w:rsidP="00DB0904">
      <w:pPr>
        <w:numPr>
          <w:ilvl w:val="0"/>
          <w:numId w:val="1"/>
        </w:numPr>
        <w:tabs>
          <w:tab w:val="left" w:pos="-720"/>
        </w:tabs>
        <w:suppressAutoHyphens/>
        <w:rPr>
          <w:b/>
          <w:spacing w:val="-3"/>
        </w:rPr>
      </w:pPr>
      <w:r w:rsidRPr="00D451EE">
        <w:rPr>
          <w:b/>
          <w:spacing w:val="-3"/>
        </w:rPr>
        <w:t>Efforts to Identify Duplication</w:t>
      </w:r>
    </w:p>
    <w:p w:rsidR="00DB0904" w:rsidRDefault="00DB0904" w:rsidP="00DB0904">
      <w:pPr>
        <w:tabs>
          <w:tab w:val="left" w:pos="-720"/>
        </w:tabs>
        <w:suppressAutoHyphens/>
        <w:rPr>
          <w:spacing w:val="-3"/>
        </w:rPr>
      </w:pPr>
    </w:p>
    <w:p w:rsidR="00DB0904" w:rsidRPr="00FD3735" w:rsidRDefault="00FD3735" w:rsidP="00FD3735">
      <w:pPr>
        <w:pStyle w:val="HTMLPreformatted"/>
        <w:spacing w:line="480" w:lineRule="auto"/>
        <w:ind w:firstLine="720"/>
        <w:rPr>
          <w:rFonts w:ascii="Times New Roman" w:hAnsi="Times New Roman"/>
          <w:sz w:val="24"/>
          <w:szCs w:val="24"/>
        </w:rPr>
      </w:pPr>
      <w:r>
        <w:rPr>
          <w:rFonts w:ascii="Times New Roman" w:hAnsi="Times New Roman"/>
          <w:sz w:val="24"/>
          <w:szCs w:val="24"/>
        </w:rPr>
        <w:t>The recordkeeping requirement of rule 203A-2(</w:t>
      </w:r>
      <w:r w:rsidR="00874246">
        <w:rPr>
          <w:rFonts w:ascii="Times New Roman" w:hAnsi="Times New Roman"/>
          <w:sz w:val="24"/>
          <w:szCs w:val="24"/>
        </w:rPr>
        <w:t>d</w:t>
      </w:r>
      <w:r>
        <w:rPr>
          <w:rFonts w:ascii="Times New Roman" w:hAnsi="Times New Roman"/>
          <w:sz w:val="24"/>
          <w:szCs w:val="24"/>
        </w:rPr>
        <w:t>) is not duplicated elsewhere for investment advisers that must comply with this collection requirement.</w:t>
      </w:r>
    </w:p>
    <w:p w:rsidR="00DB0904" w:rsidRPr="007C36B2" w:rsidRDefault="00DB0904" w:rsidP="00DB0904">
      <w:pPr>
        <w:numPr>
          <w:ilvl w:val="0"/>
          <w:numId w:val="2"/>
        </w:numPr>
        <w:tabs>
          <w:tab w:val="left" w:pos="-720"/>
        </w:tabs>
        <w:suppressAutoHyphens/>
        <w:spacing w:line="480" w:lineRule="auto"/>
        <w:rPr>
          <w:b/>
          <w:spacing w:val="-3"/>
        </w:rPr>
      </w:pPr>
      <w:r w:rsidRPr="007C36B2">
        <w:rPr>
          <w:b/>
          <w:spacing w:val="-3"/>
        </w:rPr>
        <w:t>Effect on Small Entities</w:t>
      </w:r>
    </w:p>
    <w:p w:rsidR="00EE7640" w:rsidRDefault="00EE7640" w:rsidP="00DB0904">
      <w:pPr>
        <w:pStyle w:val="BodyTextIndent"/>
        <w:rPr>
          <w:spacing w:val="-3"/>
        </w:rPr>
      </w:pPr>
      <w:r>
        <w:t>The collection of information requirements are the same for all investment advisers registering or registered with the Commission, including those that are small entities.  Under section 203A, as amended by the Dodd-Frank Act, advisers with assets under management of less than $100 million</w:t>
      </w:r>
      <w:r w:rsidR="002C4B5D">
        <w:t xml:space="preserve"> generally</w:t>
      </w:r>
      <w:r>
        <w:t xml:space="preserve"> are</w:t>
      </w:r>
      <w:r w:rsidR="002C4B5D">
        <w:t xml:space="preserve"> not</w:t>
      </w:r>
      <w:r>
        <w:t xml:space="preserve"> eligible to register with the Commission; however, under rule 203A-2(</w:t>
      </w:r>
      <w:r w:rsidR="00874246">
        <w:t>d</w:t>
      </w:r>
      <w:r>
        <w:t>), these entities</w:t>
      </w:r>
      <w:r w:rsidR="002905F3">
        <w:t>, which include small entities,</w:t>
      </w:r>
      <w:r>
        <w:t xml:space="preserve"> </w:t>
      </w:r>
      <w:r w:rsidR="00A94029">
        <w:t>are</w:t>
      </w:r>
      <w:r>
        <w:t xml:space="preserve"> permitted to register with the Commission</w:t>
      </w:r>
      <w:r w:rsidR="002C4B5D">
        <w:t xml:space="preserve"> if they meet the conditions of the rule</w:t>
      </w:r>
      <w:r>
        <w:t xml:space="preserve">.  The recordkeeping requirement under the rule affects small advisers and larger advisers similarly, because the required information is about the adviser maintaining the records and about its </w:t>
      </w:r>
      <w:r w:rsidR="009D55F7">
        <w:t xml:space="preserve">regulatory requirements and </w:t>
      </w:r>
      <w:r>
        <w:t xml:space="preserve">business, which should be readily available to </w:t>
      </w:r>
      <w:r>
        <w:lastRenderedPageBreak/>
        <w:t>any adviser regardless of size.  It would defeat the purpose of the rule to exempt small entities from these requirements.</w:t>
      </w:r>
      <w:r w:rsidR="006E021F">
        <w:t xml:space="preserve">  Moreover, although the records are mandatory, the rule is a permissive exemption.  A small adviser can choose not to rely on the rule and thus not be subject to the collection of information.</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Consequences of Less Frequent Collection</w:t>
      </w:r>
    </w:p>
    <w:p w:rsidR="00DB0904" w:rsidRPr="00EA2FFC" w:rsidRDefault="001427D0" w:rsidP="00EA2FFC">
      <w:pPr>
        <w:pStyle w:val="BodyTextIndent"/>
      </w:pPr>
      <w:r w:rsidRPr="00F24B31">
        <w:t>An adviser registering with the Commission under rule 203A-2(</w:t>
      </w:r>
      <w:r w:rsidR="00874246">
        <w:t>d</w:t>
      </w:r>
      <w:r w:rsidRPr="00F24B31">
        <w:t xml:space="preserve">) </w:t>
      </w:r>
      <w:r w:rsidR="00A94029">
        <w:t>is</w:t>
      </w:r>
      <w:r w:rsidR="00B426A9">
        <w:t xml:space="preserve"> required to</w:t>
      </w:r>
      <w:r>
        <w:t xml:space="preserve"> </w:t>
      </w:r>
      <w:r w:rsidRPr="00F24B31">
        <w:t>maintain</w:t>
      </w:r>
      <w:r>
        <w:t xml:space="preserve"> </w:t>
      </w:r>
      <w:r w:rsidR="0008733C" w:rsidRPr="00E86343">
        <w:t>a record</w:t>
      </w:r>
      <w:r w:rsidR="0008733C">
        <w:t xml:space="preserve"> </w:t>
      </w:r>
      <w:r w:rsidR="0008733C" w:rsidRPr="00E86343">
        <w:t>of the states in which the investment adviser has determined it would, but for the exemption, be required to register</w:t>
      </w:r>
      <w:r w:rsidR="0008733C">
        <w:t xml:space="preserve"> </w:t>
      </w:r>
      <w:r>
        <w:t>for a period of not less than five years from the filing of a Form ADV</w:t>
      </w:r>
      <w:r w:rsidRPr="00E86343">
        <w:t>.</w:t>
      </w:r>
      <w:r w:rsidRPr="00E86343">
        <w:rPr>
          <w:rStyle w:val="FootnoteReference"/>
        </w:rPr>
        <w:footnoteReference w:id="15"/>
      </w:r>
      <w:r w:rsidRPr="00E86343">
        <w:t xml:space="preserve"> </w:t>
      </w:r>
      <w:r w:rsidRPr="00515747">
        <w:rPr>
          <w:szCs w:val="22"/>
        </w:rPr>
        <w:t xml:space="preserve"> </w:t>
      </w:r>
      <w:r>
        <w:t>Because the period between examinations may be as long as five years, it is important that the Commission have access to records that cover the period between examinations.  If the required information is not collected, the Commission’s examiners would not be able to verify that an investment adviser’s reliance on rule 203A-2(</w:t>
      </w:r>
      <w:r w:rsidR="00874246">
        <w:t>d</w:t>
      </w:r>
      <w:r>
        <w:t>) in registering with the Commission was appropriate.</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Inconsistencies with Guidelines in 5 CFR 1320.5(d)(2)</w:t>
      </w:r>
    </w:p>
    <w:p w:rsidR="00DB0904" w:rsidRDefault="00DB0904" w:rsidP="00DB0904">
      <w:pPr>
        <w:tabs>
          <w:tab w:val="left" w:pos="-720"/>
        </w:tabs>
        <w:suppressAutoHyphens/>
        <w:spacing w:line="480" w:lineRule="auto"/>
      </w:pPr>
      <w:r>
        <w:rPr>
          <w:spacing w:val="-3"/>
        </w:rPr>
        <w:tab/>
      </w:r>
      <w:r w:rsidR="00874246">
        <w:t>Rule 203A-2(d</w:t>
      </w:r>
      <w:r w:rsidR="001427D0">
        <w:t xml:space="preserve">) </w:t>
      </w:r>
      <w:r w:rsidR="00FC159A">
        <w:t>include</w:t>
      </w:r>
      <w:r w:rsidR="00F14522">
        <w:t>s</w:t>
      </w:r>
      <w:r w:rsidR="001427D0">
        <w:t xml:space="preserve"> a recordkeeping provision under which an adviser relying on the rule to register with the Commission </w:t>
      </w:r>
      <w:r w:rsidR="00F14522">
        <w:t>is</w:t>
      </w:r>
      <w:r w:rsidR="001427D0">
        <w:t xml:space="preserve"> required to maintain certain information, specified more fully in Item 1 above, for five years.  Although this period exceeds the three-year guideline for most kinds of records under 5 CFR 1320.5(d)(2)(iv), the long-term retention of these records is designed to contribute to the effectiveness of the Commission’s examination and inspection program, and is necessary for the Commission’s inspection program to determine compliance with the Advisers Act, including an adviser’s continued eligibility to register with the Commission.  Because the </w:t>
      </w:r>
      <w:r w:rsidR="001427D0">
        <w:lastRenderedPageBreak/>
        <w:t>period between examinations may be as long as five years, it is important that the Commission have access to records that cover the period between examinations.</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Consultations Outside of the Agency</w:t>
      </w:r>
    </w:p>
    <w:p w:rsidR="00DB0904" w:rsidRDefault="00DB0904" w:rsidP="00DB0904">
      <w:pPr>
        <w:tabs>
          <w:tab w:val="left" w:pos="-720"/>
        </w:tabs>
        <w:suppressAutoHyphens/>
        <w:spacing w:line="480" w:lineRule="auto"/>
        <w:rPr>
          <w:spacing w:val="-3"/>
        </w:rPr>
      </w:pPr>
      <w:r>
        <w:rPr>
          <w:spacing w:val="-3"/>
        </w:rPr>
        <w:tab/>
      </w:r>
      <w:r w:rsidR="00523587">
        <w:rPr>
          <w:spacing w:val="-3"/>
        </w:rPr>
        <w:t>In its release proposing</w:t>
      </w:r>
      <w:r w:rsidR="005539FC">
        <w:rPr>
          <w:spacing w:val="-3"/>
        </w:rPr>
        <w:t xml:space="preserve"> new rules and rule</w:t>
      </w:r>
      <w:r w:rsidR="00523587">
        <w:rPr>
          <w:spacing w:val="-3"/>
        </w:rPr>
        <w:t xml:space="preserve"> amendments to</w:t>
      </w:r>
      <w:r w:rsidR="005539FC">
        <w:rPr>
          <w:spacing w:val="-3"/>
        </w:rPr>
        <w:t xml:space="preserve"> implement the Dodd-Frank Act</w:t>
      </w:r>
      <w:r w:rsidR="00523587">
        <w:rPr>
          <w:spacing w:val="-3"/>
        </w:rPr>
        <w:t>, the Commission request</w:t>
      </w:r>
      <w:r w:rsidR="00C323B3">
        <w:rPr>
          <w:spacing w:val="-3"/>
        </w:rPr>
        <w:t>ed</w:t>
      </w:r>
      <w:r w:rsidR="00523587">
        <w:rPr>
          <w:spacing w:val="-3"/>
        </w:rPr>
        <w:t xml:space="preserve"> public comment on the effect of information collection under th</w:t>
      </w:r>
      <w:r w:rsidR="00640231">
        <w:rPr>
          <w:spacing w:val="-3"/>
        </w:rPr>
        <w:t>is</w:t>
      </w:r>
      <w:r w:rsidR="005539FC">
        <w:rPr>
          <w:spacing w:val="-3"/>
        </w:rPr>
        <w:t xml:space="preserve"> rule</w:t>
      </w:r>
      <w:r w:rsidR="00523587">
        <w:rPr>
          <w:spacing w:val="-3"/>
        </w:rPr>
        <w:t xml:space="preserve">.  </w:t>
      </w:r>
      <w:r w:rsidR="00512ABE">
        <w:t xml:space="preserve">The comments received are discussed below in </w:t>
      </w:r>
      <w:r w:rsidR="00D54437">
        <w:t>I</w:t>
      </w:r>
      <w:r w:rsidR="00512ABE">
        <w:t xml:space="preserve">tem 12 in connection with </w:t>
      </w:r>
      <w:r w:rsidR="00C323B3">
        <w:t>the</w:t>
      </w:r>
      <w:r w:rsidR="00512ABE">
        <w:t xml:space="preserve"> current estimates of the hour burden associated with rule 203A-2(d).  </w:t>
      </w:r>
      <w:r w:rsidR="00523587">
        <w:rPr>
          <w:spacing w:val="-3"/>
        </w:rPr>
        <w:t>In addition, t</w:t>
      </w:r>
      <w:r>
        <w:rPr>
          <w:spacing w:val="-3"/>
        </w:rPr>
        <w:t xml:space="preserve">he Commission and the staff of the Division of Investment Management 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  </w:t>
      </w:r>
    </w:p>
    <w:p w:rsidR="00DB0904" w:rsidRDefault="00C60E28" w:rsidP="00DB0904">
      <w:pPr>
        <w:numPr>
          <w:ilvl w:val="0"/>
          <w:numId w:val="2"/>
        </w:numPr>
        <w:tabs>
          <w:tab w:val="left" w:pos="-720"/>
        </w:tabs>
        <w:suppressAutoHyphens/>
        <w:spacing w:line="480" w:lineRule="auto"/>
        <w:rPr>
          <w:b/>
          <w:spacing w:val="-3"/>
        </w:rPr>
      </w:pPr>
      <w:r>
        <w:rPr>
          <w:b/>
          <w:spacing w:val="-3"/>
        </w:rPr>
        <w:t xml:space="preserve">Payment or </w:t>
      </w:r>
      <w:r w:rsidR="00DB0904" w:rsidRPr="00517A00">
        <w:rPr>
          <w:b/>
          <w:spacing w:val="-3"/>
        </w:rPr>
        <w:t>G</w:t>
      </w:r>
      <w:r w:rsidR="00DB0904">
        <w:rPr>
          <w:b/>
          <w:spacing w:val="-3"/>
        </w:rPr>
        <w:t>ifts to Respondents</w:t>
      </w:r>
    </w:p>
    <w:p w:rsidR="00DB0904" w:rsidRPr="00496F67" w:rsidRDefault="00DB0904" w:rsidP="00DB0904">
      <w:pPr>
        <w:tabs>
          <w:tab w:val="left" w:pos="-720"/>
        </w:tabs>
        <w:suppressAutoHyphens/>
        <w:spacing w:line="480" w:lineRule="auto"/>
        <w:rPr>
          <w:b/>
          <w:spacing w:val="-3"/>
        </w:rPr>
      </w:pPr>
      <w:r>
        <w:rPr>
          <w:spacing w:val="-3"/>
        </w:rPr>
        <w:tab/>
        <w:t>None.</w:t>
      </w:r>
    </w:p>
    <w:p w:rsidR="00DB0904" w:rsidRPr="00E66038" w:rsidRDefault="00DB0904" w:rsidP="00DB0904">
      <w:pPr>
        <w:numPr>
          <w:ilvl w:val="0"/>
          <w:numId w:val="2"/>
        </w:numPr>
        <w:tabs>
          <w:tab w:val="left" w:pos="-720"/>
        </w:tabs>
        <w:suppressAutoHyphens/>
        <w:spacing w:line="480" w:lineRule="auto"/>
        <w:rPr>
          <w:b/>
          <w:spacing w:val="-3"/>
        </w:rPr>
      </w:pPr>
      <w:r w:rsidRPr="00E66038">
        <w:rPr>
          <w:b/>
          <w:spacing w:val="-3"/>
        </w:rPr>
        <w:t>Assurances of Confidentiality</w:t>
      </w:r>
    </w:p>
    <w:p w:rsidR="00DB0904" w:rsidRPr="00407EC0" w:rsidRDefault="00407EC0" w:rsidP="00407EC0">
      <w:pPr>
        <w:pStyle w:val="BodyText"/>
        <w:spacing w:line="480" w:lineRule="auto"/>
        <w:ind w:firstLine="720"/>
      </w:pPr>
      <w:r>
        <w:t>Responses to the recordkeeping respon</w:t>
      </w:r>
      <w:r w:rsidR="00874246">
        <w:t>ses required under rule 203A-2(d</w:t>
      </w:r>
      <w:r>
        <w:t>) in the context of the Commission’s examination and oversight program are generally kept confidential.</w:t>
      </w:r>
      <w:r>
        <w:rPr>
          <w:rStyle w:val="FootnoteReference"/>
        </w:rPr>
        <w:footnoteReference w:id="16"/>
      </w:r>
    </w:p>
    <w:p w:rsidR="00DB0904" w:rsidRDefault="00DB0904" w:rsidP="00DB0904">
      <w:pPr>
        <w:numPr>
          <w:ilvl w:val="0"/>
          <w:numId w:val="2"/>
        </w:numPr>
        <w:tabs>
          <w:tab w:val="left" w:pos="-720"/>
        </w:tabs>
        <w:suppressAutoHyphens/>
        <w:spacing w:line="480" w:lineRule="auto"/>
        <w:rPr>
          <w:b/>
          <w:spacing w:val="-3"/>
        </w:rPr>
      </w:pPr>
      <w:r w:rsidRPr="000330DE">
        <w:rPr>
          <w:b/>
          <w:spacing w:val="-3"/>
        </w:rPr>
        <w:t>Sensitive Questions</w:t>
      </w:r>
    </w:p>
    <w:p w:rsidR="00DB0904" w:rsidRDefault="00DB0904" w:rsidP="00DB0904">
      <w:pPr>
        <w:tabs>
          <w:tab w:val="left" w:pos="-720"/>
        </w:tabs>
        <w:suppressAutoHyphens/>
        <w:spacing w:line="480" w:lineRule="auto"/>
        <w:rPr>
          <w:spacing w:val="-3"/>
        </w:rPr>
      </w:pPr>
      <w:r>
        <w:rPr>
          <w:spacing w:val="-3"/>
        </w:rPr>
        <w:tab/>
        <w:t>Not applicable.</w:t>
      </w:r>
    </w:p>
    <w:p w:rsidR="000F6040" w:rsidRDefault="000F6040" w:rsidP="00DB0904">
      <w:pPr>
        <w:tabs>
          <w:tab w:val="left" w:pos="-720"/>
        </w:tabs>
        <w:suppressAutoHyphens/>
        <w:spacing w:line="480" w:lineRule="auto"/>
        <w:rPr>
          <w:spacing w:val="-3"/>
        </w:rPr>
      </w:pPr>
    </w:p>
    <w:p w:rsidR="000F6040" w:rsidRDefault="000F6040" w:rsidP="00DB0904">
      <w:pPr>
        <w:tabs>
          <w:tab w:val="left" w:pos="-720"/>
        </w:tabs>
        <w:suppressAutoHyphens/>
        <w:spacing w:line="480" w:lineRule="auto"/>
        <w:rPr>
          <w:spacing w:val="-3"/>
        </w:rPr>
      </w:pPr>
    </w:p>
    <w:p w:rsidR="00DB0904" w:rsidRPr="00682E12" w:rsidRDefault="00DB0904" w:rsidP="00DB0904">
      <w:pPr>
        <w:numPr>
          <w:ilvl w:val="0"/>
          <w:numId w:val="2"/>
        </w:numPr>
        <w:tabs>
          <w:tab w:val="left" w:pos="-720"/>
        </w:tabs>
        <w:suppressAutoHyphens/>
        <w:spacing w:line="480" w:lineRule="auto"/>
        <w:rPr>
          <w:b/>
          <w:spacing w:val="-3"/>
        </w:rPr>
      </w:pPr>
      <w:r w:rsidRPr="00682E12">
        <w:rPr>
          <w:b/>
          <w:spacing w:val="-3"/>
        </w:rPr>
        <w:lastRenderedPageBreak/>
        <w:t>Estimate of Hour Burden</w:t>
      </w:r>
    </w:p>
    <w:p w:rsidR="00E97F49" w:rsidRDefault="00C935D7" w:rsidP="00E97F49">
      <w:pPr>
        <w:pStyle w:val="BodyText"/>
        <w:spacing w:line="480" w:lineRule="auto"/>
        <w:ind w:firstLine="720"/>
        <w:rPr>
          <w:rFonts w:eastAsia="DeVinne"/>
        </w:rPr>
      </w:pPr>
      <w:r w:rsidRPr="009B602C">
        <w:t>As of April 7, 2011, there were approximately 40 advisers relying on the exemption</w:t>
      </w:r>
      <w:r w:rsidR="000F6040">
        <w:t xml:space="preserve"> under rule 203A-2(e)</w:t>
      </w:r>
      <w:r w:rsidRPr="009B602C">
        <w:t>.</w:t>
      </w:r>
      <w:r w:rsidRPr="009B602C">
        <w:rPr>
          <w:rStyle w:val="FootnoteReference"/>
        </w:rPr>
        <w:footnoteReference w:id="17"/>
      </w:r>
      <w:r w:rsidRPr="009B602C">
        <w:t xml:space="preserve">  </w:t>
      </w:r>
      <w:r w:rsidRPr="009B602C">
        <w:rPr>
          <w:rFonts w:eastAsia="DeVinne"/>
        </w:rPr>
        <w:t xml:space="preserve">Although it is difficult to </w:t>
      </w:r>
      <w:r>
        <w:rPr>
          <w:rFonts w:eastAsia="DeVinne"/>
        </w:rPr>
        <w:t>determine a precise</w:t>
      </w:r>
      <w:r w:rsidRPr="009B602C">
        <w:rPr>
          <w:rFonts w:eastAsia="DeVinne"/>
        </w:rPr>
        <w:t xml:space="preserve"> number of advisers that will rely on the exemption </w:t>
      </w:r>
      <w:r>
        <w:rPr>
          <w:rFonts w:eastAsia="DeVinne"/>
        </w:rPr>
        <w:t>as</w:t>
      </w:r>
      <w:r w:rsidRPr="009B602C">
        <w:rPr>
          <w:rFonts w:eastAsia="DeVinne"/>
        </w:rPr>
        <w:t xml:space="preserve"> amended because such reliance is entirely voluntary, we estimate that approximately 155 advisers will rely on the exemption.</w:t>
      </w:r>
      <w:r w:rsidRPr="009B602C">
        <w:rPr>
          <w:rStyle w:val="FootnoteReference"/>
        </w:rPr>
        <w:footnoteReference w:id="18"/>
      </w:r>
      <w:r w:rsidRPr="009B602C">
        <w:rPr>
          <w:rFonts w:eastAsia="DeVinne"/>
        </w:rPr>
        <w:t xml:space="preserve"> </w:t>
      </w:r>
      <w:r w:rsidR="00F65893">
        <w:rPr>
          <w:rFonts w:eastAsia="DeVinne"/>
        </w:rPr>
        <w:t xml:space="preserve"> </w:t>
      </w:r>
      <w:r w:rsidRPr="009B602C">
        <w:rPr>
          <w:rFonts w:eastAsia="DeVinne"/>
        </w:rPr>
        <w:t>These advisers will incur an average one-time initial burden of approximately 8 hours, and an average ongoing burden of approximately 8 hours per year, to keep records sufficient to demonstrate that they meet the 15-state threshold.  These estimates are based on an estimate that each year an investment adviser will spend approximately 0.5 hours creating a record of its determination whether it must register as an investment adviser with each of the 15 states required to rely on the exemption, and approximately 0.5 hours to maintain these records.</w:t>
      </w:r>
      <w:r w:rsidRPr="009B602C">
        <w:rPr>
          <w:rStyle w:val="FootnoteReference"/>
        </w:rPr>
        <w:footnoteReference w:id="19"/>
      </w:r>
      <w:r w:rsidRPr="009B602C">
        <w:rPr>
          <w:rFonts w:eastAsia="DeVinne"/>
        </w:rPr>
        <w:t xml:space="preserve">  Accordingly, the revised total initial and annual burden of </w:t>
      </w:r>
      <w:r w:rsidRPr="009B602C">
        <w:rPr>
          <w:rFonts w:eastAsia="DeVinne"/>
        </w:rPr>
        <w:lastRenderedPageBreak/>
        <w:t xml:space="preserve">the recordkeeping requirements of rule 203A-2(d) will be </w:t>
      </w:r>
      <w:r>
        <w:rPr>
          <w:rFonts w:eastAsia="DeVinne"/>
        </w:rPr>
        <w:t>1,240</w:t>
      </w:r>
      <w:r w:rsidRPr="009B602C">
        <w:rPr>
          <w:rFonts w:eastAsia="DeVinne"/>
        </w:rPr>
        <w:t xml:space="preserve"> hours</w:t>
      </w:r>
      <w:r w:rsidR="00075D6A">
        <w:rPr>
          <w:rFonts w:eastAsia="DeVinne"/>
        </w:rPr>
        <w:t xml:space="preserve"> (an additional 920 hours)</w:t>
      </w:r>
      <w:r w:rsidRPr="009B602C">
        <w:rPr>
          <w:rFonts w:eastAsia="DeVinne"/>
        </w:rPr>
        <w:t>.</w:t>
      </w:r>
      <w:r w:rsidRPr="009B602C">
        <w:rPr>
          <w:rStyle w:val="FootnoteReference"/>
        </w:rPr>
        <w:footnoteReference w:id="20"/>
      </w:r>
      <w:r w:rsidR="00E97F49">
        <w:rPr>
          <w:rFonts w:eastAsia="DeVinne"/>
        </w:rPr>
        <w:t xml:space="preserve">  </w:t>
      </w:r>
    </w:p>
    <w:p w:rsidR="00E2206E" w:rsidRDefault="00A336F2" w:rsidP="003209C8">
      <w:pPr>
        <w:pStyle w:val="BodyText"/>
        <w:spacing w:line="480" w:lineRule="auto"/>
        <w:ind w:firstLine="720"/>
      </w:pPr>
      <w:r>
        <w:t>As discussed in Item 15 below, t</w:t>
      </w:r>
      <w:r w:rsidR="00E2206E">
        <w:t xml:space="preserve">hese estimates are </w:t>
      </w:r>
      <w:r w:rsidR="00E97F49">
        <w:t xml:space="preserve">higher than </w:t>
      </w:r>
      <w:r w:rsidR="00E2206E">
        <w:t xml:space="preserve">the estimates </w:t>
      </w:r>
      <w:r w:rsidR="00567FEA">
        <w:t>the Commission</w:t>
      </w:r>
      <w:r w:rsidR="00E2206E">
        <w:t xml:space="preserve"> established, and requested public comment</w:t>
      </w:r>
      <w:r w:rsidR="00E97F49">
        <w:t xml:space="preserve"> on, in the </w:t>
      </w:r>
      <w:r w:rsidR="008056A2" w:rsidRPr="00461286">
        <w:rPr>
          <w:spacing w:val="-3"/>
        </w:rPr>
        <w:t>release proposing new rules and rule amendments to implement the Dodd-Frank Act</w:t>
      </w:r>
      <w:r w:rsidR="008056A2">
        <w:rPr>
          <w:spacing w:val="-3"/>
        </w:rPr>
        <w:t xml:space="preserve"> (“</w:t>
      </w:r>
      <w:r w:rsidR="008056A2" w:rsidRPr="009B602C">
        <w:t>Proposing Release</w:t>
      </w:r>
      <w:r w:rsidR="008056A2">
        <w:t>”)</w:t>
      </w:r>
      <w:r w:rsidR="00E97F49">
        <w:t xml:space="preserve">.  </w:t>
      </w:r>
      <w:r w:rsidR="00E2206E">
        <w:t xml:space="preserve">Comments we received related to these estimates pertained to costs associated with rule </w:t>
      </w:r>
      <w:r w:rsidR="007F32A2">
        <w:t>203A-2(d)</w:t>
      </w:r>
      <w:r w:rsidR="00E2206E">
        <w:t xml:space="preserve">, not costs associated with </w:t>
      </w:r>
      <w:r w:rsidR="00095DFE" w:rsidRPr="009B602C">
        <w:t>the rule’s collection of information requirements</w:t>
      </w:r>
      <w:r w:rsidR="00E2206E">
        <w:t>.</w:t>
      </w:r>
      <w:r w:rsidR="00E2206E" w:rsidRPr="008908B3">
        <w:rPr>
          <w:rStyle w:val="FootnoteReference"/>
        </w:rPr>
        <w:footnoteReference w:id="21"/>
      </w:r>
      <w:r w:rsidR="00E43558">
        <w:t xml:space="preserve">  </w:t>
      </w:r>
    </w:p>
    <w:p w:rsidR="00117D83" w:rsidRDefault="005C3A68" w:rsidP="003209C8">
      <w:pPr>
        <w:pStyle w:val="BodyText"/>
        <w:spacing w:line="480" w:lineRule="auto"/>
        <w:ind w:firstLine="720"/>
        <w:rPr>
          <w:rFonts w:eastAsia="DeVinne"/>
        </w:rPr>
      </w:pPr>
      <w:r w:rsidRPr="00B8227A">
        <w:rPr>
          <w:rFonts w:eastAsia="DeVinne"/>
        </w:rPr>
        <w:t xml:space="preserve">We </w:t>
      </w:r>
      <w:r w:rsidR="007208D8">
        <w:rPr>
          <w:rFonts w:eastAsia="DeVinne"/>
        </w:rPr>
        <w:t>anticipate</w:t>
      </w:r>
      <w:r w:rsidRPr="00B8227A">
        <w:rPr>
          <w:rFonts w:eastAsia="DeVinne"/>
        </w:rPr>
        <w:t xml:space="preserve"> tha</w:t>
      </w:r>
      <w:r w:rsidR="007208D8">
        <w:rPr>
          <w:rFonts w:eastAsia="DeVinne"/>
        </w:rPr>
        <w:t xml:space="preserve">t investment advisers </w:t>
      </w:r>
      <w:r w:rsidR="00744921">
        <w:rPr>
          <w:rFonts w:eastAsia="DeVinne"/>
        </w:rPr>
        <w:t>will</w:t>
      </w:r>
      <w:r w:rsidR="007208D8">
        <w:rPr>
          <w:rFonts w:eastAsia="DeVinne"/>
        </w:rPr>
        <w:t xml:space="preserve"> likely utilize </w:t>
      </w:r>
      <w:r w:rsidRPr="00B8227A">
        <w:rPr>
          <w:rFonts w:eastAsia="DeVinne"/>
        </w:rPr>
        <w:t>senior operations manager</w:t>
      </w:r>
      <w:r w:rsidR="007208D8">
        <w:rPr>
          <w:rFonts w:eastAsia="DeVinne"/>
        </w:rPr>
        <w:t xml:space="preserve">s to </w:t>
      </w:r>
      <w:r w:rsidRPr="00B8227A">
        <w:rPr>
          <w:rFonts w:eastAsia="DeVinne"/>
        </w:rPr>
        <w:t>maintain the</w:t>
      </w:r>
      <w:r w:rsidR="00517362">
        <w:rPr>
          <w:rFonts w:eastAsia="DeVinne"/>
        </w:rPr>
        <w:t xml:space="preserve"> required</w:t>
      </w:r>
      <w:r w:rsidRPr="00B8227A">
        <w:rPr>
          <w:rFonts w:eastAsia="DeVinne"/>
        </w:rPr>
        <w:t xml:space="preserve"> records</w:t>
      </w:r>
      <w:r w:rsidR="007208D8">
        <w:rPr>
          <w:rFonts w:eastAsia="DeVinne"/>
        </w:rPr>
        <w:t xml:space="preserve">.  The Commission estimates the hourly wage rate for a senior operations manager to be </w:t>
      </w:r>
      <w:r w:rsidR="00AD2FE5">
        <w:rPr>
          <w:rFonts w:eastAsia="DeVinne"/>
        </w:rPr>
        <w:t>$33</w:t>
      </w:r>
      <w:r w:rsidRPr="00B8227A">
        <w:rPr>
          <w:rFonts w:eastAsia="DeVinne"/>
        </w:rPr>
        <w:t>1</w:t>
      </w:r>
      <w:r w:rsidR="007208D8">
        <w:rPr>
          <w:rFonts w:eastAsia="DeVinne"/>
        </w:rPr>
        <w:t xml:space="preserve"> per hour, including benefits</w:t>
      </w:r>
      <w:r w:rsidR="007208D8" w:rsidRPr="007208D8">
        <w:rPr>
          <w:rFonts w:eastAsia="DeVinne"/>
        </w:rPr>
        <w:t>.</w:t>
      </w:r>
      <w:r w:rsidR="007208D8" w:rsidRPr="007208D8">
        <w:rPr>
          <w:rStyle w:val="FootnoteReference"/>
        </w:rPr>
        <w:footnoteReference w:id="22"/>
      </w:r>
      <w:r w:rsidR="007208D8" w:rsidRPr="007208D8">
        <w:t xml:space="preserve"> </w:t>
      </w:r>
      <w:r w:rsidR="007208D8">
        <w:rPr>
          <w:rFonts w:eastAsia="DeVinne"/>
        </w:rPr>
        <w:t xml:space="preserve"> </w:t>
      </w:r>
      <w:r w:rsidR="00706CE0">
        <w:rPr>
          <w:rFonts w:eastAsia="DeVinne"/>
        </w:rPr>
        <w:t>E</w:t>
      </w:r>
      <w:r w:rsidR="004C475A">
        <w:rPr>
          <w:rFonts w:eastAsia="DeVinne"/>
        </w:rPr>
        <w:t xml:space="preserve">ach adviser relying on the exemption </w:t>
      </w:r>
      <w:r w:rsidR="00744921">
        <w:rPr>
          <w:rFonts w:eastAsia="DeVinne"/>
        </w:rPr>
        <w:t>will</w:t>
      </w:r>
      <w:r w:rsidR="004C475A">
        <w:rPr>
          <w:rFonts w:eastAsia="DeVinne"/>
        </w:rPr>
        <w:t xml:space="preserve"> incur </w:t>
      </w:r>
      <w:r w:rsidRPr="00B8227A">
        <w:rPr>
          <w:rFonts w:eastAsia="DeVinne"/>
        </w:rPr>
        <w:t>average initial and annual recordkeeping costs associated with rule 203A-2(</w:t>
      </w:r>
      <w:r w:rsidR="00874246">
        <w:rPr>
          <w:rFonts w:eastAsia="DeVinne"/>
        </w:rPr>
        <w:t>d</w:t>
      </w:r>
      <w:r w:rsidRPr="00B8227A">
        <w:rPr>
          <w:rFonts w:eastAsia="DeVinne"/>
        </w:rPr>
        <w:t xml:space="preserve">) of </w:t>
      </w:r>
      <w:r w:rsidR="00924464" w:rsidRPr="009B602C">
        <w:rPr>
          <w:rFonts w:eastAsia="DeVinne"/>
        </w:rPr>
        <w:t xml:space="preserve">$2,648 </w:t>
      </w:r>
      <w:r w:rsidRPr="00B8227A">
        <w:rPr>
          <w:rFonts w:eastAsia="DeVinne"/>
        </w:rPr>
        <w:t>per adviser</w:t>
      </w:r>
      <w:r w:rsidR="00AD211F">
        <w:rPr>
          <w:rFonts w:eastAsia="DeVinne"/>
        </w:rPr>
        <w:t>.</w:t>
      </w:r>
      <w:r w:rsidRPr="00B8227A">
        <w:rPr>
          <w:rStyle w:val="FootnoteReference"/>
        </w:rPr>
        <w:footnoteReference w:id="23"/>
      </w:r>
      <w:r w:rsidR="00AD211F">
        <w:rPr>
          <w:rFonts w:eastAsia="DeVinne"/>
        </w:rPr>
        <w:t xml:space="preserve">  </w:t>
      </w:r>
      <w:r w:rsidR="002D52CB">
        <w:rPr>
          <w:rFonts w:eastAsia="DeVinne"/>
        </w:rPr>
        <w:t>T</w:t>
      </w:r>
      <w:r w:rsidR="00AD211F">
        <w:rPr>
          <w:rFonts w:eastAsia="DeVinne"/>
        </w:rPr>
        <w:t xml:space="preserve">he Commission staff </w:t>
      </w:r>
      <w:r w:rsidR="00AD211F">
        <w:rPr>
          <w:rFonts w:eastAsia="DeVinne"/>
        </w:rPr>
        <w:lastRenderedPageBreak/>
        <w:t xml:space="preserve">estimates that the total recordkeeping costs </w:t>
      </w:r>
      <w:r w:rsidR="00744921">
        <w:rPr>
          <w:rFonts w:eastAsia="DeVinne"/>
        </w:rPr>
        <w:t>will</w:t>
      </w:r>
      <w:r w:rsidR="008F6FE3">
        <w:rPr>
          <w:rFonts w:eastAsia="DeVinne"/>
        </w:rPr>
        <w:t xml:space="preserve"> be</w:t>
      </w:r>
      <w:r w:rsidR="00AD211F">
        <w:rPr>
          <w:rFonts w:eastAsia="DeVinne"/>
        </w:rPr>
        <w:t xml:space="preserve"> </w:t>
      </w:r>
      <w:r w:rsidR="001008A7">
        <w:rPr>
          <w:rFonts w:eastAsia="DeVinne"/>
        </w:rPr>
        <w:t>approximately</w:t>
      </w:r>
      <w:r w:rsidR="00C573E6">
        <w:rPr>
          <w:rFonts w:eastAsia="DeVinne"/>
        </w:rPr>
        <w:t xml:space="preserve"> $</w:t>
      </w:r>
      <w:r w:rsidR="00C06D25">
        <w:rPr>
          <w:rFonts w:eastAsia="DeVinne"/>
        </w:rPr>
        <w:t>410,440</w:t>
      </w:r>
      <w:r w:rsidR="00C573E6">
        <w:rPr>
          <w:rFonts w:eastAsia="DeVinne"/>
        </w:rPr>
        <w:t xml:space="preserve"> per year</w:t>
      </w:r>
      <w:r w:rsidR="00667552">
        <w:rPr>
          <w:rFonts w:eastAsia="DeVinne"/>
        </w:rPr>
        <w:t xml:space="preserve"> (an additional $304,520)</w:t>
      </w:r>
      <w:r w:rsidR="00C573E6">
        <w:rPr>
          <w:rFonts w:eastAsia="DeVinne"/>
        </w:rPr>
        <w:t>.</w:t>
      </w:r>
      <w:r w:rsidR="00C573E6" w:rsidRPr="00B8227A">
        <w:rPr>
          <w:rStyle w:val="FootnoteReference"/>
        </w:rPr>
        <w:footnoteReference w:id="24"/>
      </w:r>
      <w:r w:rsidRPr="00B8227A">
        <w:rPr>
          <w:rFonts w:eastAsia="DeVinne"/>
        </w:rPr>
        <w:t xml:space="preserve">  </w:t>
      </w:r>
    </w:p>
    <w:p w:rsidR="00DB0904" w:rsidRDefault="00DB0904" w:rsidP="00DB0904">
      <w:pPr>
        <w:numPr>
          <w:ilvl w:val="0"/>
          <w:numId w:val="2"/>
        </w:numPr>
        <w:tabs>
          <w:tab w:val="left" w:pos="-720"/>
        </w:tabs>
        <w:suppressAutoHyphens/>
        <w:spacing w:line="480" w:lineRule="auto"/>
        <w:rPr>
          <w:b/>
          <w:spacing w:val="-3"/>
        </w:rPr>
      </w:pPr>
      <w:r w:rsidRPr="00F9377F">
        <w:rPr>
          <w:b/>
          <w:spacing w:val="-3"/>
        </w:rPr>
        <w:t>Estimate of Total Annual Cost Burden</w:t>
      </w:r>
    </w:p>
    <w:p w:rsidR="00925E07" w:rsidRPr="00A95B87" w:rsidRDefault="008550F8" w:rsidP="008550F8">
      <w:pPr>
        <w:tabs>
          <w:tab w:val="left" w:pos="-720"/>
        </w:tabs>
        <w:suppressAutoHyphens/>
        <w:spacing w:line="480" w:lineRule="auto"/>
      </w:pPr>
      <w:r>
        <w:tab/>
      </w:r>
      <w:r w:rsidR="006E021F">
        <w:t xml:space="preserve">Excluding the burden hours identified in Item 12, the collection of information requirement for rule 203A-2(d) is not expected to impose additional non-labor or capital costs.  The Commission anticipates that most advisers registering under the rule </w:t>
      </w:r>
      <w:r w:rsidR="00744921">
        <w:t>will</w:t>
      </w:r>
      <w:r w:rsidR="006E021F">
        <w:t xml:space="preserve"> generate the necessary records in the ordinary conduct of their advisory businesses.</w:t>
      </w:r>
      <w:r w:rsidR="00A95B87">
        <w:t xml:space="preserve"> </w:t>
      </w:r>
    </w:p>
    <w:p w:rsidR="00DB0904" w:rsidRDefault="00DB0904" w:rsidP="00DB0904">
      <w:pPr>
        <w:numPr>
          <w:ilvl w:val="0"/>
          <w:numId w:val="2"/>
        </w:numPr>
        <w:tabs>
          <w:tab w:val="left" w:pos="-720"/>
        </w:tabs>
        <w:suppressAutoHyphens/>
        <w:spacing w:line="480" w:lineRule="auto"/>
        <w:rPr>
          <w:b/>
          <w:spacing w:val="-3"/>
        </w:rPr>
      </w:pPr>
      <w:r>
        <w:rPr>
          <w:b/>
          <w:spacing w:val="-3"/>
        </w:rPr>
        <w:t>Estimate of Cost to the Federal Government</w:t>
      </w:r>
    </w:p>
    <w:p w:rsidR="00DB0904" w:rsidRPr="006F73A6" w:rsidRDefault="006F73A6" w:rsidP="005523F3">
      <w:pPr>
        <w:tabs>
          <w:tab w:val="left" w:pos="0"/>
        </w:tabs>
        <w:spacing w:line="480" w:lineRule="auto"/>
        <w:ind w:firstLine="720"/>
      </w:pPr>
      <w:r>
        <w:t>There are no costs to the federal governmen</w:t>
      </w:r>
      <w:r w:rsidR="005523F3">
        <w:t xml:space="preserve">t directly attributable to rule </w:t>
      </w:r>
      <w:r>
        <w:t>203A-2(</w:t>
      </w:r>
      <w:r w:rsidR="004A5199">
        <w:t>d</w:t>
      </w:r>
      <w:r>
        <w:t xml:space="preserve">).  </w:t>
      </w:r>
      <w:r w:rsidR="00DB0904">
        <w:rPr>
          <w:spacing w:val="-3"/>
        </w:rPr>
        <w:t xml:space="preserve"> </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Explanation of Changes in Burden</w:t>
      </w:r>
    </w:p>
    <w:p w:rsidR="005E5D8A" w:rsidRDefault="00925E07" w:rsidP="006C1BE1">
      <w:pPr>
        <w:keepNext/>
        <w:spacing w:line="480" w:lineRule="auto"/>
      </w:pPr>
      <w:r>
        <w:rPr>
          <w:b/>
          <w:spacing w:val="-3"/>
        </w:rPr>
        <w:tab/>
      </w:r>
      <w:r w:rsidR="00497234">
        <w:rPr>
          <w:spacing w:val="-3"/>
        </w:rPr>
        <w:t xml:space="preserve">The </w:t>
      </w:r>
      <w:r w:rsidR="00497234" w:rsidRPr="00707CC1">
        <w:rPr>
          <w:bCs/>
        </w:rPr>
        <w:t xml:space="preserve">estimated </w:t>
      </w:r>
      <w:r w:rsidR="00497234">
        <w:rPr>
          <w:bCs/>
        </w:rPr>
        <w:t>annual aggregate</w:t>
      </w:r>
      <w:r w:rsidR="00497234">
        <w:rPr>
          <w:spacing w:val="-3"/>
        </w:rPr>
        <w:t xml:space="preserve"> burden of 1,240 represents an increase of 40 hours from the </w:t>
      </w:r>
      <w:r w:rsidR="0046060A">
        <w:rPr>
          <w:bCs/>
        </w:rPr>
        <w:t>Commission established, and requested comment on, in the Proposing Release,</w:t>
      </w:r>
      <w:r w:rsidR="00E0645F" w:rsidRPr="00707CC1">
        <w:rPr>
          <w:bCs/>
        </w:rPr>
        <w:t xml:space="preserve"> based on </w:t>
      </w:r>
      <w:r w:rsidR="00E0645F">
        <w:rPr>
          <w:bCs/>
        </w:rPr>
        <w:t>an increase in the</w:t>
      </w:r>
      <w:r w:rsidR="00F56D84">
        <w:rPr>
          <w:bCs/>
        </w:rPr>
        <w:t xml:space="preserve"> estimated</w:t>
      </w:r>
      <w:r w:rsidR="00E0645F" w:rsidRPr="00707CC1">
        <w:rPr>
          <w:bCs/>
        </w:rPr>
        <w:t xml:space="preserve"> number of </w:t>
      </w:r>
      <w:r w:rsidR="00E0645F">
        <w:rPr>
          <w:bCs/>
        </w:rPr>
        <w:t>investment advise</w:t>
      </w:r>
      <w:r w:rsidR="00E0645F" w:rsidRPr="00707CC1">
        <w:rPr>
          <w:bCs/>
        </w:rPr>
        <w:t>rs</w:t>
      </w:r>
      <w:r w:rsidR="00F56D84">
        <w:rPr>
          <w:bCs/>
        </w:rPr>
        <w:t xml:space="preserve"> that will rely on </w:t>
      </w:r>
      <w:r w:rsidR="006C1BE1">
        <w:rPr>
          <w:bCs/>
        </w:rPr>
        <w:t xml:space="preserve">amended </w:t>
      </w:r>
      <w:r w:rsidR="00F56D84">
        <w:rPr>
          <w:bCs/>
        </w:rPr>
        <w:t xml:space="preserve">203A-2(d).  </w:t>
      </w:r>
      <w:r w:rsidR="005E5D8A">
        <w:rPr>
          <w:rFonts w:eastAsia="DeVinne"/>
        </w:rPr>
        <w:t xml:space="preserve">  </w:t>
      </w:r>
    </w:p>
    <w:p w:rsidR="00DB0904" w:rsidRDefault="00DB0904" w:rsidP="00DB0904">
      <w:pPr>
        <w:numPr>
          <w:ilvl w:val="0"/>
          <w:numId w:val="2"/>
        </w:numPr>
        <w:tabs>
          <w:tab w:val="left" w:pos="-720"/>
        </w:tabs>
        <w:suppressAutoHyphens/>
        <w:rPr>
          <w:b/>
          <w:spacing w:val="-3"/>
        </w:rPr>
      </w:pPr>
      <w:r w:rsidRPr="00F9377F">
        <w:rPr>
          <w:b/>
          <w:spacing w:val="-3"/>
        </w:rPr>
        <w:t>Information Collections Planned for Statistical Purposes</w:t>
      </w:r>
    </w:p>
    <w:p w:rsidR="00DB0904" w:rsidRDefault="00DB0904" w:rsidP="00DB0904">
      <w:pPr>
        <w:tabs>
          <w:tab w:val="left" w:pos="-720"/>
        </w:tabs>
        <w:suppressAutoHyphens/>
        <w:rPr>
          <w:spacing w:val="-3"/>
        </w:rPr>
      </w:pPr>
      <w:r>
        <w:rPr>
          <w:spacing w:val="-3"/>
        </w:rPr>
        <w:tab/>
      </w:r>
    </w:p>
    <w:p w:rsidR="00DB0904" w:rsidRDefault="00DB0904" w:rsidP="00DB0904">
      <w:pPr>
        <w:tabs>
          <w:tab w:val="left" w:pos="-720"/>
        </w:tabs>
        <w:suppressAutoHyphens/>
        <w:rPr>
          <w:spacing w:val="-3"/>
        </w:rPr>
      </w:pPr>
      <w:r>
        <w:rPr>
          <w:spacing w:val="-3"/>
        </w:rPr>
        <w:tab/>
        <w:t>Not applicable.</w:t>
      </w:r>
    </w:p>
    <w:p w:rsidR="00DB0904" w:rsidRDefault="00DB0904" w:rsidP="00DB0904">
      <w:pPr>
        <w:tabs>
          <w:tab w:val="left" w:pos="-720"/>
        </w:tabs>
        <w:suppressAutoHyphens/>
        <w:rPr>
          <w:spacing w:val="-3"/>
        </w:rPr>
      </w:pPr>
    </w:p>
    <w:p w:rsidR="00DB0904" w:rsidRDefault="00DB0904" w:rsidP="00DB0904">
      <w:pPr>
        <w:numPr>
          <w:ilvl w:val="0"/>
          <w:numId w:val="2"/>
        </w:numPr>
        <w:tabs>
          <w:tab w:val="left" w:pos="-720"/>
        </w:tabs>
        <w:suppressAutoHyphens/>
        <w:spacing w:line="480" w:lineRule="auto"/>
        <w:rPr>
          <w:b/>
          <w:spacing w:val="-3"/>
        </w:rPr>
      </w:pPr>
      <w:r w:rsidRPr="00F9377F">
        <w:rPr>
          <w:b/>
          <w:spacing w:val="-3"/>
        </w:rPr>
        <w:t>Approval to Display Expiration Date</w:t>
      </w:r>
    </w:p>
    <w:p w:rsidR="00DB0904" w:rsidRPr="00C957B3" w:rsidRDefault="00DB0904" w:rsidP="00DB0904">
      <w:pPr>
        <w:tabs>
          <w:tab w:val="left" w:pos="-720"/>
        </w:tabs>
        <w:suppressAutoHyphens/>
        <w:spacing w:line="480" w:lineRule="auto"/>
        <w:rPr>
          <w:b/>
          <w:spacing w:val="-3"/>
        </w:rPr>
      </w:pPr>
      <w:r>
        <w:rPr>
          <w:spacing w:val="-3"/>
        </w:rPr>
        <w:tab/>
        <w:t>Not applicable.</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Exception to Certification Requirement</w:t>
      </w:r>
    </w:p>
    <w:p w:rsidR="00DB0904" w:rsidRDefault="00DB0904" w:rsidP="00DB0904">
      <w:pPr>
        <w:tabs>
          <w:tab w:val="left" w:pos="-720"/>
        </w:tabs>
        <w:suppressAutoHyphens/>
        <w:spacing w:line="480" w:lineRule="auto"/>
        <w:rPr>
          <w:spacing w:val="-3"/>
        </w:rPr>
      </w:pPr>
      <w:r>
        <w:rPr>
          <w:spacing w:val="-3"/>
        </w:rPr>
        <w:tab/>
        <w:t>Not applicable.</w:t>
      </w:r>
    </w:p>
    <w:p w:rsidR="002847F8" w:rsidRPr="00C957B3" w:rsidRDefault="002847F8" w:rsidP="00DB0904">
      <w:pPr>
        <w:tabs>
          <w:tab w:val="left" w:pos="-720"/>
        </w:tabs>
        <w:suppressAutoHyphens/>
        <w:spacing w:line="480" w:lineRule="auto"/>
        <w:rPr>
          <w:b/>
          <w:spacing w:val="-3"/>
        </w:rPr>
      </w:pPr>
    </w:p>
    <w:p w:rsidR="00DB0904" w:rsidRPr="00DB0904" w:rsidRDefault="00DB0904" w:rsidP="00DB0904">
      <w:pPr>
        <w:pStyle w:val="BodyText"/>
        <w:ind w:left="720" w:hanging="720"/>
        <w:rPr>
          <w:b/>
          <w:sz w:val="22"/>
          <w:szCs w:val="22"/>
        </w:rPr>
      </w:pPr>
      <w:r w:rsidRPr="00DB0904">
        <w:rPr>
          <w:b/>
          <w:sz w:val="22"/>
          <w:szCs w:val="22"/>
        </w:rPr>
        <w:lastRenderedPageBreak/>
        <w:t>B.</w:t>
      </w:r>
      <w:r w:rsidRPr="00DB0904">
        <w:rPr>
          <w:b/>
          <w:sz w:val="22"/>
          <w:szCs w:val="22"/>
        </w:rPr>
        <w:tab/>
        <w:t>COLLECTIONS OF INFORMATION EMPLOYING STATISTICAL METHODS</w:t>
      </w:r>
    </w:p>
    <w:p w:rsidR="00DB0904" w:rsidRPr="00811FB6" w:rsidRDefault="00DB0904" w:rsidP="00DB0904">
      <w:pPr>
        <w:tabs>
          <w:tab w:val="left" w:pos="-720"/>
        </w:tabs>
        <w:suppressAutoHyphens/>
        <w:spacing w:line="480" w:lineRule="auto"/>
      </w:pPr>
      <w:r>
        <w:rPr>
          <w:spacing w:val="-3"/>
        </w:rPr>
        <w:tab/>
        <w:t>Not applicable.</w:t>
      </w:r>
      <w:r>
        <w:t xml:space="preserve"> </w:t>
      </w:r>
    </w:p>
    <w:sectPr w:rsidR="00DB0904" w:rsidRPr="00811FB6" w:rsidSect="00274BFF">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34F" w:rsidRDefault="005D734F">
      <w:r>
        <w:separator/>
      </w:r>
    </w:p>
  </w:endnote>
  <w:endnote w:type="continuationSeparator" w:id="0">
    <w:p w:rsidR="005D734F" w:rsidRDefault="005D7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D0" w:rsidRDefault="00C35FD0">
    <w:pPr>
      <w:pStyle w:val="Footer"/>
      <w:jc w:val="center"/>
    </w:pPr>
    <w:r>
      <w:t>-</w:t>
    </w:r>
    <w:fldSimple w:instr=" PAGE   \* MERGEFORMAT ">
      <w:r w:rsidR="00B16E37">
        <w:rPr>
          <w:noProof/>
        </w:rPr>
        <w:t>9</w:t>
      </w:r>
    </w:fldSimple>
    <w:r>
      <w:t>-</w:t>
    </w:r>
  </w:p>
  <w:p w:rsidR="00C35FD0" w:rsidRDefault="00C35F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34F" w:rsidRDefault="005D734F">
      <w:r>
        <w:separator/>
      </w:r>
    </w:p>
  </w:footnote>
  <w:footnote w:type="continuationSeparator" w:id="0">
    <w:p w:rsidR="005D734F" w:rsidRDefault="005D734F">
      <w:r>
        <w:continuationSeparator/>
      </w:r>
    </w:p>
  </w:footnote>
  <w:footnote w:id="1">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15 U.S.C. 80b-3a.</w:t>
      </w:r>
    </w:p>
  </w:footnote>
  <w:footnote w:id="2">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 xml:space="preserve">Pub. L. No. 111-203, 124 Stat. 1376 (2010).  </w:t>
      </w:r>
    </w:p>
  </w:footnote>
  <w:footnote w:id="3">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Pr="005222EF">
        <w:rPr>
          <w:i/>
          <w:szCs w:val="22"/>
        </w:rPr>
        <w:t xml:space="preserve">See </w:t>
      </w:r>
      <w:r w:rsidRPr="005222EF">
        <w:rPr>
          <w:szCs w:val="22"/>
        </w:rPr>
        <w:t xml:space="preserve">section 410 of the Dodd-Frank Act.  </w:t>
      </w:r>
      <w:r w:rsidR="00960475" w:rsidRPr="005222EF">
        <w:rPr>
          <w:szCs w:val="22"/>
        </w:rPr>
        <w:t>The Commission also is adopting a rule that raises the threshold above which a mid-sized investment adviser must register with the Commission to $110 million; but, once registered with the Commission, an adviser need not withdraw its registration until it has less than $90 million of assets under management.  Amended rule 203A-1(a)(1).</w:t>
      </w:r>
      <w:r w:rsidRPr="005222EF">
        <w:rPr>
          <w:szCs w:val="22"/>
        </w:rPr>
        <w:t xml:space="preserve">  </w:t>
      </w:r>
    </w:p>
  </w:footnote>
  <w:footnote w:id="4">
    <w:p w:rsidR="00C35FD0" w:rsidRPr="005222EF" w:rsidRDefault="00C35FD0" w:rsidP="00935570">
      <w:pPr>
        <w:tabs>
          <w:tab w:val="left" w:pos="720"/>
        </w:tabs>
        <w:spacing w:after="120"/>
        <w:ind w:left="720" w:hanging="720"/>
        <w:rPr>
          <w:sz w:val="22"/>
          <w:szCs w:val="22"/>
        </w:rPr>
      </w:pPr>
      <w:r w:rsidRPr="005222EF">
        <w:rPr>
          <w:rFonts w:eastAsia="DeVinne"/>
          <w:sz w:val="22"/>
          <w:szCs w:val="22"/>
          <w:vertAlign w:val="superscript"/>
        </w:rPr>
        <w:footnoteRef/>
      </w:r>
      <w:r w:rsidRPr="005222EF">
        <w:rPr>
          <w:rFonts w:eastAsia="DeVinne"/>
          <w:sz w:val="22"/>
          <w:szCs w:val="22"/>
          <w:vertAlign w:val="superscript"/>
        </w:rPr>
        <w:t xml:space="preserve"> </w:t>
      </w:r>
      <w:r w:rsidRPr="005222EF">
        <w:rPr>
          <w:rFonts w:eastAsia="DeVinne"/>
          <w:sz w:val="22"/>
          <w:szCs w:val="22"/>
        </w:rPr>
        <w:tab/>
      </w:r>
      <w:r w:rsidRPr="005222EF">
        <w:rPr>
          <w:rFonts w:eastAsia="DeVinne"/>
          <w:i/>
          <w:sz w:val="22"/>
          <w:szCs w:val="22"/>
        </w:rPr>
        <w:t>See</w:t>
      </w:r>
      <w:r w:rsidRPr="005222EF">
        <w:rPr>
          <w:rFonts w:eastAsia="DeVinne"/>
          <w:sz w:val="22"/>
          <w:szCs w:val="22"/>
        </w:rPr>
        <w:t xml:space="preserve"> section 410 of the Dodd-Frank Act.  </w:t>
      </w:r>
      <w:r w:rsidR="005A3619" w:rsidRPr="005222EF">
        <w:rPr>
          <w:rFonts w:eastAsia="DeVinne"/>
          <w:sz w:val="22"/>
          <w:szCs w:val="22"/>
        </w:rPr>
        <w:t xml:space="preserve">A mid-sized adviser also will be required to register with the Commission if it is an adviser to a registered investment company or business development company under the Investment Company Act.  </w:t>
      </w:r>
      <w:r w:rsidR="005A3619" w:rsidRPr="005222EF">
        <w:rPr>
          <w:i/>
          <w:sz w:val="22"/>
          <w:szCs w:val="22"/>
        </w:rPr>
        <w:t>Id</w:t>
      </w:r>
      <w:r w:rsidR="005A3619" w:rsidRPr="005222EF">
        <w:rPr>
          <w:sz w:val="22"/>
          <w:szCs w:val="22"/>
        </w:rPr>
        <w:t>.</w:t>
      </w:r>
    </w:p>
  </w:footnote>
  <w:footnote w:id="5">
    <w:p w:rsidR="00C35FD0" w:rsidRPr="005222EF" w:rsidRDefault="00C35FD0" w:rsidP="00935570">
      <w:pPr>
        <w:pStyle w:val="HTMLPreformatted"/>
        <w:tabs>
          <w:tab w:val="left" w:pos="720"/>
        </w:tabs>
        <w:spacing w:after="120"/>
        <w:ind w:left="720" w:hanging="720"/>
        <w:rPr>
          <w:rFonts w:ascii="Times New Roman" w:hAnsi="Times New Roman"/>
          <w:sz w:val="22"/>
          <w:szCs w:val="22"/>
          <w:lang w:val="es-ES"/>
        </w:rPr>
      </w:pPr>
      <w:r w:rsidRPr="005222EF">
        <w:rPr>
          <w:rStyle w:val="FootnoteReference"/>
          <w:rFonts w:ascii="Times New Roman" w:hAnsi="Times New Roman"/>
          <w:sz w:val="22"/>
          <w:szCs w:val="22"/>
        </w:rPr>
        <w:footnoteRef/>
      </w:r>
      <w:r w:rsidRPr="005222EF">
        <w:rPr>
          <w:rFonts w:ascii="Times New Roman" w:hAnsi="Times New Roman"/>
          <w:sz w:val="22"/>
          <w:szCs w:val="22"/>
          <w:lang w:val="es-ES"/>
        </w:rPr>
        <w:t xml:space="preserve">    </w:t>
      </w:r>
      <w:r w:rsidRPr="005222EF">
        <w:rPr>
          <w:rFonts w:ascii="Times New Roman" w:hAnsi="Times New Roman"/>
          <w:sz w:val="22"/>
          <w:szCs w:val="22"/>
          <w:lang w:val="es-ES"/>
        </w:rPr>
        <w:tab/>
        <w:t>15 U.S.C. 80b-3a(c).</w:t>
      </w:r>
    </w:p>
  </w:footnote>
  <w:footnote w:id="6">
    <w:p w:rsidR="00C35FD0" w:rsidRPr="005222EF" w:rsidRDefault="00C35FD0" w:rsidP="00935570">
      <w:pPr>
        <w:pStyle w:val="FootnoteText"/>
        <w:spacing w:after="120"/>
        <w:ind w:left="720" w:hanging="720"/>
        <w:rPr>
          <w:szCs w:val="22"/>
        </w:rPr>
      </w:pPr>
      <w:r w:rsidRPr="005222EF">
        <w:rPr>
          <w:szCs w:val="22"/>
          <w:vertAlign w:val="superscript"/>
        </w:rPr>
        <w:footnoteRef/>
      </w:r>
      <w:r w:rsidRPr="005222EF">
        <w:rPr>
          <w:szCs w:val="22"/>
        </w:rPr>
        <w:t xml:space="preserve"> </w:t>
      </w:r>
      <w:r w:rsidRPr="005222EF">
        <w:rPr>
          <w:szCs w:val="22"/>
        </w:rPr>
        <w:tab/>
        <w:t xml:space="preserve">17 CFR 275.203A-2(e)(1).  </w:t>
      </w:r>
    </w:p>
  </w:footnote>
  <w:footnote w:id="7">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00F03FBB" w:rsidRPr="005222EF">
        <w:rPr>
          <w:szCs w:val="22"/>
        </w:rPr>
        <w:t>17 CFR 275.203A-2(e)(2)-(4)</w:t>
      </w:r>
      <w:r w:rsidR="00F03FBB" w:rsidRPr="005222EF">
        <w:rPr>
          <w:i/>
          <w:szCs w:val="22"/>
        </w:rPr>
        <w:t xml:space="preserve">. </w:t>
      </w:r>
      <w:r w:rsidRPr="005222EF">
        <w:rPr>
          <w:szCs w:val="22"/>
        </w:rPr>
        <w:t>The five-year record retention period is a similar recordkeeping retention period as imposed on all SEC-registered advisers under rule 204-2 of the Adviser Act.  See rule 204-2 (17 CFR 275.204-2).</w:t>
      </w:r>
    </w:p>
  </w:footnote>
  <w:footnote w:id="8">
    <w:p w:rsidR="00AF71C9" w:rsidRPr="005222EF" w:rsidRDefault="00AF71C9"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007A0F4D" w:rsidRPr="005222EF">
        <w:rPr>
          <w:szCs w:val="22"/>
        </w:rPr>
        <w:t>Amended</w:t>
      </w:r>
      <w:r w:rsidRPr="005222EF">
        <w:rPr>
          <w:szCs w:val="22"/>
        </w:rPr>
        <w:t xml:space="preserve"> rule 203A-2(d). </w:t>
      </w:r>
      <w:r w:rsidR="00DE247B" w:rsidRPr="005222EF">
        <w:rPr>
          <w:szCs w:val="22"/>
        </w:rPr>
        <w:t xml:space="preserve"> </w:t>
      </w:r>
      <w:r w:rsidRPr="005222EF">
        <w:rPr>
          <w:szCs w:val="22"/>
        </w:rPr>
        <w:t xml:space="preserve">The </w:t>
      </w:r>
      <w:r w:rsidR="0006114B" w:rsidRPr="005222EF">
        <w:rPr>
          <w:szCs w:val="22"/>
        </w:rPr>
        <w:t>adopting</w:t>
      </w:r>
      <w:r w:rsidRPr="005222EF">
        <w:rPr>
          <w:szCs w:val="22"/>
        </w:rPr>
        <w:t xml:space="preserve"> release is attached as Appendix A (“</w:t>
      </w:r>
      <w:r w:rsidR="0006114B" w:rsidRPr="005222EF">
        <w:rPr>
          <w:szCs w:val="22"/>
        </w:rPr>
        <w:t>Appendix A</w:t>
      </w:r>
      <w:r w:rsidRPr="005222EF">
        <w:rPr>
          <w:szCs w:val="22"/>
        </w:rPr>
        <w:t xml:space="preserve">”). We also note that </w:t>
      </w:r>
      <w:r w:rsidR="007A0F4D" w:rsidRPr="005222EF">
        <w:rPr>
          <w:szCs w:val="22"/>
        </w:rPr>
        <w:t>amended</w:t>
      </w:r>
      <w:r w:rsidRPr="005222EF">
        <w:rPr>
          <w:szCs w:val="22"/>
        </w:rPr>
        <w:t xml:space="preserve"> rule 203A-2(d) permit</w:t>
      </w:r>
      <w:r w:rsidR="00587C55" w:rsidRPr="005222EF">
        <w:rPr>
          <w:szCs w:val="22"/>
        </w:rPr>
        <w:t>s</w:t>
      </w:r>
      <w:r w:rsidRPr="005222EF">
        <w:rPr>
          <w:szCs w:val="22"/>
        </w:rPr>
        <w:t xml:space="preserve"> an adviser to choose to maintain its state registrations and not switch to SEC registration.  </w:t>
      </w:r>
      <w:r w:rsidRPr="005222EF">
        <w:rPr>
          <w:i/>
          <w:szCs w:val="22"/>
        </w:rPr>
        <w:t xml:space="preserve">See </w:t>
      </w:r>
      <w:r w:rsidR="007A0F4D" w:rsidRPr="005222EF">
        <w:rPr>
          <w:szCs w:val="22"/>
        </w:rPr>
        <w:t>amended</w:t>
      </w:r>
      <w:r w:rsidRPr="005222EF">
        <w:rPr>
          <w:szCs w:val="22"/>
        </w:rPr>
        <w:t xml:space="preserve"> rule 203A-2(d)(2) (adviser elects to rely on the exemption by making the required representations on Form ADV).</w:t>
      </w:r>
    </w:p>
  </w:footnote>
  <w:footnote w:id="9">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007A0F4D" w:rsidRPr="005222EF">
        <w:rPr>
          <w:szCs w:val="22"/>
        </w:rPr>
        <w:t>Amended</w:t>
      </w:r>
      <w:r w:rsidRPr="005222EF">
        <w:rPr>
          <w:szCs w:val="22"/>
        </w:rPr>
        <w:t xml:space="preserve"> rule 203A-2(d). </w:t>
      </w:r>
      <w:r w:rsidR="00D546B8" w:rsidRPr="005222EF">
        <w:rPr>
          <w:szCs w:val="22"/>
        </w:rPr>
        <w:t xml:space="preserve"> </w:t>
      </w:r>
    </w:p>
  </w:footnote>
  <w:footnote w:id="10">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Pr="005222EF">
        <w:rPr>
          <w:rFonts w:eastAsia="DeVinne"/>
          <w:i/>
          <w:szCs w:val="22"/>
        </w:rPr>
        <w:t>See</w:t>
      </w:r>
      <w:r w:rsidRPr="005222EF">
        <w:rPr>
          <w:rFonts w:eastAsia="DeVinne"/>
          <w:szCs w:val="22"/>
        </w:rPr>
        <w:t xml:space="preserve"> </w:t>
      </w:r>
      <w:r w:rsidR="007A0F4D" w:rsidRPr="005222EF">
        <w:rPr>
          <w:rFonts w:eastAsia="DeVinne"/>
          <w:szCs w:val="22"/>
        </w:rPr>
        <w:t>amended</w:t>
      </w:r>
      <w:r w:rsidRPr="005222EF">
        <w:rPr>
          <w:rFonts w:eastAsia="DeVinne"/>
          <w:szCs w:val="22"/>
        </w:rPr>
        <w:t xml:space="preserve"> rule 203A-2(d)(3).  An investment adviser relying on this exemption also </w:t>
      </w:r>
      <w:r w:rsidR="007A0F4D" w:rsidRPr="005222EF">
        <w:rPr>
          <w:rFonts w:eastAsia="DeVinne"/>
          <w:szCs w:val="22"/>
        </w:rPr>
        <w:t>will</w:t>
      </w:r>
      <w:r w:rsidRPr="005222EF">
        <w:rPr>
          <w:rFonts w:eastAsia="DeVinne"/>
          <w:szCs w:val="22"/>
        </w:rPr>
        <w:t xml:space="preserve"> continue to be required to: (i) include a representation on Schedule D of Form ADV that the investment adviser has reviewed applicable law and concluded that it must register as an investment adviser with 15 or more states; and (ii) undertake on Schedule D to withdraw from registration with the Commission if the adviser indicates on an annual updating amendment to Form ADV that the investment adviser </w:t>
      </w:r>
      <w:r w:rsidR="007A0F4D" w:rsidRPr="005222EF">
        <w:rPr>
          <w:rFonts w:eastAsia="DeVinne"/>
          <w:szCs w:val="22"/>
        </w:rPr>
        <w:t>will</w:t>
      </w:r>
      <w:r w:rsidRPr="005222EF">
        <w:rPr>
          <w:rFonts w:eastAsia="DeVinne"/>
          <w:szCs w:val="22"/>
        </w:rPr>
        <w:t xml:space="preserve"> be required by the laws of fewer than 15 states to register as an investment adviser with the state.  </w:t>
      </w:r>
      <w:r w:rsidRPr="005222EF">
        <w:rPr>
          <w:rFonts w:eastAsia="DeVinne"/>
          <w:i/>
          <w:szCs w:val="22"/>
        </w:rPr>
        <w:t>See</w:t>
      </w:r>
      <w:r w:rsidR="008A0322" w:rsidRPr="005222EF">
        <w:rPr>
          <w:rFonts w:eastAsia="DeVinne"/>
          <w:szCs w:val="22"/>
        </w:rPr>
        <w:t xml:space="preserve"> </w:t>
      </w:r>
      <w:r w:rsidR="007A0F4D" w:rsidRPr="005222EF">
        <w:rPr>
          <w:rFonts w:eastAsia="DeVinne"/>
          <w:szCs w:val="22"/>
        </w:rPr>
        <w:t>amended</w:t>
      </w:r>
      <w:r w:rsidR="008A0322" w:rsidRPr="005222EF">
        <w:rPr>
          <w:rFonts w:eastAsia="DeVinne"/>
          <w:szCs w:val="22"/>
        </w:rPr>
        <w:t xml:space="preserve"> rule 203A-2(d)(2).</w:t>
      </w:r>
    </w:p>
  </w:footnote>
  <w:footnote w:id="11">
    <w:p w:rsidR="00C35FD0" w:rsidRPr="005222EF" w:rsidRDefault="00C35FD0" w:rsidP="00935570">
      <w:pPr>
        <w:pStyle w:val="FootnoteText"/>
        <w:spacing w:after="120"/>
        <w:ind w:left="720" w:hanging="720"/>
        <w:rPr>
          <w:szCs w:val="22"/>
        </w:rPr>
      </w:pPr>
      <w:r w:rsidRPr="005222EF">
        <w:rPr>
          <w:szCs w:val="22"/>
          <w:vertAlign w:val="superscript"/>
        </w:rPr>
        <w:footnoteRef/>
      </w:r>
      <w:r w:rsidRPr="005222EF">
        <w:rPr>
          <w:szCs w:val="22"/>
        </w:rPr>
        <w:t xml:space="preserve"> </w:t>
      </w:r>
      <w:r w:rsidRPr="005222EF">
        <w:rPr>
          <w:szCs w:val="22"/>
        </w:rPr>
        <w:tab/>
      </w:r>
      <w:r w:rsidRPr="005222EF">
        <w:rPr>
          <w:rFonts w:eastAsia="DeVinne"/>
          <w:szCs w:val="22"/>
        </w:rPr>
        <w:t>The PRA burden for Form ADV reflects the required representations on Schedule D of Form ADV.</w:t>
      </w:r>
      <w:r w:rsidR="00F95D20" w:rsidRPr="005222EF">
        <w:rPr>
          <w:rFonts w:eastAsia="DeVinne"/>
          <w:szCs w:val="22"/>
        </w:rPr>
        <w:t xml:space="preserve">  </w:t>
      </w:r>
      <w:r w:rsidR="00F95D20" w:rsidRPr="005222EF">
        <w:rPr>
          <w:rFonts w:eastAsia="DeVinne"/>
          <w:i/>
          <w:szCs w:val="22"/>
        </w:rPr>
        <w:t xml:space="preserve">See </w:t>
      </w:r>
      <w:r w:rsidR="00374A3E" w:rsidRPr="005222EF">
        <w:rPr>
          <w:rFonts w:eastAsia="DeVinne"/>
          <w:szCs w:val="22"/>
        </w:rPr>
        <w:t>Appendix A</w:t>
      </w:r>
      <w:r w:rsidR="000B68C0" w:rsidRPr="005222EF">
        <w:rPr>
          <w:rFonts w:eastAsia="DeVinne"/>
          <w:szCs w:val="22"/>
        </w:rPr>
        <w:t>, section VI.B</w:t>
      </w:r>
      <w:r w:rsidR="00374A3E" w:rsidRPr="005222EF">
        <w:rPr>
          <w:rFonts w:eastAsia="DeVinne"/>
          <w:szCs w:val="22"/>
        </w:rPr>
        <w:t>.</w:t>
      </w:r>
    </w:p>
  </w:footnote>
  <w:footnote w:id="12">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15 U.S.C. 80b-10(b).</w:t>
      </w:r>
    </w:p>
  </w:footnote>
  <w:footnote w:id="13">
    <w:p w:rsidR="00C35FD0" w:rsidRPr="005222EF" w:rsidRDefault="00C35FD0" w:rsidP="00935570">
      <w:pPr>
        <w:pStyle w:val="FootnoteText"/>
        <w:spacing w:after="120"/>
        <w:ind w:left="720" w:hanging="720"/>
        <w:rPr>
          <w:szCs w:val="22"/>
        </w:rPr>
      </w:pPr>
      <w:r w:rsidRPr="005222EF">
        <w:rPr>
          <w:szCs w:val="22"/>
          <w:vertAlign w:val="superscript"/>
        </w:rPr>
        <w:footnoteRef/>
      </w:r>
      <w:r w:rsidRPr="005222EF">
        <w:rPr>
          <w:szCs w:val="22"/>
        </w:rPr>
        <w:t xml:space="preserve"> </w:t>
      </w:r>
      <w:r w:rsidRPr="005222EF">
        <w:rPr>
          <w:szCs w:val="22"/>
        </w:rPr>
        <w:tab/>
      </w:r>
      <w:r w:rsidR="007A0F4D" w:rsidRPr="005222EF">
        <w:rPr>
          <w:szCs w:val="22"/>
        </w:rPr>
        <w:t>Amended</w:t>
      </w:r>
      <w:r w:rsidR="009B57C4" w:rsidRPr="005222EF">
        <w:rPr>
          <w:szCs w:val="22"/>
        </w:rPr>
        <w:t xml:space="preserve"> rule 203A-2(d)(3).</w:t>
      </w:r>
    </w:p>
  </w:footnote>
  <w:footnote w:id="14">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17 CFR 275.204-2(g).  Rule 204-2 requires that the record be arranged and indexed in a way that permits easy location, access, and retrieval of any particular record, 17 CFR 275.204-2(g)(2)</w:t>
      </w:r>
      <w:r w:rsidR="005865AC" w:rsidRPr="005222EF">
        <w:rPr>
          <w:szCs w:val="22"/>
        </w:rPr>
        <w:t>(i)-</w:t>
      </w:r>
      <w:r w:rsidRPr="005222EF">
        <w:rPr>
          <w:szCs w:val="22"/>
        </w:rPr>
        <w:t>(ii), and that the micrographic or electronic duplicate of the record be separately stored for five years, 17 CFR 275.204-2(g)(2)(iii).  An investment adviser must establish and maintain procedures to keep the required records so as to reasonably safeguard the records from loss, alteration, or destruction; to limit access to the records to properly authorized personnel and the Commission</w:t>
      </w:r>
      <w:r w:rsidR="005865AC" w:rsidRPr="005222EF">
        <w:rPr>
          <w:szCs w:val="22"/>
        </w:rPr>
        <w:t>; and to reasonably ensure any reproduction of a non-electronic original is complete, true, and legible when retrieved</w:t>
      </w:r>
      <w:r w:rsidRPr="005222EF">
        <w:rPr>
          <w:szCs w:val="22"/>
        </w:rPr>
        <w:t>.  See 17 CFR 275.204-2(g)(3).</w:t>
      </w:r>
    </w:p>
  </w:footnote>
  <w:footnote w:id="15">
    <w:p w:rsidR="00C35FD0" w:rsidRPr="005222EF" w:rsidRDefault="00C35FD0" w:rsidP="00935570">
      <w:pPr>
        <w:pStyle w:val="FootnoteText"/>
        <w:spacing w:after="120"/>
        <w:ind w:left="720" w:hanging="720"/>
        <w:rPr>
          <w:szCs w:val="22"/>
        </w:rPr>
      </w:pPr>
      <w:r w:rsidRPr="005222EF">
        <w:rPr>
          <w:szCs w:val="22"/>
          <w:vertAlign w:val="superscript"/>
        </w:rPr>
        <w:footnoteRef/>
      </w:r>
      <w:r w:rsidRPr="005222EF">
        <w:rPr>
          <w:szCs w:val="22"/>
        </w:rPr>
        <w:t xml:space="preserve"> </w:t>
      </w:r>
      <w:r w:rsidRPr="005222EF">
        <w:rPr>
          <w:szCs w:val="22"/>
        </w:rPr>
        <w:tab/>
      </w:r>
      <w:r w:rsidR="007A0F4D" w:rsidRPr="005222EF">
        <w:rPr>
          <w:szCs w:val="22"/>
        </w:rPr>
        <w:t>Amended</w:t>
      </w:r>
      <w:r w:rsidR="000D1ACA" w:rsidRPr="005222EF">
        <w:rPr>
          <w:szCs w:val="22"/>
        </w:rPr>
        <w:t xml:space="preserve"> rule 203A-2(d)(3).</w:t>
      </w:r>
    </w:p>
  </w:footnote>
  <w:footnote w:id="16">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See Section 210(b) of the Advisers Act.</w:t>
      </w:r>
    </w:p>
  </w:footnote>
  <w:footnote w:id="17">
    <w:p w:rsidR="00C935D7" w:rsidRPr="005222EF" w:rsidRDefault="00C935D7" w:rsidP="00C935D7">
      <w:pPr>
        <w:tabs>
          <w:tab w:val="left" w:pos="720"/>
        </w:tabs>
        <w:spacing w:before="120" w:after="120"/>
        <w:ind w:left="720" w:hanging="720"/>
        <w:rPr>
          <w:sz w:val="22"/>
          <w:szCs w:val="22"/>
        </w:rPr>
      </w:pPr>
      <w:r w:rsidRPr="005222EF">
        <w:rPr>
          <w:rStyle w:val="FootnoteReference"/>
          <w:sz w:val="22"/>
          <w:szCs w:val="22"/>
        </w:rPr>
        <w:footnoteRef/>
      </w:r>
      <w:r w:rsidRPr="005222EF">
        <w:rPr>
          <w:sz w:val="22"/>
          <w:szCs w:val="22"/>
        </w:rPr>
        <w:t xml:space="preserve"> </w:t>
      </w:r>
      <w:r w:rsidRPr="005222EF">
        <w:rPr>
          <w:sz w:val="22"/>
          <w:szCs w:val="22"/>
        </w:rPr>
        <w:tab/>
        <w:t xml:space="preserve">Based on IARD data as of April 7, 2011, of the approximately 11,500 SEC-registered advisers, 40 checked Item 2.A.(9) of Part 1A of Form ADV to indicate their basis for SEC registration under the multi-state advisers rule.   </w:t>
      </w:r>
    </w:p>
  </w:footnote>
  <w:footnote w:id="18">
    <w:p w:rsidR="00C935D7" w:rsidRPr="005222EF" w:rsidRDefault="00C935D7" w:rsidP="00C935D7">
      <w:pPr>
        <w:pStyle w:val="FootnoteText"/>
        <w:spacing w:before="120"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 xml:space="preserve">Based on IARD data as of April 7, 2011, 100 of the advisers that have less than $90 million of assets under management currently file notice filings with 15 or more states.  This number may overestimate the number of advisers required to be registered with 15 or more states, and therefore eligible for the amended multi-state exemption, because notice filing requirements may differ from registration requirements.  In addition, we are unable to determine the number of advisers currently registered with the states that are registered with 15 or more states that may rely on the exemption and register with us.  We expect this number to be small based on the scope of business of an adviser that has less than $25 million in assets under management and because section 222(d) of the Advisers Act provides a de minimis exemption for limited state operations without registration.  For purposes of this analysis, we estimate the number is 15.  As a result, we estimate that approximately 155 advisers will rely on the exemption (40 currently relying on it + estimated 100 eligible based on IARD data + 15 advisers required to be registered in 15 or more states that are not registered with us today).  </w:t>
      </w:r>
    </w:p>
  </w:footnote>
  <w:footnote w:id="19">
    <w:p w:rsidR="00C935D7" w:rsidRPr="005222EF" w:rsidRDefault="00C935D7" w:rsidP="00C935D7">
      <w:pPr>
        <w:pStyle w:val="FootnoteText"/>
        <w:spacing w:before="120"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 xml:space="preserve">0.5 hours x 15 states = 7.5 hours + 0.5 hours = 8 hours. </w:t>
      </w:r>
    </w:p>
  </w:footnote>
  <w:footnote w:id="20">
    <w:p w:rsidR="00C935D7" w:rsidRPr="005222EF" w:rsidRDefault="00C935D7" w:rsidP="00C935D7">
      <w:pPr>
        <w:pStyle w:val="FootnoteText"/>
        <w:spacing w:before="120"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155 advisers relying on the exemption x 8 hours = 1,240 hours.  1,240 new burden hours – 320 current burden hours = 920 additional burden hours.</w:t>
      </w:r>
    </w:p>
  </w:footnote>
  <w:footnote w:id="21">
    <w:p w:rsidR="00E2206E" w:rsidRPr="005222EF" w:rsidRDefault="00E2206E" w:rsidP="00AD2FE5">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009B66CC" w:rsidRPr="005222EF">
        <w:rPr>
          <w:szCs w:val="22"/>
        </w:rPr>
        <w:t xml:space="preserve">Commenters generally agreed with </w:t>
      </w:r>
      <w:r w:rsidR="005D161B" w:rsidRPr="005222EF">
        <w:rPr>
          <w:szCs w:val="22"/>
        </w:rPr>
        <w:t>the Commission’s</w:t>
      </w:r>
      <w:r w:rsidR="009B66CC" w:rsidRPr="005222EF">
        <w:rPr>
          <w:szCs w:val="22"/>
        </w:rPr>
        <w:t xml:space="preserve"> proposal to align </w:t>
      </w:r>
      <w:r w:rsidR="000B3415" w:rsidRPr="005222EF">
        <w:rPr>
          <w:szCs w:val="22"/>
        </w:rPr>
        <w:t>the</w:t>
      </w:r>
      <w:r w:rsidR="009B66CC" w:rsidRPr="005222EF">
        <w:rPr>
          <w:szCs w:val="22"/>
        </w:rPr>
        <w:t xml:space="preserve"> multi-state exemption for small advisers with the statutory exemption for mid-sized advisers.  </w:t>
      </w:r>
      <w:r w:rsidR="00A11ABE" w:rsidRPr="005222EF">
        <w:rPr>
          <w:szCs w:val="22"/>
        </w:rPr>
        <w:t>A few, however, recommended a lower threshold of required state registrations for eligibility for the multi-state exemption,</w:t>
      </w:r>
      <w:r w:rsidR="008050B3" w:rsidRPr="005222EF">
        <w:rPr>
          <w:szCs w:val="22"/>
        </w:rPr>
        <w:t xml:space="preserve"> but </w:t>
      </w:r>
      <w:r w:rsidR="0087503B" w:rsidRPr="005222EF">
        <w:rPr>
          <w:szCs w:val="22"/>
        </w:rPr>
        <w:t>the Commission</w:t>
      </w:r>
      <w:r w:rsidR="008050B3" w:rsidRPr="005222EF">
        <w:rPr>
          <w:szCs w:val="22"/>
        </w:rPr>
        <w:t xml:space="preserve"> ha</w:t>
      </w:r>
      <w:r w:rsidR="0087503B" w:rsidRPr="005222EF">
        <w:rPr>
          <w:szCs w:val="22"/>
        </w:rPr>
        <w:t>s</w:t>
      </w:r>
      <w:r w:rsidR="008050B3" w:rsidRPr="005222EF">
        <w:rPr>
          <w:szCs w:val="22"/>
        </w:rPr>
        <w:t xml:space="preserve"> determined not to lower the threshold further in light of the Congressional determination to set the threshold at 15 states and </w:t>
      </w:r>
      <w:r w:rsidR="001566D6" w:rsidRPr="005222EF">
        <w:rPr>
          <w:szCs w:val="22"/>
        </w:rPr>
        <w:t>the Commission’s</w:t>
      </w:r>
      <w:r w:rsidR="008050B3" w:rsidRPr="005222EF">
        <w:rPr>
          <w:szCs w:val="22"/>
        </w:rPr>
        <w:t xml:space="preserve"> stated purpose to align the rule with the Dodd-Frank Act.  </w:t>
      </w:r>
      <w:r w:rsidRPr="005222EF">
        <w:rPr>
          <w:i/>
          <w:color w:val="000000"/>
          <w:szCs w:val="22"/>
        </w:rPr>
        <w:t xml:space="preserve">See </w:t>
      </w:r>
      <w:r w:rsidRPr="005222EF">
        <w:rPr>
          <w:color w:val="000000"/>
          <w:szCs w:val="22"/>
        </w:rPr>
        <w:t xml:space="preserve">Appendix A, </w:t>
      </w:r>
      <w:r w:rsidR="007F32A2" w:rsidRPr="005222EF">
        <w:rPr>
          <w:color w:val="000000"/>
          <w:szCs w:val="22"/>
        </w:rPr>
        <w:t xml:space="preserve">notes </w:t>
      </w:r>
      <w:r w:rsidR="00ED021D">
        <w:rPr>
          <w:color w:val="000000"/>
          <w:szCs w:val="22"/>
        </w:rPr>
        <w:t>6</w:t>
      </w:r>
      <w:r w:rsidR="007128A1">
        <w:rPr>
          <w:color w:val="000000"/>
          <w:szCs w:val="22"/>
        </w:rPr>
        <w:t>59</w:t>
      </w:r>
      <w:r w:rsidR="00ED021D">
        <w:rPr>
          <w:color w:val="000000"/>
          <w:szCs w:val="22"/>
        </w:rPr>
        <w:t>-66</w:t>
      </w:r>
      <w:r w:rsidR="00B16E37">
        <w:rPr>
          <w:color w:val="000000"/>
          <w:szCs w:val="22"/>
        </w:rPr>
        <w:t>0</w:t>
      </w:r>
      <w:r w:rsidRPr="005222EF">
        <w:rPr>
          <w:color w:val="000000"/>
          <w:szCs w:val="22"/>
        </w:rPr>
        <w:t xml:space="preserve"> and accompanying text for additional examples of public comments relating to rule 20</w:t>
      </w:r>
      <w:r w:rsidR="007F32A2" w:rsidRPr="005222EF">
        <w:rPr>
          <w:color w:val="000000"/>
          <w:szCs w:val="22"/>
        </w:rPr>
        <w:t>3A-2</w:t>
      </w:r>
      <w:r w:rsidRPr="005222EF">
        <w:rPr>
          <w:color w:val="000000"/>
          <w:szCs w:val="22"/>
        </w:rPr>
        <w:t>.</w:t>
      </w:r>
      <w:r w:rsidR="00ED021D">
        <w:rPr>
          <w:color w:val="000000"/>
          <w:szCs w:val="22"/>
        </w:rPr>
        <w:t xml:space="preserve"> </w:t>
      </w:r>
    </w:p>
  </w:footnote>
  <w:footnote w:id="22">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t xml:space="preserve">Data from the Securities Industry Financial Markets Association’s </w:t>
      </w:r>
      <w:r w:rsidRPr="005222EF">
        <w:rPr>
          <w:i/>
          <w:iCs/>
          <w:szCs w:val="22"/>
        </w:rPr>
        <w:t xml:space="preserve">Management &amp; Professional Earnings in the Securities Industry </w:t>
      </w:r>
      <w:proofErr w:type="gramStart"/>
      <w:r w:rsidRPr="005222EF">
        <w:rPr>
          <w:i/>
          <w:iCs/>
          <w:szCs w:val="22"/>
        </w:rPr>
        <w:t>20</w:t>
      </w:r>
      <w:r w:rsidR="001B2965" w:rsidRPr="005222EF">
        <w:rPr>
          <w:i/>
          <w:iCs/>
          <w:szCs w:val="22"/>
        </w:rPr>
        <w:t>10</w:t>
      </w:r>
      <w:r w:rsidRPr="005222EF">
        <w:rPr>
          <w:szCs w:val="22"/>
        </w:rPr>
        <w:t>,</w:t>
      </w:r>
      <w:proofErr w:type="gramEnd"/>
      <w:r w:rsidRPr="005222EF">
        <w:rPr>
          <w:szCs w:val="22"/>
        </w:rPr>
        <w:t xml:space="preserve"> modified to account for an 1,800-hour work-year and multiplied by 5.35 to account for bonuses, firm size, employee benefits and overhead, suggest that the hourly rate for this position is $3</w:t>
      </w:r>
      <w:r w:rsidR="001B2965" w:rsidRPr="005222EF">
        <w:rPr>
          <w:szCs w:val="22"/>
        </w:rPr>
        <w:t>3</w:t>
      </w:r>
      <w:r w:rsidRPr="005222EF">
        <w:rPr>
          <w:szCs w:val="22"/>
        </w:rPr>
        <w:t xml:space="preserve">1.  </w:t>
      </w:r>
    </w:p>
  </w:footnote>
  <w:footnote w:id="23">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00323328" w:rsidRPr="005222EF">
        <w:rPr>
          <w:szCs w:val="22"/>
        </w:rPr>
        <w:t xml:space="preserve">8 hours x $331 = $2,648.  </w:t>
      </w:r>
    </w:p>
  </w:footnote>
  <w:footnote w:id="24">
    <w:p w:rsidR="00C35FD0" w:rsidRPr="005222EF" w:rsidRDefault="00C35FD0" w:rsidP="00935570">
      <w:pPr>
        <w:pStyle w:val="FootnoteText"/>
        <w:spacing w:after="120"/>
        <w:ind w:left="720" w:hanging="720"/>
        <w:rPr>
          <w:szCs w:val="22"/>
        </w:rPr>
      </w:pPr>
      <w:r w:rsidRPr="005222EF">
        <w:rPr>
          <w:rStyle w:val="FootnoteReference"/>
          <w:sz w:val="22"/>
          <w:szCs w:val="22"/>
        </w:rPr>
        <w:footnoteRef/>
      </w:r>
      <w:r w:rsidRPr="005222EF">
        <w:rPr>
          <w:szCs w:val="22"/>
        </w:rPr>
        <w:t xml:space="preserve"> </w:t>
      </w:r>
      <w:r w:rsidRPr="005222EF">
        <w:rPr>
          <w:szCs w:val="22"/>
        </w:rPr>
        <w:tab/>
      </w:r>
      <w:r w:rsidR="00812679" w:rsidRPr="005222EF">
        <w:rPr>
          <w:szCs w:val="22"/>
        </w:rPr>
        <w:t>[</w:t>
      </w:r>
      <w:r w:rsidR="00E05CFA" w:rsidRPr="005222EF">
        <w:rPr>
          <w:szCs w:val="22"/>
        </w:rPr>
        <w:t>11</w:t>
      </w:r>
      <w:r w:rsidR="00E646EC" w:rsidRPr="005222EF">
        <w:rPr>
          <w:szCs w:val="22"/>
        </w:rPr>
        <w:t>5</w:t>
      </w:r>
      <w:r w:rsidR="00E05CFA" w:rsidRPr="005222EF">
        <w:rPr>
          <w:szCs w:val="22"/>
        </w:rPr>
        <w:t xml:space="preserve"> advisers </w:t>
      </w:r>
      <w:r w:rsidR="00396E70" w:rsidRPr="005222EF">
        <w:rPr>
          <w:szCs w:val="22"/>
        </w:rPr>
        <w:t xml:space="preserve">newly </w:t>
      </w:r>
      <w:r w:rsidR="00E05CFA" w:rsidRPr="005222EF">
        <w:rPr>
          <w:szCs w:val="22"/>
        </w:rPr>
        <w:t xml:space="preserve">relying on the exemption x </w:t>
      </w:r>
      <w:r w:rsidR="00E646EC" w:rsidRPr="005222EF">
        <w:rPr>
          <w:szCs w:val="22"/>
        </w:rPr>
        <w:t>$2,648</w:t>
      </w:r>
      <w:r w:rsidR="00812679" w:rsidRPr="005222EF">
        <w:rPr>
          <w:szCs w:val="22"/>
        </w:rPr>
        <w:t>]</w:t>
      </w:r>
      <w:r w:rsidR="00E05CFA" w:rsidRPr="005222EF">
        <w:rPr>
          <w:szCs w:val="22"/>
        </w:rPr>
        <w:t xml:space="preserve"> + [40 advisers currently relying on the exemption x </w:t>
      </w:r>
      <w:r w:rsidR="00E646EC" w:rsidRPr="005222EF">
        <w:rPr>
          <w:szCs w:val="22"/>
        </w:rPr>
        <w:t>$2,648</w:t>
      </w:r>
      <w:r w:rsidR="00E05CFA" w:rsidRPr="005222EF">
        <w:rPr>
          <w:szCs w:val="22"/>
        </w:rPr>
        <w:t xml:space="preserve">] = </w:t>
      </w:r>
      <w:r w:rsidRPr="005222EF">
        <w:rPr>
          <w:szCs w:val="22"/>
        </w:rPr>
        <w:t>$</w:t>
      </w:r>
      <w:r w:rsidR="00D35E25" w:rsidRPr="005222EF">
        <w:rPr>
          <w:szCs w:val="22"/>
        </w:rPr>
        <w:t>304,520</w:t>
      </w:r>
      <w:r w:rsidR="00E05CFA" w:rsidRPr="005222EF">
        <w:rPr>
          <w:szCs w:val="22"/>
        </w:rPr>
        <w:t xml:space="preserve"> +</w:t>
      </w:r>
      <w:r w:rsidR="00693795" w:rsidRPr="005222EF">
        <w:rPr>
          <w:szCs w:val="22"/>
        </w:rPr>
        <w:t xml:space="preserve"> </w:t>
      </w:r>
      <w:r w:rsidR="000276FE" w:rsidRPr="005222EF">
        <w:rPr>
          <w:szCs w:val="22"/>
        </w:rPr>
        <w:t>$</w:t>
      </w:r>
      <w:r w:rsidR="00693795" w:rsidRPr="005222EF">
        <w:rPr>
          <w:szCs w:val="22"/>
        </w:rPr>
        <w:t xml:space="preserve">105,920 </w:t>
      </w:r>
      <w:r w:rsidR="00E05CFA" w:rsidRPr="005222EF">
        <w:rPr>
          <w:szCs w:val="22"/>
        </w:rPr>
        <w:t>=</w:t>
      </w:r>
      <w:r w:rsidRPr="005222EF">
        <w:rPr>
          <w:szCs w:val="22"/>
        </w:rPr>
        <w:t xml:space="preserve"> $</w:t>
      </w:r>
      <w:r w:rsidR="00C06D25" w:rsidRPr="005222EF">
        <w:rPr>
          <w:szCs w:val="22"/>
        </w:rPr>
        <w:t>410,440</w:t>
      </w:r>
      <w:r w:rsidRPr="005222EF">
        <w:rPr>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7E8"/>
    <w:multiLevelType w:val="hybridMultilevel"/>
    <w:tmpl w:val="2F9E2FAE"/>
    <w:lvl w:ilvl="0" w:tplc="0D360BD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290F1C"/>
    <w:multiLevelType w:val="hybridMultilevel"/>
    <w:tmpl w:val="DDA6A270"/>
    <w:lvl w:ilvl="0" w:tplc="767CFA00">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903CE1"/>
    <w:multiLevelType w:val="hybridMultilevel"/>
    <w:tmpl w:val="8DDCA2B2"/>
    <w:lvl w:ilvl="0" w:tplc="8DDE1C2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0904"/>
    <w:rsid w:val="00011965"/>
    <w:rsid w:val="00015AEA"/>
    <w:rsid w:val="0001740F"/>
    <w:rsid w:val="00023E8A"/>
    <w:rsid w:val="000248E0"/>
    <w:rsid w:val="00025423"/>
    <w:rsid w:val="000276FE"/>
    <w:rsid w:val="00034267"/>
    <w:rsid w:val="00057F23"/>
    <w:rsid w:val="00060AF7"/>
    <w:rsid w:val="0006114B"/>
    <w:rsid w:val="00072D5A"/>
    <w:rsid w:val="00074E6C"/>
    <w:rsid w:val="00075D6A"/>
    <w:rsid w:val="00083ADF"/>
    <w:rsid w:val="0008733C"/>
    <w:rsid w:val="00095DFE"/>
    <w:rsid w:val="000A6AAE"/>
    <w:rsid w:val="000B3415"/>
    <w:rsid w:val="000B68C0"/>
    <w:rsid w:val="000C2C68"/>
    <w:rsid w:val="000D1ACA"/>
    <w:rsid w:val="000D7B60"/>
    <w:rsid w:val="000E033B"/>
    <w:rsid w:val="000E0731"/>
    <w:rsid w:val="000E0B5F"/>
    <w:rsid w:val="000E4B5E"/>
    <w:rsid w:val="000E4EE9"/>
    <w:rsid w:val="000F3748"/>
    <w:rsid w:val="000F6040"/>
    <w:rsid w:val="000F6677"/>
    <w:rsid w:val="001008A7"/>
    <w:rsid w:val="00117D83"/>
    <w:rsid w:val="00126503"/>
    <w:rsid w:val="00130D51"/>
    <w:rsid w:val="00134ACE"/>
    <w:rsid w:val="00137D74"/>
    <w:rsid w:val="001427D0"/>
    <w:rsid w:val="001566D6"/>
    <w:rsid w:val="00161605"/>
    <w:rsid w:val="00164A2B"/>
    <w:rsid w:val="00173442"/>
    <w:rsid w:val="001814C3"/>
    <w:rsid w:val="00183F85"/>
    <w:rsid w:val="00190893"/>
    <w:rsid w:val="001A04EB"/>
    <w:rsid w:val="001B2965"/>
    <w:rsid w:val="001B33CF"/>
    <w:rsid w:val="001B3D40"/>
    <w:rsid w:val="001B6BDF"/>
    <w:rsid w:val="001B6E6C"/>
    <w:rsid w:val="001C3343"/>
    <w:rsid w:val="001C7377"/>
    <w:rsid w:val="001D0547"/>
    <w:rsid w:val="001D31F8"/>
    <w:rsid w:val="001E135F"/>
    <w:rsid w:val="001F1D0C"/>
    <w:rsid w:val="001F2426"/>
    <w:rsid w:val="001F3EA8"/>
    <w:rsid w:val="00204E42"/>
    <w:rsid w:val="00212F68"/>
    <w:rsid w:val="00217A17"/>
    <w:rsid w:val="00224609"/>
    <w:rsid w:val="00225D48"/>
    <w:rsid w:val="002260B5"/>
    <w:rsid w:val="002407ED"/>
    <w:rsid w:val="0024405A"/>
    <w:rsid w:val="0024796D"/>
    <w:rsid w:val="0025494C"/>
    <w:rsid w:val="002710AB"/>
    <w:rsid w:val="00274BFF"/>
    <w:rsid w:val="0028225D"/>
    <w:rsid w:val="002847F8"/>
    <w:rsid w:val="002905F3"/>
    <w:rsid w:val="00294E0C"/>
    <w:rsid w:val="00296597"/>
    <w:rsid w:val="002A1B88"/>
    <w:rsid w:val="002A60B3"/>
    <w:rsid w:val="002A7D14"/>
    <w:rsid w:val="002B250E"/>
    <w:rsid w:val="002B282C"/>
    <w:rsid w:val="002B37D9"/>
    <w:rsid w:val="002B7385"/>
    <w:rsid w:val="002C3AF8"/>
    <w:rsid w:val="002C4B5D"/>
    <w:rsid w:val="002C4E3F"/>
    <w:rsid w:val="002D3E4D"/>
    <w:rsid w:val="002D45C5"/>
    <w:rsid w:val="002D52CB"/>
    <w:rsid w:val="002D6AAA"/>
    <w:rsid w:val="002D74DC"/>
    <w:rsid w:val="002E2F79"/>
    <w:rsid w:val="002E7039"/>
    <w:rsid w:val="00300531"/>
    <w:rsid w:val="003074D2"/>
    <w:rsid w:val="00311607"/>
    <w:rsid w:val="0031187D"/>
    <w:rsid w:val="0031757D"/>
    <w:rsid w:val="003178BD"/>
    <w:rsid w:val="003209C8"/>
    <w:rsid w:val="00320ADF"/>
    <w:rsid w:val="00323328"/>
    <w:rsid w:val="00336C33"/>
    <w:rsid w:val="003406D1"/>
    <w:rsid w:val="003433AE"/>
    <w:rsid w:val="00347B61"/>
    <w:rsid w:val="00356866"/>
    <w:rsid w:val="00356896"/>
    <w:rsid w:val="00360189"/>
    <w:rsid w:val="00361AFC"/>
    <w:rsid w:val="00372CB5"/>
    <w:rsid w:val="00374A3E"/>
    <w:rsid w:val="003769D7"/>
    <w:rsid w:val="003800A7"/>
    <w:rsid w:val="00383D2C"/>
    <w:rsid w:val="00384053"/>
    <w:rsid w:val="00393B4C"/>
    <w:rsid w:val="00395D90"/>
    <w:rsid w:val="00396E70"/>
    <w:rsid w:val="0039782D"/>
    <w:rsid w:val="003C1D42"/>
    <w:rsid w:val="003D116E"/>
    <w:rsid w:val="003D79BB"/>
    <w:rsid w:val="003E44B5"/>
    <w:rsid w:val="003F32D0"/>
    <w:rsid w:val="003F3FE5"/>
    <w:rsid w:val="00402FED"/>
    <w:rsid w:val="0040379E"/>
    <w:rsid w:val="004038F4"/>
    <w:rsid w:val="00407EC0"/>
    <w:rsid w:val="004124DD"/>
    <w:rsid w:val="00413DF1"/>
    <w:rsid w:val="0041544B"/>
    <w:rsid w:val="004229F9"/>
    <w:rsid w:val="00423BF6"/>
    <w:rsid w:val="00430967"/>
    <w:rsid w:val="00430EB7"/>
    <w:rsid w:val="00433883"/>
    <w:rsid w:val="00433A6B"/>
    <w:rsid w:val="004341CE"/>
    <w:rsid w:val="004350FC"/>
    <w:rsid w:val="00445041"/>
    <w:rsid w:val="0045085C"/>
    <w:rsid w:val="00450D66"/>
    <w:rsid w:val="00452EC8"/>
    <w:rsid w:val="0045644F"/>
    <w:rsid w:val="0046060A"/>
    <w:rsid w:val="004716E0"/>
    <w:rsid w:val="00471D50"/>
    <w:rsid w:val="004737EA"/>
    <w:rsid w:val="00474FA1"/>
    <w:rsid w:val="0048226D"/>
    <w:rsid w:val="0049675D"/>
    <w:rsid w:val="00497234"/>
    <w:rsid w:val="004A2FA4"/>
    <w:rsid w:val="004A3D72"/>
    <w:rsid w:val="004A5199"/>
    <w:rsid w:val="004B4E3E"/>
    <w:rsid w:val="004C475A"/>
    <w:rsid w:val="004C70AF"/>
    <w:rsid w:val="004D5A8B"/>
    <w:rsid w:val="004D7097"/>
    <w:rsid w:val="004E12BD"/>
    <w:rsid w:val="004E2338"/>
    <w:rsid w:val="005045DD"/>
    <w:rsid w:val="00507CD3"/>
    <w:rsid w:val="00511492"/>
    <w:rsid w:val="00512ABE"/>
    <w:rsid w:val="005148D6"/>
    <w:rsid w:val="005150B8"/>
    <w:rsid w:val="00515747"/>
    <w:rsid w:val="00517362"/>
    <w:rsid w:val="005222EF"/>
    <w:rsid w:val="00523587"/>
    <w:rsid w:val="005312A3"/>
    <w:rsid w:val="00532B03"/>
    <w:rsid w:val="005341A3"/>
    <w:rsid w:val="005400AC"/>
    <w:rsid w:val="0054340A"/>
    <w:rsid w:val="0054485E"/>
    <w:rsid w:val="00544B67"/>
    <w:rsid w:val="005523F3"/>
    <w:rsid w:val="005539FC"/>
    <w:rsid w:val="00561C9E"/>
    <w:rsid w:val="00567FEA"/>
    <w:rsid w:val="00572D7E"/>
    <w:rsid w:val="005865AC"/>
    <w:rsid w:val="00587C55"/>
    <w:rsid w:val="0059015B"/>
    <w:rsid w:val="005A3619"/>
    <w:rsid w:val="005B3C64"/>
    <w:rsid w:val="005B4E03"/>
    <w:rsid w:val="005C148F"/>
    <w:rsid w:val="005C1A1D"/>
    <w:rsid w:val="005C3A68"/>
    <w:rsid w:val="005D161B"/>
    <w:rsid w:val="005D5281"/>
    <w:rsid w:val="005D734F"/>
    <w:rsid w:val="005D7E74"/>
    <w:rsid w:val="005E5D8A"/>
    <w:rsid w:val="005F0F9F"/>
    <w:rsid w:val="005F454B"/>
    <w:rsid w:val="005F69B5"/>
    <w:rsid w:val="006037B4"/>
    <w:rsid w:val="00603B7A"/>
    <w:rsid w:val="00607248"/>
    <w:rsid w:val="006106E6"/>
    <w:rsid w:val="00613734"/>
    <w:rsid w:val="00615893"/>
    <w:rsid w:val="00620062"/>
    <w:rsid w:val="00621E0E"/>
    <w:rsid w:val="006343A2"/>
    <w:rsid w:val="00640231"/>
    <w:rsid w:val="00640BC0"/>
    <w:rsid w:val="006455BE"/>
    <w:rsid w:val="00655836"/>
    <w:rsid w:val="00656D44"/>
    <w:rsid w:val="00657EF6"/>
    <w:rsid w:val="00661A8B"/>
    <w:rsid w:val="00662681"/>
    <w:rsid w:val="0066292F"/>
    <w:rsid w:val="00665126"/>
    <w:rsid w:val="00667552"/>
    <w:rsid w:val="00674ECB"/>
    <w:rsid w:val="00675F58"/>
    <w:rsid w:val="00682CC0"/>
    <w:rsid w:val="006838E7"/>
    <w:rsid w:val="006865C4"/>
    <w:rsid w:val="00686DAF"/>
    <w:rsid w:val="00692B9E"/>
    <w:rsid w:val="00693795"/>
    <w:rsid w:val="00694EC2"/>
    <w:rsid w:val="006A559B"/>
    <w:rsid w:val="006A57E6"/>
    <w:rsid w:val="006A5B71"/>
    <w:rsid w:val="006B3589"/>
    <w:rsid w:val="006C1274"/>
    <w:rsid w:val="006C1BE1"/>
    <w:rsid w:val="006C6C2D"/>
    <w:rsid w:val="006D04AB"/>
    <w:rsid w:val="006D4C12"/>
    <w:rsid w:val="006E021F"/>
    <w:rsid w:val="006E54FD"/>
    <w:rsid w:val="006F24B9"/>
    <w:rsid w:val="006F636D"/>
    <w:rsid w:val="006F73A6"/>
    <w:rsid w:val="00706CE0"/>
    <w:rsid w:val="007128A1"/>
    <w:rsid w:val="007208D8"/>
    <w:rsid w:val="00721377"/>
    <w:rsid w:val="007232AF"/>
    <w:rsid w:val="007372E4"/>
    <w:rsid w:val="00744921"/>
    <w:rsid w:val="007459EF"/>
    <w:rsid w:val="00747D30"/>
    <w:rsid w:val="00750A29"/>
    <w:rsid w:val="00757432"/>
    <w:rsid w:val="0076156B"/>
    <w:rsid w:val="00774CA8"/>
    <w:rsid w:val="00794FBA"/>
    <w:rsid w:val="00795295"/>
    <w:rsid w:val="007A0F4D"/>
    <w:rsid w:val="007A220A"/>
    <w:rsid w:val="007A5854"/>
    <w:rsid w:val="007A739B"/>
    <w:rsid w:val="007B118A"/>
    <w:rsid w:val="007B1255"/>
    <w:rsid w:val="007B53C8"/>
    <w:rsid w:val="007C5399"/>
    <w:rsid w:val="007C5452"/>
    <w:rsid w:val="007D65F2"/>
    <w:rsid w:val="007D7417"/>
    <w:rsid w:val="007F32A2"/>
    <w:rsid w:val="007F3D45"/>
    <w:rsid w:val="007F7535"/>
    <w:rsid w:val="00801654"/>
    <w:rsid w:val="00801A06"/>
    <w:rsid w:val="00803C60"/>
    <w:rsid w:val="008050B3"/>
    <w:rsid w:val="008056A2"/>
    <w:rsid w:val="008056F2"/>
    <w:rsid w:val="00811FB6"/>
    <w:rsid w:val="00812679"/>
    <w:rsid w:val="008170CA"/>
    <w:rsid w:val="008258F1"/>
    <w:rsid w:val="008276E8"/>
    <w:rsid w:val="00830897"/>
    <w:rsid w:val="0083118E"/>
    <w:rsid w:val="00832A0F"/>
    <w:rsid w:val="008403FA"/>
    <w:rsid w:val="008550F8"/>
    <w:rsid w:val="00857361"/>
    <w:rsid w:val="00860C1E"/>
    <w:rsid w:val="0087090E"/>
    <w:rsid w:val="008731F4"/>
    <w:rsid w:val="00874246"/>
    <w:rsid w:val="0087503B"/>
    <w:rsid w:val="00880439"/>
    <w:rsid w:val="00880484"/>
    <w:rsid w:val="00883AA4"/>
    <w:rsid w:val="008A0322"/>
    <w:rsid w:val="008A3007"/>
    <w:rsid w:val="008A618A"/>
    <w:rsid w:val="008B2886"/>
    <w:rsid w:val="008B5DAC"/>
    <w:rsid w:val="008B728D"/>
    <w:rsid w:val="008C15AA"/>
    <w:rsid w:val="008C6219"/>
    <w:rsid w:val="008D314F"/>
    <w:rsid w:val="008D540E"/>
    <w:rsid w:val="008D63BD"/>
    <w:rsid w:val="008E0DE1"/>
    <w:rsid w:val="008E43FC"/>
    <w:rsid w:val="008F448C"/>
    <w:rsid w:val="008F68F9"/>
    <w:rsid w:val="008F6FE3"/>
    <w:rsid w:val="00903E5F"/>
    <w:rsid w:val="00911641"/>
    <w:rsid w:val="00916F7D"/>
    <w:rsid w:val="009219D2"/>
    <w:rsid w:val="00923DFC"/>
    <w:rsid w:val="00924464"/>
    <w:rsid w:val="009253C4"/>
    <w:rsid w:val="00925E07"/>
    <w:rsid w:val="009273B5"/>
    <w:rsid w:val="00935570"/>
    <w:rsid w:val="00940019"/>
    <w:rsid w:val="009405C5"/>
    <w:rsid w:val="00940A17"/>
    <w:rsid w:val="0094200C"/>
    <w:rsid w:val="00942C7C"/>
    <w:rsid w:val="009433C4"/>
    <w:rsid w:val="00945081"/>
    <w:rsid w:val="0094589B"/>
    <w:rsid w:val="00950A68"/>
    <w:rsid w:val="00951E9A"/>
    <w:rsid w:val="00954DD1"/>
    <w:rsid w:val="00954E41"/>
    <w:rsid w:val="00960475"/>
    <w:rsid w:val="00983A93"/>
    <w:rsid w:val="00984899"/>
    <w:rsid w:val="009850EC"/>
    <w:rsid w:val="009855D7"/>
    <w:rsid w:val="00990DDB"/>
    <w:rsid w:val="009A216A"/>
    <w:rsid w:val="009B23CD"/>
    <w:rsid w:val="009B2D6C"/>
    <w:rsid w:val="009B57C4"/>
    <w:rsid w:val="009B66CC"/>
    <w:rsid w:val="009B703F"/>
    <w:rsid w:val="009C37A5"/>
    <w:rsid w:val="009D0ECD"/>
    <w:rsid w:val="009D1646"/>
    <w:rsid w:val="009D1F07"/>
    <w:rsid w:val="009D55F7"/>
    <w:rsid w:val="009D74A0"/>
    <w:rsid w:val="009E170D"/>
    <w:rsid w:val="009F3788"/>
    <w:rsid w:val="00A07041"/>
    <w:rsid w:val="00A11ABE"/>
    <w:rsid w:val="00A318EE"/>
    <w:rsid w:val="00A32382"/>
    <w:rsid w:val="00A336F2"/>
    <w:rsid w:val="00A6036B"/>
    <w:rsid w:val="00A6174C"/>
    <w:rsid w:val="00A639E9"/>
    <w:rsid w:val="00A70458"/>
    <w:rsid w:val="00A80232"/>
    <w:rsid w:val="00A80B9B"/>
    <w:rsid w:val="00A8466D"/>
    <w:rsid w:val="00A86C86"/>
    <w:rsid w:val="00A94029"/>
    <w:rsid w:val="00A95B87"/>
    <w:rsid w:val="00AA401C"/>
    <w:rsid w:val="00AA5656"/>
    <w:rsid w:val="00AB3E40"/>
    <w:rsid w:val="00AB4E48"/>
    <w:rsid w:val="00AB57B6"/>
    <w:rsid w:val="00AB6657"/>
    <w:rsid w:val="00AC03DA"/>
    <w:rsid w:val="00AC6477"/>
    <w:rsid w:val="00AD06B0"/>
    <w:rsid w:val="00AD211F"/>
    <w:rsid w:val="00AD2FE5"/>
    <w:rsid w:val="00AD454E"/>
    <w:rsid w:val="00AE0D1A"/>
    <w:rsid w:val="00AF71C9"/>
    <w:rsid w:val="00B16E37"/>
    <w:rsid w:val="00B426A9"/>
    <w:rsid w:val="00B50CA9"/>
    <w:rsid w:val="00B549C7"/>
    <w:rsid w:val="00B64826"/>
    <w:rsid w:val="00B6508D"/>
    <w:rsid w:val="00B65D8B"/>
    <w:rsid w:val="00B707FA"/>
    <w:rsid w:val="00B901A3"/>
    <w:rsid w:val="00BA1500"/>
    <w:rsid w:val="00BA1CE6"/>
    <w:rsid w:val="00BA22C2"/>
    <w:rsid w:val="00BA3B68"/>
    <w:rsid w:val="00BA4A09"/>
    <w:rsid w:val="00BB52C4"/>
    <w:rsid w:val="00BC0567"/>
    <w:rsid w:val="00BC5D01"/>
    <w:rsid w:val="00BD681F"/>
    <w:rsid w:val="00BE1170"/>
    <w:rsid w:val="00BE5E36"/>
    <w:rsid w:val="00BE7E18"/>
    <w:rsid w:val="00BF49E3"/>
    <w:rsid w:val="00C04BC5"/>
    <w:rsid w:val="00C06D25"/>
    <w:rsid w:val="00C11120"/>
    <w:rsid w:val="00C131A8"/>
    <w:rsid w:val="00C253CB"/>
    <w:rsid w:val="00C27F84"/>
    <w:rsid w:val="00C323B3"/>
    <w:rsid w:val="00C35FD0"/>
    <w:rsid w:val="00C408FD"/>
    <w:rsid w:val="00C52BF6"/>
    <w:rsid w:val="00C573E6"/>
    <w:rsid w:val="00C60E28"/>
    <w:rsid w:val="00C8248B"/>
    <w:rsid w:val="00C87D9C"/>
    <w:rsid w:val="00C935D7"/>
    <w:rsid w:val="00C93664"/>
    <w:rsid w:val="00C958AC"/>
    <w:rsid w:val="00CA191C"/>
    <w:rsid w:val="00CA1B0D"/>
    <w:rsid w:val="00CA34FE"/>
    <w:rsid w:val="00CD0509"/>
    <w:rsid w:val="00CD1B13"/>
    <w:rsid w:val="00CE650A"/>
    <w:rsid w:val="00CF3306"/>
    <w:rsid w:val="00D21F52"/>
    <w:rsid w:val="00D232DC"/>
    <w:rsid w:val="00D238AB"/>
    <w:rsid w:val="00D23C37"/>
    <w:rsid w:val="00D26903"/>
    <w:rsid w:val="00D35E25"/>
    <w:rsid w:val="00D417E8"/>
    <w:rsid w:val="00D42836"/>
    <w:rsid w:val="00D54437"/>
    <w:rsid w:val="00D546B8"/>
    <w:rsid w:val="00D55456"/>
    <w:rsid w:val="00D563EC"/>
    <w:rsid w:val="00D57334"/>
    <w:rsid w:val="00D62D0E"/>
    <w:rsid w:val="00D66BA0"/>
    <w:rsid w:val="00D9117F"/>
    <w:rsid w:val="00D944B0"/>
    <w:rsid w:val="00D965CC"/>
    <w:rsid w:val="00DA47FA"/>
    <w:rsid w:val="00DA79F5"/>
    <w:rsid w:val="00DB0904"/>
    <w:rsid w:val="00DD4663"/>
    <w:rsid w:val="00DD54CB"/>
    <w:rsid w:val="00DE247B"/>
    <w:rsid w:val="00DF57B5"/>
    <w:rsid w:val="00DF7F73"/>
    <w:rsid w:val="00E03CF4"/>
    <w:rsid w:val="00E046AC"/>
    <w:rsid w:val="00E05CFA"/>
    <w:rsid w:val="00E0645F"/>
    <w:rsid w:val="00E2206E"/>
    <w:rsid w:val="00E43558"/>
    <w:rsid w:val="00E447AA"/>
    <w:rsid w:val="00E646EC"/>
    <w:rsid w:val="00E7265E"/>
    <w:rsid w:val="00E7579E"/>
    <w:rsid w:val="00E81D5F"/>
    <w:rsid w:val="00E822D9"/>
    <w:rsid w:val="00E82CC8"/>
    <w:rsid w:val="00E86343"/>
    <w:rsid w:val="00E86B89"/>
    <w:rsid w:val="00E873C7"/>
    <w:rsid w:val="00E97F49"/>
    <w:rsid w:val="00E97FA7"/>
    <w:rsid w:val="00EA1559"/>
    <w:rsid w:val="00EA1F48"/>
    <w:rsid w:val="00EA2960"/>
    <w:rsid w:val="00EA2DA7"/>
    <w:rsid w:val="00EA2FFC"/>
    <w:rsid w:val="00EB068B"/>
    <w:rsid w:val="00EB6A79"/>
    <w:rsid w:val="00EC1C30"/>
    <w:rsid w:val="00EC4F7E"/>
    <w:rsid w:val="00ED021D"/>
    <w:rsid w:val="00EE0090"/>
    <w:rsid w:val="00EE1317"/>
    <w:rsid w:val="00EE56B5"/>
    <w:rsid w:val="00EE7640"/>
    <w:rsid w:val="00EE7EB5"/>
    <w:rsid w:val="00EF5D00"/>
    <w:rsid w:val="00EF5D2B"/>
    <w:rsid w:val="00EF62BE"/>
    <w:rsid w:val="00EF6404"/>
    <w:rsid w:val="00F03A02"/>
    <w:rsid w:val="00F03FBB"/>
    <w:rsid w:val="00F10619"/>
    <w:rsid w:val="00F13B8F"/>
    <w:rsid w:val="00F14117"/>
    <w:rsid w:val="00F14522"/>
    <w:rsid w:val="00F16700"/>
    <w:rsid w:val="00F22A42"/>
    <w:rsid w:val="00F25015"/>
    <w:rsid w:val="00F27EBB"/>
    <w:rsid w:val="00F33E2F"/>
    <w:rsid w:val="00F360FC"/>
    <w:rsid w:val="00F37F40"/>
    <w:rsid w:val="00F524A0"/>
    <w:rsid w:val="00F56D84"/>
    <w:rsid w:val="00F65893"/>
    <w:rsid w:val="00F65A87"/>
    <w:rsid w:val="00F736A1"/>
    <w:rsid w:val="00F76B8A"/>
    <w:rsid w:val="00F836BD"/>
    <w:rsid w:val="00F87B10"/>
    <w:rsid w:val="00F91D75"/>
    <w:rsid w:val="00F95D20"/>
    <w:rsid w:val="00FA60C1"/>
    <w:rsid w:val="00FB19A3"/>
    <w:rsid w:val="00FB3A52"/>
    <w:rsid w:val="00FC159A"/>
    <w:rsid w:val="00FD3242"/>
    <w:rsid w:val="00FD3735"/>
    <w:rsid w:val="00FD4C66"/>
    <w:rsid w:val="00FE3124"/>
    <w:rsid w:val="00FE39C9"/>
    <w:rsid w:val="00FE5C85"/>
    <w:rsid w:val="00FF21CC"/>
    <w:rsid w:val="00FF25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904"/>
    <w:rPr>
      <w:sz w:val="24"/>
      <w:szCs w:val="24"/>
    </w:rPr>
  </w:style>
  <w:style w:type="paragraph" w:styleId="Heading1">
    <w:name w:val="heading 1"/>
    <w:basedOn w:val="Normal"/>
    <w:next w:val="Normal"/>
    <w:qFormat/>
    <w:rsid w:val="00DB0904"/>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B0904"/>
    <w:pPr>
      <w:spacing w:line="480" w:lineRule="auto"/>
      <w:jc w:val="center"/>
    </w:pPr>
    <w:rPr>
      <w:b/>
      <w:bCs/>
    </w:rPr>
  </w:style>
  <w:style w:type="paragraph" w:styleId="BodyTextIndent">
    <w:name w:val="Body Text Indent"/>
    <w:basedOn w:val="Normal"/>
    <w:rsid w:val="00DB0904"/>
    <w:pPr>
      <w:tabs>
        <w:tab w:val="left" w:pos="-720"/>
      </w:tabs>
      <w:suppressAutoHyphens/>
      <w:spacing w:line="480" w:lineRule="auto"/>
      <w:ind w:firstLine="720"/>
    </w:pPr>
  </w:style>
  <w:style w:type="paragraph" w:styleId="BodyText">
    <w:name w:val="Body Text"/>
    <w:basedOn w:val="Normal"/>
    <w:rsid w:val="00DB0904"/>
    <w:pPr>
      <w:spacing w:after="120"/>
    </w:pPr>
  </w:style>
  <w:style w:type="paragraph" w:styleId="BodyText2">
    <w:name w:val="Body Text 2"/>
    <w:basedOn w:val="Normal"/>
    <w:rsid w:val="00DB0904"/>
    <w:pPr>
      <w:spacing w:after="120" w:line="480" w:lineRule="auto"/>
    </w:pPr>
  </w:style>
  <w:style w:type="paragraph" w:styleId="FootnoteText">
    <w:name w:val="footnote text"/>
    <w:aliases w:val="ft,fn"/>
    <w:basedOn w:val="Normal"/>
    <w:link w:val="FootnoteTextChar"/>
    <w:rsid w:val="00DB0904"/>
    <w:pPr>
      <w:tabs>
        <w:tab w:val="left" w:pos="720"/>
      </w:tabs>
      <w:overflowPunct w:val="0"/>
      <w:autoSpaceDE w:val="0"/>
      <w:autoSpaceDN w:val="0"/>
      <w:adjustRightInd w:val="0"/>
      <w:textAlignment w:val="baseline"/>
    </w:pPr>
    <w:rPr>
      <w:sz w:val="22"/>
      <w:szCs w:val="20"/>
    </w:rPr>
  </w:style>
  <w:style w:type="character" w:styleId="FootnoteReference">
    <w:name w:val="footnote reference"/>
    <w:aliases w:val="fr"/>
    <w:basedOn w:val="DefaultParagraphFont"/>
    <w:rsid w:val="00DB0904"/>
    <w:rPr>
      <w:sz w:val="24"/>
      <w:vertAlign w:val="superscript"/>
    </w:rPr>
  </w:style>
  <w:style w:type="paragraph" w:styleId="ListParagraph">
    <w:name w:val="List Paragraph"/>
    <w:basedOn w:val="Normal"/>
    <w:uiPriority w:val="34"/>
    <w:qFormat/>
    <w:rsid w:val="00532B03"/>
    <w:pPr>
      <w:ind w:left="720"/>
    </w:pPr>
    <w:rPr>
      <w:rFonts w:eastAsia="Calibri"/>
      <w:sz w:val="22"/>
      <w:szCs w:val="22"/>
    </w:rPr>
  </w:style>
  <w:style w:type="character" w:customStyle="1" w:styleId="FootnoteTextChar">
    <w:name w:val="Footnote Text Char"/>
    <w:aliases w:val="ft Char,fn Char"/>
    <w:basedOn w:val="DefaultParagraphFont"/>
    <w:link w:val="FootnoteText"/>
    <w:locked/>
    <w:rsid w:val="00532B03"/>
    <w:rPr>
      <w:sz w:val="22"/>
    </w:rPr>
  </w:style>
  <w:style w:type="character" w:styleId="CommentReference">
    <w:name w:val="annotation reference"/>
    <w:basedOn w:val="DefaultParagraphFont"/>
    <w:rsid w:val="00FF21CC"/>
    <w:rPr>
      <w:sz w:val="16"/>
      <w:szCs w:val="16"/>
    </w:rPr>
  </w:style>
  <w:style w:type="paragraph" w:styleId="CommentText">
    <w:name w:val="annotation text"/>
    <w:basedOn w:val="Normal"/>
    <w:link w:val="CommentTextChar"/>
    <w:rsid w:val="00FF21CC"/>
    <w:rPr>
      <w:sz w:val="20"/>
      <w:szCs w:val="20"/>
    </w:rPr>
  </w:style>
  <w:style w:type="character" w:customStyle="1" w:styleId="CommentTextChar">
    <w:name w:val="Comment Text Char"/>
    <w:basedOn w:val="DefaultParagraphFont"/>
    <w:link w:val="CommentText"/>
    <w:rsid w:val="00FF21CC"/>
  </w:style>
  <w:style w:type="paragraph" w:styleId="CommentSubject">
    <w:name w:val="annotation subject"/>
    <w:basedOn w:val="CommentText"/>
    <w:next w:val="CommentText"/>
    <w:link w:val="CommentSubjectChar"/>
    <w:rsid w:val="00FF21CC"/>
    <w:rPr>
      <w:b/>
      <w:bCs/>
    </w:rPr>
  </w:style>
  <w:style w:type="character" w:customStyle="1" w:styleId="CommentSubjectChar">
    <w:name w:val="Comment Subject Char"/>
    <w:basedOn w:val="CommentTextChar"/>
    <w:link w:val="CommentSubject"/>
    <w:rsid w:val="00FF21CC"/>
    <w:rPr>
      <w:b/>
      <w:bCs/>
    </w:rPr>
  </w:style>
  <w:style w:type="paragraph" w:styleId="BalloonText">
    <w:name w:val="Balloon Text"/>
    <w:basedOn w:val="Normal"/>
    <w:link w:val="BalloonTextChar"/>
    <w:rsid w:val="00FF21CC"/>
    <w:rPr>
      <w:rFonts w:ascii="Tahoma" w:hAnsi="Tahoma" w:cs="Tahoma"/>
      <w:sz w:val="16"/>
      <w:szCs w:val="16"/>
    </w:rPr>
  </w:style>
  <w:style w:type="character" w:customStyle="1" w:styleId="BalloonTextChar">
    <w:name w:val="Balloon Text Char"/>
    <w:basedOn w:val="DefaultParagraphFont"/>
    <w:link w:val="BalloonText"/>
    <w:rsid w:val="00FF21CC"/>
    <w:rPr>
      <w:rFonts w:ascii="Tahoma" w:hAnsi="Tahoma" w:cs="Tahoma"/>
      <w:sz w:val="16"/>
      <w:szCs w:val="16"/>
    </w:rPr>
  </w:style>
  <w:style w:type="paragraph" w:styleId="Header">
    <w:name w:val="header"/>
    <w:basedOn w:val="Normal"/>
    <w:link w:val="HeaderChar"/>
    <w:uiPriority w:val="99"/>
    <w:rsid w:val="00D238AB"/>
    <w:pPr>
      <w:tabs>
        <w:tab w:val="center" w:pos="4680"/>
        <w:tab w:val="right" w:pos="9360"/>
      </w:tabs>
    </w:pPr>
  </w:style>
  <w:style w:type="character" w:customStyle="1" w:styleId="HeaderChar">
    <w:name w:val="Header Char"/>
    <w:basedOn w:val="DefaultParagraphFont"/>
    <w:link w:val="Header"/>
    <w:uiPriority w:val="99"/>
    <w:rsid w:val="00D238AB"/>
    <w:rPr>
      <w:sz w:val="24"/>
      <w:szCs w:val="24"/>
    </w:rPr>
  </w:style>
  <w:style w:type="paragraph" w:styleId="Footer">
    <w:name w:val="footer"/>
    <w:basedOn w:val="Normal"/>
    <w:link w:val="FooterChar"/>
    <w:uiPriority w:val="99"/>
    <w:rsid w:val="00D238AB"/>
    <w:pPr>
      <w:tabs>
        <w:tab w:val="center" w:pos="4680"/>
        <w:tab w:val="right" w:pos="9360"/>
      </w:tabs>
    </w:pPr>
  </w:style>
  <w:style w:type="character" w:customStyle="1" w:styleId="FooterChar">
    <w:name w:val="Footer Char"/>
    <w:basedOn w:val="DefaultParagraphFont"/>
    <w:link w:val="Footer"/>
    <w:uiPriority w:val="99"/>
    <w:rsid w:val="00D238AB"/>
    <w:rPr>
      <w:sz w:val="24"/>
      <w:szCs w:val="24"/>
    </w:rPr>
  </w:style>
  <w:style w:type="character" w:customStyle="1" w:styleId="FootnoteTextChar2">
    <w:name w:val="Footnote Text Char2"/>
    <w:aliases w:val="ft Char1,fn Char1"/>
    <w:basedOn w:val="DefaultParagraphFont"/>
    <w:uiPriority w:val="99"/>
    <w:locked/>
    <w:rsid w:val="00E86B89"/>
    <w:rPr>
      <w:rFonts w:ascii="Times New Roman" w:eastAsia="Calibri" w:hAnsi="Times New Roman" w:cs="Times New Roman"/>
      <w:sz w:val="20"/>
      <w:szCs w:val="20"/>
    </w:rPr>
  </w:style>
  <w:style w:type="paragraph" w:styleId="HTMLPreformatted">
    <w:name w:val="HTML Preformatted"/>
    <w:basedOn w:val="Normal"/>
    <w:link w:val="HTMLPreformattedChar"/>
    <w:rsid w:val="00A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D454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5055-E46E-462E-95FC-76F2D3FE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1959</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abernethyd</dc:creator>
  <cp:keywords/>
  <dc:description/>
  <cp:lastModifiedBy>Jennifer Porter</cp:lastModifiedBy>
  <cp:revision>4</cp:revision>
  <cp:lastPrinted>2010-12-09T15:19:00Z</cp:lastPrinted>
  <dcterms:created xsi:type="dcterms:W3CDTF">2011-06-24T17:49:00Z</dcterms:created>
  <dcterms:modified xsi:type="dcterms:W3CDTF">2011-06-24T17:51:00Z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gFAAXJDLFUo5N7u8skwXaYk99iUH5/R7nSPZktqof1mQZNmYZw4pxmjwU/4zVH3UgTnOkSOhGb+2JeSs
9y6wNGmFCo+l8p/Ms7HVLSTmhEuVC63FZkr+LCmHALboO+YapkxiXyYE86DMhdis9y6wNGmFCo+l
8p/Ms7HVLSTmhEuVC63FZkr+LCmHAKwzqrXI9EpM2leggqLI2wvjmsWMefgLuCFwY6bLP48Yn+Gp
dWTU+9jZqVWv96ei9</vt:lpwstr>
  </property>
  <property fmtid="{D5CDD505-2E9C-101B-9397-08002B2CF9AE}" pid="3" name="RESPONSE_SENDER_NAME">
    <vt:lpwstr>sAAAb0xRtPDW5UtPIWGNEIJlsSRZ/T9PV9FeP4lvu0sDYkY=</vt:lpwstr>
  </property>
  <property fmtid="{D5CDD505-2E9C-101B-9397-08002B2CF9AE}" pid="4" name="EMAIL_OWNER_ADDRESS">
    <vt:lpwstr>sAAAE9kkUq3pEoJoBn5D9FpuHQIVVdRv45IKs15hk10/NoM=</vt:lpwstr>
  </property>
  <property fmtid="{D5CDD505-2E9C-101B-9397-08002B2CF9AE}" pid="5" name="MAIL_MSG_ID2">
    <vt:lpwstr>2IXG8cGDv5MEe4XGauBLmO6v/XgQ+Kjh5jQsXk8qC9pf7FNBF0hI1OPWjsq
eK1wyhuCVu1BrnhlMynIzCe8jP/9CNeR5aihEQ==</vt:lpwstr>
  </property>
</Properties>
</file>