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SUPPORTING STATEMENT FOR</w:t>
      </w:r>
    </w:p>
    <w:p w:rsidR="00056788" w:rsidRPr="00056788" w:rsidRDefault="00056788" w:rsidP="00056788">
      <w:pPr>
        <w:pStyle w:val="NoSpacing"/>
        <w:rPr>
          <w:rFonts w:asciiTheme="minorHAnsi" w:hAnsiTheme="minorHAnsi"/>
          <w:b w:val="0"/>
          <w:szCs w:val="24"/>
        </w:rPr>
      </w:pPr>
    </w:p>
    <w:p w:rsidR="00056788" w:rsidRPr="00056788" w:rsidRDefault="00056788" w:rsidP="00056788">
      <w:pPr>
        <w:jc w:val="center"/>
        <w:rPr>
          <w:rFonts w:asciiTheme="minorHAnsi" w:hAnsiTheme="minorHAnsi"/>
          <w:b/>
          <w:szCs w:val="24"/>
        </w:rPr>
      </w:pPr>
      <w:r w:rsidRPr="00056788">
        <w:rPr>
          <w:rFonts w:asciiTheme="minorHAnsi" w:hAnsiTheme="minorHAnsi"/>
          <w:b/>
          <w:szCs w:val="24"/>
        </w:rPr>
        <w:t xml:space="preserve">Nutrition Assistance in </w:t>
      </w:r>
      <w:r w:rsidR="000009EB">
        <w:rPr>
          <w:rFonts w:asciiTheme="minorHAnsi" w:hAnsiTheme="minorHAnsi"/>
          <w:b/>
          <w:szCs w:val="24"/>
        </w:rPr>
        <w:t>Farmers market</w:t>
      </w:r>
      <w:r w:rsidRPr="00056788">
        <w:rPr>
          <w:rFonts w:asciiTheme="minorHAnsi" w:hAnsiTheme="minorHAnsi"/>
          <w:b/>
          <w:szCs w:val="24"/>
        </w:rPr>
        <w:t>s: Understanding Current Operations</w:t>
      </w:r>
    </w:p>
    <w:p w:rsidR="00056788" w:rsidRPr="00056788" w:rsidRDefault="00056788" w:rsidP="00056788">
      <w:pPr>
        <w:pStyle w:val="NoSpacing"/>
        <w:rPr>
          <w:rFonts w:asciiTheme="minorHAnsi" w:hAnsiTheme="minorHAnsi"/>
          <w:b w:val="0"/>
          <w:szCs w:val="24"/>
        </w:rPr>
      </w:pPr>
    </w:p>
    <w:p w:rsidR="00056788" w:rsidRPr="00056788" w:rsidRDefault="00056788" w:rsidP="00056788">
      <w:pPr>
        <w:pStyle w:val="NoSpacing"/>
        <w:rPr>
          <w:rFonts w:asciiTheme="minorHAnsi" w:hAnsiTheme="minorHAnsi"/>
          <w:b w:val="0"/>
          <w:szCs w:val="24"/>
        </w:rPr>
      </w:pP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Kelly Kinnison</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Office of Research and Analysis</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Food and Nutrition Service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US Department of Agriculture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3101 Park Center Drive</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Alexandria, VA 22302</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Phone: 703-305-2124</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Fax: 703-305-2576</w:t>
      </w:r>
    </w:p>
    <w:p w:rsidR="00056788" w:rsidRPr="00056788" w:rsidRDefault="00056788" w:rsidP="00056788">
      <w:pPr>
        <w:pStyle w:val="NoSpacing"/>
        <w:rPr>
          <w:rFonts w:asciiTheme="minorHAnsi" w:hAnsiTheme="minorHAnsi"/>
          <w:b w:val="0"/>
          <w:szCs w:val="24"/>
        </w:rPr>
      </w:pPr>
      <w:r w:rsidRPr="00056788">
        <w:rPr>
          <w:rFonts w:asciiTheme="minorHAnsi" w:hAnsiTheme="minorHAnsi"/>
          <w:szCs w:val="24"/>
        </w:rPr>
        <w:t>E-mail: Kelly.Kinnison@fns.usda.gov</w:t>
      </w:r>
    </w:p>
    <w:p w:rsidR="00056788" w:rsidRDefault="00056788" w:rsidP="00056788">
      <w:pPr>
        <w:pStyle w:val="NoSpacing"/>
        <w:rPr>
          <w:rFonts w:asciiTheme="minorHAnsi" w:hAnsiTheme="minorHAnsi"/>
          <w:b w:val="0"/>
          <w:szCs w:val="24"/>
        </w:rPr>
      </w:pPr>
    </w:p>
    <w:p w:rsidR="00056788" w:rsidRDefault="00056788" w:rsidP="00056788">
      <w:pPr>
        <w:pStyle w:val="NoSpacing"/>
        <w:rPr>
          <w:rFonts w:asciiTheme="minorHAnsi" w:hAnsiTheme="minorHAnsi"/>
          <w:b w:val="0"/>
          <w:szCs w:val="24"/>
        </w:rPr>
      </w:pPr>
    </w:p>
    <w:p w:rsidR="00056788" w:rsidRPr="00056788" w:rsidRDefault="00EF7030" w:rsidP="00056788">
      <w:pPr>
        <w:pStyle w:val="NoSpacing"/>
        <w:rPr>
          <w:rFonts w:asciiTheme="minorHAnsi" w:hAnsiTheme="minorHAnsi"/>
          <w:b w:val="0"/>
          <w:szCs w:val="24"/>
        </w:rPr>
        <w:sectPr w:rsidR="00056788" w:rsidRPr="00056788" w:rsidSect="00D066E6">
          <w:footerReference w:type="default" r:id="rId8"/>
          <w:pgSz w:w="12240" w:h="15840" w:code="1"/>
          <w:pgMar w:top="1440" w:right="1440" w:bottom="1440" w:left="1440" w:header="720" w:footer="576" w:gutter="0"/>
          <w:pgNumType w:fmt="lowerRoman"/>
          <w:cols w:space="720"/>
          <w:vAlign w:val="center"/>
          <w:titlePg/>
          <w:docGrid w:linePitch="360"/>
        </w:sectPr>
      </w:pPr>
      <w:r>
        <w:rPr>
          <w:rFonts w:asciiTheme="minorHAnsi" w:hAnsiTheme="minorHAnsi"/>
          <w:szCs w:val="24"/>
        </w:rPr>
        <w:t>July 6</w:t>
      </w:r>
      <w:r w:rsidR="00056788" w:rsidRPr="00237B80">
        <w:rPr>
          <w:rFonts w:asciiTheme="minorHAnsi" w:hAnsiTheme="minorHAnsi"/>
          <w:szCs w:val="24"/>
        </w:rPr>
        <w:t>, 2011</w:t>
      </w:r>
    </w:p>
    <w:p w:rsidR="006D3765" w:rsidRDefault="006D3765" w:rsidP="00C0701F">
      <w:pPr>
        <w:pStyle w:val="TC-TableofContentsHeading"/>
      </w:pPr>
      <w:r w:rsidRPr="00525A50">
        <w:lastRenderedPageBreak/>
        <w:t>Table of Contents</w:t>
      </w:r>
    </w:p>
    <w:p w:rsidR="006D3765" w:rsidRDefault="00394827" w:rsidP="00C0701F">
      <w:pPr>
        <w:pStyle w:val="T0-ChapPgHd"/>
      </w:pPr>
      <w:r>
        <w:t>Chapter</w:t>
      </w:r>
      <w:r w:rsidR="006D3765" w:rsidRPr="003F14D6">
        <w:tab/>
      </w:r>
      <w:r w:rsidR="006D3765" w:rsidRPr="00656EDB">
        <w:t>Page</w:t>
      </w:r>
    </w:p>
    <w:p w:rsidR="00C0701F" w:rsidRPr="00656EDB" w:rsidRDefault="00C0701F" w:rsidP="00C0701F">
      <w:pPr>
        <w:pStyle w:val="T0-ChapPgHd"/>
      </w:pPr>
    </w:p>
    <w:p w:rsidR="00983EE0" w:rsidRDefault="00983EE0" w:rsidP="00C0701F">
      <w:pPr>
        <w:pStyle w:val="TOC1"/>
      </w:pPr>
      <w:r>
        <w:t>Part A</w:t>
      </w:r>
      <w:r w:rsidR="00C0701F">
        <w:tab/>
      </w:r>
      <w:r>
        <w:t>Justification</w:t>
      </w:r>
      <w:r>
        <w:tab/>
      </w:r>
      <w:r>
        <w:tab/>
      </w:r>
      <w:r w:rsidR="00B65CE6">
        <w:t>1</w:t>
      </w:r>
    </w:p>
    <w:p w:rsidR="00983EE0" w:rsidRDefault="00983EE0" w:rsidP="00C0701F">
      <w:pPr>
        <w:pStyle w:val="TOC1"/>
      </w:pPr>
    </w:p>
    <w:p w:rsidR="00BD17FD" w:rsidRDefault="00983EE0" w:rsidP="00C0701F">
      <w:pPr>
        <w:pStyle w:val="TOC2"/>
      </w:pPr>
      <w:r>
        <w:t>A.1</w:t>
      </w:r>
      <w:r>
        <w:tab/>
        <w:t>Circumstances That Make the Collection of Information Necessary</w:t>
      </w:r>
      <w:r>
        <w:tab/>
      </w:r>
      <w:r>
        <w:tab/>
      </w:r>
      <w:r w:rsidR="00B65CE6">
        <w:t>1</w:t>
      </w:r>
    </w:p>
    <w:p w:rsidR="00983EE0" w:rsidRDefault="00983EE0" w:rsidP="00C0701F">
      <w:pPr>
        <w:pStyle w:val="TOC2"/>
      </w:pPr>
      <w:r>
        <w:t>A.2</w:t>
      </w:r>
      <w:r>
        <w:tab/>
        <w:t>Purpose and Use of the Information</w:t>
      </w:r>
      <w:r>
        <w:tab/>
      </w:r>
      <w:r>
        <w:tab/>
      </w:r>
      <w:r w:rsidR="004070CD">
        <w:t>4</w:t>
      </w:r>
    </w:p>
    <w:p w:rsidR="00983EE0" w:rsidRDefault="00983EE0" w:rsidP="00C0701F">
      <w:pPr>
        <w:pStyle w:val="TOC2"/>
      </w:pPr>
      <w:r>
        <w:t>A.3</w:t>
      </w:r>
      <w:r>
        <w:tab/>
        <w:t>Use of Information Technology and Burden Reduction</w:t>
      </w:r>
      <w:r>
        <w:tab/>
      </w:r>
      <w:r>
        <w:tab/>
      </w:r>
      <w:r w:rsidR="004070CD">
        <w:t>9</w:t>
      </w:r>
    </w:p>
    <w:p w:rsidR="00983EE0" w:rsidRDefault="00983EE0" w:rsidP="00C0701F">
      <w:pPr>
        <w:pStyle w:val="TOC2"/>
      </w:pPr>
      <w:r>
        <w:t>A.4</w:t>
      </w:r>
      <w:r>
        <w:tab/>
        <w:t>Efforts to Identify Duplication and Use of Similar Information</w:t>
      </w:r>
      <w:r>
        <w:tab/>
      </w:r>
      <w:r>
        <w:tab/>
      </w:r>
      <w:r w:rsidR="00E34417">
        <w:t>1</w:t>
      </w:r>
      <w:r w:rsidR="004070CD">
        <w:t>0</w:t>
      </w:r>
    </w:p>
    <w:p w:rsidR="00983EE0" w:rsidRDefault="00983EE0" w:rsidP="00C0701F">
      <w:pPr>
        <w:pStyle w:val="TOC2"/>
      </w:pPr>
      <w:r>
        <w:t>A.5</w:t>
      </w:r>
      <w:r>
        <w:tab/>
        <w:t>Impact on Small Businesses or Other Small Entities</w:t>
      </w:r>
      <w:r>
        <w:tab/>
      </w:r>
      <w:r>
        <w:tab/>
      </w:r>
      <w:r w:rsidR="003D6F27">
        <w:t>1</w:t>
      </w:r>
      <w:r w:rsidR="004070CD">
        <w:t>1</w:t>
      </w:r>
    </w:p>
    <w:p w:rsidR="00983EE0" w:rsidRDefault="00983EE0" w:rsidP="00E119C2">
      <w:pPr>
        <w:pStyle w:val="TOC2"/>
        <w:ind w:right="1440"/>
      </w:pPr>
      <w:r>
        <w:t>A.6</w:t>
      </w:r>
      <w:r>
        <w:tab/>
        <w:t>Consequences of Collecting the Information Less Frequently</w:t>
      </w:r>
      <w:r>
        <w:tab/>
      </w:r>
      <w:r>
        <w:tab/>
      </w:r>
      <w:r w:rsidR="003D6F27">
        <w:t>1</w:t>
      </w:r>
      <w:r w:rsidR="004070CD">
        <w:t>1</w:t>
      </w:r>
    </w:p>
    <w:p w:rsidR="00983EE0" w:rsidRDefault="00983EE0" w:rsidP="00C0701F">
      <w:pPr>
        <w:pStyle w:val="TOC2"/>
      </w:pPr>
      <w:r>
        <w:t>A.7</w:t>
      </w:r>
      <w:r>
        <w:tab/>
        <w:t>Special Circumstances Relating to the Guidelines of 5 CFR 1320.5</w:t>
      </w:r>
      <w:r>
        <w:tab/>
      </w:r>
      <w:r>
        <w:tab/>
      </w:r>
      <w:r w:rsidR="00F24C56">
        <w:t>12</w:t>
      </w:r>
    </w:p>
    <w:p w:rsidR="00983EE0" w:rsidRDefault="00983EE0" w:rsidP="00C0701F">
      <w:pPr>
        <w:pStyle w:val="TOC2"/>
      </w:pPr>
      <w:r>
        <w:t>A.8</w:t>
      </w:r>
      <w:r>
        <w:tab/>
        <w:t>Comments in Response to Federal Register Notice and Efforts to</w:t>
      </w:r>
      <w:r w:rsidR="00E119C2">
        <w:t xml:space="preserve"> </w:t>
      </w:r>
      <w:r>
        <w:t>Consult Outside Agency</w:t>
      </w:r>
      <w:r>
        <w:tab/>
      </w:r>
      <w:r>
        <w:tab/>
      </w:r>
      <w:r w:rsidR="00F24C56">
        <w:t>13</w:t>
      </w:r>
    </w:p>
    <w:p w:rsidR="00983EE0" w:rsidRDefault="00983EE0" w:rsidP="00C0701F">
      <w:pPr>
        <w:pStyle w:val="TOC2"/>
      </w:pPr>
      <w:r>
        <w:t>A.9</w:t>
      </w:r>
      <w:r>
        <w:tab/>
        <w:t>Explanation of Any Payment or Gift to Respondents</w:t>
      </w:r>
      <w:r>
        <w:tab/>
      </w:r>
      <w:r>
        <w:tab/>
      </w:r>
      <w:r w:rsidR="00F24C56">
        <w:t>14</w:t>
      </w:r>
    </w:p>
    <w:p w:rsidR="00983EE0" w:rsidRDefault="00983EE0" w:rsidP="00C0701F">
      <w:pPr>
        <w:pStyle w:val="TOC2"/>
      </w:pPr>
      <w:r>
        <w:t>A.10</w:t>
      </w:r>
      <w:r>
        <w:tab/>
        <w:t>Assurance of Confidentiality Provided to Respondents</w:t>
      </w:r>
      <w:r>
        <w:tab/>
      </w:r>
      <w:r>
        <w:tab/>
      </w:r>
      <w:r w:rsidR="00F24C56">
        <w:t>15</w:t>
      </w:r>
    </w:p>
    <w:p w:rsidR="00983EE0" w:rsidRDefault="00983EE0" w:rsidP="00C0701F">
      <w:pPr>
        <w:pStyle w:val="TOC2"/>
      </w:pPr>
      <w:r>
        <w:t>A.11</w:t>
      </w:r>
      <w:r>
        <w:tab/>
        <w:t>Justification for Sensitive Questions</w:t>
      </w:r>
      <w:r>
        <w:tab/>
      </w:r>
      <w:r>
        <w:tab/>
      </w:r>
      <w:r w:rsidR="00F24C56">
        <w:t>17</w:t>
      </w:r>
    </w:p>
    <w:p w:rsidR="00983EE0" w:rsidRDefault="00E45FD0" w:rsidP="00C0701F">
      <w:pPr>
        <w:pStyle w:val="TOC2"/>
      </w:pPr>
      <w:r>
        <w:t>A.12</w:t>
      </w:r>
      <w:r>
        <w:tab/>
        <w:t>Estimates of Annualized Burden Hours and Costs</w:t>
      </w:r>
      <w:r>
        <w:tab/>
      </w:r>
      <w:r>
        <w:tab/>
      </w:r>
      <w:r w:rsidR="0016153D">
        <w:t>18</w:t>
      </w:r>
    </w:p>
    <w:p w:rsidR="00E45FD0" w:rsidRDefault="00E45FD0" w:rsidP="00C0701F">
      <w:pPr>
        <w:pStyle w:val="TOC2"/>
      </w:pPr>
      <w:r>
        <w:t>A.13</w:t>
      </w:r>
      <w:r>
        <w:tab/>
        <w:t>Estimates of Other Total Annual Cost Burden to Respondents and Record Keepers</w:t>
      </w:r>
      <w:r>
        <w:tab/>
      </w:r>
      <w:r>
        <w:tab/>
      </w:r>
      <w:r w:rsidR="00E55DBC">
        <w:t>20</w:t>
      </w:r>
    </w:p>
    <w:p w:rsidR="00E45FD0" w:rsidRDefault="00E45FD0" w:rsidP="00C0701F">
      <w:pPr>
        <w:pStyle w:val="TOC2"/>
      </w:pPr>
      <w:r>
        <w:t>A.14</w:t>
      </w:r>
      <w:r>
        <w:tab/>
        <w:t>Annualized Cost to the Federal Government</w:t>
      </w:r>
      <w:r>
        <w:tab/>
      </w:r>
      <w:r>
        <w:tab/>
      </w:r>
      <w:r w:rsidR="00E55DBC">
        <w:t>20</w:t>
      </w:r>
    </w:p>
    <w:p w:rsidR="00E45FD0" w:rsidRDefault="00E45FD0" w:rsidP="00C0701F">
      <w:pPr>
        <w:pStyle w:val="TOC2"/>
      </w:pPr>
      <w:r>
        <w:t>A.15</w:t>
      </w:r>
      <w:r>
        <w:tab/>
        <w:t>Explanation for Program Changes or Adjustments</w:t>
      </w:r>
      <w:r>
        <w:tab/>
      </w:r>
      <w:r>
        <w:tab/>
      </w:r>
      <w:r w:rsidR="00E55DBC">
        <w:t>20</w:t>
      </w:r>
    </w:p>
    <w:p w:rsidR="00E45FD0" w:rsidRDefault="00E45FD0" w:rsidP="00C0701F">
      <w:pPr>
        <w:pStyle w:val="TOC2"/>
      </w:pPr>
      <w:r>
        <w:t>A.16</w:t>
      </w:r>
      <w:r>
        <w:tab/>
        <w:t>Plans for Tabulation and Publication and Project Time Schedule</w:t>
      </w:r>
      <w:r>
        <w:tab/>
      </w:r>
      <w:r>
        <w:tab/>
      </w:r>
      <w:r w:rsidR="00E55DBC">
        <w:t>21</w:t>
      </w:r>
    </w:p>
    <w:p w:rsidR="00E45FD0" w:rsidRDefault="00E45FD0" w:rsidP="00C0701F">
      <w:pPr>
        <w:pStyle w:val="TOC2"/>
      </w:pPr>
      <w:r>
        <w:t>A.17</w:t>
      </w:r>
      <w:r>
        <w:tab/>
        <w:t>Reason(s) Display of OMB Expiration Date is Inappropriate</w:t>
      </w:r>
      <w:r>
        <w:tab/>
      </w:r>
      <w:r>
        <w:tab/>
      </w:r>
      <w:r w:rsidR="00E55DBC">
        <w:t>23</w:t>
      </w:r>
    </w:p>
    <w:p w:rsidR="00394827" w:rsidRDefault="00E45FD0" w:rsidP="00394827">
      <w:pPr>
        <w:pStyle w:val="TOC2"/>
      </w:pPr>
      <w:r>
        <w:t>A.18</w:t>
      </w:r>
      <w:r>
        <w:tab/>
        <w:t>Exceptions to Certification for Paperwork Reduction Act Submission</w:t>
      </w:r>
      <w:r>
        <w:tab/>
      </w:r>
      <w:r>
        <w:tab/>
      </w:r>
      <w:r w:rsidR="00E34417">
        <w:t>2</w:t>
      </w:r>
      <w:r w:rsidR="00E55DBC">
        <w:t>3</w:t>
      </w:r>
    </w:p>
    <w:p w:rsidR="00621EAD" w:rsidRDefault="00621EAD" w:rsidP="00E34417">
      <w:pPr>
        <w:pStyle w:val="TOC2"/>
        <w:rPr>
          <w:rFonts w:eastAsiaTheme="minorEastAsia"/>
        </w:rPr>
      </w:pPr>
    </w:p>
    <w:p w:rsidR="00621EAD" w:rsidRDefault="00621EAD" w:rsidP="00621EAD">
      <w:pPr>
        <w:pStyle w:val="TOC1"/>
      </w:pPr>
      <w:r w:rsidRPr="00E77DEE">
        <w:t>Part B</w:t>
      </w:r>
      <w:r w:rsidRPr="00E77DEE">
        <w:rPr>
          <w:rFonts w:eastAsiaTheme="minorEastAsia"/>
        </w:rPr>
        <w:tab/>
      </w:r>
      <w:r w:rsidRPr="00E77DEE">
        <w:t>Collections of Information Employing Statistical Methods</w:t>
      </w:r>
      <w:r w:rsidRPr="00E77DEE">
        <w:tab/>
      </w:r>
      <w:r>
        <w:tab/>
      </w:r>
      <w:r w:rsidR="00E55DBC">
        <w:t>24</w:t>
      </w:r>
    </w:p>
    <w:p w:rsidR="00621EAD" w:rsidRPr="00E77DEE" w:rsidRDefault="00621EAD" w:rsidP="00621EAD">
      <w:pPr>
        <w:pStyle w:val="TOC1"/>
        <w:rPr>
          <w:rFonts w:eastAsiaTheme="minorEastAsia"/>
        </w:rPr>
      </w:pPr>
    </w:p>
    <w:p w:rsidR="00621EAD" w:rsidRDefault="00621EAD" w:rsidP="00621EAD">
      <w:pPr>
        <w:pStyle w:val="TOC2"/>
      </w:pPr>
      <w:r w:rsidRPr="00E77DEE">
        <w:t>B.1</w:t>
      </w:r>
      <w:r w:rsidRPr="00E77DEE">
        <w:rPr>
          <w:rFonts w:eastAsiaTheme="minorEastAsia"/>
        </w:rPr>
        <w:tab/>
      </w:r>
      <w:r w:rsidRPr="00E77DEE">
        <w:t>Describe (including a numerical estimate) the Potential Respondent Universe and any Sampling or Other Respondent Selection Method to be used.</w:t>
      </w:r>
      <w:r w:rsidRPr="00E77DEE">
        <w:tab/>
      </w:r>
      <w:r>
        <w:tab/>
      </w:r>
      <w:r w:rsidR="00BB307E">
        <w:t>24</w:t>
      </w:r>
    </w:p>
    <w:p w:rsidR="00E119C2" w:rsidRDefault="00E119C2" w:rsidP="00621EAD">
      <w:pPr>
        <w:pStyle w:val="TOC2"/>
      </w:pPr>
    </w:p>
    <w:p w:rsidR="00621EAD" w:rsidRDefault="00621EAD" w:rsidP="00621EAD">
      <w:pPr>
        <w:pStyle w:val="TOC3"/>
        <w:rPr>
          <w:rFonts w:eastAsiaTheme="minorEastAsia"/>
        </w:rPr>
      </w:pPr>
      <w:r w:rsidRPr="00621EAD">
        <w:rPr>
          <w:rFonts w:eastAsiaTheme="minorEastAsia"/>
        </w:rPr>
        <w:t>B.1.1</w:t>
      </w:r>
      <w:r w:rsidRPr="00621EAD">
        <w:rPr>
          <w:rFonts w:eastAsiaTheme="minorEastAsia"/>
        </w:rPr>
        <w:tab/>
        <w:t>Respondent Universe</w:t>
      </w:r>
      <w:r>
        <w:rPr>
          <w:rFonts w:eastAsiaTheme="minorEastAsia"/>
        </w:rPr>
        <w:tab/>
      </w:r>
      <w:r>
        <w:rPr>
          <w:rFonts w:eastAsiaTheme="minorEastAsia"/>
        </w:rPr>
        <w:tab/>
      </w:r>
      <w:r w:rsidR="00BB307E">
        <w:rPr>
          <w:rFonts w:eastAsiaTheme="minorEastAsia"/>
        </w:rPr>
        <w:t>24</w:t>
      </w:r>
    </w:p>
    <w:p w:rsidR="00DA1A56" w:rsidRDefault="00DA1A56" w:rsidP="00621EAD">
      <w:pPr>
        <w:pStyle w:val="TOC3"/>
        <w:rPr>
          <w:rFonts w:eastAsiaTheme="minorEastAsia"/>
        </w:rPr>
      </w:pPr>
      <w:r w:rsidRPr="00DA1A56">
        <w:rPr>
          <w:rFonts w:eastAsiaTheme="minorEastAsia"/>
        </w:rPr>
        <w:t>B.1.2</w:t>
      </w:r>
      <w:r w:rsidRPr="00DA1A56">
        <w:rPr>
          <w:rFonts w:eastAsiaTheme="minorEastAsia"/>
        </w:rPr>
        <w:tab/>
        <w:t>Sampling Methods</w:t>
      </w:r>
      <w:r w:rsidR="00E119C2">
        <w:rPr>
          <w:rFonts w:eastAsiaTheme="minorEastAsia"/>
        </w:rPr>
        <w:tab/>
      </w:r>
      <w:r w:rsidR="00E119C2">
        <w:rPr>
          <w:rFonts w:eastAsiaTheme="minorEastAsia"/>
        </w:rPr>
        <w:tab/>
      </w:r>
      <w:r w:rsidR="00BB307E">
        <w:rPr>
          <w:rFonts w:eastAsiaTheme="minorEastAsia"/>
        </w:rPr>
        <w:t>25</w:t>
      </w:r>
    </w:p>
    <w:p w:rsidR="00DA1A56" w:rsidRDefault="00DA1A56" w:rsidP="00621EAD">
      <w:pPr>
        <w:pStyle w:val="TOC3"/>
        <w:rPr>
          <w:rFonts w:eastAsiaTheme="minorEastAsia"/>
        </w:rPr>
      </w:pPr>
      <w:r w:rsidRPr="00DA1A56">
        <w:rPr>
          <w:rFonts w:eastAsiaTheme="minorEastAsia"/>
        </w:rPr>
        <w:t>B.1.3</w:t>
      </w:r>
      <w:r w:rsidRPr="00DA1A56">
        <w:rPr>
          <w:rFonts w:eastAsiaTheme="minorEastAsia"/>
        </w:rPr>
        <w:tab/>
        <w:t>Response Rates and Non-Response Analysis</w:t>
      </w:r>
      <w:r w:rsidR="00E119C2">
        <w:rPr>
          <w:rFonts w:eastAsiaTheme="minorEastAsia"/>
        </w:rPr>
        <w:tab/>
      </w:r>
      <w:r w:rsidR="00E119C2">
        <w:rPr>
          <w:rFonts w:eastAsiaTheme="minorEastAsia"/>
        </w:rPr>
        <w:tab/>
      </w:r>
      <w:r w:rsidR="00A83E54">
        <w:rPr>
          <w:rFonts w:eastAsiaTheme="minorEastAsia"/>
        </w:rPr>
        <w:t>28</w:t>
      </w:r>
    </w:p>
    <w:p w:rsidR="00E34417" w:rsidRDefault="00E34417">
      <w:pPr>
        <w:spacing w:line="240" w:lineRule="auto"/>
        <w:rPr>
          <w:rFonts w:ascii="Franklin Gothic Medium" w:hAnsi="Franklin Gothic Medium"/>
          <w:u w:val="words"/>
        </w:rPr>
      </w:pPr>
      <w:r>
        <w:br w:type="page"/>
      </w:r>
    </w:p>
    <w:p w:rsidR="00E119C2" w:rsidRDefault="00E119C2" w:rsidP="00E119C2">
      <w:pPr>
        <w:pStyle w:val="T0-ChapPgHd"/>
      </w:pPr>
      <w:r>
        <w:lastRenderedPageBreak/>
        <w:t>Chapter</w:t>
      </w:r>
      <w:r w:rsidRPr="003F14D6">
        <w:tab/>
      </w:r>
      <w:r w:rsidRPr="00656EDB">
        <w:t>Page</w:t>
      </w:r>
    </w:p>
    <w:p w:rsidR="00E119C2" w:rsidRPr="00656EDB" w:rsidRDefault="00E119C2" w:rsidP="00E119C2">
      <w:pPr>
        <w:pStyle w:val="T0-ChapPgHd"/>
      </w:pPr>
    </w:p>
    <w:p w:rsidR="00621EAD" w:rsidRDefault="00621EAD" w:rsidP="00621EAD">
      <w:pPr>
        <w:pStyle w:val="TOC2"/>
      </w:pPr>
      <w:r w:rsidRPr="00E77DEE">
        <w:t>B.2</w:t>
      </w:r>
      <w:r w:rsidRPr="00E77DEE">
        <w:rPr>
          <w:rFonts w:eastAsiaTheme="minorEastAsia"/>
        </w:rPr>
        <w:tab/>
      </w:r>
      <w:r w:rsidRPr="00E77DEE">
        <w:t>Describe the Procedures for the Collection of Information including:</w:t>
      </w:r>
      <w:r w:rsidRPr="00E77DEE">
        <w:tab/>
      </w:r>
      <w:r>
        <w:tab/>
      </w:r>
      <w:r w:rsidR="00A83E54">
        <w:t>31</w:t>
      </w:r>
    </w:p>
    <w:p w:rsidR="00E119C2" w:rsidRDefault="00E119C2" w:rsidP="00621EAD">
      <w:pPr>
        <w:pStyle w:val="TOC2"/>
      </w:pPr>
    </w:p>
    <w:p w:rsidR="00DA1A56" w:rsidRDefault="00DA1A56" w:rsidP="00DA1A56">
      <w:pPr>
        <w:pStyle w:val="TOC3"/>
        <w:rPr>
          <w:rFonts w:eastAsiaTheme="minorEastAsia"/>
        </w:rPr>
      </w:pPr>
      <w:r w:rsidRPr="00DA1A56">
        <w:rPr>
          <w:rFonts w:eastAsiaTheme="minorEastAsia"/>
        </w:rPr>
        <w:t>B.2.1</w:t>
      </w:r>
      <w:r w:rsidRPr="00DA1A56">
        <w:rPr>
          <w:rFonts w:eastAsiaTheme="minorEastAsia"/>
        </w:rPr>
        <w:tab/>
        <w:t>Statistical Methodology for Stratification and Sample Selection</w:t>
      </w:r>
      <w:r w:rsidR="00E119C2">
        <w:rPr>
          <w:rFonts w:eastAsiaTheme="minorEastAsia"/>
        </w:rPr>
        <w:tab/>
      </w:r>
      <w:r w:rsidR="00E119C2">
        <w:rPr>
          <w:rFonts w:eastAsiaTheme="minorEastAsia"/>
        </w:rPr>
        <w:tab/>
      </w:r>
      <w:r w:rsidR="00A83E54">
        <w:rPr>
          <w:rFonts w:eastAsiaTheme="minorEastAsia"/>
        </w:rPr>
        <w:t>31</w:t>
      </w:r>
    </w:p>
    <w:p w:rsidR="00DA1A56" w:rsidRDefault="00DA1A56" w:rsidP="00DA1A56">
      <w:pPr>
        <w:pStyle w:val="TOC3"/>
        <w:rPr>
          <w:rFonts w:eastAsiaTheme="minorEastAsia"/>
        </w:rPr>
      </w:pPr>
      <w:r w:rsidRPr="00DA1A56">
        <w:rPr>
          <w:rFonts w:eastAsiaTheme="minorEastAsia"/>
        </w:rPr>
        <w:t>B.2.2</w:t>
      </w:r>
      <w:r w:rsidRPr="00DA1A56">
        <w:rPr>
          <w:rFonts w:eastAsiaTheme="minorEastAsia"/>
        </w:rPr>
        <w:tab/>
        <w:t>Estimation Procedures</w:t>
      </w:r>
      <w:r w:rsidR="00E119C2">
        <w:rPr>
          <w:rFonts w:eastAsiaTheme="minorEastAsia"/>
        </w:rPr>
        <w:tab/>
      </w:r>
      <w:r w:rsidR="00E119C2">
        <w:rPr>
          <w:rFonts w:eastAsiaTheme="minorEastAsia"/>
        </w:rPr>
        <w:tab/>
      </w:r>
      <w:r w:rsidR="0021269A">
        <w:rPr>
          <w:rFonts w:eastAsiaTheme="minorEastAsia"/>
        </w:rPr>
        <w:t>3</w:t>
      </w:r>
      <w:r w:rsidR="00A83E54">
        <w:rPr>
          <w:rFonts w:eastAsiaTheme="minorEastAsia"/>
        </w:rPr>
        <w:t>2</w:t>
      </w:r>
    </w:p>
    <w:p w:rsidR="00DA1A56" w:rsidRDefault="00DA1A56" w:rsidP="00DA1A56">
      <w:pPr>
        <w:pStyle w:val="TOC3"/>
        <w:rPr>
          <w:rFonts w:eastAsiaTheme="minorEastAsia"/>
        </w:rPr>
      </w:pPr>
      <w:r w:rsidRPr="00DA1A56">
        <w:rPr>
          <w:rFonts w:eastAsiaTheme="minorEastAsia"/>
        </w:rPr>
        <w:t>B.2.3</w:t>
      </w:r>
      <w:r w:rsidRPr="00DA1A56">
        <w:rPr>
          <w:rFonts w:eastAsiaTheme="minorEastAsia"/>
        </w:rPr>
        <w:tab/>
        <w:t>Degree of Accuracy Needed for the Purpose Described in the Justification</w:t>
      </w:r>
      <w:r w:rsidR="00E119C2">
        <w:rPr>
          <w:rFonts w:eastAsiaTheme="minorEastAsia"/>
        </w:rPr>
        <w:tab/>
      </w:r>
      <w:r w:rsidR="00E119C2">
        <w:rPr>
          <w:rFonts w:eastAsiaTheme="minorEastAsia"/>
        </w:rPr>
        <w:tab/>
      </w:r>
      <w:r w:rsidR="00A83E54">
        <w:rPr>
          <w:rFonts w:eastAsiaTheme="minorEastAsia"/>
        </w:rPr>
        <w:t>32</w:t>
      </w:r>
    </w:p>
    <w:p w:rsidR="00DA1A56" w:rsidRDefault="00DA1A56" w:rsidP="00DA1A56">
      <w:pPr>
        <w:pStyle w:val="TOC3"/>
        <w:rPr>
          <w:rFonts w:eastAsiaTheme="minorEastAsia"/>
        </w:rPr>
      </w:pPr>
      <w:r w:rsidRPr="00DA1A56">
        <w:rPr>
          <w:rFonts w:eastAsiaTheme="minorEastAsia"/>
        </w:rPr>
        <w:t>B.2.4</w:t>
      </w:r>
      <w:r w:rsidRPr="00DA1A56">
        <w:rPr>
          <w:rFonts w:eastAsiaTheme="minorEastAsia"/>
        </w:rPr>
        <w:tab/>
        <w:t>Unusual Problems Requiring Specialized Sampling Procedures</w:t>
      </w:r>
      <w:r w:rsidR="00E119C2">
        <w:rPr>
          <w:rFonts w:eastAsiaTheme="minorEastAsia"/>
        </w:rPr>
        <w:tab/>
      </w:r>
      <w:r w:rsidR="00E119C2">
        <w:rPr>
          <w:rFonts w:eastAsiaTheme="minorEastAsia"/>
        </w:rPr>
        <w:tab/>
      </w:r>
      <w:r w:rsidR="00A83E54">
        <w:rPr>
          <w:rFonts w:eastAsiaTheme="minorEastAsia"/>
        </w:rPr>
        <w:t>34</w:t>
      </w:r>
    </w:p>
    <w:p w:rsidR="00DA1A56" w:rsidRDefault="00DA1A56" w:rsidP="00DA1A56">
      <w:pPr>
        <w:pStyle w:val="TOC3"/>
        <w:rPr>
          <w:rFonts w:eastAsiaTheme="minorEastAsia"/>
        </w:rPr>
      </w:pPr>
      <w:r w:rsidRPr="00DA1A56">
        <w:rPr>
          <w:rFonts w:eastAsiaTheme="minorEastAsia"/>
        </w:rPr>
        <w:t>B.2.5</w:t>
      </w:r>
      <w:r w:rsidRPr="00DA1A56">
        <w:rPr>
          <w:rFonts w:eastAsiaTheme="minorEastAsia"/>
        </w:rPr>
        <w:tab/>
        <w:t>Any use of Periodic (less frequent than annual) Data Collection Cycles to Reduce Burden</w:t>
      </w:r>
      <w:r w:rsidR="00E119C2">
        <w:rPr>
          <w:rFonts w:eastAsiaTheme="minorEastAsia"/>
        </w:rPr>
        <w:tab/>
      </w:r>
      <w:r w:rsidR="00E119C2">
        <w:rPr>
          <w:rFonts w:eastAsiaTheme="minorEastAsia"/>
        </w:rPr>
        <w:tab/>
      </w:r>
      <w:r w:rsidR="00A83E54">
        <w:rPr>
          <w:rFonts w:eastAsiaTheme="minorEastAsia"/>
        </w:rPr>
        <w:t>34</w:t>
      </w:r>
    </w:p>
    <w:p w:rsidR="00E119C2" w:rsidRDefault="00E119C2" w:rsidP="00DA1A56">
      <w:pPr>
        <w:pStyle w:val="TOC3"/>
        <w:rPr>
          <w:rFonts w:eastAsiaTheme="minorEastAsia"/>
        </w:rPr>
      </w:pPr>
    </w:p>
    <w:p w:rsidR="00621EAD" w:rsidRDefault="00621EAD" w:rsidP="00621EAD">
      <w:pPr>
        <w:pStyle w:val="TOC2"/>
      </w:pPr>
      <w:r w:rsidRPr="00E77DEE">
        <w:t>B.3</w:t>
      </w:r>
      <w:r w:rsidRPr="00E77DEE">
        <w:rPr>
          <w:rFonts w:eastAsiaTheme="minorEastAsia"/>
        </w:rPr>
        <w:tab/>
      </w:r>
      <w:r w:rsidRPr="00E77DEE">
        <w:t>Describe Methods to Maximize Response Rates and to Deal with Issues of Non-Response.</w:t>
      </w:r>
      <w:r w:rsidRPr="00E77DEE">
        <w:tab/>
      </w:r>
      <w:r>
        <w:tab/>
      </w:r>
      <w:r w:rsidR="00BF03FA">
        <w:t>3</w:t>
      </w:r>
      <w:r w:rsidR="00A83E54">
        <w:t>5</w:t>
      </w:r>
    </w:p>
    <w:p w:rsidR="00621EAD" w:rsidRDefault="00621EAD" w:rsidP="00621EAD">
      <w:pPr>
        <w:pStyle w:val="TOC2"/>
      </w:pPr>
      <w:r w:rsidRPr="00E77DEE">
        <w:t>B.4</w:t>
      </w:r>
      <w:r w:rsidRPr="00E77DEE">
        <w:rPr>
          <w:rFonts w:eastAsiaTheme="minorEastAsia"/>
        </w:rPr>
        <w:tab/>
      </w:r>
      <w:r w:rsidRPr="00E77DEE">
        <w:t>Describe any Test of Procedures or Methods to be Undertaken.</w:t>
      </w:r>
      <w:r w:rsidRPr="00E77DEE">
        <w:tab/>
      </w:r>
      <w:r>
        <w:tab/>
      </w:r>
      <w:r w:rsidR="00BF03FA">
        <w:t>3</w:t>
      </w:r>
      <w:r w:rsidR="00A83E54">
        <w:t>6</w:t>
      </w:r>
    </w:p>
    <w:p w:rsidR="00621EAD" w:rsidRDefault="00621EAD" w:rsidP="00621EAD">
      <w:pPr>
        <w:pStyle w:val="TOC2"/>
      </w:pPr>
      <w:r w:rsidRPr="00E77DEE">
        <w:t>B.5</w:t>
      </w:r>
      <w:r w:rsidRPr="00E77DEE">
        <w:rPr>
          <w:rFonts w:eastAsiaTheme="minorEastAsia"/>
        </w:rPr>
        <w:tab/>
      </w:r>
      <w:r w:rsidRPr="00E77DEE">
        <w:t>Provide the Name and Telephone Number of Individuals Consulted on Statistical Aspects of the Design and the Name of the Agency, Unit, Contractor(s), Grantee(s), or Other Person(s) Who Will Actually Collect and/or Analyze the Information for the Agency.</w:t>
      </w:r>
      <w:r w:rsidRPr="00E77DEE">
        <w:tab/>
      </w:r>
      <w:r>
        <w:tab/>
      </w:r>
      <w:r w:rsidR="00BF03FA">
        <w:t>3</w:t>
      </w:r>
      <w:r w:rsidR="00A83E54">
        <w:t>7</w:t>
      </w:r>
    </w:p>
    <w:p w:rsidR="00C0701F" w:rsidRDefault="00C0701F" w:rsidP="00C0701F">
      <w:pPr>
        <w:pStyle w:val="TOC1"/>
      </w:pPr>
    </w:p>
    <w:p w:rsidR="00C0701F" w:rsidRDefault="00C0701F" w:rsidP="00C0701F">
      <w:pPr>
        <w:pStyle w:val="TOC1"/>
      </w:pPr>
    </w:p>
    <w:p w:rsidR="00554BCD" w:rsidRPr="00656EDB" w:rsidRDefault="00525315" w:rsidP="00C0701F">
      <w:pPr>
        <w:pStyle w:val="T0-ChapPgHd"/>
      </w:pPr>
      <w:r w:rsidRPr="00525315">
        <w:t>A</w:t>
      </w:r>
      <w:r w:rsidR="004047EB">
        <w:t>ppendices</w:t>
      </w:r>
    </w:p>
    <w:p w:rsidR="00525315" w:rsidRPr="00525315" w:rsidRDefault="00525315" w:rsidP="00C0701F">
      <w:pPr>
        <w:pStyle w:val="T0-ChapPgHd"/>
      </w:pPr>
    </w:p>
    <w:p w:rsidR="00525315" w:rsidRDefault="00525315" w:rsidP="00C0701F">
      <w:pPr>
        <w:pStyle w:val="TOC5"/>
      </w:pPr>
      <w:r>
        <w:t>A</w:t>
      </w:r>
      <w:r w:rsidR="00D645F1">
        <w:t>1</w:t>
      </w:r>
      <w:r>
        <w:tab/>
      </w:r>
      <w:r w:rsidR="000009EB">
        <w:t>Farmers market</w:t>
      </w:r>
      <w:r w:rsidR="00237B80">
        <w:t xml:space="preserve"> Manager</w:t>
      </w:r>
      <w:r w:rsidR="000D1916">
        <w:t xml:space="preserve"> and Direct Marketing Farmer</w:t>
      </w:r>
      <w:r w:rsidR="00237B80">
        <w:t xml:space="preserve">: </w:t>
      </w:r>
      <w:r w:rsidR="0038384C">
        <w:t>Study Introductory Letter</w:t>
      </w:r>
      <w:r w:rsidR="00237B80">
        <w:t xml:space="preserve">: English </w:t>
      </w:r>
    </w:p>
    <w:p w:rsidR="00190BAB" w:rsidRDefault="00190BAB" w:rsidP="00190BAB">
      <w:pPr>
        <w:pStyle w:val="TOC5"/>
      </w:pPr>
    </w:p>
    <w:p w:rsidR="00190BAB" w:rsidRDefault="00190BAB" w:rsidP="00190BAB">
      <w:pPr>
        <w:pStyle w:val="TOC5"/>
      </w:pPr>
      <w:r>
        <w:t>A2</w:t>
      </w:r>
      <w:r>
        <w:tab/>
        <w:t xml:space="preserve">Farmers market Manager and Direct Marketing Farmer: Study Introductory Letter: </w:t>
      </w:r>
      <w:r w:rsidRPr="006B6852">
        <w:t>Spanish</w:t>
      </w:r>
    </w:p>
    <w:p w:rsidR="0087314D" w:rsidRDefault="0087314D" w:rsidP="00C0701F">
      <w:pPr>
        <w:pStyle w:val="TOC5"/>
      </w:pPr>
    </w:p>
    <w:p w:rsidR="006B6852" w:rsidRDefault="004047EB" w:rsidP="00C0701F">
      <w:pPr>
        <w:pStyle w:val="TOC5"/>
      </w:pPr>
      <w:r>
        <w:t>B1</w:t>
      </w:r>
      <w:r w:rsidR="0038384C">
        <w:tab/>
      </w:r>
      <w:r w:rsidR="000009EB">
        <w:t xml:space="preserve">Farmers </w:t>
      </w:r>
      <w:r w:rsidR="00D635D8">
        <w:t>M</w:t>
      </w:r>
      <w:r w:rsidR="000009EB">
        <w:t>arket</w:t>
      </w:r>
      <w:r w:rsidR="00237B80">
        <w:t xml:space="preserve"> Manager Survey: English</w:t>
      </w:r>
      <w:r w:rsidR="00456DEA">
        <w:t xml:space="preserve"> </w:t>
      </w:r>
    </w:p>
    <w:p w:rsidR="00190BAB" w:rsidRDefault="00190BAB" w:rsidP="00C0701F">
      <w:pPr>
        <w:pStyle w:val="TOC5"/>
      </w:pPr>
    </w:p>
    <w:p w:rsidR="008C736B" w:rsidRDefault="008C736B" w:rsidP="008C736B">
      <w:pPr>
        <w:pStyle w:val="TOC5"/>
      </w:pPr>
      <w:r>
        <w:t>B2</w:t>
      </w:r>
      <w:r>
        <w:tab/>
        <w:t>Direct Marketing Farmer Survey:  English</w:t>
      </w:r>
    </w:p>
    <w:p w:rsidR="008C736B" w:rsidRDefault="008C736B" w:rsidP="00C0701F">
      <w:pPr>
        <w:pStyle w:val="TOC5"/>
      </w:pPr>
    </w:p>
    <w:p w:rsidR="00190BAB" w:rsidRDefault="008C736B" w:rsidP="00C0701F">
      <w:pPr>
        <w:pStyle w:val="TOC5"/>
      </w:pPr>
      <w:r>
        <w:t>B3</w:t>
      </w:r>
      <w:r w:rsidR="00190BAB">
        <w:tab/>
        <w:t>Farmers Market Manager Survey:  Spanish</w:t>
      </w:r>
    </w:p>
    <w:p w:rsidR="00D635D8" w:rsidRDefault="00D635D8" w:rsidP="00C0701F">
      <w:pPr>
        <w:pStyle w:val="TOC5"/>
      </w:pPr>
    </w:p>
    <w:p w:rsidR="0012683D" w:rsidRDefault="0012683D" w:rsidP="0012683D">
      <w:pPr>
        <w:pStyle w:val="TOC5"/>
      </w:pPr>
      <w:r>
        <w:t>B</w:t>
      </w:r>
      <w:r w:rsidR="008C736B">
        <w:t>4</w:t>
      </w:r>
      <w:r>
        <w:tab/>
        <w:t xml:space="preserve">Direct Marketing Farmer Survey: </w:t>
      </w:r>
      <w:r w:rsidR="00456DEA">
        <w:t>Spanish</w:t>
      </w:r>
    </w:p>
    <w:p w:rsidR="0012683D" w:rsidRDefault="0012683D" w:rsidP="0012683D">
      <w:pPr>
        <w:pStyle w:val="TOC5"/>
      </w:pPr>
    </w:p>
    <w:p w:rsidR="00D635D8" w:rsidRDefault="00D635D8" w:rsidP="00D635D8">
      <w:pPr>
        <w:pStyle w:val="TOC5"/>
      </w:pPr>
      <w:r>
        <w:t>B</w:t>
      </w:r>
      <w:r w:rsidR="007C2A11">
        <w:t>5</w:t>
      </w:r>
      <w:r>
        <w:tab/>
        <w:t>Farmers Market Manager Web survey: English screenshots</w:t>
      </w:r>
    </w:p>
    <w:p w:rsidR="00D635D8" w:rsidRDefault="00D635D8" w:rsidP="00D635D8">
      <w:pPr>
        <w:pStyle w:val="TOC5"/>
      </w:pPr>
    </w:p>
    <w:p w:rsidR="00DF00D3" w:rsidRDefault="007C2A11" w:rsidP="00E20918">
      <w:pPr>
        <w:pStyle w:val="TOC5"/>
      </w:pPr>
      <w:r>
        <w:t>B6</w:t>
      </w:r>
      <w:r w:rsidR="00D635D8">
        <w:tab/>
        <w:t>Direct Marketing Farmer Web Survey: English screenshots</w:t>
      </w:r>
    </w:p>
    <w:p w:rsidR="00DF00D3" w:rsidRDefault="00DF00D3" w:rsidP="00DF00D3">
      <w:pPr>
        <w:pStyle w:val="TOC5"/>
      </w:pPr>
    </w:p>
    <w:p w:rsidR="006B32C8" w:rsidRDefault="006B32C8" w:rsidP="00C0701F">
      <w:pPr>
        <w:pStyle w:val="TOC5"/>
      </w:pPr>
    </w:p>
    <w:p w:rsidR="006B32C8" w:rsidRDefault="006B32C8" w:rsidP="006B32C8">
      <w:pPr>
        <w:pStyle w:val="T0-ChapPgHd"/>
      </w:pPr>
      <w:r w:rsidRPr="00525315">
        <w:lastRenderedPageBreak/>
        <w:t>A</w:t>
      </w:r>
      <w:r>
        <w:t>ppendices</w:t>
      </w:r>
    </w:p>
    <w:p w:rsidR="006B32C8" w:rsidRDefault="006B32C8" w:rsidP="00C0701F">
      <w:pPr>
        <w:pStyle w:val="TOC5"/>
      </w:pPr>
    </w:p>
    <w:p w:rsidR="006B32C8" w:rsidRDefault="006B32C8" w:rsidP="006B32C8">
      <w:pPr>
        <w:pStyle w:val="TOC5"/>
      </w:pPr>
      <w:r>
        <w:t>C1</w:t>
      </w:r>
      <w:r>
        <w:tab/>
        <w:t>I</w:t>
      </w:r>
      <w:r w:rsidRPr="006B6852">
        <w:t xml:space="preserve">ntroductory </w:t>
      </w:r>
      <w:r>
        <w:t>e</w:t>
      </w:r>
      <w:r w:rsidRPr="006B6852">
        <w:t xml:space="preserve">mail: English </w:t>
      </w:r>
    </w:p>
    <w:p w:rsidR="006B32C8" w:rsidRDefault="006B32C8" w:rsidP="00C0701F">
      <w:pPr>
        <w:pStyle w:val="TOC5"/>
      </w:pPr>
    </w:p>
    <w:p w:rsidR="006B32C8" w:rsidRPr="006B6852" w:rsidRDefault="006B32C8" w:rsidP="00C0701F">
      <w:pPr>
        <w:pStyle w:val="TOC5"/>
      </w:pPr>
      <w:r>
        <w:t>C2</w:t>
      </w:r>
      <w:r>
        <w:tab/>
        <w:t>introductory email:  Spanish</w:t>
      </w:r>
    </w:p>
    <w:p w:rsidR="00237B80" w:rsidRPr="006B6852" w:rsidRDefault="00237B80" w:rsidP="00C0701F">
      <w:pPr>
        <w:pStyle w:val="TOC5"/>
      </w:pPr>
    </w:p>
    <w:p w:rsidR="006B6852" w:rsidRDefault="004047EB" w:rsidP="00C0701F">
      <w:pPr>
        <w:pStyle w:val="TOC5"/>
      </w:pPr>
      <w:r w:rsidRPr="006B6852">
        <w:t>D1</w:t>
      </w:r>
      <w:r w:rsidR="00237B80" w:rsidRPr="006B6852">
        <w:tab/>
        <w:t>Reminder postcard</w:t>
      </w:r>
      <w:r w:rsidR="00456DEA">
        <w:t xml:space="preserve"> – 1 week</w:t>
      </w:r>
      <w:r w:rsidR="00237B80" w:rsidRPr="006B6852">
        <w:t xml:space="preserve">: English </w:t>
      </w:r>
    </w:p>
    <w:p w:rsidR="006B32C8" w:rsidRDefault="006B32C8" w:rsidP="00C0701F">
      <w:pPr>
        <w:pStyle w:val="TOC5"/>
      </w:pPr>
    </w:p>
    <w:p w:rsidR="006B32C8" w:rsidRDefault="006B32C8" w:rsidP="00C0701F">
      <w:pPr>
        <w:pStyle w:val="TOC5"/>
      </w:pPr>
      <w:r>
        <w:t>D2</w:t>
      </w:r>
      <w:r>
        <w:tab/>
        <w:t>Reminder postcard – 1 week:  Spanish</w:t>
      </w:r>
    </w:p>
    <w:p w:rsidR="00237B80" w:rsidRPr="006B6852" w:rsidRDefault="00237B80" w:rsidP="00C0701F">
      <w:pPr>
        <w:pStyle w:val="TOC5"/>
      </w:pPr>
    </w:p>
    <w:p w:rsidR="006B6852" w:rsidRDefault="006B32C8" w:rsidP="00C0701F">
      <w:pPr>
        <w:pStyle w:val="TOC5"/>
      </w:pPr>
      <w:r>
        <w:t>D3</w:t>
      </w:r>
      <w:r w:rsidR="00237B80" w:rsidRPr="006B6852">
        <w:tab/>
        <w:t>Reminder email</w:t>
      </w:r>
      <w:r w:rsidR="00456DEA">
        <w:t xml:space="preserve"> – 2 weeks</w:t>
      </w:r>
      <w:r w:rsidR="00237B80" w:rsidRPr="006B6852">
        <w:t xml:space="preserve">: English </w:t>
      </w:r>
    </w:p>
    <w:p w:rsidR="006B32C8" w:rsidRDefault="006B32C8" w:rsidP="00C0701F">
      <w:pPr>
        <w:pStyle w:val="TOC5"/>
      </w:pPr>
    </w:p>
    <w:p w:rsidR="006B32C8" w:rsidRDefault="006B32C8" w:rsidP="00C0701F">
      <w:pPr>
        <w:pStyle w:val="TOC5"/>
      </w:pPr>
      <w:r>
        <w:t>D4</w:t>
      </w:r>
      <w:r>
        <w:tab/>
        <w:t>Reminder email – 2 weeks:  Spanish</w:t>
      </w:r>
    </w:p>
    <w:p w:rsidR="00C716BA" w:rsidRDefault="00C716BA" w:rsidP="00C0701F">
      <w:pPr>
        <w:pStyle w:val="TOC5"/>
      </w:pPr>
    </w:p>
    <w:p w:rsidR="001D614B" w:rsidRPr="006B6852" w:rsidRDefault="004047EB" w:rsidP="00C0701F">
      <w:pPr>
        <w:pStyle w:val="TOC5"/>
      </w:pPr>
      <w:r w:rsidRPr="006B6852">
        <w:t>E1</w:t>
      </w:r>
      <w:r w:rsidR="001D614B" w:rsidRPr="006B6852">
        <w:tab/>
        <w:t>Telephone script</w:t>
      </w:r>
      <w:r w:rsidR="003A5C9B" w:rsidRPr="006B6852">
        <w:t xml:space="preserve">: English </w:t>
      </w:r>
    </w:p>
    <w:p w:rsidR="00237B80" w:rsidRPr="006B6852" w:rsidRDefault="00237B80" w:rsidP="00C0701F">
      <w:pPr>
        <w:pStyle w:val="TOC5"/>
      </w:pPr>
    </w:p>
    <w:p w:rsidR="006B32C8" w:rsidRDefault="004047EB" w:rsidP="00C0701F">
      <w:pPr>
        <w:pStyle w:val="TOC5"/>
      </w:pPr>
      <w:r>
        <w:t>E2</w:t>
      </w:r>
      <w:r w:rsidR="006B32C8">
        <w:tab/>
        <w:t>Telephone script:  Spanish</w:t>
      </w:r>
    </w:p>
    <w:p w:rsidR="006B32C8" w:rsidRDefault="006B32C8" w:rsidP="00C0701F">
      <w:pPr>
        <w:pStyle w:val="TOC5"/>
      </w:pPr>
    </w:p>
    <w:p w:rsidR="006B32C8" w:rsidRDefault="006B32C8" w:rsidP="00C0701F">
      <w:pPr>
        <w:pStyle w:val="TOC5"/>
      </w:pPr>
      <w:r>
        <w:t>E3</w:t>
      </w:r>
      <w:r>
        <w:tab/>
      </w:r>
      <w:r w:rsidR="00237B80">
        <w:t>Refusal conversion</w:t>
      </w:r>
      <w:r w:rsidR="000B6A30">
        <w:t xml:space="preserve">: English </w:t>
      </w:r>
    </w:p>
    <w:p w:rsidR="006B32C8" w:rsidRDefault="006B32C8" w:rsidP="00C0701F">
      <w:pPr>
        <w:pStyle w:val="TOC5"/>
      </w:pPr>
    </w:p>
    <w:p w:rsidR="006B6852" w:rsidRDefault="006B32C8" w:rsidP="00C0701F">
      <w:pPr>
        <w:pStyle w:val="TOC5"/>
      </w:pPr>
      <w:r>
        <w:t>E4</w:t>
      </w:r>
      <w:r>
        <w:tab/>
        <w:t xml:space="preserve">Refusal conversion:  </w:t>
      </w:r>
      <w:r w:rsidR="000B6A30">
        <w:t>Spanish</w:t>
      </w:r>
    </w:p>
    <w:p w:rsidR="00D31034" w:rsidRDefault="00D31034" w:rsidP="00C0701F">
      <w:pPr>
        <w:pStyle w:val="TOC5"/>
      </w:pPr>
    </w:p>
    <w:p w:rsidR="00237B80" w:rsidRDefault="004047EB" w:rsidP="00C0701F">
      <w:pPr>
        <w:pStyle w:val="TOC5"/>
      </w:pPr>
      <w:r>
        <w:t>F1</w:t>
      </w:r>
      <w:r w:rsidR="00237B80">
        <w:tab/>
        <w:t>Focus Grou</w:t>
      </w:r>
      <w:r w:rsidR="00633D72">
        <w:t xml:space="preserve">p Recruitment </w:t>
      </w:r>
      <w:r w:rsidR="00CE344F">
        <w:t>Script</w:t>
      </w:r>
    </w:p>
    <w:p w:rsidR="004047EB" w:rsidRDefault="004047EB" w:rsidP="00C0701F">
      <w:pPr>
        <w:pStyle w:val="TOC5"/>
      </w:pPr>
    </w:p>
    <w:p w:rsidR="006B6852" w:rsidRDefault="004047EB" w:rsidP="00C0701F">
      <w:pPr>
        <w:pStyle w:val="TOC5"/>
      </w:pPr>
      <w:r>
        <w:t>F2</w:t>
      </w:r>
      <w:r>
        <w:tab/>
        <w:t>F</w:t>
      </w:r>
      <w:r w:rsidR="00633D72">
        <w:t>ocus Group Consent Form</w:t>
      </w:r>
    </w:p>
    <w:p w:rsidR="004047EB" w:rsidRDefault="004047EB" w:rsidP="00C0701F">
      <w:pPr>
        <w:pStyle w:val="TOC5"/>
      </w:pPr>
    </w:p>
    <w:p w:rsidR="006B6852" w:rsidRDefault="004047EB" w:rsidP="00C0701F">
      <w:pPr>
        <w:pStyle w:val="TOC5"/>
      </w:pPr>
      <w:r>
        <w:t>F3</w:t>
      </w:r>
      <w:r>
        <w:tab/>
        <w:t>Focus Group Partici</w:t>
      </w:r>
      <w:r w:rsidR="00633D72">
        <w:t>pant Demographic Survey</w:t>
      </w:r>
    </w:p>
    <w:p w:rsidR="004047EB" w:rsidRDefault="004047EB" w:rsidP="00C0701F">
      <w:pPr>
        <w:pStyle w:val="TOC5"/>
      </w:pPr>
    </w:p>
    <w:p w:rsidR="006B6852" w:rsidRDefault="004047EB" w:rsidP="00C0701F">
      <w:pPr>
        <w:pStyle w:val="TOC5"/>
      </w:pPr>
      <w:r>
        <w:t>F</w:t>
      </w:r>
      <w:r w:rsidR="003A5C9B">
        <w:t>4</w:t>
      </w:r>
      <w:r>
        <w:tab/>
        <w:t xml:space="preserve">Focus Group Moderator Guide for </w:t>
      </w:r>
      <w:r w:rsidR="000009EB">
        <w:t>Farmers market</w:t>
      </w:r>
      <w:r w:rsidR="00633D72">
        <w:t xml:space="preserve"> Shoppers</w:t>
      </w:r>
    </w:p>
    <w:p w:rsidR="004047EB" w:rsidRDefault="004047EB" w:rsidP="00C0701F">
      <w:pPr>
        <w:pStyle w:val="TOC5"/>
      </w:pPr>
    </w:p>
    <w:p w:rsidR="006B6852" w:rsidRDefault="003548B7" w:rsidP="00C0701F">
      <w:pPr>
        <w:pStyle w:val="TOC5"/>
      </w:pPr>
      <w:r>
        <w:t>F5</w:t>
      </w:r>
      <w:r w:rsidR="004047EB">
        <w:tab/>
        <w:t xml:space="preserve">Focus Group Moderator Guide for </w:t>
      </w:r>
      <w:r w:rsidR="000009EB">
        <w:t>Farmers market</w:t>
      </w:r>
      <w:r w:rsidR="00633D72">
        <w:t xml:space="preserve"> Non-Shoppers</w:t>
      </w:r>
    </w:p>
    <w:p w:rsidR="004047EB" w:rsidRDefault="004047EB" w:rsidP="00C0701F">
      <w:pPr>
        <w:pStyle w:val="TOC5"/>
      </w:pPr>
    </w:p>
    <w:p w:rsidR="006B6852" w:rsidRDefault="003A5C9B" w:rsidP="00C0701F">
      <w:pPr>
        <w:pStyle w:val="TOC5"/>
      </w:pPr>
      <w:r>
        <w:t>F6</w:t>
      </w:r>
      <w:r w:rsidR="004047EB">
        <w:tab/>
        <w:t>Focus Group Partic</w:t>
      </w:r>
      <w:r w:rsidR="00633D72">
        <w:t>ipant Incentive Receipt</w:t>
      </w:r>
    </w:p>
    <w:p w:rsidR="00D31034" w:rsidRDefault="00D31034" w:rsidP="00C0701F">
      <w:pPr>
        <w:pStyle w:val="TOC5"/>
      </w:pPr>
    </w:p>
    <w:p w:rsidR="00D31034" w:rsidRDefault="00D31034" w:rsidP="00C0701F">
      <w:pPr>
        <w:pStyle w:val="TOC5"/>
      </w:pPr>
      <w:r>
        <w:t>F7</w:t>
      </w:r>
      <w:r>
        <w:tab/>
        <w:t>Focus Group Recruitment Flyer</w:t>
      </w:r>
    </w:p>
    <w:p w:rsidR="00A83E54" w:rsidRDefault="00A83E54" w:rsidP="00A83E54">
      <w:pPr>
        <w:pStyle w:val="TOC5"/>
      </w:pPr>
    </w:p>
    <w:p w:rsidR="00A83E54" w:rsidRDefault="00A83E54" w:rsidP="00A83E54">
      <w:pPr>
        <w:pStyle w:val="TOC5"/>
      </w:pPr>
      <w:r>
        <w:t>F8</w:t>
      </w:r>
      <w:r>
        <w:tab/>
        <w:t>Focus Group Screened Participant Confirmation Letter</w:t>
      </w:r>
    </w:p>
    <w:p w:rsidR="004047EB" w:rsidRDefault="004047EB" w:rsidP="00C0701F">
      <w:pPr>
        <w:pStyle w:val="TOC5"/>
      </w:pPr>
    </w:p>
    <w:p w:rsidR="0038384C" w:rsidRDefault="004047EB" w:rsidP="00C0701F">
      <w:pPr>
        <w:pStyle w:val="TOC5"/>
      </w:pPr>
      <w:r>
        <w:t>G1</w:t>
      </w:r>
      <w:r>
        <w:tab/>
      </w:r>
      <w:r w:rsidR="007560DE">
        <w:t>Federal Register Notice</w:t>
      </w:r>
      <w:r w:rsidR="00237B80">
        <w:t xml:space="preserve"> Comments</w:t>
      </w:r>
      <w:r w:rsidR="00324179">
        <w:t xml:space="preserve"> and </w:t>
      </w:r>
      <w:r w:rsidR="00CE344F">
        <w:t>Response</w:t>
      </w:r>
    </w:p>
    <w:p w:rsidR="003565C3" w:rsidRDefault="003565C3" w:rsidP="003565C3">
      <w:pPr>
        <w:pStyle w:val="TOC5"/>
        <w:ind w:right="1170"/>
      </w:pPr>
    </w:p>
    <w:p w:rsidR="003565C3" w:rsidRPr="00292773" w:rsidRDefault="003565C3" w:rsidP="003565C3">
      <w:pPr>
        <w:pStyle w:val="TOC5"/>
        <w:ind w:right="1170"/>
      </w:pPr>
      <w:r>
        <w:t>G2</w:t>
      </w:r>
      <w:r>
        <w:tab/>
        <w:t>National Agricultural Statistics Service Comments</w:t>
      </w:r>
      <w:r w:rsidR="00324179">
        <w:t xml:space="preserve"> and Response</w:t>
      </w:r>
    </w:p>
    <w:p w:rsidR="0038384C" w:rsidRDefault="0038384C" w:rsidP="00C0701F">
      <w:pPr>
        <w:pStyle w:val="TOC5"/>
      </w:pPr>
    </w:p>
    <w:p w:rsidR="00317DB0" w:rsidRDefault="004047EB" w:rsidP="00C0701F">
      <w:pPr>
        <w:pStyle w:val="TOC5"/>
      </w:pPr>
      <w:r>
        <w:t>H1</w:t>
      </w:r>
      <w:r w:rsidR="0038384C">
        <w:tab/>
      </w:r>
      <w:r w:rsidR="007560DE">
        <w:t xml:space="preserve">Westat </w:t>
      </w:r>
      <w:r w:rsidR="00317DB0">
        <w:t>Confidentiality and Nondisclosure Agreement</w:t>
      </w:r>
    </w:p>
    <w:p w:rsidR="00317DB0" w:rsidRDefault="00317DB0" w:rsidP="00C0701F">
      <w:pPr>
        <w:pStyle w:val="TOC5"/>
      </w:pPr>
    </w:p>
    <w:p w:rsidR="001B3ACA" w:rsidRDefault="00317DB0" w:rsidP="00C0701F">
      <w:pPr>
        <w:pStyle w:val="TOC5"/>
      </w:pPr>
      <w:r>
        <w:t>H2</w:t>
      </w:r>
      <w:r>
        <w:tab/>
        <w:t xml:space="preserve">Westat </w:t>
      </w:r>
      <w:r w:rsidR="007560DE">
        <w:t xml:space="preserve">IRB </w:t>
      </w:r>
      <w:r>
        <w:t>approval letter</w:t>
      </w:r>
    </w:p>
    <w:p w:rsidR="0038384C" w:rsidRDefault="0038384C" w:rsidP="00C0701F">
      <w:pPr>
        <w:pStyle w:val="TOC5"/>
      </w:pPr>
    </w:p>
    <w:p w:rsidR="003D28DD" w:rsidRPr="006B6852" w:rsidRDefault="003D28DD" w:rsidP="00C0701F">
      <w:pPr>
        <w:pStyle w:val="TOC5"/>
      </w:pPr>
    </w:p>
    <w:p w:rsidR="00111A45" w:rsidRPr="006B6852" w:rsidRDefault="00111A45" w:rsidP="00C0701F">
      <w:pPr>
        <w:pStyle w:val="TOC5"/>
        <w:sectPr w:rsidR="00111A45" w:rsidRPr="006B6852" w:rsidSect="00D066E6">
          <w:headerReference w:type="default" r:id="rId9"/>
          <w:footerReference w:type="default" r:id="rId10"/>
          <w:headerReference w:type="first" r:id="rId11"/>
          <w:footerReference w:type="first" r:id="rId12"/>
          <w:pgSz w:w="12240" w:h="15840"/>
          <w:pgMar w:top="1440" w:right="1440" w:bottom="1440" w:left="1440" w:header="720" w:footer="576" w:gutter="0"/>
          <w:pgNumType w:fmt="lowerRoman" w:start="3"/>
          <w:cols w:space="720"/>
          <w:titlePg/>
          <w:docGrid w:linePitch="360"/>
        </w:sectPr>
      </w:pPr>
    </w:p>
    <w:p w:rsidR="00056788" w:rsidRPr="005265F7" w:rsidRDefault="00056788" w:rsidP="005265F7">
      <w:pPr>
        <w:pStyle w:val="Heading1"/>
      </w:pPr>
      <w:bookmarkStart w:id="0" w:name="_Toc286158947"/>
      <w:bookmarkStart w:id="1" w:name="_Toc286160536"/>
      <w:bookmarkStart w:id="2" w:name="_Toc290021759"/>
      <w:bookmarkStart w:id="3" w:name="_Toc282506023"/>
      <w:r w:rsidRPr="005265F7">
        <w:rPr>
          <w:spacing w:val="-20"/>
        </w:rPr>
        <w:lastRenderedPageBreak/>
        <w:t>PART</w:t>
      </w:r>
      <w:r w:rsidRPr="005265F7">
        <w:t xml:space="preserve"> A.</w:t>
      </w:r>
      <w:r w:rsidRPr="005265F7">
        <w:tab/>
        <w:t>JUSTIFICATION</w:t>
      </w:r>
      <w:bookmarkEnd w:id="0"/>
      <w:bookmarkEnd w:id="1"/>
      <w:bookmarkEnd w:id="2"/>
    </w:p>
    <w:p w:rsidR="006B6852" w:rsidRPr="00F87099" w:rsidRDefault="00056788" w:rsidP="00F87099">
      <w:pPr>
        <w:pStyle w:val="Heading2"/>
      </w:pPr>
      <w:bookmarkStart w:id="4" w:name="_Toc286158948"/>
      <w:bookmarkStart w:id="5" w:name="_Toc286160537"/>
      <w:bookmarkStart w:id="6" w:name="_Toc290021760"/>
      <w:r w:rsidRPr="00F87099">
        <w:t>A.1.</w:t>
      </w:r>
      <w:r w:rsidRPr="00F87099">
        <w:tab/>
        <w:t xml:space="preserve">Explain the Circumstances </w:t>
      </w:r>
      <w:bookmarkEnd w:id="4"/>
      <w:bookmarkEnd w:id="5"/>
      <w:bookmarkEnd w:id="6"/>
      <w:r w:rsidRPr="00F87099">
        <w:t>that Make the Collection of Information Necessary.</w:t>
      </w:r>
    </w:p>
    <w:p w:rsidR="00056788" w:rsidRPr="00F87099" w:rsidRDefault="00056788" w:rsidP="00F87099">
      <w:pPr>
        <w:pStyle w:val="Heading2"/>
      </w:pPr>
      <w:r w:rsidRPr="00F87099">
        <w:tab/>
        <w:t>Identify any legal or administrative requirements that necessitate the collection.</w:t>
      </w:r>
      <w:r w:rsidR="006B6852" w:rsidRPr="00F87099">
        <w:t xml:space="preserve"> </w:t>
      </w:r>
      <w:r w:rsidRPr="00F87099">
        <w:t>Attach a copy of the appropriate section of each statute and regulation mandating or authorizing the collection of information.</w:t>
      </w:r>
    </w:p>
    <w:bookmarkEnd w:id="3"/>
    <w:p w:rsidR="00EF7030" w:rsidRDefault="00B1207C" w:rsidP="008A3C93">
      <w:pPr>
        <w:pStyle w:val="P1-StandPara"/>
      </w:pPr>
      <w:r w:rsidRPr="008A3C93">
        <w:t>This is a new information collection</w:t>
      </w:r>
      <w:r w:rsidR="00056788" w:rsidRPr="008A3C93">
        <w:t xml:space="preserve"> </w:t>
      </w:r>
      <w:r w:rsidR="00B677AD" w:rsidRPr="008A3C93">
        <w:t xml:space="preserve">for the </w:t>
      </w:r>
      <w:r w:rsidR="00A109B9" w:rsidRPr="008A3C93">
        <w:t xml:space="preserve">study </w:t>
      </w:r>
      <w:r w:rsidR="00B677AD" w:rsidRPr="008A3C93">
        <w:t xml:space="preserve">titled </w:t>
      </w:r>
      <w:r w:rsidR="006B6852" w:rsidRPr="008A3C93">
        <w:t>“</w:t>
      </w:r>
      <w:r w:rsidR="00B677AD" w:rsidRPr="008A3C93">
        <w:rPr>
          <w:b/>
        </w:rPr>
        <w:t xml:space="preserve">Nutrition Assistance in </w:t>
      </w:r>
      <w:r w:rsidR="000009EB">
        <w:rPr>
          <w:b/>
        </w:rPr>
        <w:t>Farmers market</w:t>
      </w:r>
      <w:r w:rsidR="00B677AD" w:rsidRPr="008A3C93">
        <w:rPr>
          <w:b/>
        </w:rPr>
        <w:t>s: Understanding Current Operations</w:t>
      </w:r>
      <w:r w:rsidR="008A3C93" w:rsidRPr="00EF7030">
        <w:t>.</w:t>
      </w:r>
      <w:r w:rsidR="006B6852" w:rsidRPr="008A3C93">
        <w:t xml:space="preserve">” </w:t>
      </w:r>
      <w:r w:rsidR="00B677AD" w:rsidRPr="008A3C93">
        <w:t xml:space="preserve">The </w:t>
      </w:r>
      <w:r w:rsidR="00A109B9" w:rsidRPr="008A3C93">
        <w:t>study</w:t>
      </w:r>
      <w:r w:rsidR="00EF7030">
        <w:t>,</w:t>
      </w:r>
      <w:r w:rsidR="00B677AD" w:rsidRPr="008A3C93">
        <w:t xml:space="preserve"> planned for FY </w:t>
      </w:r>
      <w:r w:rsidR="00056788" w:rsidRPr="008A3C93">
        <w:t>2011-2012</w:t>
      </w:r>
      <w:r w:rsidR="00EF7030">
        <w:t>,</w:t>
      </w:r>
      <w:r w:rsidR="00056788" w:rsidRPr="008A3C93">
        <w:t xml:space="preserve"> </w:t>
      </w:r>
      <w:r w:rsidR="00EF7030" w:rsidRPr="008A3C93">
        <w:t>affirms the Food, Nutrition and Consumer Services (FNCS) priority for expanding the farm-food connection in Food and Nutrition Service (FNS) programs.</w:t>
      </w:r>
      <w:r w:rsidR="00EF7030" w:rsidRPr="008A3C93">
        <w:rPr>
          <w:vertAlign w:val="superscript"/>
        </w:rPr>
        <w:footnoteReference w:id="1"/>
      </w:r>
      <w:r w:rsidR="00EF7030" w:rsidRPr="008A3C93">
        <w:t xml:space="preserve"> </w:t>
      </w:r>
      <w:r w:rsidR="00EF7030">
        <w:t>The collection is authorized under paragraph 17(a</w:t>
      </w:r>
      <w:proofErr w:type="gramStart"/>
      <w:r w:rsidR="00EF7030">
        <w:t>)(</w:t>
      </w:r>
      <w:proofErr w:type="gramEnd"/>
      <w:r w:rsidR="00EF7030">
        <w:t xml:space="preserve">1) of the Food and Nutrition Act of 2008 (7 U.S.C. 2026). </w:t>
      </w:r>
    </w:p>
    <w:p w:rsidR="00056788" w:rsidRDefault="00056788" w:rsidP="005265F7">
      <w:pPr>
        <w:pStyle w:val="P1-StandPara"/>
      </w:pPr>
    </w:p>
    <w:p w:rsidR="00056788" w:rsidRPr="00056788" w:rsidRDefault="008A3C93" w:rsidP="008A3C93">
      <w:pPr>
        <w:pStyle w:val="Heading4"/>
      </w:pPr>
      <w:r>
        <w:tab/>
      </w:r>
      <w:r w:rsidR="00056788" w:rsidRPr="00056788">
        <w:t>Background</w:t>
      </w:r>
    </w:p>
    <w:p w:rsidR="007F19C1" w:rsidRPr="00092A05" w:rsidRDefault="007F19C1" w:rsidP="00722E73">
      <w:pPr>
        <w:pStyle w:val="P1-StandPara"/>
        <w:ind w:right="-180"/>
      </w:pPr>
      <w:r w:rsidRPr="00092A05">
        <w:t xml:space="preserve">The growing obesity crisis in the United States has created </w:t>
      </w:r>
      <w:r>
        <w:t xml:space="preserve">urgency </w:t>
      </w:r>
      <w:r w:rsidRPr="00092A05">
        <w:t xml:space="preserve">among </w:t>
      </w:r>
      <w:r>
        <w:t xml:space="preserve">scientists and </w:t>
      </w:r>
      <w:r w:rsidRPr="00092A05">
        <w:t xml:space="preserve">public health </w:t>
      </w:r>
      <w:r>
        <w:t xml:space="preserve">officials </w:t>
      </w:r>
      <w:r w:rsidRPr="00092A05">
        <w:t>to develop and test sustainable programs t</w:t>
      </w:r>
      <w:r>
        <w:t xml:space="preserve">hat </w:t>
      </w:r>
      <w:r w:rsidRPr="00092A05">
        <w:t>improve American</w:t>
      </w:r>
      <w:r>
        <w:t xml:space="preserve"> diet</w:t>
      </w:r>
      <w:r w:rsidRPr="00092A05">
        <w:t xml:space="preserve">s. Fruit and vegetable intake has been shown to reduce </w:t>
      </w:r>
      <w:r>
        <w:t xml:space="preserve">the </w:t>
      </w:r>
      <w:r w:rsidRPr="00092A05">
        <w:t>long term risk of obesity</w:t>
      </w:r>
      <w:r w:rsidR="00D20854" w:rsidRPr="00F82FBA">
        <w:rPr>
          <w:rStyle w:val="FootnoteReference"/>
          <w:vertAlign w:val="superscript"/>
        </w:rPr>
        <w:footnoteReference w:id="2"/>
      </w:r>
      <w:r w:rsidRPr="00092A05">
        <w:t xml:space="preserve"> </w:t>
      </w:r>
      <w:r>
        <w:t xml:space="preserve">and </w:t>
      </w:r>
      <w:r w:rsidRPr="00092A05">
        <w:t>other chronic diseases such as heart disease and cancer</w:t>
      </w:r>
      <w:r w:rsidR="00D20854" w:rsidRPr="00DC0D53">
        <w:rPr>
          <w:rStyle w:val="FootnoteReference"/>
          <w:vertAlign w:val="superscript"/>
        </w:rPr>
        <w:footnoteReference w:id="3"/>
      </w:r>
      <w:r w:rsidR="00DC0D53" w:rsidRPr="00DC0D53">
        <w:rPr>
          <w:vertAlign w:val="superscript"/>
        </w:rPr>
        <w:t>,</w:t>
      </w:r>
      <w:r w:rsidR="00D20854" w:rsidRPr="00DC0D53">
        <w:rPr>
          <w:rStyle w:val="FootnoteReference"/>
          <w:vertAlign w:val="superscript"/>
        </w:rPr>
        <w:footnoteReference w:id="4"/>
      </w:r>
      <w:proofErr w:type="gramStart"/>
      <w:r w:rsidR="00DC0D53" w:rsidRPr="00DC0D53">
        <w:rPr>
          <w:vertAlign w:val="superscript"/>
        </w:rPr>
        <w:t>,</w:t>
      </w:r>
      <w:proofErr w:type="gramEnd"/>
      <w:r w:rsidR="00D20854" w:rsidRPr="00DC0D53">
        <w:rPr>
          <w:rStyle w:val="FootnoteReference"/>
          <w:vertAlign w:val="superscript"/>
        </w:rPr>
        <w:footnoteReference w:id="5"/>
      </w:r>
      <w:r w:rsidRPr="00092A05">
        <w:t xml:space="preserve"> and serve</w:t>
      </w:r>
      <w:r>
        <w:t>s</w:t>
      </w:r>
      <w:r w:rsidRPr="00092A05">
        <w:t xml:space="preserve"> as a marker fo</w:t>
      </w:r>
      <w:r>
        <w:t xml:space="preserve">r a healthy diet. However, two thirds of </w:t>
      </w:r>
      <w:r w:rsidRPr="00092A05">
        <w:t xml:space="preserve">U.S. adults </w:t>
      </w:r>
      <w:r>
        <w:t xml:space="preserve">do not </w:t>
      </w:r>
      <w:r w:rsidRPr="00092A05">
        <w:t xml:space="preserve">meet </w:t>
      </w:r>
      <w:r>
        <w:t xml:space="preserve">the </w:t>
      </w:r>
      <w:r w:rsidR="000E7E7C">
        <w:t xml:space="preserve">USDA </w:t>
      </w:r>
      <w:r w:rsidR="009E55EC" w:rsidRPr="009E55EC">
        <w:rPr>
          <w:i/>
        </w:rPr>
        <w:t>Dietary Guidelines</w:t>
      </w:r>
      <w:r w:rsidR="000E7E7C">
        <w:t xml:space="preserve"> </w:t>
      </w:r>
      <w:r>
        <w:t>for fruit and vegetable intake</w:t>
      </w:r>
      <w:r w:rsidRPr="00092A05">
        <w:rPr>
          <w:i/>
        </w:rPr>
        <w:t xml:space="preserve"> </w:t>
      </w:r>
      <w:r w:rsidRPr="00092A05">
        <w:t>(</w:t>
      </w:r>
      <w:proofErr w:type="spellStart"/>
      <w:r w:rsidRPr="00092A05">
        <w:t>Casagrande</w:t>
      </w:r>
      <w:proofErr w:type="spellEnd"/>
      <w:r w:rsidRPr="00092A05">
        <w:t xml:space="preserve"> et al., </w:t>
      </w:r>
      <w:r w:rsidRPr="00092A05">
        <w:lastRenderedPageBreak/>
        <w:t>2007</w:t>
      </w:r>
      <w:r w:rsidR="00D20854" w:rsidRPr="00F82FBA">
        <w:rPr>
          <w:rStyle w:val="FootnoteReference"/>
          <w:vertAlign w:val="superscript"/>
        </w:rPr>
        <w:footnoteReference w:id="6"/>
      </w:r>
      <w:r w:rsidRPr="00092A05">
        <w:t>)</w:t>
      </w:r>
      <w:r>
        <w:t xml:space="preserve">. This shortfall is greatest for </w:t>
      </w:r>
      <w:r w:rsidRPr="00092A05">
        <w:t>low-income Americans</w:t>
      </w:r>
      <w:r>
        <w:t xml:space="preserve">, such as </w:t>
      </w:r>
      <w:r w:rsidRPr="00092A05">
        <w:t>participants in the Supplemental Nutrition Assistance Program</w:t>
      </w:r>
      <w:r w:rsidR="00DC0D53">
        <w:t xml:space="preserve"> (SNAP)</w:t>
      </w:r>
      <w:proofErr w:type="gramStart"/>
      <w:r w:rsidR="00DC0D53">
        <w:t>.</w:t>
      </w:r>
      <w:r w:rsidR="00833890" w:rsidRPr="00833890">
        <w:rPr>
          <w:rStyle w:val="FootnoteReference"/>
          <w:vertAlign w:val="superscript"/>
        </w:rPr>
        <w:footnoteReference w:id="7"/>
      </w:r>
      <w:r w:rsidR="00DC0D53" w:rsidRPr="00DC0D53">
        <w:rPr>
          <w:vertAlign w:val="superscript"/>
        </w:rPr>
        <w:t>,</w:t>
      </w:r>
      <w:proofErr w:type="gramEnd"/>
      <w:r w:rsidR="00D20854" w:rsidRPr="00F82FBA">
        <w:rPr>
          <w:rStyle w:val="FootnoteReference"/>
          <w:vertAlign w:val="superscript"/>
        </w:rPr>
        <w:footnoteReference w:id="8"/>
      </w:r>
    </w:p>
    <w:p w:rsidR="006B6852" w:rsidRDefault="000403D8" w:rsidP="005265F7">
      <w:pPr>
        <w:pStyle w:val="P1-StandPara"/>
      </w:pPr>
      <w:r w:rsidRPr="00092A05">
        <w:t>SNAP is intended to provide a nutrition safety net and reduce food insecurity by providing low-income Americans with access to food, a health</w:t>
      </w:r>
      <w:r w:rsidR="00AB3305">
        <w:t xml:space="preserve">y </w:t>
      </w:r>
      <w:r w:rsidRPr="00092A05">
        <w:t>diet and nutrition education.</w:t>
      </w:r>
      <w:r w:rsidR="006B6852">
        <w:t xml:space="preserve"> </w:t>
      </w:r>
      <w:r w:rsidRPr="00092A05">
        <w:t xml:space="preserve">The Program, administered by the </w:t>
      </w:r>
      <w:r w:rsidRPr="00092A05">
        <w:rPr>
          <w:szCs w:val="24"/>
        </w:rPr>
        <w:t>United States Department of Agriculture (USDA)</w:t>
      </w:r>
      <w:r>
        <w:rPr>
          <w:szCs w:val="24"/>
        </w:rPr>
        <w:t xml:space="preserve"> </w:t>
      </w:r>
      <w:r w:rsidRPr="00092A05">
        <w:t xml:space="preserve">Food and Nutrition Service (FNS), provides eligible low-income households a monthly benefit amount (SNAP allotment) based on </w:t>
      </w:r>
      <w:r w:rsidR="00EE0661">
        <w:t>household</w:t>
      </w:r>
      <w:r w:rsidRPr="00092A05">
        <w:t xml:space="preserve"> size and net income to purchase foods from authorized retailers that can be prepared and eaten at home.</w:t>
      </w:r>
    </w:p>
    <w:p w:rsidR="006B6852" w:rsidRDefault="000403D8" w:rsidP="005265F7">
      <w:pPr>
        <w:pStyle w:val="P1-StandPara"/>
        <w:rPr>
          <w:rFonts w:cs="Garamond"/>
        </w:rPr>
      </w:pPr>
      <w:r>
        <w:t xml:space="preserve">FNS </w:t>
      </w:r>
      <w:r w:rsidRPr="004468FB">
        <w:t>is pursuing several initiatives to improve access to healthy foods among the general public and nutrition assistance program participants</w:t>
      </w:r>
      <w:r w:rsidR="007A5A10">
        <w:t xml:space="preserve"> (i.e., SNAP; Women, Infants, and Children (WIC), and seniors)</w:t>
      </w:r>
      <w:r w:rsidRPr="004468FB">
        <w:t xml:space="preserve">. Among these are steps to support the availability of </w:t>
      </w:r>
      <w:r w:rsidR="000009EB">
        <w:t>farmers market</w:t>
      </w:r>
      <w:r w:rsidRPr="004468FB">
        <w:t>s and direct access to farm products.</w:t>
      </w:r>
      <w:r w:rsidR="006B6852">
        <w:t xml:space="preserve"> </w:t>
      </w:r>
      <w:r w:rsidR="00CF1E6D" w:rsidRPr="004468FB">
        <w:rPr>
          <w:rFonts w:cs="Garamond"/>
        </w:rPr>
        <w:t xml:space="preserve">FNS began working with </w:t>
      </w:r>
      <w:r w:rsidR="000009EB">
        <w:rPr>
          <w:rFonts w:cs="Garamond"/>
        </w:rPr>
        <w:t>farmers market</w:t>
      </w:r>
      <w:r w:rsidR="00CF1E6D" w:rsidRPr="004468FB">
        <w:rPr>
          <w:rFonts w:cs="Garamond"/>
        </w:rPr>
        <w:t>s in the early 1990s to provide food assistance</w:t>
      </w:r>
      <w:r w:rsidR="00CF1E6D">
        <w:rPr>
          <w:rFonts w:cs="Garamond"/>
        </w:rPr>
        <w:t xml:space="preserve"> </w:t>
      </w:r>
      <w:r w:rsidR="00CF1E6D" w:rsidRPr="004468FB">
        <w:rPr>
          <w:rFonts w:cs="Garamond"/>
        </w:rPr>
        <w:t>recipients access to fresh, unprepared, locally grown fruits and vegetables.</w:t>
      </w:r>
    </w:p>
    <w:p w:rsidR="006B6852" w:rsidRDefault="001B74B9" w:rsidP="005265F7">
      <w:pPr>
        <w:pStyle w:val="P1-StandPara"/>
      </w:pPr>
      <w:r>
        <w:t xml:space="preserve">In 1992 </w:t>
      </w:r>
      <w:r w:rsidR="00CF1E6D" w:rsidRPr="004468FB">
        <w:t xml:space="preserve">Congress established </w:t>
      </w:r>
      <w:r w:rsidR="001D6D1E">
        <w:t xml:space="preserve">the </w:t>
      </w:r>
      <w:r w:rsidR="000009EB">
        <w:t>Farmers market</w:t>
      </w:r>
      <w:r w:rsidR="00CF1E6D" w:rsidRPr="004468FB">
        <w:t xml:space="preserve"> Nutrition Program (FMNP) </w:t>
      </w:r>
      <w:r>
        <w:t xml:space="preserve">to provide WIC participants fresh, nutritious, unprepared, locally grown produce through </w:t>
      </w:r>
      <w:r w:rsidR="000009EB">
        <w:t>farmers market</w:t>
      </w:r>
      <w:r>
        <w:t xml:space="preserve">s and to expand awareness and use of </w:t>
      </w:r>
      <w:r w:rsidR="000009EB">
        <w:t>farmers market</w:t>
      </w:r>
      <w:r>
        <w:t>s.</w:t>
      </w:r>
      <w:r w:rsidR="006B6852">
        <w:t xml:space="preserve"> </w:t>
      </w:r>
      <w:r>
        <w:t xml:space="preserve">Participants are issued coupons in addition </w:t>
      </w:r>
      <w:r w:rsidR="00CF1E6D" w:rsidRPr="004468FB">
        <w:t>to their regular benefits to use to</w:t>
      </w:r>
      <w:r w:rsidR="00CF1E6D">
        <w:t xml:space="preserve"> </w:t>
      </w:r>
      <w:r w:rsidR="00CF1E6D" w:rsidRPr="004468FB">
        <w:t xml:space="preserve">purchase </w:t>
      </w:r>
      <w:r>
        <w:t>the produce</w:t>
      </w:r>
      <w:r w:rsidR="00CF1E6D" w:rsidRPr="004468FB">
        <w:t xml:space="preserve"> at approved </w:t>
      </w:r>
      <w:r w:rsidR="000009EB">
        <w:t>farmers market</w:t>
      </w:r>
      <w:r w:rsidR="00CF1E6D">
        <w:t>s.</w:t>
      </w:r>
      <w:r w:rsidR="006B6852">
        <w:t xml:space="preserve"> </w:t>
      </w:r>
      <w:r w:rsidR="0015308E">
        <w:t xml:space="preserve">Similarly, </w:t>
      </w:r>
      <w:r>
        <w:t xml:space="preserve">in 2004 </w:t>
      </w:r>
      <w:r w:rsidR="00CF1E6D" w:rsidRPr="004468FB">
        <w:t>FNS began a grant program for</w:t>
      </w:r>
      <w:r w:rsidR="00CF1E6D">
        <w:t xml:space="preserve"> </w:t>
      </w:r>
      <w:r w:rsidR="00CF1E6D" w:rsidRPr="004468FB">
        <w:t xml:space="preserve">the Senior </w:t>
      </w:r>
      <w:r w:rsidR="000009EB">
        <w:t>Farmers market</w:t>
      </w:r>
      <w:r w:rsidR="00CF1E6D" w:rsidRPr="004468FB">
        <w:t xml:space="preserve"> Nutrition Program (SFMNP), designed to provide persons at least 60 years old</w:t>
      </w:r>
      <w:r w:rsidR="00CF1E6D">
        <w:t xml:space="preserve"> </w:t>
      </w:r>
      <w:r w:rsidR="00CF1E6D" w:rsidRPr="004468FB">
        <w:t>with household incomes not g</w:t>
      </w:r>
      <w:r w:rsidR="005201A4">
        <w:t>reater than 185 percent of the f</w:t>
      </w:r>
      <w:r w:rsidR="00CF1E6D" w:rsidRPr="004468FB">
        <w:t>ederal poverty income guidelines with coupons</w:t>
      </w:r>
      <w:r w:rsidR="00CF1E6D">
        <w:t xml:space="preserve"> they can redeem at approved </w:t>
      </w:r>
      <w:r w:rsidR="000009EB">
        <w:t>farmers market</w:t>
      </w:r>
      <w:r>
        <w:t>s.</w:t>
      </w:r>
      <w:r w:rsidR="008E4137">
        <w:t xml:space="preserve">  </w:t>
      </w:r>
      <w:r w:rsidR="00893211">
        <w:t xml:space="preserve">Also in </w:t>
      </w:r>
      <w:r w:rsidR="008E4137">
        <w:t>2004</w:t>
      </w:r>
      <w:r w:rsidR="00893211">
        <w:t>,</w:t>
      </w:r>
      <w:r w:rsidR="00281EE2">
        <w:t xml:space="preserve"> </w:t>
      </w:r>
      <w:r w:rsidR="00893211">
        <w:t xml:space="preserve">after the Opportunity Reconciliation Act of 2006 required </w:t>
      </w:r>
      <w:r w:rsidR="00893211">
        <w:lastRenderedPageBreak/>
        <w:t xml:space="preserve">all States to issue food stamp benefits via electronic benefit transfer (EBT), FNS </w:t>
      </w:r>
      <w:r w:rsidR="00281EE2">
        <w:t xml:space="preserve">began educating </w:t>
      </w:r>
      <w:r w:rsidR="000009EB">
        <w:t>farmers market</w:t>
      </w:r>
      <w:r w:rsidR="00281EE2">
        <w:t xml:space="preserve">s on the use of EBT </w:t>
      </w:r>
      <w:r w:rsidR="00893211">
        <w:t xml:space="preserve">and providing free EBT point of sales terminals.  </w:t>
      </w:r>
    </w:p>
    <w:p w:rsidR="00092A05" w:rsidRDefault="000009EB" w:rsidP="006773D5">
      <w:pPr>
        <w:pStyle w:val="P1-StandPara"/>
      </w:pPr>
      <w:r>
        <w:t>Farmers market</w:t>
      </w:r>
      <w:r w:rsidR="007F19C1" w:rsidRPr="00AD39D1">
        <w:t>s have the potential to improve access to fresh fruits and vegetables</w:t>
      </w:r>
      <w:r w:rsidR="007F19C1">
        <w:t xml:space="preserve"> for</w:t>
      </w:r>
      <w:r w:rsidR="007F19C1" w:rsidRPr="00AD39D1">
        <w:t xml:space="preserve"> low</w:t>
      </w:r>
      <w:r w:rsidR="007F19C1">
        <w:t>-</w:t>
      </w:r>
      <w:r w:rsidR="007F19C1" w:rsidRPr="00AD39D1">
        <w:t>income communities</w:t>
      </w:r>
      <w:r w:rsidR="007F19C1">
        <w:t xml:space="preserve"> and can </w:t>
      </w:r>
      <w:r w:rsidR="007F19C1" w:rsidRPr="00AD39D1">
        <w:t>serve as an important tool to address health disparities</w:t>
      </w:r>
      <w:r w:rsidR="007F19C1">
        <w:t>.</w:t>
      </w:r>
      <w:r w:rsidR="006B6852">
        <w:t xml:space="preserve"> </w:t>
      </w:r>
      <w:r w:rsidR="007F19C1" w:rsidRPr="00AD39D1">
        <w:t xml:space="preserve">However, despite the exponential growth of </w:t>
      </w:r>
      <w:r>
        <w:t>farmers market</w:t>
      </w:r>
      <w:r w:rsidR="007F19C1" w:rsidRPr="00AD39D1">
        <w:t>s during the last decade, low</w:t>
      </w:r>
      <w:r w:rsidR="007F19C1">
        <w:t>-</w:t>
      </w:r>
      <w:r w:rsidR="007F19C1" w:rsidRPr="00AD39D1">
        <w:t>income households have not fully participated in this upward trend</w:t>
      </w:r>
      <w:r w:rsidR="00D20854" w:rsidRPr="00F82FBA">
        <w:rPr>
          <w:rStyle w:val="FootnoteReference"/>
          <w:vertAlign w:val="superscript"/>
        </w:rPr>
        <w:footnoteReference w:id="9"/>
      </w:r>
      <w:r w:rsidR="007F19C1" w:rsidRPr="00B228A0">
        <w:t xml:space="preserve">. </w:t>
      </w:r>
      <w:r w:rsidR="00B228A0" w:rsidRPr="00B228A0">
        <w:t xml:space="preserve">According to the National Farmers Market Coalition, in 2009, fewer than </w:t>
      </w:r>
      <w:r w:rsidR="00B228A0" w:rsidRPr="00B228A0">
        <w:rPr>
          <w:rFonts w:cs="Arial"/>
        </w:rPr>
        <w:t xml:space="preserve">20 percent of </w:t>
      </w:r>
      <w:r>
        <w:rPr>
          <w:rFonts w:cs="Arial"/>
        </w:rPr>
        <w:t>farmers market</w:t>
      </w:r>
      <w:r w:rsidR="00B228A0" w:rsidRPr="00B228A0">
        <w:rPr>
          <w:rFonts w:cs="Arial"/>
        </w:rPr>
        <w:t>s accept SNAP benefits</w:t>
      </w:r>
      <w:r w:rsidR="006773D5">
        <w:rPr>
          <w:rFonts w:cs="Arial"/>
        </w:rPr>
        <w:t>.</w:t>
      </w:r>
      <w:r w:rsidR="00B228A0" w:rsidRPr="006773D5">
        <w:rPr>
          <w:rStyle w:val="FootnoteReference"/>
          <w:rFonts w:cs="Arial"/>
          <w:vertAlign w:val="superscript"/>
        </w:rPr>
        <w:footnoteReference w:id="10"/>
      </w:r>
      <w:r w:rsidR="006B6852">
        <w:rPr>
          <w:rFonts w:cs="Arial"/>
        </w:rPr>
        <w:t xml:space="preserve"> </w:t>
      </w:r>
      <w:r w:rsidR="00B228A0" w:rsidRPr="00B228A0">
        <w:rPr>
          <w:rFonts w:cs="Arial"/>
        </w:rPr>
        <w:t>I</w:t>
      </w:r>
      <w:r w:rsidR="00B228A0" w:rsidRPr="00B228A0">
        <w:rPr>
          <w:szCs w:val="24"/>
        </w:rPr>
        <w:t>n 2009</w:t>
      </w:r>
      <w:r w:rsidR="00270FA3">
        <w:rPr>
          <w:szCs w:val="24"/>
        </w:rPr>
        <w:t>,</w:t>
      </w:r>
      <w:r w:rsidR="00B228A0" w:rsidRPr="00B228A0">
        <w:rPr>
          <w:szCs w:val="24"/>
        </w:rPr>
        <w:t xml:space="preserve"> American consumers overall spent about 0.2 percent of their food dollars at </w:t>
      </w:r>
      <w:r>
        <w:rPr>
          <w:szCs w:val="24"/>
        </w:rPr>
        <w:t>farmers market</w:t>
      </w:r>
      <w:r w:rsidR="00B228A0" w:rsidRPr="00B228A0">
        <w:rPr>
          <w:szCs w:val="24"/>
        </w:rPr>
        <w:t>s</w:t>
      </w:r>
      <w:r w:rsidR="00FF59A5">
        <w:rPr>
          <w:szCs w:val="24"/>
        </w:rPr>
        <w:t>.</w:t>
      </w:r>
      <w:r w:rsidR="00D20854" w:rsidRPr="00F82FBA">
        <w:rPr>
          <w:rStyle w:val="FootnoteReference"/>
          <w:szCs w:val="24"/>
          <w:vertAlign w:val="superscript"/>
        </w:rPr>
        <w:footnoteReference w:id="11"/>
      </w:r>
      <w:r w:rsidR="006B6852">
        <w:rPr>
          <w:szCs w:val="24"/>
        </w:rPr>
        <w:t xml:space="preserve"> </w:t>
      </w:r>
      <w:r w:rsidR="00B228A0" w:rsidRPr="00B228A0">
        <w:rPr>
          <w:szCs w:val="24"/>
        </w:rPr>
        <w:t xml:space="preserve">In FY 2010 </w:t>
      </w:r>
      <w:r>
        <w:rPr>
          <w:szCs w:val="24"/>
        </w:rPr>
        <w:t>farmers market</w:t>
      </w:r>
      <w:r w:rsidR="00B228A0" w:rsidRPr="00B228A0">
        <w:rPr>
          <w:szCs w:val="24"/>
        </w:rPr>
        <w:t xml:space="preserve">s grew 16 percent and SNAP redemption at </w:t>
      </w:r>
      <w:r>
        <w:rPr>
          <w:szCs w:val="24"/>
        </w:rPr>
        <w:t>farmers market</w:t>
      </w:r>
      <w:r w:rsidR="00B228A0" w:rsidRPr="00B228A0">
        <w:rPr>
          <w:szCs w:val="24"/>
        </w:rPr>
        <w:t>s grew over 70 percent.</w:t>
      </w:r>
      <w:r w:rsidR="006B6852">
        <w:rPr>
          <w:szCs w:val="24"/>
        </w:rPr>
        <w:t xml:space="preserve"> </w:t>
      </w:r>
      <w:r w:rsidR="00B228A0" w:rsidRPr="00B228A0">
        <w:rPr>
          <w:szCs w:val="24"/>
        </w:rPr>
        <w:t xml:space="preserve">However, despite this unprecedented growth, only 0.01 percent of all SNAP transactions were redeemed at </w:t>
      </w:r>
      <w:r>
        <w:rPr>
          <w:szCs w:val="24"/>
        </w:rPr>
        <w:t>farmers market</w:t>
      </w:r>
      <w:r w:rsidR="00B228A0" w:rsidRPr="00B228A0">
        <w:rPr>
          <w:szCs w:val="24"/>
        </w:rPr>
        <w:t>s in 2010</w:t>
      </w:r>
      <w:r w:rsidR="00BB5EAA" w:rsidRPr="003D5B1A">
        <w:rPr>
          <w:rStyle w:val="FootnoteReference"/>
          <w:szCs w:val="24"/>
          <w:vertAlign w:val="superscript"/>
        </w:rPr>
        <w:footnoteReference w:id="12"/>
      </w:r>
      <w:r w:rsidR="00B228A0" w:rsidRPr="00B228A0">
        <w:rPr>
          <w:szCs w:val="24"/>
        </w:rPr>
        <w:t xml:space="preserve">. </w:t>
      </w:r>
      <w:r w:rsidR="00270FA3">
        <w:rPr>
          <w:szCs w:val="24"/>
        </w:rPr>
        <w:t xml:space="preserve">  </w:t>
      </w:r>
      <w:r w:rsidR="00092A05" w:rsidRPr="00B228A0">
        <w:t xml:space="preserve">FNS is committed to increasing the presence of </w:t>
      </w:r>
      <w:r>
        <w:t>farmers market</w:t>
      </w:r>
      <w:r w:rsidR="00092A05" w:rsidRPr="00B228A0">
        <w:t>s among SNAP authorized retailers.</w:t>
      </w:r>
      <w:r w:rsidR="006B6852">
        <w:t xml:space="preserve"> </w:t>
      </w:r>
      <w:r w:rsidR="0015308E" w:rsidRPr="00B228A0">
        <w:t xml:space="preserve">The goal of the </w:t>
      </w:r>
      <w:r w:rsidR="00B228A0">
        <w:t xml:space="preserve">proposed </w:t>
      </w:r>
      <w:r w:rsidR="0015308E" w:rsidRPr="00B228A0">
        <w:t xml:space="preserve">study is </w:t>
      </w:r>
      <w:r w:rsidR="00092A05" w:rsidRPr="00B228A0">
        <w:t>to increase FNS</w:t>
      </w:r>
      <w:r w:rsidR="006B6852">
        <w:t>’</w:t>
      </w:r>
      <w:r w:rsidR="00092A05" w:rsidRPr="00B228A0">
        <w:t xml:space="preserve">s understanding of the </w:t>
      </w:r>
      <w:proofErr w:type="gramStart"/>
      <w:r>
        <w:t>farmers</w:t>
      </w:r>
      <w:proofErr w:type="gramEnd"/>
      <w:r>
        <w:t xml:space="preserve"> market</w:t>
      </w:r>
      <w:r w:rsidR="00092A05" w:rsidRPr="00B228A0">
        <w:t xml:space="preserve"> environment </w:t>
      </w:r>
      <w:r w:rsidR="00212456">
        <w:t>such that it can i</w:t>
      </w:r>
      <w:r w:rsidR="00092A05" w:rsidRPr="00B228A0">
        <w:t xml:space="preserve">nform </w:t>
      </w:r>
      <w:r w:rsidR="0015308E" w:rsidRPr="00B228A0">
        <w:t xml:space="preserve">future </w:t>
      </w:r>
      <w:r w:rsidR="00092A05" w:rsidRPr="00B228A0">
        <w:t xml:space="preserve">policy in a manner that attracts </w:t>
      </w:r>
      <w:r w:rsidR="0015308E" w:rsidRPr="00B228A0">
        <w:t xml:space="preserve">a </w:t>
      </w:r>
      <w:r w:rsidR="00092A05" w:rsidRPr="00B228A0">
        <w:t xml:space="preserve">greater numbers of </w:t>
      </w:r>
      <w:r>
        <w:t>farmers market</w:t>
      </w:r>
      <w:r w:rsidR="00092A05" w:rsidRPr="00B228A0">
        <w:t>s and SNAP shoppers.</w:t>
      </w:r>
    </w:p>
    <w:p w:rsidR="006B6852" w:rsidRPr="00E326F7" w:rsidRDefault="00056788" w:rsidP="00E326F7">
      <w:pPr>
        <w:pStyle w:val="Heading2"/>
      </w:pPr>
      <w:bookmarkStart w:id="7" w:name="_Toc286158949"/>
      <w:bookmarkStart w:id="8" w:name="_Toc286160538"/>
      <w:bookmarkStart w:id="9" w:name="_Toc290021761"/>
      <w:r w:rsidRPr="00E326F7">
        <w:t>A.2.</w:t>
      </w:r>
      <w:r w:rsidRPr="00E326F7">
        <w:tab/>
      </w:r>
      <w:bookmarkEnd w:id="7"/>
      <w:bookmarkEnd w:id="8"/>
      <w:bookmarkEnd w:id="9"/>
      <w:r w:rsidRPr="00E326F7">
        <w:t xml:space="preserve">Indicate </w:t>
      </w:r>
      <w:proofErr w:type="gramStart"/>
      <w:r w:rsidRPr="00E326F7">
        <w:t>How</w:t>
      </w:r>
      <w:proofErr w:type="gramEnd"/>
      <w:r w:rsidRPr="00E326F7">
        <w:t>, by Whom, How Frequently, and for What Purpose the Information is to be Used.</w:t>
      </w:r>
    </w:p>
    <w:p w:rsidR="00056788" w:rsidRPr="00E326F7" w:rsidRDefault="00056788" w:rsidP="00E326F7">
      <w:pPr>
        <w:pStyle w:val="Heading2"/>
      </w:pPr>
      <w:r w:rsidRPr="00E326F7">
        <w:tab/>
        <w:t>Except for a new collection, indicate the actual use the agency has made of the information received from the current collection.</w:t>
      </w:r>
    </w:p>
    <w:p w:rsidR="00872A67" w:rsidRPr="0015308E" w:rsidRDefault="00872A67" w:rsidP="00872A67">
      <w:pPr>
        <w:pStyle w:val="P1-StandPara"/>
      </w:pPr>
      <w:r>
        <w:t xml:space="preserve">The proposed study involves a national survey of </w:t>
      </w:r>
      <w:r w:rsidR="00804663">
        <w:t>F</w:t>
      </w:r>
      <w:r w:rsidR="00833890">
        <w:t>armers Market (F</w:t>
      </w:r>
      <w:r w:rsidR="00804663">
        <w:t>M</w:t>
      </w:r>
      <w:r w:rsidR="00833890">
        <w:t>)</w:t>
      </w:r>
      <w:r>
        <w:t xml:space="preserve"> managers and </w:t>
      </w:r>
      <w:r w:rsidR="00804663">
        <w:t>D</w:t>
      </w:r>
      <w:r w:rsidR="00833890">
        <w:t>irect Marketing (D</w:t>
      </w:r>
      <w:r w:rsidR="00804663">
        <w:t>M</w:t>
      </w:r>
      <w:r w:rsidR="00833890">
        <w:t>)</w:t>
      </w:r>
      <w:r w:rsidR="00804663">
        <w:t xml:space="preserve"> </w:t>
      </w:r>
      <w:r>
        <w:t xml:space="preserve">farmers to understand their current operations and how those affect </w:t>
      </w:r>
      <w:r>
        <w:lastRenderedPageBreak/>
        <w:t xml:space="preserve">participation in USDA nutrition assistance programs. </w:t>
      </w:r>
      <w:r w:rsidR="00804663">
        <w:t xml:space="preserve"> About 80% of </w:t>
      </w:r>
      <w:r w:rsidR="0019732C">
        <w:t>F</w:t>
      </w:r>
      <w:r w:rsidR="00804663">
        <w:t xml:space="preserve">M </w:t>
      </w:r>
      <w:r w:rsidR="0019732C">
        <w:t xml:space="preserve">managers </w:t>
      </w:r>
      <w:r w:rsidR="00804663">
        <w:t>and 2% of DM f</w:t>
      </w:r>
      <w:r w:rsidR="00B13A74">
        <w:t xml:space="preserve">armers are considered businesses for </w:t>
      </w:r>
      <w:r w:rsidR="00804663">
        <w:t xml:space="preserve">profit.   Many of the DM farmers </w:t>
      </w:r>
      <w:r w:rsidR="00F54CCA">
        <w:t xml:space="preserve">are </w:t>
      </w:r>
      <w:r w:rsidR="0019732C">
        <w:t xml:space="preserve">small business owners.  </w:t>
      </w:r>
      <w:r>
        <w:t>In addition</w:t>
      </w:r>
      <w:r w:rsidR="00F54CCA">
        <w:t xml:space="preserve"> to the national study</w:t>
      </w:r>
      <w:r>
        <w:t>, two related sub-studies</w:t>
      </w:r>
      <w:r w:rsidR="00F54CCA">
        <w:t xml:space="preserve"> include</w:t>
      </w:r>
      <w:r>
        <w:t xml:space="preserve">: </w:t>
      </w:r>
      <w:r w:rsidR="00F54CCA">
        <w:t>examination of</w:t>
      </w:r>
      <w:r>
        <w:t xml:space="preserve"> the undercovereage of </w:t>
      </w:r>
      <w:r w:rsidR="000009EB">
        <w:t>farmers market</w:t>
      </w:r>
      <w:r>
        <w:t xml:space="preserve">s on the sampling frame, and </w:t>
      </w:r>
      <w:r w:rsidR="00F54CCA">
        <w:t>exploration of</w:t>
      </w:r>
      <w:r>
        <w:t xml:space="preserve"> the market operation characteristics that influence SNAP recipients’ decisions to shop at a </w:t>
      </w:r>
      <w:r w:rsidR="000009EB">
        <w:t>farmers market</w:t>
      </w:r>
      <w:r>
        <w:t>.</w:t>
      </w:r>
    </w:p>
    <w:p w:rsidR="00872A67" w:rsidRPr="00B84A59" w:rsidRDefault="00872A67" w:rsidP="00872A67">
      <w:pPr>
        <w:pStyle w:val="Heading4"/>
        <w:rPr>
          <w:szCs w:val="24"/>
        </w:rPr>
      </w:pPr>
      <w:r>
        <w:rPr>
          <w:szCs w:val="24"/>
        </w:rPr>
        <w:tab/>
      </w:r>
      <w:r w:rsidRPr="00B84A59">
        <w:rPr>
          <w:szCs w:val="24"/>
        </w:rPr>
        <w:t>Study Objectives</w:t>
      </w:r>
    </w:p>
    <w:p w:rsidR="008F3AD5" w:rsidRDefault="008F3AD5" w:rsidP="00872A67">
      <w:pPr>
        <w:pStyle w:val="N0-FlLftBullet"/>
        <w:rPr>
          <w:u w:val="single"/>
        </w:rPr>
      </w:pPr>
      <w:r>
        <w:rPr>
          <w:u w:val="single"/>
        </w:rPr>
        <w:t xml:space="preserve">National Survey of Nutrition Assistance and Farmers/Farmers Markets </w:t>
      </w:r>
    </w:p>
    <w:p w:rsidR="00872A67" w:rsidRPr="00E917C7" w:rsidRDefault="00872A67" w:rsidP="00872A67">
      <w:pPr>
        <w:pStyle w:val="P1-StandPara"/>
      </w:pPr>
      <w:r w:rsidRPr="00E917C7">
        <w:t>The objecti</w:t>
      </w:r>
      <w:r>
        <w:t>ves of this national study are to</w:t>
      </w:r>
      <w:r w:rsidRPr="00E917C7">
        <w:t>:</w:t>
      </w:r>
    </w:p>
    <w:p w:rsidR="00872A67" w:rsidRDefault="00872A67" w:rsidP="00872A67">
      <w:pPr>
        <w:pStyle w:val="N1-1stBullet"/>
        <w:numPr>
          <w:ilvl w:val="0"/>
          <w:numId w:val="16"/>
        </w:numPr>
      </w:pPr>
      <w:r w:rsidRPr="00EE0661">
        <w:t xml:space="preserve">Understand the characteristics of </w:t>
      </w:r>
      <w:r>
        <w:t>SNAP authorized and not SNAP authorized FMs and DM farmers</w:t>
      </w:r>
      <w:r w:rsidRPr="00EE0661">
        <w:t>.</w:t>
      </w:r>
    </w:p>
    <w:p w:rsidR="00872A67" w:rsidRDefault="00872A67" w:rsidP="00872A67">
      <w:pPr>
        <w:pStyle w:val="N1-1stBullet"/>
        <w:numPr>
          <w:ilvl w:val="0"/>
          <w:numId w:val="16"/>
        </w:numPr>
      </w:pPr>
      <w:r w:rsidRPr="00EE0661">
        <w:t xml:space="preserve">For </w:t>
      </w:r>
      <w:r>
        <w:t xml:space="preserve">SNAP </w:t>
      </w:r>
      <w:r w:rsidRPr="00EE0661">
        <w:t>authorized markets</w:t>
      </w:r>
      <w:r>
        <w:t xml:space="preserve"> and DM farmers</w:t>
      </w:r>
      <w:r w:rsidRPr="00EE0661">
        <w:t>, understand relationship of characteristics to the way the program works (</w:t>
      </w:r>
      <w:r>
        <w:t xml:space="preserve">e.g., </w:t>
      </w:r>
      <w:r w:rsidRPr="00EE0661">
        <w:t>system of redemption, volume of redemptions) in that setting.</w:t>
      </w:r>
    </w:p>
    <w:p w:rsidR="00872A67" w:rsidRDefault="00872A67" w:rsidP="00872A67">
      <w:pPr>
        <w:pStyle w:val="N1-1stBullet"/>
        <w:numPr>
          <w:ilvl w:val="0"/>
          <w:numId w:val="16"/>
        </w:numPr>
      </w:pPr>
      <w:r w:rsidRPr="00EE0661">
        <w:t xml:space="preserve">Understand </w:t>
      </w:r>
      <w:r>
        <w:t xml:space="preserve">the </w:t>
      </w:r>
      <w:r w:rsidRPr="00EE0661">
        <w:t>connections to other markets, support organizations, and other entities, including sources of funding.</w:t>
      </w:r>
    </w:p>
    <w:p w:rsidR="00872A67" w:rsidRDefault="00872A67" w:rsidP="00872A67">
      <w:pPr>
        <w:pStyle w:val="N1-1stBullet"/>
        <w:numPr>
          <w:ilvl w:val="0"/>
          <w:numId w:val="16"/>
        </w:numPr>
      </w:pPr>
      <w:r w:rsidRPr="00EE0661">
        <w:t>Understand the characteristics that predict participation and lack of participation in SNAP and other FNS programs.</w:t>
      </w:r>
    </w:p>
    <w:p w:rsidR="00872A67" w:rsidRPr="006773D5" w:rsidRDefault="00872A67" w:rsidP="00872A67">
      <w:pPr>
        <w:pStyle w:val="N0-FlLftBullet"/>
        <w:rPr>
          <w:u w:val="single"/>
        </w:rPr>
      </w:pPr>
      <w:r w:rsidRPr="006773D5">
        <w:rPr>
          <w:u w:val="single"/>
        </w:rPr>
        <w:t>Undercoverage sub-study of FMs on the sampling frame</w:t>
      </w:r>
    </w:p>
    <w:p w:rsidR="00872A67" w:rsidRDefault="00872A67" w:rsidP="00872A67">
      <w:pPr>
        <w:pStyle w:val="P1-StandPara"/>
      </w:pPr>
      <w:r>
        <w:t>The objective of this sub-study is:</w:t>
      </w:r>
    </w:p>
    <w:p w:rsidR="00872A67" w:rsidRPr="006773D5" w:rsidRDefault="00872A67" w:rsidP="00872A67">
      <w:pPr>
        <w:pStyle w:val="N1-1stBullet"/>
        <w:numPr>
          <w:ilvl w:val="0"/>
          <w:numId w:val="17"/>
        </w:numPr>
        <w:rPr>
          <w:rFonts w:cs="Melior"/>
          <w:szCs w:val="24"/>
        </w:rPr>
      </w:pPr>
      <w:r w:rsidRPr="00E917C7">
        <w:rPr>
          <w:rFonts w:cs="Melior"/>
          <w:szCs w:val="24"/>
        </w:rPr>
        <w:t xml:space="preserve">To assess the most recent version of the </w:t>
      </w:r>
      <w:r>
        <w:t xml:space="preserve">Agricultural Marketing Service (AMS) </w:t>
      </w:r>
      <w:r w:rsidRPr="00E917C7">
        <w:t xml:space="preserve">Directory for completeness and representativeness of </w:t>
      </w:r>
      <w:r>
        <w:t>FMs</w:t>
      </w:r>
      <w:r w:rsidRPr="00E917C7">
        <w:t>.</w:t>
      </w:r>
    </w:p>
    <w:p w:rsidR="00872A67" w:rsidRDefault="00872A67" w:rsidP="00872A67">
      <w:pPr>
        <w:spacing w:line="240" w:lineRule="auto"/>
        <w:rPr>
          <w:u w:val="single"/>
        </w:rPr>
      </w:pPr>
      <w:r w:rsidRPr="006773D5">
        <w:rPr>
          <w:u w:val="single"/>
        </w:rPr>
        <w:t>Focus groups sub-study with SNAP recipients</w:t>
      </w:r>
    </w:p>
    <w:p w:rsidR="00872A67" w:rsidRDefault="00872A67" w:rsidP="00872A67">
      <w:pPr>
        <w:spacing w:line="240" w:lineRule="auto"/>
        <w:rPr>
          <w:u w:val="single"/>
        </w:rPr>
      </w:pPr>
    </w:p>
    <w:p w:rsidR="00872A67" w:rsidRPr="00E917C7" w:rsidRDefault="00872A67" w:rsidP="00872A67">
      <w:pPr>
        <w:pStyle w:val="P1-StandPara"/>
      </w:pPr>
      <w:r w:rsidRPr="00E917C7">
        <w:t>The objective of this sub-study is:</w:t>
      </w:r>
    </w:p>
    <w:p w:rsidR="00872A67" w:rsidRDefault="00872A67" w:rsidP="00872A67">
      <w:pPr>
        <w:pStyle w:val="N1-1stBullet"/>
        <w:numPr>
          <w:ilvl w:val="0"/>
          <w:numId w:val="17"/>
        </w:numPr>
      </w:pPr>
      <w:r w:rsidRPr="00E917C7">
        <w:t xml:space="preserve">To </w:t>
      </w:r>
      <w:r>
        <w:t>explore</w:t>
      </w:r>
      <w:r w:rsidRPr="00E917C7">
        <w:t xml:space="preserve"> the market operations factors that serve as facilitators or barriers to shopping</w:t>
      </w:r>
      <w:r>
        <w:t xml:space="preserve"> at</w:t>
      </w:r>
      <w:r w:rsidRPr="00E61543">
        <w:t xml:space="preserve"> </w:t>
      </w:r>
      <w:r>
        <w:t>FMs for SNAP recipients</w:t>
      </w:r>
      <w:r w:rsidRPr="00E61543">
        <w:t>.</w:t>
      </w:r>
    </w:p>
    <w:p w:rsidR="00872A67" w:rsidRDefault="00872A67" w:rsidP="00872A67">
      <w:pPr>
        <w:pStyle w:val="P1-StandPara"/>
      </w:pPr>
    </w:p>
    <w:p w:rsidR="00B1207C" w:rsidRPr="00E326F7" w:rsidRDefault="00B1207C" w:rsidP="00E326F7">
      <w:pPr>
        <w:pStyle w:val="Heading4"/>
      </w:pPr>
      <w:r w:rsidRPr="00E326F7">
        <w:lastRenderedPageBreak/>
        <w:tab/>
        <w:t xml:space="preserve">Overview of National Survey of </w:t>
      </w:r>
      <w:r w:rsidR="008F3AD5">
        <w:t>Nutrition Assistance and Farmers/</w:t>
      </w:r>
      <w:r w:rsidR="000009EB">
        <w:t>Farmers market</w:t>
      </w:r>
      <w:r w:rsidR="008F3AD5">
        <w:t>s</w:t>
      </w:r>
      <w:r w:rsidRPr="00E326F7">
        <w:t xml:space="preserve"> </w:t>
      </w:r>
    </w:p>
    <w:p w:rsidR="006B6852" w:rsidRDefault="00B1207C" w:rsidP="00E326F7">
      <w:pPr>
        <w:pStyle w:val="P1-StandPara"/>
      </w:pPr>
      <w:r w:rsidRPr="00FF59A5">
        <w:t>A</w:t>
      </w:r>
      <w:r w:rsidR="00804663" w:rsidRPr="00FF59A5">
        <w:t xml:space="preserve"> total of 2101</w:t>
      </w:r>
      <w:r w:rsidRPr="00FF59A5">
        <w:t xml:space="preserve"> </w:t>
      </w:r>
      <w:r w:rsidR="008F3AD5" w:rsidRPr="00FF59A5">
        <w:t>Farmers Market (FM)</w:t>
      </w:r>
      <w:r w:rsidR="00B1607A" w:rsidRPr="00FF59A5">
        <w:t xml:space="preserve"> </w:t>
      </w:r>
      <w:r w:rsidRPr="00FF59A5">
        <w:t xml:space="preserve">managers and </w:t>
      </w:r>
      <w:r w:rsidR="0069312A" w:rsidRPr="00FF59A5">
        <w:t>443</w:t>
      </w:r>
      <w:r w:rsidR="00804663" w:rsidRPr="00FF59A5">
        <w:t xml:space="preserve"> </w:t>
      </w:r>
      <w:r w:rsidR="008F3AD5" w:rsidRPr="00FF59A5">
        <w:t xml:space="preserve">Direct </w:t>
      </w:r>
      <w:r w:rsidR="008F3AD5">
        <w:t>Marketing (</w:t>
      </w:r>
      <w:r w:rsidR="00B1607A">
        <w:t>D</w:t>
      </w:r>
      <w:r w:rsidR="00701391">
        <w:t>M</w:t>
      </w:r>
      <w:r w:rsidR="008F3AD5">
        <w:t>)</w:t>
      </w:r>
      <w:r w:rsidR="00701391">
        <w:t xml:space="preserve"> farmers</w:t>
      </w:r>
      <w:r w:rsidR="00B1607A">
        <w:t xml:space="preserve"> </w:t>
      </w:r>
      <w:r>
        <w:t xml:space="preserve">will </w:t>
      </w:r>
      <w:r w:rsidR="003C4296">
        <w:t xml:space="preserve">be invited to </w:t>
      </w:r>
      <w:r>
        <w:t xml:space="preserve">participate in the national survey; these participants will represent one of the following four </w:t>
      </w:r>
      <w:r w:rsidR="00833890">
        <w:t>strata</w:t>
      </w:r>
      <w:r w:rsidR="00AA0841">
        <w:t>:</w:t>
      </w:r>
    </w:p>
    <w:p w:rsidR="006B6852" w:rsidRDefault="00AA0841" w:rsidP="00E326F7">
      <w:pPr>
        <w:pStyle w:val="N1-1stBullet"/>
        <w:numPr>
          <w:ilvl w:val="0"/>
          <w:numId w:val="18"/>
        </w:numPr>
      </w:pPr>
      <w:r w:rsidRPr="00B84A59">
        <w:t xml:space="preserve">SNAP authorized </w:t>
      </w:r>
      <w:r w:rsidR="00B1607A">
        <w:t xml:space="preserve">FMs </w:t>
      </w:r>
      <w:r w:rsidR="00194BA5" w:rsidRPr="00B84A59">
        <w:t xml:space="preserve">and </w:t>
      </w:r>
      <w:r w:rsidR="00B1607A">
        <w:t>D</w:t>
      </w:r>
      <w:r w:rsidR="00701391">
        <w:t>M farmers</w:t>
      </w:r>
      <w:r w:rsidR="00B1607A">
        <w:t xml:space="preserve"> </w:t>
      </w:r>
      <w:r w:rsidRPr="00B84A59">
        <w:t>that redeemed benefits during the last 12 months;</w:t>
      </w:r>
    </w:p>
    <w:p w:rsidR="006B6852" w:rsidRDefault="00AA0841" w:rsidP="00E326F7">
      <w:pPr>
        <w:pStyle w:val="N1-1stBullet"/>
        <w:numPr>
          <w:ilvl w:val="0"/>
          <w:numId w:val="18"/>
        </w:numPr>
      </w:pPr>
      <w:r w:rsidRPr="00B84A59">
        <w:t xml:space="preserve">SNAP authorized </w:t>
      </w:r>
      <w:r w:rsidR="00B1607A">
        <w:t xml:space="preserve">FMs </w:t>
      </w:r>
      <w:r w:rsidR="00194BA5" w:rsidRPr="00B84A59">
        <w:t xml:space="preserve">and </w:t>
      </w:r>
      <w:r w:rsidR="00B1607A">
        <w:t>D</w:t>
      </w:r>
      <w:r w:rsidR="00701391">
        <w:t>M farmers</w:t>
      </w:r>
      <w:r w:rsidR="00B1607A">
        <w:t xml:space="preserve"> </w:t>
      </w:r>
      <w:r w:rsidRPr="00B84A59">
        <w:t>that did not redeem benefits during the last 12 months;</w:t>
      </w:r>
    </w:p>
    <w:p w:rsidR="006B6852" w:rsidRDefault="00B1607A" w:rsidP="00E326F7">
      <w:pPr>
        <w:pStyle w:val="N1-1stBullet"/>
        <w:numPr>
          <w:ilvl w:val="0"/>
          <w:numId w:val="18"/>
        </w:numPr>
      </w:pPr>
      <w:r>
        <w:t xml:space="preserve">FMs </w:t>
      </w:r>
      <w:r w:rsidR="00194BA5" w:rsidRPr="00B84A59">
        <w:t xml:space="preserve">and </w:t>
      </w:r>
      <w:r>
        <w:t>D</w:t>
      </w:r>
      <w:r w:rsidR="00701391">
        <w:t>M farmers</w:t>
      </w:r>
      <w:r>
        <w:t xml:space="preserve"> </w:t>
      </w:r>
      <w:r w:rsidR="00AA0841" w:rsidRPr="00B84A59">
        <w:t>that were SNAP-authorized sometime during the past 5-years, but have not been authorized during the last 12 months; and</w:t>
      </w:r>
    </w:p>
    <w:p w:rsidR="006B6852" w:rsidRDefault="00B1607A" w:rsidP="00E326F7">
      <w:pPr>
        <w:pStyle w:val="N1-1stBullet"/>
        <w:numPr>
          <w:ilvl w:val="0"/>
          <w:numId w:val="18"/>
        </w:numPr>
      </w:pPr>
      <w:r>
        <w:t xml:space="preserve">FMS </w:t>
      </w:r>
      <w:r w:rsidR="00AA0841" w:rsidRPr="00B84A59">
        <w:t>that have never been authorized to redeem SNAP benefits.</w:t>
      </w:r>
    </w:p>
    <w:p w:rsidR="00872A67" w:rsidRDefault="00872A67" w:rsidP="00872A67">
      <w:pPr>
        <w:pStyle w:val="N1-1stBullet"/>
        <w:numPr>
          <w:ilvl w:val="0"/>
          <w:numId w:val="0"/>
        </w:numPr>
        <w:ind w:left="1152"/>
      </w:pPr>
    </w:p>
    <w:p w:rsidR="00AB1987" w:rsidRPr="00296662" w:rsidRDefault="00F56D05" w:rsidP="00AB1987">
      <w:pPr>
        <w:pStyle w:val="P1-StandPara"/>
        <w:ind w:right="-90"/>
      </w:pPr>
      <w:r w:rsidRPr="00296662">
        <w:t xml:space="preserve">The first three </w:t>
      </w:r>
      <w:proofErr w:type="spellStart"/>
      <w:r w:rsidR="00833890">
        <w:t>starta</w:t>
      </w:r>
      <w:proofErr w:type="spellEnd"/>
      <w:r w:rsidRPr="00296662">
        <w:t xml:space="preserve"> will be selected from the </w:t>
      </w:r>
      <w:r w:rsidR="00B13A74">
        <w:t xml:space="preserve">FNS </w:t>
      </w:r>
      <w:r w:rsidRPr="00296662">
        <w:t xml:space="preserve">Store Tracking Redemptions Systems (STARS II) database, and the fourth </w:t>
      </w:r>
      <w:r w:rsidR="00833890">
        <w:t>stratum</w:t>
      </w:r>
      <w:r w:rsidRPr="00296662">
        <w:t xml:space="preserve"> will be selected from the Agricultural Marketing Service (AMS) directory.  </w:t>
      </w:r>
      <w:r w:rsidR="00194BA5" w:rsidRPr="00296662">
        <w:t xml:space="preserve">To maximize survey response rates and control costs, the data collection plan will involve a sequence of requests that will vary the mode of data collection and allow respondents to report in the mode that is most efficient for them. </w:t>
      </w:r>
      <w:r w:rsidR="00AB1987" w:rsidRPr="00296662">
        <w:rPr>
          <w:rFonts w:cs="Garamond"/>
        </w:rPr>
        <w:t>Mixing modes allows researchers to compensate for the limitations of each mode, in the hopes of reducing particular forms of survey error, increasing response rates, speeding up data collection, or lowering costs.</w:t>
      </w:r>
      <w:r w:rsidR="00AB1987" w:rsidRPr="00296662">
        <w:rPr>
          <w:rStyle w:val="FootnoteReference"/>
          <w:vertAlign w:val="superscript"/>
        </w:rPr>
        <w:footnoteReference w:id="13"/>
      </w:r>
      <w:r w:rsidR="00AB1987" w:rsidRPr="00296662">
        <w:rPr>
          <w:rFonts w:cs="Garamond"/>
          <w:vertAlign w:val="superscript"/>
        </w:rPr>
        <w:t xml:space="preserve"> </w:t>
      </w:r>
      <w:r w:rsidR="00AB1987" w:rsidRPr="00296662">
        <w:rPr>
          <w:rFonts w:cs="Garamond"/>
        </w:rPr>
        <w:t xml:space="preserve"> </w:t>
      </w:r>
    </w:p>
    <w:p w:rsidR="00AB1987" w:rsidRPr="00296662" w:rsidRDefault="003947B8" w:rsidP="00AB1987">
      <w:pPr>
        <w:pStyle w:val="P1-StandPara"/>
        <w:ind w:right="-90" w:firstLine="720"/>
      </w:pPr>
      <w:r>
        <w:t xml:space="preserve">Westat </w:t>
      </w:r>
      <w:r w:rsidR="00A03115">
        <w:t xml:space="preserve">and FNS </w:t>
      </w:r>
      <w:r w:rsidR="00194BA5" w:rsidRPr="00296662">
        <w:t xml:space="preserve">will begin data collection by mailing a study packet </w:t>
      </w:r>
      <w:r w:rsidR="00944E0D" w:rsidRPr="00296662">
        <w:t xml:space="preserve">via </w:t>
      </w:r>
      <w:r w:rsidR="00870586" w:rsidRPr="00296662">
        <w:t xml:space="preserve">U.S. Postal Service priority mail </w:t>
      </w:r>
      <w:r w:rsidR="00194BA5" w:rsidRPr="00296662">
        <w:t xml:space="preserve">to all </w:t>
      </w:r>
      <w:r w:rsidR="00B1607A" w:rsidRPr="00296662">
        <w:t xml:space="preserve">FM </w:t>
      </w:r>
      <w:r w:rsidR="00F54CCA">
        <w:t xml:space="preserve">manager </w:t>
      </w:r>
      <w:r w:rsidR="00944E0D" w:rsidRPr="00296662">
        <w:t xml:space="preserve">and </w:t>
      </w:r>
      <w:r w:rsidR="00B1607A" w:rsidRPr="00296662">
        <w:t>D</w:t>
      </w:r>
      <w:r w:rsidR="00701391" w:rsidRPr="00296662">
        <w:t>M farmer</w:t>
      </w:r>
      <w:r w:rsidR="00B1607A" w:rsidRPr="00296662">
        <w:t xml:space="preserve"> contacts in </w:t>
      </w:r>
      <w:r w:rsidR="00194BA5" w:rsidRPr="00296662">
        <w:t>the sample that have a street or P.O. Box address. The study packet will include an introductory letter explaining the study (</w:t>
      </w:r>
      <w:r w:rsidR="00E61543" w:rsidRPr="00296662">
        <w:rPr>
          <w:b/>
        </w:rPr>
        <w:t>Appendix A1</w:t>
      </w:r>
      <w:r w:rsidR="00FB3FBE">
        <w:rPr>
          <w:b/>
        </w:rPr>
        <w:t>-A2</w:t>
      </w:r>
      <w:r w:rsidR="00194BA5" w:rsidRPr="00296662">
        <w:t>)</w:t>
      </w:r>
      <w:r w:rsidR="00D84310" w:rsidRPr="00296662">
        <w:t>;</w:t>
      </w:r>
      <w:r w:rsidR="00194BA5" w:rsidRPr="00296662">
        <w:t xml:space="preserve"> a $</w:t>
      </w:r>
      <w:r w:rsidR="00870586" w:rsidRPr="00296662">
        <w:t xml:space="preserve">5 </w:t>
      </w:r>
      <w:r w:rsidR="00194BA5" w:rsidRPr="00296662">
        <w:t xml:space="preserve">incentive and a hard-copy of the </w:t>
      </w:r>
      <w:r w:rsidR="00B1607A" w:rsidRPr="00296662">
        <w:t xml:space="preserve">FM </w:t>
      </w:r>
      <w:r w:rsidR="00475586">
        <w:t>Manager Survey and</w:t>
      </w:r>
      <w:r w:rsidR="00944E0D" w:rsidRPr="00296662">
        <w:t xml:space="preserve"> the </w:t>
      </w:r>
      <w:r w:rsidR="00B1607A" w:rsidRPr="00296662">
        <w:t>D</w:t>
      </w:r>
      <w:r w:rsidR="00701391" w:rsidRPr="00296662">
        <w:t>M Farmer</w:t>
      </w:r>
      <w:r w:rsidR="00B1607A" w:rsidRPr="00296662">
        <w:t xml:space="preserve"> </w:t>
      </w:r>
      <w:r w:rsidR="00944E0D" w:rsidRPr="00296662">
        <w:t xml:space="preserve">Survey </w:t>
      </w:r>
      <w:r w:rsidR="004C3877" w:rsidRPr="00296662">
        <w:t xml:space="preserve">in English </w:t>
      </w:r>
      <w:r w:rsidR="00194BA5" w:rsidRPr="00296662">
        <w:t>(</w:t>
      </w:r>
      <w:r w:rsidR="00FB3FBE">
        <w:rPr>
          <w:b/>
        </w:rPr>
        <w:t xml:space="preserve">Appendix </w:t>
      </w:r>
      <w:r w:rsidR="00402F9F" w:rsidRPr="00296662">
        <w:rPr>
          <w:b/>
        </w:rPr>
        <w:t>B1</w:t>
      </w:r>
      <w:r w:rsidR="00FB3FBE">
        <w:rPr>
          <w:b/>
        </w:rPr>
        <w:t xml:space="preserve"> and </w:t>
      </w:r>
      <w:r w:rsidR="00402F9F" w:rsidRPr="00296662">
        <w:rPr>
          <w:b/>
        </w:rPr>
        <w:t>B</w:t>
      </w:r>
      <w:r w:rsidR="008C736B">
        <w:rPr>
          <w:b/>
        </w:rPr>
        <w:t>2</w:t>
      </w:r>
      <w:r w:rsidR="00194BA5" w:rsidRPr="00296662">
        <w:t xml:space="preserve">). The letter will ask respondents to either complete the hard-copy survey or </w:t>
      </w:r>
      <w:r w:rsidR="00194BA5" w:rsidRPr="00296662">
        <w:lastRenderedPageBreak/>
        <w:t>go to a secure web site to complete the survey online</w:t>
      </w:r>
      <w:r w:rsidR="0012683D">
        <w:t xml:space="preserve"> (</w:t>
      </w:r>
      <w:r w:rsidR="00FB3FBE">
        <w:rPr>
          <w:b/>
        </w:rPr>
        <w:t>Appendix B5</w:t>
      </w:r>
      <w:r w:rsidR="0012683D" w:rsidRPr="0012683D">
        <w:rPr>
          <w:b/>
        </w:rPr>
        <w:t>-B</w:t>
      </w:r>
      <w:r w:rsidR="00FB3FBE">
        <w:rPr>
          <w:b/>
        </w:rPr>
        <w:t>6</w:t>
      </w:r>
      <w:r w:rsidR="0012683D">
        <w:t xml:space="preserve">).  </w:t>
      </w:r>
      <w:r w:rsidR="00475586">
        <w:t xml:space="preserve">Spanish speaking </w:t>
      </w:r>
      <w:r w:rsidR="00F54CCA">
        <w:t xml:space="preserve">FM managers and DM farmers will also be directed to </w:t>
      </w:r>
      <w:r w:rsidR="00475586">
        <w:t>go the website to access the Spanish survey (</w:t>
      </w:r>
      <w:r w:rsidR="00FB3FBE">
        <w:rPr>
          <w:b/>
        </w:rPr>
        <w:t xml:space="preserve">Appendix </w:t>
      </w:r>
      <w:r w:rsidR="00475586">
        <w:rPr>
          <w:b/>
        </w:rPr>
        <w:t>B</w:t>
      </w:r>
      <w:r w:rsidR="008C736B">
        <w:rPr>
          <w:b/>
        </w:rPr>
        <w:t>3</w:t>
      </w:r>
      <w:r w:rsidR="00FB3FBE">
        <w:rPr>
          <w:b/>
        </w:rPr>
        <w:t xml:space="preserve"> and </w:t>
      </w:r>
      <w:r w:rsidR="00475586" w:rsidRPr="00296662">
        <w:rPr>
          <w:b/>
        </w:rPr>
        <w:t>B</w:t>
      </w:r>
      <w:r w:rsidR="00FB3FBE">
        <w:rPr>
          <w:b/>
        </w:rPr>
        <w:t>4</w:t>
      </w:r>
      <w:r w:rsidR="00475586">
        <w:rPr>
          <w:b/>
        </w:rPr>
        <w:t xml:space="preserve">) </w:t>
      </w:r>
      <w:r w:rsidR="00475586">
        <w:t xml:space="preserve">and either download it or complete it online.  </w:t>
      </w:r>
      <w:r w:rsidR="00194BA5" w:rsidRPr="00296662">
        <w:t xml:space="preserve">Next, we will immediately send all contacts who have an email address the introductory letter via </w:t>
      </w:r>
      <w:r w:rsidR="00F54CCA">
        <w:t>email (</w:t>
      </w:r>
      <w:r w:rsidR="00F54CCA" w:rsidRPr="00296662">
        <w:rPr>
          <w:b/>
        </w:rPr>
        <w:t>Appendix C1</w:t>
      </w:r>
      <w:r w:rsidR="008C736B">
        <w:rPr>
          <w:b/>
        </w:rPr>
        <w:t>-C2</w:t>
      </w:r>
      <w:r w:rsidR="00F54CCA">
        <w:t>)</w:t>
      </w:r>
      <w:r w:rsidR="00F54CCA" w:rsidRPr="00296662">
        <w:t xml:space="preserve"> </w:t>
      </w:r>
      <w:r w:rsidR="00194BA5" w:rsidRPr="00296662">
        <w:t xml:space="preserve">regardless of whether they received the package in the mail. The email will include a direct link to the secure </w:t>
      </w:r>
      <w:r w:rsidR="00F54CCA">
        <w:t xml:space="preserve">project </w:t>
      </w:r>
      <w:r w:rsidR="00194BA5" w:rsidRPr="00296662">
        <w:t>web site.</w:t>
      </w:r>
      <w:r w:rsidR="006B6852" w:rsidRPr="00296662">
        <w:t xml:space="preserve"> </w:t>
      </w:r>
      <w:r w:rsidR="00194BA5" w:rsidRPr="00296662">
        <w:t>Individuals who do not return the hard-copy questionnaire or complete the survey online will be sent a reminder postcard or email (</w:t>
      </w:r>
      <w:r w:rsidR="00FB3FBE">
        <w:rPr>
          <w:b/>
        </w:rPr>
        <w:t xml:space="preserve">Appendix </w:t>
      </w:r>
      <w:r w:rsidR="008C736B">
        <w:rPr>
          <w:b/>
        </w:rPr>
        <w:t>D1-</w:t>
      </w:r>
      <w:r w:rsidR="00402F9F" w:rsidRPr="00296662">
        <w:rPr>
          <w:b/>
        </w:rPr>
        <w:t>D</w:t>
      </w:r>
      <w:r w:rsidR="008C736B">
        <w:rPr>
          <w:b/>
        </w:rPr>
        <w:t>2</w:t>
      </w:r>
      <w:r w:rsidR="00194BA5" w:rsidRPr="00296662">
        <w:t>) after 1 week</w:t>
      </w:r>
      <w:r w:rsidR="004C3877" w:rsidRPr="00296662">
        <w:t>,</w:t>
      </w:r>
      <w:r w:rsidR="00194BA5" w:rsidRPr="00296662">
        <w:t xml:space="preserve"> and another reminder email after 2 weeks</w:t>
      </w:r>
      <w:r w:rsidR="008C736B">
        <w:t xml:space="preserve"> (</w:t>
      </w:r>
      <w:r w:rsidR="008C736B" w:rsidRPr="008C736B">
        <w:rPr>
          <w:b/>
        </w:rPr>
        <w:t>Appendix D3-D4</w:t>
      </w:r>
      <w:r w:rsidR="008C736B">
        <w:t>)</w:t>
      </w:r>
      <w:r w:rsidR="00194BA5" w:rsidRPr="00296662">
        <w:t>. Individual</w:t>
      </w:r>
      <w:r w:rsidR="004C3877" w:rsidRPr="00296662">
        <w:t>s</w:t>
      </w:r>
      <w:r w:rsidR="00194BA5" w:rsidRPr="00296662">
        <w:t xml:space="preserve"> who do not return the hard-copy questionnaire after </w:t>
      </w:r>
      <w:r w:rsidR="0032049A" w:rsidRPr="00296662">
        <w:t>4</w:t>
      </w:r>
      <w:r w:rsidR="00194BA5" w:rsidRPr="00296662">
        <w:t xml:space="preserve"> weeks will be contacted by telephone to complete the survey</w:t>
      </w:r>
      <w:r w:rsidR="00402F9F" w:rsidRPr="00296662">
        <w:t xml:space="preserve"> (</w:t>
      </w:r>
      <w:r w:rsidR="00402F9F" w:rsidRPr="00296662">
        <w:rPr>
          <w:b/>
        </w:rPr>
        <w:t>Appendix E1</w:t>
      </w:r>
      <w:r w:rsidR="0022572D">
        <w:t>-</w:t>
      </w:r>
      <w:r w:rsidR="0022572D" w:rsidRPr="0022572D">
        <w:rPr>
          <w:b/>
        </w:rPr>
        <w:t>E2</w:t>
      </w:r>
      <w:r w:rsidR="0022572D">
        <w:t>)</w:t>
      </w:r>
      <w:r w:rsidR="00194BA5" w:rsidRPr="00296662">
        <w:t xml:space="preserve">. We will attempt refusal conversion </w:t>
      </w:r>
      <w:r w:rsidR="00402F9F" w:rsidRPr="00296662">
        <w:t>(</w:t>
      </w:r>
      <w:r w:rsidR="00402F9F" w:rsidRPr="00296662">
        <w:rPr>
          <w:b/>
        </w:rPr>
        <w:t>Appendix E</w:t>
      </w:r>
      <w:r w:rsidR="0022572D">
        <w:rPr>
          <w:b/>
        </w:rPr>
        <w:t>3-E4)</w:t>
      </w:r>
      <w:r w:rsidR="00402F9F" w:rsidRPr="00296662">
        <w:t xml:space="preserve"> </w:t>
      </w:r>
      <w:r w:rsidR="00194BA5" w:rsidRPr="00296662">
        <w:t>as needed to achieve the target response rate of 80 percent.</w:t>
      </w:r>
      <w:r w:rsidR="006B6852" w:rsidRPr="00296662">
        <w:t xml:space="preserve"> </w:t>
      </w:r>
    </w:p>
    <w:p w:rsidR="00AB1987" w:rsidRPr="00AB1987" w:rsidRDefault="00B13A74" w:rsidP="00AB1987">
      <w:pPr>
        <w:pStyle w:val="P1-StandPara"/>
        <w:ind w:right="-90"/>
        <w:rPr>
          <w:color w:val="191919"/>
          <w:szCs w:val="24"/>
          <w:lang w:eastAsia="ja-JP"/>
        </w:rPr>
      </w:pPr>
      <w:r>
        <w:rPr>
          <w:szCs w:val="24"/>
        </w:rPr>
        <w:t>In a prior n</w:t>
      </w:r>
      <w:r w:rsidR="00AB1987" w:rsidRPr="00296662">
        <w:rPr>
          <w:szCs w:val="24"/>
        </w:rPr>
        <w:t xml:space="preserve">ational </w:t>
      </w:r>
      <w:proofErr w:type="gramStart"/>
      <w:r>
        <w:rPr>
          <w:szCs w:val="24"/>
        </w:rPr>
        <w:t>f</w:t>
      </w:r>
      <w:r w:rsidR="000009EB">
        <w:rPr>
          <w:szCs w:val="24"/>
        </w:rPr>
        <w:t>armers</w:t>
      </w:r>
      <w:proofErr w:type="gramEnd"/>
      <w:r w:rsidR="000009EB">
        <w:rPr>
          <w:szCs w:val="24"/>
        </w:rPr>
        <w:t xml:space="preserve"> market</w:t>
      </w:r>
      <w:r w:rsidR="00EB7AA4">
        <w:rPr>
          <w:szCs w:val="24"/>
        </w:rPr>
        <w:t xml:space="preserve"> s</w:t>
      </w:r>
      <w:r w:rsidR="00AB1987" w:rsidRPr="00296662">
        <w:rPr>
          <w:szCs w:val="24"/>
        </w:rPr>
        <w:t xml:space="preserve">urvey involving </w:t>
      </w:r>
      <w:r w:rsidR="000009EB">
        <w:rPr>
          <w:szCs w:val="24"/>
        </w:rPr>
        <w:t>farmers market</w:t>
      </w:r>
      <w:r w:rsidR="00AB1987" w:rsidRPr="00296662">
        <w:rPr>
          <w:szCs w:val="24"/>
        </w:rPr>
        <w:t xml:space="preserve"> managers,</w:t>
      </w:r>
      <w:r w:rsidR="00AB1987" w:rsidRPr="00296662">
        <w:rPr>
          <w:rStyle w:val="FootnoteReference"/>
          <w:rFonts w:cs="Garamond"/>
          <w:szCs w:val="24"/>
          <w:vertAlign w:val="superscript"/>
        </w:rPr>
        <w:footnoteReference w:id="14"/>
      </w:r>
      <w:r w:rsidR="00AB1987" w:rsidRPr="00296662">
        <w:rPr>
          <w:szCs w:val="24"/>
        </w:rPr>
        <w:t xml:space="preserve"> individuals who managed two or more </w:t>
      </w:r>
      <w:r w:rsidR="000009EB">
        <w:rPr>
          <w:szCs w:val="24"/>
        </w:rPr>
        <w:t>farmers market</w:t>
      </w:r>
      <w:r w:rsidR="00AB1987" w:rsidRPr="00296662">
        <w:rPr>
          <w:szCs w:val="24"/>
        </w:rPr>
        <w:t xml:space="preserve">s were underrepresented in the study.  The proposed mixed-mode </w:t>
      </w:r>
      <w:r w:rsidR="00AB1987" w:rsidRPr="00296662">
        <w:rPr>
          <w:color w:val="191919"/>
          <w:szCs w:val="24"/>
          <w:lang w:eastAsia="ja-JP"/>
        </w:rPr>
        <w:t>approach of combining mailed and e-mailed survey instruments with an Internet-based response mechanism helps to reduce the problem of coverage error in administration of surveys.</w:t>
      </w:r>
      <w:r w:rsidR="00AB1987" w:rsidRPr="00296662">
        <w:rPr>
          <w:rStyle w:val="FootnoteReference"/>
          <w:szCs w:val="24"/>
          <w:vertAlign w:val="superscript"/>
          <w:lang w:eastAsia="ja-JP"/>
        </w:rPr>
        <w:footnoteReference w:id="15"/>
      </w:r>
      <w:r w:rsidR="00147A34" w:rsidRPr="00296662">
        <w:rPr>
          <w:color w:val="191919"/>
          <w:szCs w:val="24"/>
          <w:lang w:eastAsia="ja-JP"/>
        </w:rPr>
        <w:t xml:space="preserve">  We recognize that it is important to minimize measurement error due to the use of mixed-mode survey and will use the </w:t>
      </w:r>
      <w:proofErr w:type="spellStart"/>
      <w:r w:rsidR="00147A34" w:rsidRPr="00296662">
        <w:rPr>
          <w:color w:val="191919"/>
          <w:szCs w:val="24"/>
          <w:lang w:eastAsia="ja-JP"/>
        </w:rPr>
        <w:t>unimode</w:t>
      </w:r>
      <w:proofErr w:type="spellEnd"/>
      <w:r w:rsidR="00147A34" w:rsidRPr="00296662">
        <w:rPr>
          <w:color w:val="191919"/>
          <w:szCs w:val="24"/>
          <w:lang w:eastAsia="ja-JP"/>
        </w:rPr>
        <w:t xml:space="preserve"> design (also referred to as ‘one questionnaire fits all design’ by de Leeuw</w:t>
      </w:r>
      <w:r w:rsidR="00270FA3" w:rsidRPr="00296662">
        <w:rPr>
          <w:color w:val="191919"/>
          <w:szCs w:val="24"/>
          <w:vertAlign w:val="superscript"/>
          <w:lang w:eastAsia="ja-JP"/>
        </w:rPr>
        <w:t>13</w:t>
      </w:r>
      <w:r w:rsidR="00147A34" w:rsidRPr="00296662">
        <w:rPr>
          <w:color w:val="191919"/>
          <w:szCs w:val="24"/>
          <w:lang w:eastAsia="ja-JP"/>
        </w:rPr>
        <w:t xml:space="preserve">) advocated by </w:t>
      </w:r>
      <w:proofErr w:type="spellStart"/>
      <w:r w:rsidR="00147A34" w:rsidRPr="00296662">
        <w:rPr>
          <w:color w:val="191919"/>
          <w:szCs w:val="24"/>
          <w:lang w:eastAsia="ja-JP"/>
        </w:rPr>
        <w:t>Dillman</w:t>
      </w:r>
      <w:proofErr w:type="spellEnd"/>
      <w:r w:rsidR="00270FA3" w:rsidRPr="00296662">
        <w:rPr>
          <w:rStyle w:val="FootnoteReference"/>
          <w:szCs w:val="24"/>
          <w:vertAlign w:val="superscript"/>
          <w:lang w:eastAsia="ja-JP"/>
        </w:rPr>
        <w:footnoteReference w:id="16"/>
      </w:r>
      <w:r w:rsidR="00147A34" w:rsidRPr="00296662">
        <w:rPr>
          <w:color w:val="191919"/>
          <w:szCs w:val="24"/>
          <w:lang w:eastAsia="ja-JP"/>
        </w:rPr>
        <w:t xml:space="preserve"> to reduce measurement error. We will follow the guiding principles outlined by </w:t>
      </w:r>
      <w:proofErr w:type="spellStart"/>
      <w:r w:rsidR="00147A34" w:rsidRPr="00296662">
        <w:rPr>
          <w:color w:val="191919"/>
          <w:szCs w:val="24"/>
          <w:lang w:eastAsia="ja-JP"/>
        </w:rPr>
        <w:t>Dillman</w:t>
      </w:r>
      <w:proofErr w:type="spellEnd"/>
      <w:r w:rsidR="00147A34" w:rsidRPr="00296662">
        <w:rPr>
          <w:color w:val="191919"/>
          <w:szCs w:val="24"/>
          <w:lang w:eastAsia="ja-JP"/>
        </w:rPr>
        <w:t>, to ensure that questions are written and presented identically in all modes – and are effective regardless of mode, to make them appropriate for both, visual and oral presentation.</w:t>
      </w:r>
    </w:p>
    <w:p w:rsidR="00AB1987" w:rsidRPr="00AB1987" w:rsidRDefault="00AB1987" w:rsidP="00722E73">
      <w:pPr>
        <w:pStyle w:val="P1-StandPara"/>
        <w:ind w:right="-90"/>
        <w:rPr>
          <w:szCs w:val="24"/>
        </w:rPr>
      </w:pPr>
    </w:p>
    <w:p w:rsidR="00B1207C" w:rsidRPr="00C90C28" w:rsidRDefault="00C02538" w:rsidP="00C02538">
      <w:pPr>
        <w:pStyle w:val="Heading4"/>
      </w:pPr>
      <w:r>
        <w:tab/>
      </w:r>
      <w:r w:rsidR="00B23150" w:rsidRPr="006D3339">
        <w:t xml:space="preserve">Overview of </w:t>
      </w:r>
      <w:r w:rsidR="00C90C28">
        <w:t>U</w:t>
      </w:r>
      <w:r w:rsidR="00B23150" w:rsidRPr="006D3339">
        <w:t>ndercover</w:t>
      </w:r>
      <w:r w:rsidR="00B1207C" w:rsidRPr="006D3339">
        <w:t xml:space="preserve">age </w:t>
      </w:r>
      <w:r w:rsidR="005D6EC5">
        <w:t>S</w:t>
      </w:r>
      <w:r w:rsidR="006D3339" w:rsidRPr="006D3339">
        <w:t xml:space="preserve">ub-study </w:t>
      </w:r>
      <w:r w:rsidR="00B1207C" w:rsidRPr="006D3339">
        <w:t xml:space="preserve">of </w:t>
      </w:r>
      <w:r w:rsidR="000009EB">
        <w:t>Farmers market</w:t>
      </w:r>
      <w:r>
        <w:t>s</w:t>
      </w:r>
    </w:p>
    <w:p w:rsidR="00E101BC" w:rsidRDefault="00E101BC" w:rsidP="00E101BC">
      <w:pPr>
        <w:pStyle w:val="P1-StandPara"/>
      </w:pPr>
      <w:r>
        <w:t xml:space="preserve">FNS indicated that the STARS II and AMS directory represent approximately 85 percent of the farmers markets in the country.  This sub-study is designed to determine the extent and characteristics of that undercoverage and in the process, to improve the quality of the Farmers' Market manager sample.  Because the STARS II database represents all farmers markets ever authorized to accept SNAP, the markets on the STARS II are 100 percent covered.  However, the AMS directory relies on voluntary input from FM managers and therefore may </w:t>
      </w:r>
      <w:proofErr w:type="spellStart"/>
      <w:r>
        <w:t>underrepresent</w:t>
      </w:r>
      <w:proofErr w:type="spellEnd"/>
      <w:r>
        <w:t xml:space="preserve"> the “never” authorized farmers markets. Therefore, the focus of the sub-study is the undercoverage in the never SNAP authorized farmers markets.  It is of note that the AMS directory does not include DM farmers.  We will not attempt to characterize that undercoverage in this sub-study since there is no public-use comprehensive frame of DM farmers, and the effort required to trace and screen all farms (more than 2.2 million) is not in the scope of this study. </w:t>
      </w:r>
    </w:p>
    <w:p w:rsidR="00E101BC" w:rsidRDefault="00E101BC" w:rsidP="00E101BC">
      <w:pPr>
        <w:pStyle w:val="P1-StandPara"/>
      </w:pPr>
      <w:r>
        <w:t xml:space="preserve">The sampling frame for the sub-study will be the 3,143 counties in the US. We will draw a sample of 630 counties, review the list of farmers markets in each county and use the web and other sources to identify new markets. If the putative 15 percent undercoverage rate bears out, we expect to find about 250 farmers markets not currently listed on the AMS file. After </w:t>
      </w:r>
      <w:proofErr w:type="spellStart"/>
      <w:r w:rsidR="003947B8">
        <w:t>und</w:t>
      </w:r>
      <w:r>
        <w:t>uplicating</w:t>
      </w:r>
      <w:proofErr w:type="spellEnd"/>
      <w:r>
        <w:t xml:space="preserve"> this list against the STARS database we will select a random subsample of 125 markets. We will obtain contact information for these farmers markets from web searches and contact with extension services and other government agencies. We will mail the National Farmers market Manger Survey to the 125 newly identified market managers and follow the contact procedures detailed above for the national survey to obtain the expected response rate of about 75% or 94 new FM managers.</w:t>
      </w:r>
    </w:p>
    <w:p w:rsidR="006B6852" w:rsidRDefault="008A1D30" w:rsidP="008A1D30">
      <w:pPr>
        <w:pStyle w:val="Heading4"/>
      </w:pPr>
      <w:r>
        <w:lastRenderedPageBreak/>
        <w:tab/>
      </w:r>
      <w:r w:rsidR="00BB374B" w:rsidRPr="00BB374B">
        <w:t xml:space="preserve">Overview of </w:t>
      </w:r>
      <w:r w:rsidR="00C90C28">
        <w:t>F</w:t>
      </w:r>
      <w:r w:rsidR="00BB374B" w:rsidRPr="00BB374B">
        <w:t xml:space="preserve">ocus </w:t>
      </w:r>
      <w:r w:rsidR="005D6EC5">
        <w:t>G</w:t>
      </w:r>
      <w:r w:rsidR="00BB374B" w:rsidRPr="00BB374B">
        <w:t xml:space="preserve">roups </w:t>
      </w:r>
      <w:r w:rsidR="005D6EC5">
        <w:t>S</w:t>
      </w:r>
      <w:r w:rsidR="00C90C28">
        <w:t xml:space="preserve">ub-study </w:t>
      </w:r>
      <w:r w:rsidR="00BB374B" w:rsidRPr="00BB374B">
        <w:t xml:space="preserve">with SNAP </w:t>
      </w:r>
      <w:r w:rsidR="005D6EC5">
        <w:t>R</w:t>
      </w:r>
      <w:r w:rsidR="00BB374B" w:rsidRPr="00BB374B">
        <w:t>ecipients</w:t>
      </w:r>
    </w:p>
    <w:p w:rsidR="006B6852" w:rsidRDefault="00AA0841" w:rsidP="00C02538">
      <w:pPr>
        <w:pStyle w:val="P1-StandPara"/>
      </w:pPr>
      <w:r>
        <w:t xml:space="preserve">The </w:t>
      </w:r>
      <w:r w:rsidR="000645E0">
        <w:t>third</w:t>
      </w:r>
      <w:r>
        <w:t xml:space="preserve"> component </w:t>
      </w:r>
      <w:r w:rsidR="00BF3CD2">
        <w:t>involves</w:t>
      </w:r>
      <w:r>
        <w:t xml:space="preserve"> </w:t>
      </w:r>
      <w:r w:rsidR="002C0312">
        <w:t>conducting</w:t>
      </w:r>
      <w:r>
        <w:t xml:space="preserve"> </w:t>
      </w:r>
      <w:r w:rsidR="002C0312">
        <w:t xml:space="preserve">four </w:t>
      </w:r>
      <w:r>
        <w:t xml:space="preserve">focus groups with </w:t>
      </w:r>
      <w:r w:rsidR="0092335D">
        <w:t>English</w:t>
      </w:r>
      <w:r w:rsidR="00711686">
        <w:t>-</w:t>
      </w:r>
      <w:r w:rsidR="0092335D">
        <w:t xml:space="preserve">speaking </w:t>
      </w:r>
      <w:r>
        <w:t>SNAP recipients</w:t>
      </w:r>
      <w:r w:rsidR="00E43C7E">
        <w:t xml:space="preserve"> to supplement the survey data and provide a consumer </w:t>
      </w:r>
      <w:r w:rsidR="000645E0">
        <w:t xml:space="preserve">perspective on </w:t>
      </w:r>
      <w:proofErr w:type="gramStart"/>
      <w:r w:rsidR="000009EB">
        <w:t>farmers</w:t>
      </w:r>
      <w:proofErr w:type="gramEnd"/>
      <w:r w:rsidR="000009EB">
        <w:t xml:space="preserve"> market</w:t>
      </w:r>
      <w:r w:rsidR="000645E0">
        <w:t xml:space="preserve"> operational factors that enable or hinder SNAP recipients to shop at </w:t>
      </w:r>
      <w:r w:rsidR="000009EB">
        <w:t>farmers market</w:t>
      </w:r>
      <w:r w:rsidR="00E43C7E">
        <w:t>.</w:t>
      </w:r>
    </w:p>
    <w:p w:rsidR="00BF3CD2" w:rsidRPr="00F82FBA" w:rsidRDefault="00BF3CD2" w:rsidP="00C02538">
      <w:pPr>
        <w:pStyle w:val="P1-StandPara"/>
      </w:pPr>
      <w:r w:rsidRPr="00315021">
        <w:t xml:space="preserve">A sample of </w:t>
      </w:r>
      <w:r>
        <w:t>SNAP</w:t>
      </w:r>
      <w:r w:rsidRPr="00315021">
        <w:t xml:space="preserve"> </w:t>
      </w:r>
      <w:r>
        <w:t xml:space="preserve">recipients residing within the vicinity of the </w:t>
      </w:r>
      <w:r w:rsidR="002C0312" w:rsidRPr="00B228A0">
        <w:t>selected</w:t>
      </w:r>
      <w:r w:rsidR="002C0312">
        <w:t xml:space="preserve"> </w:t>
      </w:r>
      <w:r w:rsidR="000009EB">
        <w:t>farmers market</w:t>
      </w:r>
      <w:r>
        <w:t xml:space="preserve"> will be invited to participate in focus </w:t>
      </w:r>
      <w:r w:rsidRPr="00315021">
        <w:t>group discussions.</w:t>
      </w:r>
      <w:r>
        <w:t xml:space="preserve"> We will use the focus groups to listen to and gather information from participants regarding their awareness of </w:t>
      </w:r>
      <w:r w:rsidR="000009EB">
        <w:t>farmers market</w:t>
      </w:r>
      <w:r>
        <w:t xml:space="preserve"> in their neighborhoods, and reasons for </w:t>
      </w:r>
      <w:r w:rsidR="00D07198">
        <w:t>shopping (or not) at the market.</w:t>
      </w:r>
      <w:r w:rsidR="006B6852">
        <w:t xml:space="preserve"> </w:t>
      </w:r>
      <w:r w:rsidR="00D07198">
        <w:rPr>
          <w:szCs w:val="24"/>
        </w:rPr>
        <w:t xml:space="preserve">Two focus group discussions will be held with SNAP recipients </w:t>
      </w:r>
      <w:r w:rsidR="00B84A59">
        <w:rPr>
          <w:szCs w:val="24"/>
        </w:rPr>
        <w:t xml:space="preserve">who have </w:t>
      </w:r>
      <w:r w:rsidR="00D07198">
        <w:rPr>
          <w:szCs w:val="24"/>
        </w:rPr>
        <w:t xml:space="preserve">redeemed SNAP benefits at </w:t>
      </w:r>
      <w:r w:rsidR="000009EB">
        <w:rPr>
          <w:szCs w:val="24"/>
        </w:rPr>
        <w:t>farmers market</w:t>
      </w:r>
      <w:r w:rsidR="00D07198">
        <w:t>s</w:t>
      </w:r>
      <w:r w:rsidR="00D07198" w:rsidRPr="00B6333F">
        <w:t xml:space="preserve"> </w:t>
      </w:r>
      <w:r w:rsidR="00B84A59">
        <w:t xml:space="preserve">in the past year </w:t>
      </w:r>
      <w:r w:rsidR="00D07198">
        <w:t>and two focus group discussions will be</w:t>
      </w:r>
      <w:r w:rsidR="00B84A59">
        <w:t xml:space="preserve"> held with SNAP recipients who have never</w:t>
      </w:r>
      <w:r w:rsidR="00D07198">
        <w:t xml:space="preserve"> redeem</w:t>
      </w:r>
      <w:r w:rsidR="00593187">
        <w:t xml:space="preserve">ed benefits at </w:t>
      </w:r>
      <w:r w:rsidR="000009EB">
        <w:t>farmers market</w:t>
      </w:r>
      <w:r w:rsidR="00593187">
        <w:t>s.</w:t>
      </w:r>
      <w:r w:rsidR="006B6852">
        <w:t xml:space="preserve"> </w:t>
      </w:r>
      <w:r w:rsidRPr="00315021">
        <w:t xml:space="preserve">A copy of the </w:t>
      </w:r>
      <w:r w:rsidR="00B84A59">
        <w:t xml:space="preserve">focus group </w:t>
      </w:r>
      <w:r>
        <w:t xml:space="preserve">discussion guide and related </w:t>
      </w:r>
      <w:r w:rsidRPr="00315021">
        <w:t xml:space="preserve">materials are found in </w:t>
      </w:r>
      <w:r w:rsidR="00402F9F" w:rsidRPr="00402F9F">
        <w:rPr>
          <w:b/>
        </w:rPr>
        <w:t>Appendix F1 – F6</w:t>
      </w:r>
      <w:r w:rsidRPr="00F82FBA">
        <w:t>.</w:t>
      </w:r>
    </w:p>
    <w:p w:rsidR="00BF3CD2" w:rsidRDefault="00BF3CD2" w:rsidP="00C02538">
      <w:pPr>
        <w:pStyle w:val="P1-StandPara"/>
      </w:pPr>
    </w:p>
    <w:p w:rsidR="003955ED" w:rsidRPr="00D07198" w:rsidRDefault="0032049A" w:rsidP="003955ED">
      <w:pPr>
        <w:pStyle w:val="Heading4"/>
      </w:pPr>
      <w:r>
        <w:tab/>
      </w:r>
      <w:r w:rsidR="003955ED" w:rsidRPr="00D07198">
        <w:t>Use of the Information</w:t>
      </w:r>
    </w:p>
    <w:p w:rsidR="006B6852" w:rsidRDefault="003955ED" w:rsidP="00C02538">
      <w:pPr>
        <w:pStyle w:val="P1-StandPara"/>
      </w:pPr>
      <w:r w:rsidRPr="00D07198">
        <w:t xml:space="preserve">The information gathered in the data collection activities described above will be used by FNS to </w:t>
      </w:r>
      <w:r w:rsidR="00D07198" w:rsidRPr="00D07198">
        <w:t xml:space="preserve">understand the characteristics of </w:t>
      </w:r>
      <w:r w:rsidR="000009EB">
        <w:t>farmers market</w:t>
      </w:r>
      <w:r w:rsidR="00D07198" w:rsidRPr="00D07198">
        <w:t>s and direct marketing farmers</w:t>
      </w:r>
      <w:r w:rsidR="00D07198">
        <w:t xml:space="preserve"> and facilitators and barriers to </w:t>
      </w:r>
      <w:r w:rsidR="00D07198" w:rsidRPr="00D07198">
        <w:t>participat</w:t>
      </w:r>
      <w:r w:rsidR="00D07198">
        <w:t>ing</w:t>
      </w:r>
      <w:r w:rsidR="00D07198" w:rsidRPr="00D07198">
        <w:t xml:space="preserve"> in SNAP</w:t>
      </w:r>
      <w:r w:rsidRPr="00D07198">
        <w:t>.</w:t>
      </w:r>
      <w:r w:rsidR="006B6852">
        <w:t xml:space="preserve"> </w:t>
      </w:r>
      <w:r w:rsidR="00EC712A">
        <w:t xml:space="preserve">These data will inform FNS policy decisions intended to increase the number of DM farmers and farmers markets that participate as SNAP retailers, as well as improve operations for currently authorized DM farmers and </w:t>
      </w:r>
      <w:r w:rsidR="000009EB">
        <w:t>farmers market</w:t>
      </w:r>
      <w:r w:rsidR="00EC712A">
        <w:t xml:space="preserve">s. </w:t>
      </w:r>
      <w:r w:rsidR="00D07198" w:rsidRPr="00D07198">
        <w:t xml:space="preserve">The focus group data will </w:t>
      </w:r>
      <w:r w:rsidR="002C57DB">
        <w:t>be used to conduct</w:t>
      </w:r>
      <w:r w:rsidRPr="00D07198">
        <w:t xml:space="preserve"> </w:t>
      </w:r>
      <w:r w:rsidR="00EC712A">
        <w:t xml:space="preserve">exploratory </w:t>
      </w:r>
      <w:r w:rsidR="00D07198" w:rsidRPr="00D07198">
        <w:t xml:space="preserve">qualitative </w:t>
      </w:r>
      <w:r w:rsidRPr="00D07198">
        <w:t xml:space="preserve">analysis of </w:t>
      </w:r>
      <w:r w:rsidR="00D07198" w:rsidRPr="00D07198">
        <w:t xml:space="preserve">facilitators and barriers to shopping at </w:t>
      </w:r>
      <w:r w:rsidR="000009EB">
        <w:t>farmers market</w:t>
      </w:r>
      <w:r w:rsidR="00D07198" w:rsidRPr="00D07198">
        <w:t>s as reported by SNAP recipients.</w:t>
      </w:r>
      <w:r w:rsidR="00EC712A">
        <w:t xml:space="preserve"> Th</w:t>
      </w:r>
      <w:r w:rsidR="00872A67">
        <w:t xml:space="preserve">e findings from this </w:t>
      </w:r>
      <w:r w:rsidR="00EC712A">
        <w:t xml:space="preserve">analysis will assist FNS </w:t>
      </w:r>
      <w:r w:rsidR="00872A67">
        <w:t xml:space="preserve">to </w:t>
      </w:r>
      <w:r w:rsidR="00EC712A">
        <w:t>promote DM farmers and farmers markets among SNAP clients and identify barriers and facilitators that merit further study.</w:t>
      </w:r>
    </w:p>
    <w:p w:rsidR="003955ED" w:rsidRPr="00B6333F" w:rsidRDefault="003955ED" w:rsidP="00C02538">
      <w:pPr>
        <w:pStyle w:val="P1-StandPara"/>
      </w:pPr>
    </w:p>
    <w:p w:rsidR="006B6852" w:rsidRPr="008A1D30" w:rsidRDefault="003955ED" w:rsidP="008A1D30">
      <w:pPr>
        <w:pStyle w:val="Heading2"/>
      </w:pPr>
      <w:bookmarkStart w:id="10" w:name="_Toc286158950"/>
      <w:bookmarkStart w:id="11" w:name="_Toc286160539"/>
      <w:bookmarkStart w:id="12" w:name="_Toc290021762"/>
      <w:r w:rsidRPr="008A1D30">
        <w:t>A.3.</w:t>
      </w:r>
      <w:r w:rsidRPr="008A1D30">
        <w:tab/>
      </w:r>
      <w:bookmarkEnd w:id="10"/>
      <w:bookmarkEnd w:id="11"/>
      <w:bookmarkEnd w:id="12"/>
      <w:r w:rsidRPr="008A1D3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6B6852" w:rsidRPr="008A1D30" w:rsidRDefault="003955ED" w:rsidP="008A1D30">
      <w:pPr>
        <w:pStyle w:val="Heading2"/>
      </w:pPr>
      <w:r w:rsidRPr="008A1D30">
        <w:tab/>
        <w:t>Also, describe any consideration of using information technology to reduce burden.</w:t>
      </w:r>
    </w:p>
    <w:p w:rsidR="00EF7030" w:rsidRPr="00EF7030" w:rsidRDefault="00EF7030" w:rsidP="00EF7030">
      <w:pPr>
        <w:pStyle w:val="Heading4"/>
        <w:tabs>
          <w:tab w:val="clear" w:pos="1152"/>
          <w:tab w:val="left" w:pos="0"/>
        </w:tabs>
        <w:spacing w:line="480" w:lineRule="auto"/>
        <w:ind w:left="0" w:firstLine="0"/>
        <w:rPr>
          <w:rFonts w:ascii="Garamond" w:hAnsi="Garamond"/>
          <w:b w:val="0"/>
          <w:i w:val="0"/>
        </w:rPr>
      </w:pPr>
      <w:r>
        <w:rPr>
          <w:rFonts w:ascii="Garamond" w:hAnsi="Garamond"/>
          <w:b w:val="0"/>
          <w:i w:val="0"/>
        </w:rPr>
        <w:tab/>
      </w:r>
      <w:r w:rsidRPr="00EF7030">
        <w:rPr>
          <w:rFonts w:ascii="Garamond" w:hAnsi="Garamond"/>
          <w:b w:val="0"/>
          <w:i w:val="0"/>
        </w:rPr>
        <w:t>FNS is committed to complying with the E-Government Act, 2002 to promote the use of technology. This study offers technology-based options to respondents to ease burden, as described below.</w:t>
      </w:r>
    </w:p>
    <w:p w:rsidR="00C33EB5" w:rsidRPr="008A1D30" w:rsidRDefault="00EF7030" w:rsidP="008A1D30">
      <w:pPr>
        <w:pStyle w:val="Heading4"/>
      </w:pPr>
      <w:r>
        <w:tab/>
      </w:r>
      <w:r w:rsidR="00BB374B" w:rsidRPr="008A1D30">
        <w:t xml:space="preserve">National Survey of </w:t>
      </w:r>
      <w:r w:rsidR="00701391" w:rsidRPr="008A1D30">
        <w:t>F</w:t>
      </w:r>
      <w:r w:rsidR="00EB7AA4">
        <w:t xml:space="preserve">armers </w:t>
      </w:r>
      <w:r w:rsidR="00701391" w:rsidRPr="008A1D30">
        <w:t>M</w:t>
      </w:r>
      <w:r w:rsidR="00EB7AA4">
        <w:t xml:space="preserve">arket </w:t>
      </w:r>
      <w:r w:rsidR="00BB374B" w:rsidRPr="008A1D30">
        <w:t xml:space="preserve">Managers and </w:t>
      </w:r>
      <w:r w:rsidR="00701391" w:rsidRPr="008A1D30">
        <w:t>D</w:t>
      </w:r>
      <w:r w:rsidR="00EB7AA4">
        <w:t>irect Marketing</w:t>
      </w:r>
      <w:r w:rsidR="00CB0244" w:rsidRPr="008A1D30">
        <w:t xml:space="preserve"> </w:t>
      </w:r>
      <w:r w:rsidR="00701391" w:rsidRPr="008A1D30">
        <w:t>Farmers</w:t>
      </w:r>
    </w:p>
    <w:p w:rsidR="00C33EB5" w:rsidRDefault="006D3339" w:rsidP="00C02538">
      <w:pPr>
        <w:pStyle w:val="P1-StandPara"/>
      </w:pPr>
      <w:r>
        <w:t xml:space="preserve">Two surveys will be used to collect data for the </w:t>
      </w:r>
      <w:r w:rsidR="00D8307E">
        <w:t xml:space="preserve">National Survey of </w:t>
      </w:r>
      <w:r w:rsidR="00701391">
        <w:t xml:space="preserve">FM </w:t>
      </w:r>
      <w:r w:rsidR="00D84310">
        <w:t>Manager</w:t>
      </w:r>
      <w:r>
        <w:t>s</w:t>
      </w:r>
      <w:r w:rsidR="00D84310">
        <w:t xml:space="preserve"> and </w:t>
      </w:r>
      <w:r w:rsidR="00701391">
        <w:t>DM Farmers</w:t>
      </w:r>
      <w:r>
        <w:t>.</w:t>
      </w:r>
      <w:r w:rsidR="006B6852">
        <w:t xml:space="preserve"> </w:t>
      </w:r>
      <w:r w:rsidR="00D84310">
        <w:t xml:space="preserve">The surveys are </w:t>
      </w:r>
      <w:r w:rsidR="0032049A" w:rsidRPr="007E4EDD">
        <w:t xml:space="preserve">designed in two forms </w:t>
      </w:r>
      <w:r w:rsidR="002B4D12">
        <w:t>–</w:t>
      </w:r>
      <w:r w:rsidR="0032049A" w:rsidRPr="007E4EDD">
        <w:t xml:space="preserve"> as paper</w:t>
      </w:r>
      <w:r w:rsidR="002C0312">
        <w:t>-</w:t>
      </w:r>
      <w:r w:rsidR="0032049A" w:rsidRPr="007E4EDD">
        <w:t>and</w:t>
      </w:r>
      <w:r w:rsidR="002C0312">
        <w:t>-</w:t>
      </w:r>
      <w:r w:rsidR="0032049A" w:rsidRPr="007E4EDD">
        <w:t xml:space="preserve">pencil and </w:t>
      </w:r>
      <w:r>
        <w:t xml:space="preserve">as </w:t>
      </w:r>
      <w:r w:rsidR="0032049A" w:rsidRPr="007E4EDD">
        <w:t>web-based survey</w:t>
      </w:r>
      <w:r>
        <w:t>s</w:t>
      </w:r>
      <w:r w:rsidR="0032049A" w:rsidRPr="007E4EDD">
        <w:t>. Participants with access to computers and familiarity with web-based surveys can choose to complete this online. Sampled participants who do not complete the paper</w:t>
      </w:r>
      <w:r w:rsidR="002C0312">
        <w:t>-and-</w:t>
      </w:r>
      <w:r w:rsidR="0032049A" w:rsidRPr="007E4EDD">
        <w:t xml:space="preserve">pencil survey or the web survey will be contacted by telephone to complete the survey and interviewer will </w:t>
      </w:r>
      <w:r>
        <w:t xml:space="preserve">conduct </w:t>
      </w:r>
      <w:r w:rsidR="0032049A" w:rsidRPr="007E4EDD">
        <w:t>the interview using the web survey.</w:t>
      </w:r>
      <w:r w:rsidR="006B6852">
        <w:t xml:space="preserve"> </w:t>
      </w:r>
      <w:r w:rsidR="008971EB">
        <w:t>We assume that 25% of participants will complete the hard copy survey, 75% will complete the web administered survey or on-line survey (25% will self-administer and 50% will be telephone administered).  T</w:t>
      </w:r>
      <w:r w:rsidR="0032049A" w:rsidRPr="007E4EDD">
        <w:t xml:space="preserve">he use of </w:t>
      </w:r>
      <w:r>
        <w:t xml:space="preserve">a </w:t>
      </w:r>
      <w:r w:rsidR="0032049A" w:rsidRPr="007E4EDD">
        <w:t xml:space="preserve">web survey </w:t>
      </w:r>
      <w:r>
        <w:t xml:space="preserve">improves accuracy and </w:t>
      </w:r>
      <w:r w:rsidR="0032049A" w:rsidRPr="007E4EDD">
        <w:t xml:space="preserve">reduces </w:t>
      </w:r>
      <w:r>
        <w:t xml:space="preserve">respondent burden because it includes </w:t>
      </w:r>
      <w:r w:rsidR="0032049A" w:rsidRPr="007E4EDD">
        <w:t>automatic skip patterns that are built-in to the program</w:t>
      </w:r>
      <w:r>
        <w:t>.</w:t>
      </w:r>
      <w:r w:rsidR="006B6852">
        <w:t xml:space="preserve"> </w:t>
      </w:r>
    </w:p>
    <w:p w:rsidR="00712C1D" w:rsidRDefault="008A1D30" w:rsidP="00872A67">
      <w:pPr>
        <w:pStyle w:val="P1-StandPara"/>
      </w:pPr>
      <w:r>
        <w:tab/>
      </w:r>
    </w:p>
    <w:p w:rsidR="00C33EB5" w:rsidRDefault="00C33EB5" w:rsidP="00C02538">
      <w:pPr>
        <w:pStyle w:val="P1-StandPara"/>
      </w:pPr>
    </w:p>
    <w:p w:rsidR="006B6852" w:rsidRPr="008A1D30" w:rsidRDefault="003955ED" w:rsidP="008A1D30">
      <w:pPr>
        <w:pStyle w:val="Heading2"/>
      </w:pPr>
      <w:bookmarkStart w:id="13" w:name="_Toc286158951"/>
      <w:bookmarkStart w:id="14" w:name="_Toc286160540"/>
      <w:bookmarkStart w:id="15" w:name="_Toc290021763"/>
      <w:r w:rsidRPr="008A1D30">
        <w:lastRenderedPageBreak/>
        <w:t>A.4.</w:t>
      </w:r>
      <w:r w:rsidRPr="008A1D30">
        <w:tab/>
      </w:r>
      <w:bookmarkEnd w:id="13"/>
      <w:bookmarkEnd w:id="14"/>
      <w:bookmarkEnd w:id="15"/>
      <w:r w:rsidRPr="008A1D30">
        <w:t>Describe Efforts to Identify Duplication.</w:t>
      </w:r>
    </w:p>
    <w:p w:rsidR="003955ED" w:rsidRPr="008A1D30" w:rsidRDefault="003955ED" w:rsidP="008A1D30">
      <w:pPr>
        <w:pStyle w:val="Heading2"/>
      </w:pPr>
      <w:r w:rsidRPr="008A1D30">
        <w:tab/>
        <w:t>Show specifically why any similar information already available cannot be used or modified for use for the purpose described in item 2 above.</w:t>
      </w:r>
    </w:p>
    <w:p w:rsidR="00BB6F59" w:rsidRPr="0032049A" w:rsidRDefault="00EF7030" w:rsidP="00C02538">
      <w:pPr>
        <w:pStyle w:val="P1-StandPara"/>
      </w:pPr>
      <w:r>
        <w:t>There is no data similar t</w:t>
      </w:r>
      <w:r w:rsidR="00296EFC">
        <w:t xml:space="preserve">o that proposed for collection in this study. Every effort has been made to avoid duplication. </w:t>
      </w:r>
      <w:r w:rsidR="003955ED" w:rsidRPr="00D07198">
        <w:t xml:space="preserve">The data requirements for the </w:t>
      </w:r>
      <w:r w:rsidR="00A109B9">
        <w:t>study</w:t>
      </w:r>
      <w:r w:rsidR="003955ED" w:rsidRPr="00D07198">
        <w:t xml:space="preserve"> have been carefully reviewed to determine whether the needed information is already available. </w:t>
      </w:r>
      <w:r w:rsidR="00296EFC">
        <w:t>While i</w:t>
      </w:r>
      <w:r w:rsidR="005E2EF2" w:rsidRPr="00D07198">
        <w:rPr>
          <w:szCs w:val="24"/>
        </w:rPr>
        <w:t>n our review of the literature we found one surve</w:t>
      </w:r>
      <w:r w:rsidR="005E2EF2" w:rsidRPr="00DB2001">
        <w:rPr>
          <w:szCs w:val="24"/>
        </w:rPr>
        <w:t>y</w:t>
      </w:r>
      <w:r w:rsidR="00535D9D" w:rsidRPr="00DB2001">
        <w:rPr>
          <w:szCs w:val="24"/>
        </w:rPr>
        <w:t xml:space="preserve">, the National </w:t>
      </w:r>
      <w:r w:rsidR="00B13A74" w:rsidRPr="00DB2001">
        <w:rPr>
          <w:szCs w:val="24"/>
        </w:rPr>
        <w:t>Farmers M</w:t>
      </w:r>
      <w:r w:rsidR="000009EB" w:rsidRPr="00DB2001">
        <w:rPr>
          <w:szCs w:val="24"/>
        </w:rPr>
        <w:t>arket</w:t>
      </w:r>
      <w:r w:rsidR="00535D9D" w:rsidRPr="00DB2001">
        <w:rPr>
          <w:szCs w:val="24"/>
        </w:rPr>
        <w:t xml:space="preserve"> Manger Survey </w:t>
      </w:r>
      <w:r w:rsidR="002518D6" w:rsidRPr="00DB2001">
        <w:rPr>
          <w:szCs w:val="24"/>
        </w:rPr>
        <w:t xml:space="preserve">(OMB 0581-0169, expiration date: </w:t>
      </w:r>
      <w:r w:rsidR="00DB2001" w:rsidRPr="00DB2001">
        <w:rPr>
          <w:szCs w:val="24"/>
        </w:rPr>
        <w:t>April 30, 2007</w:t>
      </w:r>
      <w:r w:rsidR="002518D6" w:rsidRPr="00DB2001">
        <w:rPr>
          <w:szCs w:val="24"/>
        </w:rPr>
        <w:t xml:space="preserve">) </w:t>
      </w:r>
      <w:r w:rsidR="00535D9D" w:rsidRPr="00DB2001">
        <w:rPr>
          <w:szCs w:val="24"/>
        </w:rPr>
        <w:t xml:space="preserve">conducted by the </w:t>
      </w:r>
      <w:r w:rsidR="00B13A74" w:rsidRPr="00DB2001">
        <w:rPr>
          <w:szCs w:val="24"/>
        </w:rPr>
        <w:t xml:space="preserve">USDA </w:t>
      </w:r>
      <w:r w:rsidR="00535D9D" w:rsidRPr="00DB2001">
        <w:rPr>
          <w:szCs w:val="24"/>
        </w:rPr>
        <w:t>Agricultural Marketing Service (AMS</w:t>
      </w:r>
      <w:r w:rsidR="00B13A74" w:rsidRPr="00DB2001">
        <w:rPr>
          <w:szCs w:val="24"/>
        </w:rPr>
        <w:t>)</w:t>
      </w:r>
      <w:r w:rsidR="00535D9D" w:rsidRPr="00DB2001">
        <w:rPr>
          <w:szCs w:val="24"/>
        </w:rPr>
        <w:t xml:space="preserve"> as </w:t>
      </w:r>
      <w:r w:rsidR="005E2EF2" w:rsidRPr="00DB2001">
        <w:rPr>
          <w:szCs w:val="24"/>
        </w:rPr>
        <w:t>somewhat relevant</w:t>
      </w:r>
      <w:r w:rsidR="00D03B52" w:rsidRPr="00DB2001">
        <w:rPr>
          <w:szCs w:val="24"/>
        </w:rPr>
        <w:t xml:space="preserve">, this survey </w:t>
      </w:r>
      <w:r w:rsidR="005E2EF2" w:rsidRPr="00DB2001">
        <w:rPr>
          <w:szCs w:val="24"/>
        </w:rPr>
        <w:t>does not comprehensively meet the objectives for th</w:t>
      </w:r>
      <w:r w:rsidR="00BB6F59" w:rsidRPr="00DB2001">
        <w:rPr>
          <w:szCs w:val="24"/>
        </w:rPr>
        <w:t>e current s</w:t>
      </w:r>
      <w:r w:rsidR="005E2EF2" w:rsidRPr="00DB2001">
        <w:rPr>
          <w:szCs w:val="24"/>
        </w:rPr>
        <w:t>tudy.</w:t>
      </w:r>
      <w:r w:rsidR="006B6852" w:rsidRPr="00DB2001">
        <w:rPr>
          <w:szCs w:val="24"/>
        </w:rPr>
        <w:t xml:space="preserve"> </w:t>
      </w:r>
      <w:r w:rsidR="00FA025D" w:rsidRPr="00DB2001">
        <w:rPr>
          <w:szCs w:val="24"/>
        </w:rPr>
        <w:t>T</w:t>
      </w:r>
      <w:r w:rsidR="00D94C0B" w:rsidRPr="00DB2001">
        <w:rPr>
          <w:szCs w:val="24"/>
        </w:rPr>
        <w:t xml:space="preserve">he AMS </w:t>
      </w:r>
      <w:r w:rsidR="00FA025D" w:rsidRPr="00DB2001">
        <w:rPr>
          <w:szCs w:val="24"/>
        </w:rPr>
        <w:t xml:space="preserve">survey </w:t>
      </w:r>
      <w:r w:rsidR="00B13A74" w:rsidRPr="00DB2001">
        <w:rPr>
          <w:szCs w:val="24"/>
        </w:rPr>
        <w:t>was</w:t>
      </w:r>
      <w:r w:rsidR="00BB6F59" w:rsidRPr="00DB2001">
        <w:rPr>
          <w:szCs w:val="24"/>
        </w:rPr>
        <w:t xml:space="preserve"> </w:t>
      </w:r>
      <w:r w:rsidR="00FA025D" w:rsidRPr="00DB2001">
        <w:rPr>
          <w:szCs w:val="24"/>
        </w:rPr>
        <w:t xml:space="preserve">mailed to all </w:t>
      </w:r>
      <w:r w:rsidR="000009EB" w:rsidRPr="00DB2001">
        <w:rPr>
          <w:szCs w:val="24"/>
        </w:rPr>
        <w:t>farmers market</w:t>
      </w:r>
      <w:r w:rsidR="00FA025D" w:rsidRPr="00DB2001">
        <w:rPr>
          <w:szCs w:val="24"/>
        </w:rPr>
        <w:t xml:space="preserve">s listed in the AMS </w:t>
      </w:r>
      <w:r w:rsidR="000009EB" w:rsidRPr="00DB2001">
        <w:rPr>
          <w:szCs w:val="24"/>
        </w:rPr>
        <w:t>farmers market</w:t>
      </w:r>
      <w:r w:rsidR="00FA025D" w:rsidRPr="00DB2001">
        <w:rPr>
          <w:szCs w:val="24"/>
        </w:rPr>
        <w:t xml:space="preserve"> directory</w:t>
      </w:r>
      <w:r w:rsidR="00D03B52" w:rsidRPr="00DB2001">
        <w:rPr>
          <w:szCs w:val="24"/>
        </w:rPr>
        <w:t xml:space="preserve"> and </w:t>
      </w:r>
      <w:r w:rsidR="00B13A74" w:rsidRPr="00DB2001">
        <w:rPr>
          <w:szCs w:val="24"/>
        </w:rPr>
        <w:t>covered</w:t>
      </w:r>
      <w:r w:rsidR="00FA025D" w:rsidRPr="00DB2001">
        <w:rPr>
          <w:szCs w:val="24"/>
        </w:rPr>
        <w:t xml:space="preserve"> a broad range of topics</w:t>
      </w:r>
      <w:r w:rsidR="00607936" w:rsidRPr="00DB2001">
        <w:rPr>
          <w:szCs w:val="24"/>
        </w:rPr>
        <w:t xml:space="preserve">, with a focus on describing the </w:t>
      </w:r>
      <w:r w:rsidR="000009EB" w:rsidRPr="00DB2001">
        <w:rPr>
          <w:szCs w:val="24"/>
        </w:rPr>
        <w:t>farmers market</w:t>
      </w:r>
      <w:r w:rsidR="00607936" w:rsidRPr="00DB2001">
        <w:rPr>
          <w:szCs w:val="24"/>
        </w:rPr>
        <w:t xml:space="preserve"> </w:t>
      </w:r>
      <w:r w:rsidR="002434FF" w:rsidRPr="00DB2001">
        <w:rPr>
          <w:szCs w:val="24"/>
        </w:rPr>
        <w:t>industry. While</w:t>
      </w:r>
      <w:r w:rsidR="00D03B52" w:rsidRPr="00DB2001">
        <w:rPr>
          <w:szCs w:val="24"/>
        </w:rPr>
        <w:t xml:space="preserve"> th</w:t>
      </w:r>
      <w:r w:rsidR="00A92C3E" w:rsidRPr="00DB2001">
        <w:rPr>
          <w:szCs w:val="24"/>
        </w:rPr>
        <w:t>e</w:t>
      </w:r>
      <w:r w:rsidR="00D03B52" w:rsidRPr="00DB2001">
        <w:rPr>
          <w:szCs w:val="24"/>
        </w:rPr>
        <w:t xml:space="preserve"> </w:t>
      </w:r>
      <w:r w:rsidR="00A92C3E" w:rsidRPr="00DB2001">
        <w:rPr>
          <w:szCs w:val="24"/>
        </w:rPr>
        <w:t xml:space="preserve">AMS </w:t>
      </w:r>
      <w:r w:rsidR="00D03B52" w:rsidRPr="00DB2001">
        <w:rPr>
          <w:szCs w:val="24"/>
        </w:rPr>
        <w:t>survey include</w:t>
      </w:r>
      <w:r w:rsidR="00B13A74" w:rsidRPr="00DB2001">
        <w:rPr>
          <w:szCs w:val="24"/>
        </w:rPr>
        <w:t>d</w:t>
      </w:r>
      <w:r w:rsidR="00D03B52" w:rsidRPr="00DB2001">
        <w:rPr>
          <w:szCs w:val="24"/>
        </w:rPr>
        <w:t xml:space="preserve"> general information </w:t>
      </w:r>
      <w:r w:rsidR="00A57C97" w:rsidRPr="00DB2001">
        <w:rPr>
          <w:szCs w:val="24"/>
        </w:rPr>
        <w:t xml:space="preserve">regarding </w:t>
      </w:r>
      <w:r w:rsidR="00D03B52" w:rsidRPr="00DB2001">
        <w:rPr>
          <w:szCs w:val="24"/>
        </w:rPr>
        <w:t>participation in federal nutrition assistance programs</w:t>
      </w:r>
      <w:r w:rsidR="00A57C97" w:rsidRPr="00DB2001">
        <w:rPr>
          <w:szCs w:val="24"/>
        </w:rPr>
        <w:t xml:space="preserve">, </w:t>
      </w:r>
      <w:r w:rsidR="00B13A74" w:rsidRPr="00DB2001">
        <w:rPr>
          <w:szCs w:val="24"/>
        </w:rPr>
        <w:t>it lacked</w:t>
      </w:r>
      <w:r w:rsidR="00607936" w:rsidRPr="00DB2001">
        <w:rPr>
          <w:szCs w:val="24"/>
        </w:rPr>
        <w:t xml:space="preserve"> the detailed information about </w:t>
      </w:r>
      <w:r w:rsidR="00D03B52" w:rsidRPr="00DB2001">
        <w:rPr>
          <w:szCs w:val="24"/>
        </w:rPr>
        <w:t xml:space="preserve">perceived </w:t>
      </w:r>
      <w:r w:rsidR="00200C74" w:rsidRPr="00DB2001">
        <w:rPr>
          <w:szCs w:val="24"/>
        </w:rPr>
        <w:t>ba</w:t>
      </w:r>
      <w:bookmarkStart w:id="16" w:name="_GoBack"/>
      <w:bookmarkEnd w:id="16"/>
      <w:r w:rsidR="00200C74" w:rsidRPr="00DB2001">
        <w:rPr>
          <w:szCs w:val="24"/>
        </w:rPr>
        <w:t>rriers and facilitators</w:t>
      </w:r>
      <w:r w:rsidR="00A57C97" w:rsidRPr="00DB2001">
        <w:rPr>
          <w:szCs w:val="24"/>
        </w:rPr>
        <w:t xml:space="preserve"> for participation in these programs</w:t>
      </w:r>
      <w:r w:rsidR="00607936" w:rsidRPr="00DB2001">
        <w:rPr>
          <w:szCs w:val="24"/>
        </w:rPr>
        <w:t xml:space="preserve"> or </w:t>
      </w:r>
      <w:r w:rsidR="00A57C97" w:rsidRPr="00DB2001">
        <w:rPr>
          <w:szCs w:val="24"/>
        </w:rPr>
        <w:t xml:space="preserve">the </w:t>
      </w:r>
      <w:r w:rsidR="00607936" w:rsidRPr="00DB2001">
        <w:rPr>
          <w:szCs w:val="24"/>
        </w:rPr>
        <w:t xml:space="preserve">prevalence </w:t>
      </w:r>
      <w:r w:rsidR="00A57C97" w:rsidRPr="00DB2001">
        <w:rPr>
          <w:szCs w:val="24"/>
        </w:rPr>
        <w:t xml:space="preserve">of </w:t>
      </w:r>
      <w:r w:rsidR="00D03B52" w:rsidRPr="00DB2001">
        <w:rPr>
          <w:szCs w:val="24"/>
        </w:rPr>
        <w:t>incentive programs</w:t>
      </w:r>
      <w:r w:rsidR="00A57C97" w:rsidRPr="00DB2001">
        <w:rPr>
          <w:szCs w:val="24"/>
        </w:rPr>
        <w:t xml:space="preserve"> to increase </w:t>
      </w:r>
      <w:r w:rsidR="00607936" w:rsidRPr="00DB2001">
        <w:rPr>
          <w:szCs w:val="24"/>
        </w:rPr>
        <w:t xml:space="preserve">traffic from </w:t>
      </w:r>
      <w:r w:rsidR="00A57C97" w:rsidRPr="00DB2001">
        <w:rPr>
          <w:szCs w:val="24"/>
        </w:rPr>
        <w:t>SNAP shoppers</w:t>
      </w:r>
      <w:r w:rsidR="00200C74" w:rsidRPr="00DB2001">
        <w:rPr>
          <w:szCs w:val="24"/>
        </w:rPr>
        <w:t xml:space="preserve">. </w:t>
      </w:r>
      <w:r w:rsidR="00700867" w:rsidRPr="00DB2001">
        <w:rPr>
          <w:szCs w:val="24"/>
        </w:rPr>
        <w:t>We also identified an evaluation of NYC Health Bucks Initiative</w:t>
      </w:r>
      <w:r w:rsidR="00BE61CC" w:rsidRPr="00DB2001">
        <w:rPr>
          <w:szCs w:val="24"/>
        </w:rPr>
        <w:t>,</w:t>
      </w:r>
      <w:r w:rsidR="002518D6" w:rsidRPr="00DB2001">
        <w:rPr>
          <w:rStyle w:val="FootnoteReference"/>
          <w:szCs w:val="24"/>
          <w:vertAlign w:val="superscript"/>
        </w:rPr>
        <w:footnoteReference w:id="17"/>
      </w:r>
      <w:r w:rsidR="00700867" w:rsidRPr="00DB2001">
        <w:rPr>
          <w:szCs w:val="24"/>
          <w:vertAlign w:val="superscript"/>
        </w:rPr>
        <w:t xml:space="preserve"> </w:t>
      </w:r>
      <w:r w:rsidR="00700867" w:rsidRPr="00DB2001">
        <w:rPr>
          <w:szCs w:val="24"/>
        </w:rPr>
        <w:t xml:space="preserve">which included a survey of </w:t>
      </w:r>
      <w:proofErr w:type="gramStart"/>
      <w:r w:rsidR="00700867" w:rsidRPr="00DB2001">
        <w:rPr>
          <w:szCs w:val="24"/>
        </w:rPr>
        <w:t>farmers</w:t>
      </w:r>
      <w:proofErr w:type="gramEnd"/>
      <w:r w:rsidR="00700867" w:rsidRPr="00DB2001">
        <w:rPr>
          <w:szCs w:val="24"/>
        </w:rPr>
        <w:t xml:space="preserve"> market managers.  </w:t>
      </w:r>
      <w:r w:rsidR="00A57C97" w:rsidRPr="00DB2001">
        <w:rPr>
          <w:szCs w:val="24"/>
        </w:rPr>
        <w:t>In contrast to the AMS survey</w:t>
      </w:r>
      <w:r w:rsidR="00700867" w:rsidRPr="00DB2001">
        <w:rPr>
          <w:szCs w:val="24"/>
        </w:rPr>
        <w:t xml:space="preserve"> and the NYC Healthy Bucks Initiative</w:t>
      </w:r>
      <w:r w:rsidR="00A57C97" w:rsidRPr="00DB2001">
        <w:rPr>
          <w:szCs w:val="24"/>
        </w:rPr>
        <w:t xml:space="preserve">, the current </w:t>
      </w:r>
      <w:r w:rsidR="00A24C94" w:rsidRPr="00DB2001">
        <w:rPr>
          <w:szCs w:val="24"/>
        </w:rPr>
        <w:t>FM M</w:t>
      </w:r>
      <w:r w:rsidR="00A57C97" w:rsidRPr="00DB2001">
        <w:rPr>
          <w:szCs w:val="24"/>
        </w:rPr>
        <w:t>anager s</w:t>
      </w:r>
      <w:r w:rsidR="00BB6F59" w:rsidRPr="00DB2001">
        <w:rPr>
          <w:szCs w:val="24"/>
        </w:rPr>
        <w:t xml:space="preserve">urvey </w:t>
      </w:r>
      <w:r w:rsidR="00A57C97" w:rsidRPr="00DB2001">
        <w:rPr>
          <w:szCs w:val="24"/>
        </w:rPr>
        <w:t xml:space="preserve">is designed to </w:t>
      </w:r>
      <w:r w:rsidR="00BB6F59" w:rsidRPr="00DB2001">
        <w:rPr>
          <w:szCs w:val="24"/>
        </w:rPr>
        <w:t xml:space="preserve">be </w:t>
      </w:r>
      <w:r w:rsidR="00451F43" w:rsidRPr="00DB2001">
        <w:rPr>
          <w:szCs w:val="24"/>
        </w:rPr>
        <w:t xml:space="preserve">a </w:t>
      </w:r>
      <w:r w:rsidR="00BB6F59" w:rsidRPr="00DB2001">
        <w:rPr>
          <w:szCs w:val="24"/>
        </w:rPr>
        <w:t xml:space="preserve">nationally </w:t>
      </w:r>
      <w:r w:rsidR="00200C74" w:rsidRPr="00DB2001">
        <w:rPr>
          <w:szCs w:val="24"/>
        </w:rPr>
        <w:t xml:space="preserve">representative </w:t>
      </w:r>
      <w:r w:rsidR="00BB6F59" w:rsidRPr="00DB2001">
        <w:rPr>
          <w:szCs w:val="24"/>
        </w:rPr>
        <w:t>survey of f</w:t>
      </w:r>
      <w:r w:rsidR="00200C74" w:rsidRPr="00DB2001">
        <w:rPr>
          <w:szCs w:val="24"/>
        </w:rPr>
        <w:t>our</w:t>
      </w:r>
      <w:r w:rsidR="00BB6F59" w:rsidRPr="00DB2001">
        <w:rPr>
          <w:szCs w:val="24"/>
        </w:rPr>
        <w:t xml:space="preserve"> strata </w:t>
      </w:r>
      <w:r w:rsidR="00451F43" w:rsidRPr="00DB2001">
        <w:rPr>
          <w:rFonts w:cs="Arial"/>
          <w:szCs w:val="24"/>
        </w:rPr>
        <w:t xml:space="preserve">of </w:t>
      </w:r>
      <w:r w:rsidR="000009EB" w:rsidRPr="00DB2001">
        <w:rPr>
          <w:rFonts w:cs="Arial"/>
          <w:szCs w:val="24"/>
        </w:rPr>
        <w:t>farmers market</w:t>
      </w:r>
      <w:r w:rsidR="00451F43" w:rsidRPr="00DB2001">
        <w:rPr>
          <w:rFonts w:cs="Arial"/>
          <w:szCs w:val="24"/>
        </w:rPr>
        <w:t>s that ar</w:t>
      </w:r>
      <w:r w:rsidR="00BB6F59" w:rsidRPr="00DB2001">
        <w:rPr>
          <w:rFonts w:cs="Arial"/>
          <w:szCs w:val="24"/>
        </w:rPr>
        <w:t>e of particular interest to FNS.</w:t>
      </w:r>
      <w:r w:rsidR="00A57C97" w:rsidRPr="00DB2001">
        <w:rPr>
          <w:rFonts w:cs="Arial"/>
          <w:szCs w:val="24"/>
        </w:rPr>
        <w:t xml:space="preserve"> </w:t>
      </w:r>
      <w:r w:rsidR="00C32661" w:rsidRPr="00DB2001">
        <w:rPr>
          <w:rFonts w:cs="Arial"/>
          <w:szCs w:val="24"/>
        </w:rPr>
        <w:t>In addition, unlike the AMS survey</w:t>
      </w:r>
      <w:r w:rsidR="00700867" w:rsidRPr="00DB2001">
        <w:rPr>
          <w:rFonts w:cs="Arial"/>
          <w:szCs w:val="24"/>
        </w:rPr>
        <w:t xml:space="preserve"> and the NYC Healthy Bucks Initiative</w:t>
      </w:r>
      <w:r w:rsidR="00C32661" w:rsidRPr="00DB2001">
        <w:rPr>
          <w:rFonts w:cs="Arial"/>
          <w:szCs w:val="24"/>
        </w:rPr>
        <w:t>, the current survey is collecting information on direct marketing farmers.</w:t>
      </w:r>
      <w:r w:rsidR="006B6852" w:rsidRPr="00DB2001">
        <w:rPr>
          <w:rFonts w:cs="Arial"/>
          <w:szCs w:val="24"/>
        </w:rPr>
        <w:t xml:space="preserve"> </w:t>
      </w:r>
      <w:r w:rsidR="00607936" w:rsidRPr="00DB2001">
        <w:rPr>
          <w:rFonts w:cs="Arial"/>
          <w:szCs w:val="24"/>
        </w:rPr>
        <w:t xml:space="preserve">The widespread interest in promoting nutrition assistance programs at </w:t>
      </w:r>
      <w:r w:rsidR="000009EB" w:rsidRPr="00DB2001">
        <w:rPr>
          <w:rFonts w:cs="Arial"/>
          <w:szCs w:val="24"/>
        </w:rPr>
        <w:t>farmers market</w:t>
      </w:r>
      <w:r w:rsidR="00607936" w:rsidRPr="00DB2001">
        <w:rPr>
          <w:rFonts w:cs="Arial"/>
          <w:szCs w:val="24"/>
        </w:rPr>
        <w:t xml:space="preserve">s </w:t>
      </w:r>
      <w:r w:rsidR="00C32661" w:rsidRPr="00DB2001">
        <w:rPr>
          <w:rFonts w:cs="Arial"/>
          <w:szCs w:val="24"/>
        </w:rPr>
        <w:t xml:space="preserve">and direct </w:t>
      </w:r>
      <w:r w:rsidR="00C32661" w:rsidRPr="00DB2001">
        <w:rPr>
          <w:rFonts w:cs="Arial"/>
          <w:szCs w:val="24"/>
        </w:rPr>
        <w:lastRenderedPageBreak/>
        <w:t xml:space="preserve">marketing farmers </w:t>
      </w:r>
      <w:r w:rsidR="00607936" w:rsidRPr="00DB2001">
        <w:rPr>
          <w:rFonts w:cs="Arial"/>
          <w:szCs w:val="24"/>
        </w:rPr>
        <w:t xml:space="preserve">makes obtaining scientifically-sound information on how nutrition assistance programs fit with current </w:t>
      </w:r>
      <w:proofErr w:type="gramStart"/>
      <w:r w:rsidR="000009EB" w:rsidRPr="00DB2001">
        <w:rPr>
          <w:rFonts w:cs="Arial"/>
          <w:szCs w:val="24"/>
        </w:rPr>
        <w:t>farmers</w:t>
      </w:r>
      <w:proofErr w:type="gramEnd"/>
      <w:r w:rsidR="000009EB" w:rsidRPr="00DB2001">
        <w:rPr>
          <w:rFonts w:cs="Arial"/>
          <w:szCs w:val="24"/>
        </w:rPr>
        <w:t xml:space="preserve"> market</w:t>
      </w:r>
      <w:r w:rsidR="00607936" w:rsidRPr="00DB2001">
        <w:rPr>
          <w:rFonts w:cs="Arial"/>
          <w:szCs w:val="24"/>
        </w:rPr>
        <w:t xml:space="preserve"> operations critical.</w:t>
      </w:r>
    </w:p>
    <w:p w:rsidR="00607936" w:rsidRPr="00D03B52" w:rsidRDefault="00607936" w:rsidP="00C02538">
      <w:pPr>
        <w:pStyle w:val="P1-StandPara"/>
      </w:pPr>
    </w:p>
    <w:p w:rsidR="003955ED" w:rsidRPr="008A1D30" w:rsidRDefault="003955ED" w:rsidP="008A1D30">
      <w:pPr>
        <w:pStyle w:val="Heading2"/>
      </w:pPr>
      <w:bookmarkStart w:id="17" w:name="_Toc286158952"/>
      <w:bookmarkStart w:id="18" w:name="_Toc286160541"/>
      <w:bookmarkStart w:id="19" w:name="_Toc290021764"/>
      <w:r w:rsidRPr="008A1D30">
        <w:t>A.5.</w:t>
      </w:r>
      <w:r w:rsidRPr="008A1D30">
        <w:tab/>
      </w:r>
      <w:bookmarkEnd w:id="17"/>
      <w:bookmarkEnd w:id="18"/>
      <w:bookmarkEnd w:id="19"/>
      <w:r w:rsidRPr="008A1D30">
        <w:t>If the Collection of Information Impacts Small Businesses or Other Small Entities, Describe any Methods Used to Minimize Burden.</w:t>
      </w:r>
    </w:p>
    <w:p w:rsidR="003565C3" w:rsidRDefault="00475586" w:rsidP="003565C3">
      <w:pPr>
        <w:pStyle w:val="P1-StandPara"/>
      </w:pPr>
      <w:bookmarkStart w:id="20" w:name="_Toc280797903"/>
      <w:r>
        <w:t xml:space="preserve">We expect </w:t>
      </w:r>
      <w:r w:rsidR="00776A9A">
        <w:t xml:space="preserve">that </w:t>
      </w:r>
      <w:r w:rsidR="00DB2001">
        <w:t xml:space="preserve">as much as 85 to 90 percent of the sample of </w:t>
      </w:r>
      <w:r>
        <w:t xml:space="preserve">direct marketing farmers </w:t>
      </w:r>
      <w:r w:rsidR="00A749BA">
        <w:t xml:space="preserve">and </w:t>
      </w:r>
      <w:proofErr w:type="gramStart"/>
      <w:r w:rsidR="00A749BA">
        <w:t>farmers</w:t>
      </w:r>
      <w:proofErr w:type="gramEnd"/>
      <w:r w:rsidR="00A749BA">
        <w:t xml:space="preserve"> market managers </w:t>
      </w:r>
      <w:r w:rsidR="00DB2001">
        <w:t xml:space="preserve">will be </w:t>
      </w:r>
      <w:r w:rsidR="00440ECB">
        <w:t>small business</w:t>
      </w:r>
      <w:r w:rsidR="00776A9A">
        <w:t xml:space="preserve"> owners</w:t>
      </w:r>
      <w:r w:rsidR="00440ECB">
        <w:t xml:space="preserve">.  </w:t>
      </w:r>
      <w:r w:rsidR="002A1923">
        <w:t>As with the other respondents, the i</w:t>
      </w:r>
      <w:r w:rsidR="003565C3">
        <w:t xml:space="preserve">nformation being collected </w:t>
      </w:r>
      <w:r w:rsidR="002A1923">
        <w:t xml:space="preserve">from small business owners </w:t>
      </w:r>
      <w:r w:rsidR="00440ECB">
        <w:t>will be h</w:t>
      </w:r>
      <w:r w:rsidR="003565C3">
        <w:t xml:space="preserve">eld to the minimum required for the intended use.  The self-administered surveys are designed such that they can be done at a time most convenient to respondents. The survey can also be completed online.  After </w:t>
      </w:r>
      <w:r w:rsidR="00F54CCA">
        <w:t>four</w:t>
      </w:r>
      <w:r w:rsidR="003565C3">
        <w:t xml:space="preserve"> weeks of survey mailing, we will attempt to complete the survey with direct marketing farmers by telephone.  </w:t>
      </w:r>
    </w:p>
    <w:p w:rsidR="0002269D" w:rsidRDefault="0002269D" w:rsidP="00C02538">
      <w:pPr>
        <w:pStyle w:val="P1-StandPara"/>
      </w:pPr>
    </w:p>
    <w:p w:rsidR="003955ED" w:rsidRPr="008A1D30" w:rsidRDefault="003955ED" w:rsidP="008A1D30">
      <w:pPr>
        <w:pStyle w:val="Heading2"/>
      </w:pPr>
      <w:bookmarkStart w:id="21" w:name="_Toc286158953"/>
      <w:bookmarkStart w:id="22" w:name="_Toc286160542"/>
      <w:bookmarkStart w:id="23" w:name="_Toc290021765"/>
      <w:bookmarkStart w:id="24" w:name="_Toc280797904"/>
      <w:r w:rsidRPr="008A1D30">
        <w:t>A.6.</w:t>
      </w:r>
      <w:r w:rsidRPr="008A1D30">
        <w:tab/>
      </w:r>
      <w:bookmarkEnd w:id="21"/>
      <w:bookmarkEnd w:id="22"/>
      <w:bookmarkEnd w:id="23"/>
      <w:r w:rsidRPr="008A1D30">
        <w:t>Describe the Consequence to Federal Program or Policy Activities if the Collection is Not conducted or is Conducted Less Frequently, as well as any Technical or Legal Obstacles to Reducing Burden.</w:t>
      </w:r>
    </w:p>
    <w:p w:rsidR="006B6852" w:rsidRDefault="00E938A8" w:rsidP="00C02538">
      <w:pPr>
        <w:pStyle w:val="P1-StandPara"/>
      </w:pPr>
      <w:r>
        <w:t>The request for clearance is to conduct a one-time data collection.</w:t>
      </w:r>
      <w:r w:rsidR="00296EFC">
        <w:t xml:space="preserve">  If these data are not collected, USDA/FNS will be unable to improve its understanding of the </w:t>
      </w:r>
      <w:proofErr w:type="gramStart"/>
      <w:r w:rsidR="00296EFC">
        <w:t>farmers</w:t>
      </w:r>
      <w:proofErr w:type="gramEnd"/>
      <w:r w:rsidR="00296EFC">
        <w:t xml:space="preserve"> market environment, particularly barriers to participation in nutrition assistance programs by these markets, in order to identify policy changes that could attract a greater number of farmers markets and SNAP shoppers.</w:t>
      </w:r>
    </w:p>
    <w:p w:rsidR="006B6852" w:rsidRDefault="003A57ED" w:rsidP="003565C3">
      <w:pPr>
        <w:pStyle w:val="Heading2"/>
        <w:ind w:left="0" w:firstLine="0"/>
      </w:pPr>
      <w:bookmarkStart w:id="25" w:name="_Toc286158954"/>
      <w:bookmarkStart w:id="26" w:name="_Toc286160543"/>
      <w:bookmarkStart w:id="27" w:name="_Toc290021766"/>
      <w:bookmarkStart w:id="28" w:name="OLE_LINK1"/>
      <w:bookmarkStart w:id="29" w:name="OLE_LINK2"/>
      <w:bookmarkEnd w:id="24"/>
      <w:r>
        <w:lastRenderedPageBreak/>
        <w:t>A.7.</w:t>
      </w:r>
      <w:r>
        <w:tab/>
        <w:t>Explain any Special C</w:t>
      </w:r>
      <w:r w:rsidRPr="0046560D">
        <w:t xml:space="preserve">ircumstances </w:t>
      </w:r>
      <w:r>
        <w:t xml:space="preserve">that would Cause an Information Collection to be </w:t>
      </w:r>
      <w:proofErr w:type="gramStart"/>
      <w:r>
        <w:t>Conducted</w:t>
      </w:r>
      <w:proofErr w:type="gramEnd"/>
      <w:r>
        <w:t xml:space="preserve"> in a Manner:</w:t>
      </w:r>
      <w:bookmarkEnd w:id="25"/>
      <w:bookmarkEnd w:id="26"/>
      <w:bookmarkEnd w:id="27"/>
    </w:p>
    <w:p w:rsidR="003A57ED" w:rsidRPr="00550DDA"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Requiring respondents to report information to the agency more often than quarterly;</w:t>
      </w:r>
    </w:p>
    <w:p w:rsidR="003A57ED" w:rsidRPr="00550DDA"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Requiring respondents to prepare a written response to a collection of information in fewer than 30 days after receipt of it;</w:t>
      </w:r>
    </w:p>
    <w:p w:rsidR="003A57ED" w:rsidRPr="00550DDA"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Requiring respondents to submit more than an original and two copies of any document;</w:t>
      </w:r>
    </w:p>
    <w:p w:rsidR="003A57ED" w:rsidRPr="00550DDA"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Requiring respondents to retain records, other than health medical, government contract, grant-in-aid, or tax records for more than three years;</w:t>
      </w:r>
    </w:p>
    <w:p w:rsidR="006B6852"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In connection with a statistical survey that is not designed to produce valid and reliable results that can be generalized to the universe of study;</w:t>
      </w:r>
    </w:p>
    <w:p w:rsidR="003A57ED" w:rsidRPr="00550DDA"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Requiring the use of a statistical data classification that has not been reviewed and approved by OMB;</w:t>
      </w:r>
    </w:p>
    <w:p w:rsidR="003A57ED" w:rsidRPr="00550DDA" w:rsidRDefault="003A57ED" w:rsidP="008A1D30">
      <w:pPr>
        <w:pStyle w:val="Heading2"/>
        <w:numPr>
          <w:ilvl w:val="0"/>
          <w:numId w:val="19"/>
        </w:numPr>
        <w:spacing w:after="0"/>
        <w:ind w:left="1526"/>
        <w:rPr>
          <w:color w:val="244061" w:themeColor="accent1" w:themeShade="80"/>
          <w:sz w:val="30"/>
          <w:szCs w:val="30"/>
        </w:rPr>
      </w:pPr>
      <w:r w:rsidRPr="00550DDA">
        <w:rPr>
          <w:color w:val="244061" w:themeColor="accent1" w:themeShade="80"/>
          <w:sz w:val="30"/>
          <w:szCs w:val="3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6852" w:rsidRDefault="003A57ED" w:rsidP="008A1D30">
      <w:pPr>
        <w:pStyle w:val="Heading2"/>
        <w:numPr>
          <w:ilvl w:val="0"/>
          <w:numId w:val="19"/>
        </w:numPr>
        <w:ind w:left="1530"/>
        <w:rPr>
          <w:color w:val="244061" w:themeColor="accent1" w:themeShade="80"/>
          <w:sz w:val="30"/>
          <w:szCs w:val="30"/>
        </w:rPr>
      </w:pPr>
      <w:r w:rsidRPr="00550DDA">
        <w:rPr>
          <w:color w:val="244061" w:themeColor="accent1" w:themeShade="80"/>
          <w:sz w:val="30"/>
          <w:szCs w:val="30"/>
        </w:rPr>
        <w:t>Requiring respondents to submit proprietary trade secret, or other confidential information unless the agency can demonstrate that it has instituted procedures to protect the information</w:t>
      </w:r>
      <w:r w:rsidR="006B6852">
        <w:rPr>
          <w:color w:val="244061" w:themeColor="accent1" w:themeShade="80"/>
          <w:sz w:val="30"/>
          <w:szCs w:val="30"/>
        </w:rPr>
        <w:t>’</w:t>
      </w:r>
      <w:r w:rsidRPr="00550DDA">
        <w:rPr>
          <w:color w:val="244061" w:themeColor="accent1" w:themeShade="80"/>
          <w:sz w:val="30"/>
          <w:szCs w:val="30"/>
        </w:rPr>
        <w:t>s confidentiality to the extent permitted by law.</w:t>
      </w:r>
    </w:p>
    <w:bookmarkEnd w:id="28"/>
    <w:bookmarkEnd w:id="29"/>
    <w:p w:rsidR="00E938A8" w:rsidRPr="00D65922" w:rsidRDefault="003A57ED" w:rsidP="00C02538">
      <w:pPr>
        <w:pStyle w:val="P1-StandPara"/>
        <w:rPr>
          <w:szCs w:val="24"/>
        </w:rPr>
      </w:pPr>
      <w:r w:rsidRPr="00232BB0">
        <w:t>There are no special circumstances relating to the Guidelines of 5 CFR 1320.5 for this collection of informa</w:t>
      </w:r>
      <w:r w:rsidR="00D84310">
        <w:t>tion</w:t>
      </w:r>
      <w:r w:rsidRPr="00232BB0">
        <w:t>.</w:t>
      </w:r>
      <w:r w:rsidR="006B6852">
        <w:t xml:space="preserve"> </w:t>
      </w:r>
      <w:r w:rsidR="00E938A8" w:rsidRPr="00232BB0">
        <w:rPr>
          <w:szCs w:val="24"/>
        </w:rPr>
        <w:t>This request fully complies with the regulation 5 </w:t>
      </w:r>
      <w:r w:rsidR="00E938A8" w:rsidRPr="00232BB0">
        <w:rPr>
          <w:i/>
          <w:szCs w:val="24"/>
        </w:rPr>
        <w:t xml:space="preserve">Code of Federal Regulations </w:t>
      </w:r>
      <w:r w:rsidR="00E938A8" w:rsidRPr="00232BB0">
        <w:rPr>
          <w:szCs w:val="24"/>
        </w:rPr>
        <w:t>1320.5.</w:t>
      </w:r>
    </w:p>
    <w:p w:rsidR="00E938A8" w:rsidRPr="001867AB" w:rsidRDefault="00E938A8" w:rsidP="00C02538">
      <w:pPr>
        <w:pStyle w:val="P1-StandPara"/>
      </w:pPr>
    </w:p>
    <w:p w:rsidR="006B6852" w:rsidRPr="00FA4CF1" w:rsidRDefault="003A57ED" w:rsidP="00FA4CF1">
      <w:pPr>
        <w:pStyle w:val="Heading2"/>
      </w:pPr>
      <w:bookmarkStart w:id="30" w:name="_Toc286158956"/>
      <w:bookmarkStart w:id="31" w:name="_Toc286160544"/>
      <w:bookmarkStart w:id="32" w:name="_Toc290021767"/>
      <w:r w:rsidRPr="00FA4CF1">
        <w:lastRenderedPageBreak/>
        <w:t>A.8.</w:t>
      </w:r>
      <w:r w:rsidRPr="00FA4CF1">
        <w:tab/>
      </w:r>
      <w:bookmarkEnd w:id="30"/>
      <w:bookmarkEnd w:id="31"/>
      <w:bookmarkEnd w:id="32"/>
      <w:r w:rsidRPr="00FA4CF1">
        <w:t>If Applicable, Provide a Copy and Identify the Date and Page Number of Publication in the Federal Register of the Agency</w:t>
      </w:r>
      <w:r w:rsidR="006B6852" w:rsidRPr="00FA4CF1">
        <w:t>’</w:t>
      </w:r>
      <w:r w:rsidRPr="00FA4CF1">
        <w:t>s Notice, Soliciting Comments on the Information Collection Prior to Submission to OMB.</w:t>
      </w:r>
    </w:p>
    <w:p w:rsidR="006B6852" w:rsidRPr="00FA4CF1" w:rsidRDefault="003A57ED" w:rsidP="00FA4CF1">
      <w:pPr>
        <w:pStyle w:val="Heading2"/>
      </w:pPr>
      <w:r w:rsidRPr="00FA4CF1">
        <w:tab/>
        <w:t>Summarize public comments received in response to that notice and describe actions taken by the agency in response to these comments.</w:t>
      </w:r>
    </w:p>
    <w:p w:rsidR="003A57ED" w:rsidRPr="00FA4CF1" w:rsidRDefault="003A57ED" w:rsidP="00FA4CF1">
      <w:pPr>
        <w:pStyle w:val="Heading2"/>
      </w:pPr>
      <w:r w:rsidRPr="00FA4CF1">
        <w:tab/>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3A57ED" w:rsidRDefault="003A57ED" w:rsidP="003A57ED">
      <w:pPr>
        <w:pStyle w:val="Heading4"/>
      </w:pPr>
      <w:r>
        <w:tab/>
      </w:r>
      <w:r w:rsidRPr="00EC1412">
        <w:t>Federal Register</w:t>
      </w:r>
    </w:p>
    <w:p w:rsidR="003A57ED" w:rsidRDefault="003A57ED" w:rsidP="00C02538">
      <w:pPr>
        <w:pStyle w:val="P1-StandPara"/>
      </w:pPr>
      <w:r w:rsidRPr="006F655B">
        <w:t xml:space="preserve">FNS published a notice </w:t>
      </w:r>
      <w:r w:rsidR="00232BB0" w:rsidRPr="006F655B">
        <w:t>March 18</w:t>
      </w:r>
      <w:r w:rsidRPr="006F655B">
        <w:t xml:space="preserve">, 2011 in the Federal Register Volume 76, Number </w:t>
      </w:r>
      <w:r w:rsidR="00232BB0" w:rsidRPr="006F655B">
        <w:t>56</w:t>
      </w:r>
      <w:r w:rsidRPr="006F655B">
        <w:t xml:space="preserve">, pages </w:t>
      </w:r>
      <w:r w:rsidR="00232BB0" w:rsidRPr="006F655B">
        <w:t>16376</w:t>
      </w:r>
      <w:r w:rsidRPr="006F655B">
        <w:t>-</w:t>
      </w:r>
      <w:r w:rsidR="00232BB0" w:rsidRPr="006F655B">
        <w:t>16378</w:t>
      </w:r>
      <w:r w:rsidRPr="006F655B">
        <w:t xml:space="preserve"> and provided a 60-day period f</w:t>
      </w:r>
      <w:r w:rsidR="00D84310">
        <w:t>or public comments. We received four</w:t>
      </w:r>
      <w:r w:rsidRPr="006F655B">
        <w:t xml:space="preserve"> comment</w:t>
      </w:r>
      <w:r w:rsidR="00232BB0" w:rsidRPr="006F655B">
        <w:t>s</w:t>
      </w:r>
      <w:r w:rsidRPr="006F655B">
        <w:t xml:space="preserve">. </w:t>
      </w:r>
      <w:r w:rsidRPr="00402F9F">
        <w:rPr>
          <w:b/>
        </w:rPr>
        <w:t>Appendix G</w:t>
      </w:r>
      <w:r w:rsidR="0022572D">
        <w:rPr>
          <w:b/>
        </w:rPr>
        <w:t>1</w:t>
      </w:r>
      <w:r w:rsidR="00A749BA">
        <w:t xml:space="preserve"> includes these </w:t>
      </w:r>
      <w:r w:rsidRPr="006F655B">
        <w:t>comment</w:t>
      </w:r>
      <w:r w:rsidR="00232BB0" w:rsidRPr="006F655B">
        <w:t>s</w:t>
      </w:r>
      <w:r w:rsidRPr="006F655B">
        <w:t xml:space="preserve"> </w:t>
      </w:r>
      <w:r w:rsidR="00232BB0" w:rsidRPr="006F655B">
        <w:t>and action taken by the agency in response</w:t>
      </w:r>
      <w:r w:rsidRPr="006F655B">
        <w:t>.</w:t>
      </w:r>
    </w:p>
    <w:p w:rsidR="003A57ED" w:rsidRDefault="003A57ED" w:rsidP="00C02538">
      <w:pPr>
        <w:pStyle w:val="P1-StandPara"/>
      </w:pPr>
    </w:p>
    <w:p w:rsidR="00872A67" w:rsidRPr="00AA7A6F" w:rsidRDefault="00872A67" w:rsidP="00872A67">
      <w:pPr>
        <w:pStyle w:val="Heading4"/>
      </w:pPr>
      <w:r w:rsidRPr="00AA7A6F">
        <w:tab/>
        <w:t>Outside Consultants</w:t>
      </w:r>
    </w:p>
    <w:p w:rsidR="00872A67" w:rsidRDefault="00872A67" w:rsidP="00872A67">
      <w:pPr>
        <w:pStyle w:val="P1-StandPara"/>
      </w:pPr>
      <w:r>
        <w:t xml:space="preserve">The information collection has been reviewed by the National Agricultural Statistics Service of USDA (NASS) with special reference to the statistical procedures.   The report prepared by NASS is presented in </w:t>
      </w:r>
      <w:r w:rsidRPr="003565C3">
        <w:rPr>
          <w:b/>
        </w:rPr>
        <w:t xml:space="preserve">Appendix </w:t>
      </w:r>
      <w:r w:rsidR="003565C3" w:rsidRPr="003565C3">
        <w:rPr>
          <w:b/>
        </w:rPr>
        <w:t>G2</w:t>
      </w:r>
      <w:r w:rsidRPr="00472F1E">
        <w:t>.</w:t>
      </w:r>
      <w:r>
        <w:t xml:space="preserve">  We have incorporated the</w:t>
      </w:r>
      <w:r w:rsidR="00296EFC">
        <w:t xml:space="preserve"> reviewer’s</w:t>
      </w:r>
      <w:r>
        <w:t xml:space="preserve"> comments and suggestions regarding statistical procedures into Part B of the supporting statement.</w:t>
      </w:r>
    </w:p>
    <w:p w:rsidR="00872A67" w:rsidRPr="00B57929" w:rsidRDefault="00872A67" w:rsidP="00872A67">
      <w:pPr>
        <w:pStyle w:val="P1-StandPara"/>
      </w:pPr>
      <w:r w:rsidRPr="00B1588E">
        <w:t xml:space="preserve">FNS </w:t>
      </w:r>
      <w:r>
        <w:t xml:space="preserve">also </w:t>
      </w:r>
      <w:r w:rsidRPr="00B1588E">
        <w:t xml:space="preserve">consulted with </w:t>
      </w:r>
      <w:r>
        <w:t>the following</w:t>
      </w:r>
      <w:r w:rsidRPr="00D56C51">
        <w:t xml:space="preserve"> experts:</w:t>
      </w:r>
    </w:p>
    <w:p w:rsidR="00872A67" w:rsidRPr="00B57929" w:rsidRDefault="00872A67" w:rsidP="00872A67">
      <w:pPr>
        <w:pStyle w:val="N1-1stBullet"/>
      </w:pPr>
      <w:r>
        <w:t xml:space="preserve">Stacy Miller, Farmers Market Coalition, </w:t>
      </w:r>
      <w:r w:rsidR="00A749BA">
        <w:t>434-984-0175</w:t>
      </w:r>
    </w:p>
    <w:p w:rsidR="00872A67" w:rsidRDefault="00872A67" w:rsidP="00872A67">
      <w:pPr>
        <w:pStyle w:val="N1-1stBullet"/>
      </w:pPr>
      <w:r>
        <w:t>Punam Ohri-Vachaspati, Arizona State University, 602-496-2644</w:t>
      </w:r>
    </w:p>
    <w:p w:rsidR="002E1F68" w:rsidRDefault="002E1F68" w:rsidP="00C02538">
      <w:pPr>
        <w:pStyle w:val="P1-StandPara"/>
      </w:pPr>
    </w:p>
    <w:p w:rsidR="006B6852" w:rsidRPr="0088739A" w:rsidRDefault="003A57ED" w:rsidP="0088739A">
      <w:pPr>
        <w:pStyle w:val="Heading2"/>
      </w:pPr>
      <w:bookmarkStart w:id="33" w:name="_Toc286160549"/>
      <w:bookmarkStart w:id="34" w:name="_Toc290021768"/>
      <w:bookmarkEnd w:id="20"/>
      <w:r w:rsidRPr="0088739A">
        <w:t>A.9.</w:t>
      </w:r>
      <w:r w:rsidRPr="0088739A">
        <w:tab/>
      </w:r>
      <w:bookmarkEnd w:id="33"/>
      <w:bookmarkEnd w:id="34"/>
      <w:r w:rsidRPr="0088739A">
        <w:t>Explain any Decision to Provide any Payment or Gift to Respondents, Other than Remuneration of Contractors or Grantees.</w:t>
      </w:r>
    </w:p>
    <w:p w:rsidR="0016153D" w:rsidRPr="0016153D" w:rsidRDefault="003A57ED" w:rsidP="0016153D">
      <w:pPr>
        <w:pStyle w:val="p1-standpara0"/>
        <w:ind w:firstLine="0"/>
        <w:rPr>
          <w:rFonts w:ascii="Calibri" w:hAnsi="Calibri"/>
        </w:rPr>
      </w:pPr>
      <w:r w:rsidRPr="00B84A59">
        <w:t>Achieving high response ra</w:t>
      </w:r>
      <w:r w:rsidR="007C7422">
        <w:t>tes is critical to data quality.</w:t>
      </w:r>
      <w:r w:rsidR="006B6852">
        <w:t xml:space="preserve"> </w:t>
      </w:r>
      <w:r w:rsidR="004979F6" w:rsidRPr="00B84A59">
        <w:t>An effective incentive can improve initial response rates, which reduce</w:t>
      </w:r>
      <w:r w:rsidR="004979F6">
        <w:t>s</w:t>
      </w:r>
      <w:r w:rsidR="004979F6" w:rsidRPr="00B84A59">
        <w:t xml:space="preserve"> the need for follow-up and decrease</w:t>
      </w:r>
      <w:r w:rsidR="004979F6">
        <w:t>s</w:t>
      </w:r>
      <w:r w:rsidR="004979F6" w:rsidRPr="00B84A59">
        <w:t xml:space="preserve"> survey costs.</w:t>
      </w:r>
      <w:r w:rsidR="004979F6" w:rsidRPr="00B84A59">
        <w:rPr>
          <w:vertAlign w:val="superscript"/>
        </w:rPr>
        <w:footnoteReference w:id="18"/>
      </w:r>
      <w:r w:rsidR="004979F6" w:rsidRPr="00B84A59">
        <w:t xml:space="preserve"> In addition, incentives disproportionately encourage those less interested in the research to participate, thus reducing non-response bias.</w:t>
      </w:r>
      <w:r w:rsidR="004979F6" w:rsidRPr="00B84A59">
        <w:rPr>
          <w:vertAlign w:val="superscript"/>
        </w:rPr>
        <w:footnoteReference w:id="19"/>
      </w:r>
      <w:r w:rsidR="004979F6" w:rsidRPr="00B84A59">
        <w:t xml:space="preserve"> </w:t>
      </w:r>
      <w:r w:rsidR="004979F6">
        <w:t xml:space="preserve">Church estimated the effects of incentives on mail survey response rates by employing meta analysis and noted that only those surveys that included rewards (monetary or </w:t>
      </w:r>
      <w:r w:rsidR="004979F6" w:rsidRPr="00C02538">
        <w:t>nonmonetary) in the initial mailing (pre-incentive) yielded significant increase in response rates</w:t>
      </w:r>
      <w:r w:rsidR="00811C04">
        <w:t>.</w:t>
      </w:r>
      <w:r w:rsidR="004979F6" w:rsidRPr="00C02538">
        <w:rPr>
          <w:vertAlign w:val="superscript"/>
        </w:rPr>
        <w:footnoteReference w:id="20"/>
      </w:r>
      <w:r w:rsidR="006B6852" w:rsidRPr="00C02538">
        <w:t xml:space="preserve"> </w:t>
      </w:r>
      <w:r w:rsidR="007C7422" w:rsidRPr="00C02538">
        <w:t>In a study comparing response rate by the amount of prepaid incentive provided to participants, the investigators noted a ten percentage point increase in response rate when a $2 prepaid incentive was included with the invitation letter (</w:t>
      </w:r>
      <w:r w:rsidR="004979F6" w:rsidRPr="00C02538">
        <w:t>c</w:t>
      </w:r>
      <w:r w:rsidR="007C7422" w:rsidRPr="00C02538">
        <w:t>ompared to no prepaid incentive).</w:t>
      </w:r>
      <w:r w:rsidR="007C7422" w:rsidRPr="00C02538">
        <w:rPr>
          <w:vertAlign w:val="superscript"/>
        </w:rPr>
        <w:footnoteReference w:id="21"/>
      </w:r>
      <w:r w:rsidR="006B6852" w:rsidRPr="00C02538">
        <w:t xml:space="preserve"> </w:t>
      </w:r>
      <w:r w:rsidRPr="00C02538">
        <w:t>Based on this research,</w:t>
      </w:r>
      <w:r w:rsidRPr="00B84A59">
        <w:rPr>
          <w:rFonts w:cs="CJPCAL+TimesNewRoman"/>
          <w:color w:val="000000"/>
        </w:rPr>
        <w:t xml:space="preserve"> </w:t>
      </w:r>
      <w:r w:rsidR="000009EB">
        <w:rPr>
          <w:rFonts w:cs="CJPCAL+TimesNewRoman"/>
          <w:color w:val="000000"/>
        </w:rPr>
        <w:t>Farmers market</w:t>
      </w:r>
      <w:r w:rsidR="00D67C50" w:rsidRPr="00F96C75">
        <w:rPr>
          <w:rFonts w:cs="GillSans-Bold"/>
          <w:bCs/>
        </w:rPr>
        <w:t xml:space="preserve"> managers will receive</w:t>
      </w:r>
      <w:r w:rsidR="00B84A59">
        <w:rPr>
          <w:rFonts w:cs="GillSans-Bold"/>
          <w:bCs/>
        </w:rPr>
        <w:t xml:space="preserve"> a prepaid incentive of </w:t>
      </w:r>
      <w:r w:rsidR="00D67C50" w:rsidRPr="00F96C75">
        <w:rPr>
          <w:rFonts w:cs="GillSans-Bold"/>
          <w:bCs/>
        </w:rPr>
        <w:t>$</w:t>
      </w:r>
      <w:r w:rsidR="00B84A59" w:rsidRPr="004979F6">
        <w:rPr>
          <w:rFonts w:cs="GillSans-Bold"/>
          <w:bCs/>
        </w:rPr>
        <w:t>5</w:t>
      </w:r>
      <w:r w:rsidR="00D67C50" w:rsidRPr="00F96C75">
        <w:rPr>
          <w:rFonts w:cs="GillSans-Bold"/>
          <w:bCs/>
        </w:rPr>
        <w:t xml:space="preserve"> for completing the survey.</w:t>
      </w:r>
      <w:r w:rsidR="00D67C50" w:rsidRPr="00F96C75">
        <w:t xml:space="preserve"> SNAP recipients </w:t>
      </w:r>
      <w:r w:rsidR="0065443D">
        <w:t xml:space="preserve">(living in DC and Baltimore) </w:t>
      </w:r>
      <w:r w:rsidR="00D67C50" w:rsidRPr="00F96C75">
        <w:t>will receive $</w:t>
      </w:r>
      <w:r w:rsidR="00470B93">
        <w:t>6</w:t>
      </w:r>
      <w:r w:rsidR="00094820">
        <w:t>0</w:t>
      </w:r>
      <w:r w:rsidR="00D67C50" w:rsidRPr="00F96C75">
        <w:t xml:space="preserve"> for their </w:t>
      </w:r>
      <w:r w:rsidR="00C32661">
        <w:t xml:space="preserve">interactive </w:t>
      </w:r>
      <w:r w:rsidR="00D67C50" w:rsidRPr="00F96C75">
        <w:t xml:space="preserve">participation in </w:t>
      </w:r>
      <w:r w:rsidR="00094820">
        <w:t>a 6</w:t>
      </w:r>
      <w:r w:rsidR="00C32661">
        <w:t xml:space="preserve">0 minute </w:t>
      </w:r>
      <w:r w:rsidR="00D67C50" w:rsidRPr="00F96C75">
        <w:t>focus groups.</w:t>
      </w:r>
      <w:r w:rsidR="0016153D" w:rsidRPr="0016153D">
        <w:rPr>
          <w:color w:val="000000"/>
        </w:rPr>
        <w:t xml:space="preserve"> </w:t>
      </w:r>
      <w:r w:rsidR="0016153D">
        <w:rPr>
          <w:color w:val="000000"/>
        </w:rPr>
        <w:t xml:space="preserve">This amount is consonant with what OMB has approved for studies with other low-income focus group participants.  In </w:t>
      </w:r>
      <w:proofErr w:type="spellStart"/>
      <w:r w:rsidR="0065443D">
        <w:rPr>
          <w:color w:val="000000"/>
        </w:rPr>
        <w:t>Westat’s</w:t>
      </w:r>
      <w:proofErr w:type="spellEnd"/>
      <w:r w:rsidR="0016153D">
        <w:rPr>
          <w:color w:val="000000"/>
        </w:rPr>
        <w:t xml:space="preserve"> recent work for the Internal Revenue Service on the Earned Income Tax Credit (EITC), a $100 incentive was provided for a 90 minute focus group discussion to low-income participants (OMB #: </w:t>
      </w:r>
      <w:r w:rsidR="0016153D" w:rsidRPr="0079080F">
        <w:rPr>
          <w:color w:val="000000"/>
        </w:rPr>
        <w:t>1545-1349</w:t>
      </w:r>
      <w:r w:rsidR="0016153D">
        <w:rPr>
          <w:color w:val="000000"/>
        </w:rPr>
        <w:t xml:space="preserve">.  Four separate focus group task orders were undertaken between 2005-2010; OMB </w:t>
      </w:r>
      <w:r w:rsidR="0016153D" w:rsidRPr="0079080F">
        <w:rPr>
          <w:color w:val="000000"/>
        </w:rPr>
        <w:t xml:space="preserve">clearance number for </w:t>
      </w:r>
      <w:r w:rsidR="0016153D" w:rsidRPr="0079080F">
        <w:rPr>
          <w:i/>
          <w:color w:val="000000"/>
        </w:rPr>
        <w:t>Task Order 13: Earned Income Tax Credit Research Studies – EITC Post Filing Season Marketing Focus Groups with Taxpayers</w:t>
      </w:r>
      <w:r w:rsidR="0016153D">
        <w:rPr>
          <w:color w:val="000000"/>
        </w:rPr>
        <w:t xml:space="preserve">: </w:t>
      </w:r>
      <w:r w:rsidR="0016153D" w:rsidRPr="0079080F">
        <w:rPr>
          <w:color w:val="000000"/>
        </w:rPr>
        <w:t>SOI-</w:t>
      </w:r>
      <w:r w:rsidR="0016153D" w:rsidRPr="0079080F">
        <w:rPr>
          <w:color w:val="000000"/>
        </w:rPr>
        <w:lastRenderedPageBreak/>
        <w:t>336</w:t>
      </w:r>
      <w:r w:rsidR="0016153D">
        <w:rPr>
          <w:color w:val="000000"/>
        </w:rPr>
        <w:t xml:space="preserve"> (April – June, 2009)</w:t>
      </w:r>
      <w:r w:rsidR="0016153D" w:rsidRPr="0079080F">
        <w:rPr>
          <w:color w:val="000000"/>
        </w:rPr>
        <w:t>)</w:t>
      </w:r>
      <w:r w:rsidR="0016153D">
        <w:rPr>
          <w:color w:val="000000"/>
        </w:rPr>
        <w:t>.   For the Heal</w:t>
      </w:r>
      <w:r w:rsidR="0065443D">
        <w:rPr>
          <w:color w:val="000000"/>
        </w:rPr>
        <w:t>thy Incentives Pilot (OMB #: 0584-0561), FNS</w:t>
      </w:r>
      <w:r w:rsidR="0016153D">
        <w:rPr>
          <w:color w:val="000000"/>
        </w:rPr>
        <w:t xml:space="preserve"> will be a</w:t>
      </w:r>
      <w:r w:rsidR="0065443D">
        <w:rPr>
          <w:color w:val="000000"/>
        </w:rPr>
        <w:t>sking SNAP participants in western</w:t>
      </w:r>
      <w:r w:rsidR="0016153D">
        <w:rPr>
          <w:color w:val="000000"/>
        </w:rPr>
        <w:t xml:space="preserve"> Massachusetts to participate in a 90-minute discussion; OMB has approved an incentive amount of $75 for these participants</w:t>
      </w:r>
      <w:r w:rsidR="0065443D">
        <w:rPr>
          <w:color w:val="000000"/>
        </w:rPr>
        <w:t>.</w:t>
      </w:r>
      <w:r w:rsidR="0016153D" w:rsidRPr="0016153D">
        <w:rPr>
          <w:color w:val="000000"/>
        </w:rPr>
        <w:t xml:space="preserve">  </w:t>
      </w:r>
      <w:r w:rsidR="0016153D" w:rsidRPr="0016153D">
        <w:t>A stipend of this amount is typical when conducting focus groups with populations that may incur child care and/or transportation ex</w:t>
      </w:r>
      <w:r w:rsidR="0065443D">
        <w:t>penses to attend the discussion and should be adjusted to reflect the cost of living in the area where the groups are to take place.</w:t>
      </w:r>
    </w:p>
    <w:p w:rsidR="0016153D" w:rsidRDefault="0016153D" w:rsidP="0088739A">
      <w:pPr>
        <w:pStyle w:val="Heading2"/>
      </w:pPr>
      <w:bookmarkStart w:id="35" w:name="_Toc286158958"/>
      <w:bookmarkStart w:id="36" w:name="_Toc286160550"/>
      <w:bookmarkStart w:id="37" w:name="_Toc290021769"/>
    </w:p>
    <w:p w:rsidR="006B6852" w:rsidRPr="0088739A" w:rsidRDefault="003A57ED" w:rsidP="0088739A">
      <w:pPr>
        <w:pStyle w:val="Heading2"/>
      </w:pPr>
      <w:r w:rsidRPr="0088739A">
        <w:t>A.10.</w:t>
      </w:r>
      <w:r w:rsidRPr="0088739A">
        <w:tab/>
      </w:r>
      <w:bookmarkEnd w:id="35"/>
      <w:bookmarkEnd w:id="36"/>
      <w:bookmarkEnd w:id="37"/>
      <w:r w:rsidRPr="0088739A">
        <w:t>Explain any Assurance of Confidentiality Provided to Respondents and the Basis for the Assurance in Statute, Regulation, or Agency Policy.</w:t>
      </w:r>
    </w:p>
    <w:p w:rsidR="003A57ED" w:rsidRDefault="003A57ED" w:rsidP="003A57ED">
      <w:pPr>
        <w:pStyle w:val="P1-StandPara"/>
      </w:pPr>
      <w:r w:rsidRPr="00530CAB">
        <w:t>The individuals participating in this study will be assured that the information they provide will not be published in a form that identifies them. No identifying information will be attached to any reports. Identifying information will not be included in the public use dataset.</w:t>
      </w:r>
    </w:p>
    <w:p w:rsidR="003A57ED" w:rsidRDefault="003A57ED" w:rsidP="004E3EB1">
      <w:pPr>
        <w:pStyle w:val="P1-StandPara"/>
      </w:pPr>
      <w:r w:rsidRPr="00530CAB">
        <w:t>Westat ha</w:t>
      </w:r>
      <w:r w:rsidR="00363B29" w:rsidRPr="00530CAB">
        <w:t>s</w:t>
      </w:r>
      <w:r w:rsidRPr="00530CAB">
        <w:t xml:space="preserve"> extensive experience in data collection efforts requiring strict procedures for maintaining the confidentiality, security, and integrity of data. Specific data handling and reporting procedures will be employed to maintain the privacy of survey </w:t>
      </w:r>
      <w:r w:rsidR="00530CAB">
        <w:t xml:space="preserve">and focus group </w:t>
      </w:r>
      <w:r w:rsidRPr="00530CAB">
        <w:t>participants and composite electronic files. These data handling and reporting procedures include requiring all project staff, both permanent and temporary, to sign a confidentiality and nondisclosure agreement</w:t>
      </w:r>
      <w:r w:rsidR="009B50FC">
        <w:t xml:space="preserve"> (</w:t>
      </w:r>
      <w:r w:rsidR="009B50FC" w:rsidRPr="00402F9F">
        <w:rPr>
          <w:b/>
        </w:rPr>
        <w:t xml:space="preserve">Appendix </w:t>
      </w:r>
      <w:r w:rsidR="00402F9F">
        <w:rPr>
          <w:b/>
        </w:rPr>
        <w:t>H1</w:t>
      </w:r>
      <w:r w:rsidR="009B50FC">
        <w:t>)</w:t>
      </w:r>
      <w:r w:rsidRPr="00530CAB">
        <w:t xml:space="preserve">. In this agreement, staff pledges to maintain the confidentiality of all information collected from the respondents and will not disclose it to anyone other than authorized representatives of the </w:t>
      </w:r>
      <w:r w:rsidR="00A109B9">
        <w:t>study</w:t>
      </w:r>
      <w:r w:rsidRPr="00530CAB">
        <w:t>, except as otherwise required by law.</w:t>
      </w:r>
      <w:r w:rsidR="006B6852">
        <w:t xml:space="preserve"> </w:t>
      </w:r>
      <w:r w:rsidRPr="00530CAB">
        <w:t xml:space="preserve">In addition, </w:t>
      </w:r>
      <w:r w:rsidR="00530CAB">
        <w:t>Westat has</w:t>
      </w:r>
      <w:r w:rsidRPr="00530CAB">
        <w:t xml:space="preserve"> established a number of procedures to ensure the confidentiality and security of electronic data in their offices during the data collection and processing period. A system of record notice (SORN) titled </w:t>
      </w:r>
      <w:r w:rsidR="009B50FC" w:rsidRPr="00F87BE2">
        <w:rPr>
          <w:rFonts w:cs="Arial"/>
          <w:szCs w:val="24"/>
          <w:u w:val="single"/>
        </w:rPr>
        <w:t>FNS-8 USDA/FNS Studies and Reports</w:t>
      </w:r>
      <w:r w:rsidR="009B50FC" w:rsidRPr="00F87BE2">
        <w:rPr>
          <w:rFonts w:cs="Arial"/>
          <w:szCs w:val="24"/>
        </w:rPr>
        <w:t xml:space="preserve"> in the Federal Register on March 31, 2000, Volume 65, Number </w:t>
      </w:r>
      <w:r w:rsidR="009B50FC" w:rsidRPr="00F87BE2">
        <w:rPr>
          <w:rFonts w:cs="Arial"/>
          <w:szCs w:val="24"/>
        </w:rPr>
        <w:lastRenderedPageBreak/>
        <w:t xml:space="preserve">63, and is located on pages 17251-17252 </w:t>
      </w:r>
      <w:r w:rsidR="009B50FC" w:rsidRPr="00F87BE2">
        <w:rPr>
          <w:szCs w:val="24"/>
        </w:rPr>
        <w:t>discusses the terms of protections that will be provided to respondents</w:t>
      </w:r>
      <w:r w:rsidRPr="00530CAB">
        <w:t>.</w:t>
      </w:r>
    </w:p>
    <w:p w:rsidR="006B6852" w:rsidRDefault="00693A5F" w:rsidP="004E3EB1">
      <w:pPr>
        <w:pStyle w:val="P1-StandPara"/>
      </w:pPr>
      <w:r w:rsidRPr="00F96C75">
        <w:t>Participants in this study will be subject to assurances and safeguards as provided by the Privacy Act of 1974 (5 USC 552a), which requires the safeguarding of individuals against invasion of privacy. The Privacy Act also provides for the confidential treatment of records maintained by a Federal agency according to either the individual</w:t>
      </w:r>
      <w:r w:rsidR="006B6852">
        <w:t>’</w:t>
      </w:r>
      <w:r w:rsidRPr="00F96C75">
        <w:t>s name or some other identifier.</w:t>
      </w:r>
    </w:p>
    <w:p w:rsidR="00AE1010" w:rsidRPr="002625D1" w:rsidRDefault="00451F43" w:rsidP="004E3EB1">
      <w:pPr>
        <w:pStyle w:val="P1-StandPara"/>
        <w:rPr>
          <w:rFonts w:cs="GillSans"/>
        </w:rPr>
      </w:pPr>
      <w:r>
        <w:t>P</w:t>
      </w:r>
      <w:r w:rsidR="00693A5F" w:rsidRPr="002625D1">
        <w:t>articipati</w:t>
      </w:r>
      <w:r>
        <w:t>on in the</w:t>
      </w:r>
      <w:r w:rsidR="002625D1" w:rsidRPr="002625D1">
        <w:t xml:space="preserve"> </w:t>
      </w:r>
      <w:r>
        <w:t xml:space="preserve">study </w:t>
      </w:r>
      <w:r w:rsidR="00693A5F" w:rsidRPr="002625D1">
        <w:t>is voluntary and</w:t>
      </w:r>
      <w:r>
        <w:t xml:space="preserve"> all</w:t>
      </w:r>
      <w:r w:rsidR="00693A5F" w:rsidRPr="002625D1">
        <w:t xml:space="preserve"> respondents will be </w:t>
      </w:r>
      <w:r>
        <w:t xml:space="preserve">so </w:t>
      </w:r>
      <w:r w:rsidR="00693A5F" w:rsidRPr="002625D1">
        <w:t xml:space="preserve">informed before beginning </w:t>
      </w:r>
      <w:r>
        <w:t xml:space="preserve">either </w:t>
      </w:r>
      <w:r w:rsidR="00E101BC">
        <w:t xml:space="preserve">the </w:t>
      </w:r>
      <w:r w:rsidR="00693A5F" w:rsidRPr="002625D1">
        <w:t>survey</w:t>
      </w:r>
      <w:r>
        <w:t xml:space="preserve"> or focus groups. </w:t>
      </w:r>
      <w:r w:rsidR="00693A5F" w:rsidRPr="002625D1">
        <w:t xml:space="preserve">Respondents will </w:t>
      </w:r>
      <w:r w:rsidR="00112086">
        <w:t xml:space="preserve">also </w:t>
      </w:r>
      <w:r w:rsidR="00693A5F" w:rsidRPr="002625D1">
        <w:t xml:space="preserve">be informed </w:t>
      </w:r>
      <w:r w:rsidR="00F112B3">
        <w:t xml:space="preserve">that information provided is </w:t>
      </w:r>
      <w:r w:rsidR="007C7422">
        <w:t>private</w:t>
      </w:r>
      <w:r w:rsidR="00F112B3">
        <w:t xml:space="preserve"> and </w:t>
      </w:r>
      <w:r w:rsidR="00693A5F" w:rsidRPr="002625D1">
        <w:t xml:space="preserve">held in a secure manner and will not be disclosed, unless otherwise compelled by law. </w:t>
      </w:r>
      <w:r w:rsidR="00112086">
        <w:t xml:space="preserve">Furthermore, </w:t>
      </w:r>
      <w:r w:rsidR="00530CAB">
        <w:t xml:space="preserve">focus group </w:t>
      </w:r>
      <w:r w:rsidR="00112086">
        <w:t xml:space="preserve">SNAP </w:t>
      </w:r>
      <w:r w:rsidR="00530CAB">
        <w:t xml:space="preserve">participants </w:t>
      </w:r>
      <w:r w:rsidR="00112086">
        <w:rPr>
          <w:color w:val="000000" w:themeColor="text1"/>
        </w:rPr>
        <w:t xml:space="preserve">will be assured that participating in the study </w:t>
      </w:r>
      <w:r w:rsidR="00693A5F" w:rsidRPr="002625D1">
        <w:rPr>
          <w:color w:val="000000" w:themeColor="text1"/>
        </w:rPr>
        <w:t xml:space="preserve">will </w:t>
      </w:r>
      <w:r w:rsidR="00112086">
        <w:rPr>
          <w:color w:val="000000" w:themeColor="text1"/>
        </w:rPr>
        <w:t xml:space="preserve">not </w:t>
      </w:r>
      <w:r w:rsidR="00693A5F" w:rsidRPr="002625D1">
        <w:rPr>
          <w:color w:val="000000" w:themeColor="text1"/>
        </w:rPr>
        <w:t>impact their participation in the SNAP program</w:t>
      </w:r>
      <w:r w:rsidR="00607936">
        <w:rPr>
          <w:color w:val="000000" w:themeColor="text1"/>
        </w:rPr>
        <w:t xml:space="preserve"> or any benefits to which they are entitled</w:t>
      </w:r>
      <w:r w:rsidR="002625D1">
        <w:rPr>
          <w:color w:val="000000" w:themeColor="text1"/>
        </w:rPr>
        <w:t>.</w:t>
      </w:r>
      <w:r w:rsidR="006B6852">
        <w:rPr>
          <w:color w:val="000000" w:themeColor="text1"/>
        </w:rPr>
        <w:t xml:space="preserve"> </w:t>
      </w:r>
      <w:r w:rsidR="002C0312">
        <w:rPr>
          <w:color w:val="000000" w:themeColor="text1"/>
        </w:rPr>
        <w:t>Finally, focus group participants will be asked permission to audio-record the discussion; a common procedure intended solely to ensure the accuracy of these qualitative data.</w:t>
      </w:r>
      <w:r w:rsidR="006B6852">
        <w:rPr>
          <w:color w:val="000000" w:themeColor="text1"/>
        </w:rPr>
        <w:t xml:space="preserve"> </w:t>
      </w:r>
      <w:r w:rsidR="002C0312">
        <w:rPr>
          <w:color w:val="000000" w:themeColor="text1"/>
        </w:rPr>
        <w:t xml:space="preserve">During the discussion, participants will identified only by their first name, further ensuring their </w:t>
      </w:r>
      <w:r w:rsidR="00A749BA">
        <w:rPr>
          <w:color w:val="000000" w:themeColor="text1"/>
        </w:rPr>
        <w:t>privacy</w:t>
      </w:r>
      <w:r w:rsidR="002C0312">
        <w:rPr>
          <w:color w:val="000000" w:themeColor="text1"/>
        </w:rPr>
        <w:t>.</w:t>
      </w:r>
      <w:r w:rsidR="006B6852">
        <w:rPr>
          <w:color w:val="000000" w:themeColor="text1"/>
        </w:rPr>
        <w:t xml:space="preserve"> </w:t>
      </w:r>
      <w:r w:rsidR="002C0312">
        <w:rPr>
          <w:color w:val="000000" w:themeColor="text1"/>
        </w:rPr>
        <w:t xml:space="preserve">Audio-recordings will be stored on </w:t>
      </w:r>
      <w:proofErr w:type="spellStart"/>
      <w:r w:rsidR="002C0312">
        <w:rPr>
          <w:color w:val="000000" w:themeColor="text1"/>
        </w:rPr>
        <w:t>Westat</w:t>
      </w:r>
      <w:r w:rsidR="006B6852">
        <w:rPr>
          <w:color w:val="000000" w:themeColor="text1"/>
        </w:rPr>
        <w:t>’</w:t>
      </w:r>
      <w:r w:rsidR="002C0312">
        <w:rPr>
          <w:color w:val="000000" w:themeColor="text1"/>
        </w:rPr>
        <w:t>s</w:t>
      </w:r>
      <w:proofErr w:type="spellEnd"/>
      <w:r w:rsidR="002C0312">
        <w:rPr>
          <w:color w:val="000000" w:themeColor="text1"/>
        </w:rPr>
        <w:t xml:space="preserve"> secure network, accessible only to project staff that has been granted access to the password-protected audio files.</w:t>
      </w:r>
    </w:p>
    <w:p w:rsidR="00521130" w:rsidRPr="00112086" w:rsidRDefault="00D67C50" w:rsidP="004E3EB1">
      <w:pPr>
        <w:pStyle w:val="P1-StandPara"/>
      </w:pPr>
      <w:r>
        <w:t>Names and phone numbers will not be</w:t>
      </w:r>
      <w:r w:rsidRPr="00D65922">
        <w:t xml:space="preserve"> linked to the data</w:t>
      </w:r>
      <w:r>
        <w:t>.</w:t>
      </w:r>
      <w:r w:rsidR="006B6852">
        <w:t xml:space="preserve"> </w:t>
      </w:r>
      <w:r>
        <w:t xml:space="preserve">Survey </w:t>
      </w:r>
      <w:r w:rsidRPr="00D65922">
        <w:t xml:space="preserve">respondents </w:t>
      </w:r>
      <w:r>
        <w:t xml:space="preserve">will have </w:t>
      </w:r>
      <w:r w:rsidRPr="00D65922">
        <w:t>a unique ID number</w:t>
      </w:r>
      <w:r>
        <w:t xml:space="preserve"> and a</w:t>
      </w:r>
      <w:r w:rsidRPr="00D65922">
        <w:t xml:space="preserve">nalysis will be conducted on data sets that include </w:t>
      </w:r>
      <w:r>
        <w:t xml:space="preserve">only </w:t>
      </w:r>
      <w:r w:rsidRPr="00D65922">
        <w:t>respondent ID number</w:t>
      </w:r>
      <w:r>
        <w:t>s</w:t>
      </w:r>
      <w:r w:rsidRPr="00D65922">
        <w:t>. All data will be securely stored</w:t>
      </w:r>
      <w:r>
        <w:t xml:space="preserve"> in locked file cabinets or password-protected computers, </w:t>
      </w:r>
      <w:r w:rsidRPr="00832F8F">
        <w:t xml:space="preserve">and accessible only to Westat project </w:t>
      </w:r>
      <w:r w:rsidR="00BB374B">
        <w:t>staff.</w:t>
      </w:r>
      <w:r w:rsidR="006B6852">
        <w:t xml:space="preserve"> </w:t>
      </w:r>
      <w:r w:rsidR="00BB374B">
        <w:t xml:space="preserve">Names and phone numbers will be destroyed </w:t>
      </w:r>
      <w:r w:rsidR="00BB374B" w:rsidRPr="00BB374B">
        <w:t>within 12 months of the end of the contract (end of contract is 9/29/2015).</w:t>
      </w:r>
    </w:p>
    <w:p w:rsidR="00D67C50" w:rsidRDefault="00D67C50" w:rsidP="004E3EB1">
      <w:pPr>
        <w:pStyle w:val="P1-StandPara"/>
      </w:pPr>
    </w:p>
    <w:p w:rsidR="003A57ED" w:rsidRPr="0088739A" w:rsidRDefault="003A57ED" w:rsidP="0088739A">
      <w:pPr>
        <w:pStyle w:val="Heading4"/>
      </w:pPr>
      <w:bookmarkStart w:id="38" w:name="_Toc286158960"/>
      <w:bookmarkStart w:id="39" w:name="_Toc286160552"/>
      <w:r w:rsidRPr="0088739A">
        <w:lastRenderedPageBreak/>
        <w:tab/>
        <w:t>Institutional Review Board</w:t>
      </w:r>
      <w:bookmarkEnd w:id="38"/>
      <w:bookmarkEnd w:id="39"/>
    </w:p>
    <w:p w:rsidR="003A57ED" w:rsidRPr="00112086" w:rsidRDefault="00BB374B" w:rsidP="004E3EB1">
      <w:pPr>
        <w:pStyle w:val="P1-StandPara"/>
      </w:pPr>
      <w:r w:rsidRPr="00BB374B">
        <w:t>Westat Institutional Review Board (IRB) serves as the organization</w:t>
      </w:r>
      <w:r w:rsidR="006B6852">
        <w:t>’</w:t>
      </w:r>
      <w:r w:rsidRPr="00BB374B">
        <w:t>s administrative body; it conducts prospective reviews of proposed research and monitors continuing research for the purpose of safeguarding research participants</w:t>
      </w:r>
      <w:r w:rsidR="006B6852">
        <w:t>’</w:t>
      </w:r>
      <w:r w:rsidRPr="00BB374B">
        <w:t xml:space="preserve"> rights and welfare. All research involving interactions or interventions with human subjects is within the purview of the Westat IRB. </w:t>
      </w:r>
      <w:proofErr w:type="spellStart"/>
      <w:r w:rsidRPr="00BB374B">
        <w:t>Westat</w:t>
      </w:r>
      <w:r w:rsidR="006B6852">
        <w:t>’</w:t>
      </w:r>
      <w:r w:rsidRPr="00BB374B">
        <w:t>s</w:t>
      </w:r>
      <w:proofErr w:type="spellEnd"/>
      <w:r w:rsidRPr="00BB374B">
        <w:t xml:space="preserve"> IRB is the local agent responsible for ensuring that the organization</w:t>
      </w:r>
      <w:r w:rsidR="006B6852">
        <w:t>’</w:t>
      </w:r>
      <w:r w:rsidRPr="00BB374B">
        <w:t xml:space="preserve">s research: 1) meets the highest ethical standards; and 2) receives fair, timely, and collegial review by an external panel. </w:t>
      </w:r>
      <w:proofErr w:type="spellStart"/>
      <w:r w:rsidRPr="00BB374B">
        <w:t>Westat</w:t>
      </w:r>
      <w:r w:rsidR="006B6852">
        <w:t>’</w:t>
      </w:r>
      <w:r w:rsidRPr="00BB374B">
        <w:t>s</w:t>
      </w:r>
      <w:proofErr w:type="spellEnd"/>
      <w:r w:rsidRPr="00BB374B">
        <w:t xml:space="preserve"> IRB currently holds a federal-wide assurance (FWA) of compliance from the U.S. Department of Health and Human Services</w:t>
      </w:r>
      <w:r w:rsidR="006B6852">
        <w:t>’</w:t>
      </w:r>
      <w:r w:rsidRPr="00BB374B">
        <w:t xml:space="preserve"> Office of Human Research Protections (DHHS/OHRP). The FWA covers all federally supported or conducted research involving human subjects. All study materials and instruments were submitted and approved by </w:t>
      </w:r>
      <w:proofErr w:type="spellStart"/>
      <w:r w:rsidRPr="00BB374B">
        <w:t>Westat</w:t>
      </w:r>
      <w:r w:rsidR="006B6852">
        <w:t>’</w:t>
      </w:r>
      <w:r w:rsidRPr="00BB374B">
        <w:t>s</w:t>
      </w:r>
      <w:proofErr w:type="spellEnd"/>
      <w:r w:rsidRPr="00BB374B">
        <w:t xml:space="preserve"> IRB.</w:t>
      </w:r>
      <w:r w:rsidR="006B6852">
        <w:t xml:space="preserve"> </w:t>
      </w:r>
      <w:r w:rsidRPr="00BB374B">
        <w:t xml:space="preserve">Copies of the IRB approval letters are in </w:t>
      </w:r>
      <w:r w:rsidRPr="00BB374B">
        <w:rPr>
          <w:b/>
        </w:rPr>
        <w:t xml:space="preserve">Appendix </w:t>
      </w:r>
      <w:r w:rsidR="00317DB0">
        <w:rPr>
          <w:b/>
        </w:rPr>
        <w:t>H2</w:t>
      </w:r>
      <w:r w:rsidRPr="00BB374B">
        <w:rPr>
          <w:b/>
        </w:rPr>
        <w:t>.</w:t>
      </w:r>
    </w:p>
    <w:p w:rsidR="003A57ED" w:rsidRPr="00112086" w:rsidRDefault="003A57ED" w:rsidP="004E3EB1">
      <w:pPr>
        <w:pStyle w:val="P1-StandPara"/>
      </w:pPr>
    </w:p>
    <w:p w:rsidR="006B6852" w:rsidRPr="0088739A" w:rsidRDefault="00C1716F" w:rsidP="0088739A">
      <w:pPr>
        <w:pStyle w:val="Heading2"/>
      </w:pPr>
      <w:bookmarkStart w:id="40" w:name="_Toc286158961"/>
      <w:bookmarkStart w:id="41" w:name="_Toc286160553"/>
      <w:bookmarkStart w:id="42" w:name="_Toc290021770"/>
      <w:r w:rsidRPr="0088739A">
        <w:t>A.11.</w:t>
      </w:r>
      <w:r w:rsidRPr="0088739A">
        <w:tab/>
      </w:r>
      <w:bookmarkEnd w:id="40"/>
      <w:bookmarkEnd w:id="41"/>
      <w:bookmarkEnd w:id="42"/>
      <w:r w:rsidRPr="0088739A">
        <w:t xml:space="preserve">Provide Additional Justification for any Questions of a Sensitive Nature, such as Sexual Behavior or Attitudes, Religious Beliefs, and Other Matters that are </w:t>
      </w:r>
      <w:proofErr w:type="gramStart"/>
      <w:r w:rsidRPr="0088739A">
        <w:t>Commonly</w:t>
      </w:r>
      <w:proofErr w:type="gramEnd"/>
      <w:r w:rsidRPr="0088739A">
        <w:t xml:space="preserve"> Considered Private.</w:t>
      </w:r>
    </w:p>
    <w:p w:rsidR="00C1716F" w:rsidRPr="0088739A" w:rsidRDefault="00C1716F" w:rsidP="0088739A">
      <w:pPr>
        <w:pStyle w:val="Heading2"/>
      </w:pPr>
      <w:r w:rsidRPr="0088739A">
        <w:tab/>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6852" w:rsidRDefault="00BB374B" w:rsidP="004E3EB1">
      <w:pPr>
        <w:pStyle w:val="P1-StandPara"/>
      </w:pPr>
      <w:r w:rsidRPr="00BB374B">
        <w:t>The survey questions and focus group discussion topics are not considered to be sensitive.</w:t>
      </w:r>
      <w:r w:rsidR="006B6852">
        <w:t xml:space="preserve"> </w:t>
      </w:r>
      <w:r w:rsidR="00317DB0">
        <w:t>P</w:t>
      </w:r>
      <w:r w:rsidRPr="00BB374B">
        <w:t>articipants can choose to not answer any question and particip</w:t>
      </w:r>
      <w:r w:rsidR="00317DB0">
        <w:t>ation in the study is voluntary.</w:t>
      </w:r>
      <w:r w:rsidR="006B6852">
        <w:t xml:space="preserve"> </w:t>
      </w:r>
      <w:r w:rsidR="00317DB0" w:rsidRPr="00BB374B">
        <w:t xml:space="preserve">All of the survey questions </w:t>
      </w:r>
      <w:r w:rsidR="00825A30">
        <w:t xml:space="preserve">were developed through formative research which involved in-depth interviews with nine </w:t>
      </w:r>
      <w:proofErr w:type="gramStart"/>
      <w:r w:rsidR="000009EB">
        <w:t>farmers</w:t>
      </w:r>
      <w:proofErr w:type="gramEnd"/>
      <w:r w:rsidR="000009EB">
        <w:t xml:space="preserve"> market</w:t>
      </w:r>
      <w:r w:rsidR="00825A30">
        <w:t xml:space="preserve"> managers and researcher observations at five of the </w:t>
      </w:r>
      <w:r w:rsidR="00825A30">
        <w:lastRenderedPageBreak/>
        <w:t xml:space="preserve">nine markets.  Subsequently, a survey questionnaire was developed and all survey items </w:t>
      </w:r>
      <w:r w:rsidR="00317DB0" w:rsidRPr="00BB374B">
        <w:t>have been cognitively tested</w:t>
      </w:r>
      <w:r w:rsidR="00825A30">
        <w:t xml:space="preserve"> with FM managers and DM farmers; </w:t>
      </w:r>
      <w:r w:rsidR="00317DB0" w:rsidRPr="00BB374B">
        <w:t>no respondent indicated unwillingness to answer the question or discomfort with providing a response.</w:t>
      </w:r>
    </w:p>
    <w:p w:rsidR="00530CAB" w:rsidRDefault="00530CAB" w:rsidP="0088739A">
      <w:pPr>
        <w:pStyle w:val="Heading2"/>
      </w:pPr>
      <w:bookmarkStart w:id="43" w:name="_Toc286158962"/>
      <w:bookmarkStart w:id="44" w:name="_Toc286160554"/>
      <w:bookmarkStart w:id="45" w:name="_Toc290021771"/>
      <w:r>
        <w:t>A.12.</w:t>
      </w:r>
      <w:r>
        <w:tab/>
      </w:r>
      <w:bookmarkEnd w:id="43"/>
      <w:bookmarkEnd w:id="44"/>
      <w:bookmarkEnd w:id="45"/>
      <w:r>
        <w:t>Provide Estimates of the Hour Burden of the Collection of Information.</w:t>
      </w:r>
      <w:r w:rsidR="006B6852">
        <w:t xml:space="preserve"> </w:t>
      </w:r>
      <w:r>
        <w:t>The statement should:</w:t>
      </w:r>
    </w:p>
    <w:p w:rsidR="006B6852" w:rsidRDefault="00530CAB" w:rsidP="0088739A">
      <w:pPr>
        <w:pStyle w:val="Heading2"/>
        <w:numPr>
          <w:ilvl w:val="0"/>
          <w:numId w:val="20"/>
        </w:numPr>
        <w:spacing w:after="0"/>
        <w:ind w:left="1526"/>
        <w:rPr>
          <w:color w:val="244061" w:themeColor="accent1" w:themeShade="80"/>
          <w:sz w:val="30"/>
          <w:szCs w:val="30"/>
        </w:rPr>
      </w:pPr>
      <w:r w:rsidRPr="00550DDA">
        <w:rPr>
          <w:color w:val="244061" w:themeColor="accent1" w:themeShade="80"/>
          <w:sz w:val="30"/>
          <w:szCs w:val="30"/>
        </w:rPr>
        <w:t>Indicate the number of respondents, frequency of response, annual hour burden, and an explanation of how the burden was estimated.</w:t>
      </w:r>
      <w:r w:rsidR="006B6852">
        <w:rPr>
          <w:color w:val="244061" w:themeColor="accent1" w:themeShade="80"/>
          <w:sz w:val="30"/>
          <w:szCs w:val="30"/>
        </w:rPr>
        <w:t xml:space="preserve"> </w:t>
      </w:r>
      <w:r w:rsidRPr="00550DDA">
        <w:rPr>
          <w:color w:val="244061" w:themeColor="accent1" w:themeShade="80"/>
          <w:sz w:val="30"/>
          <w:szCs w:val="30"/>
        </w:rPr>
        <w:t>If this request for approval covers more than one form, provide separate hour burden estimates for each form and aggregate the hour burdens in Item 14 of OMB Form 83-I.</w:t>
      </w:r>
    </w:p>
    <w:p w:rsidR="006B6852" w:rsidRDefault="00530CAB" w:rsidP="0088739A">
      <w:pPr>
        <w:pStyle w:val="Heading2"/>
        <w:numPr>
          <w:ilvl w:val="0"/>
          <w:numId w:val="20"/>
        </w:numPr>
        <w:ind w:left="1530"/>
        <w:rPr>
          <w:color w:val="244061" w:themeColor="accent1" w:themeShade="80"/>
          <w:sz w:val="30"/>
          <w:szCs w:val="30"/>
        </w:rPr>
      </w:pPr>
      <w:r w:rsidRPr="00550DDA">
        <w:rPr>
          <w:color w:val="244061" w:themeColor="accent1" w:themeShade="80"/>
          <w:sz w:val="30"/>
          <w:szCs w:val="30"/>
        </w:rPr>
        <w:t>Provide estimates of annualized cost to respondents for the hour burdens for collections of information, identifying and using appropriate wage rate categories.</w:t>
      </w:r>
    </w:p>
    <w:p w:rsidR="00C1716F" w:rsidRDefault="00C1716F" w:rsidP="004E3EB1">
      <w:pPr>
        <w:pStyle w:val="P1-StandPara"/>
      </w:pPr>
      <w:r w:rsidRPr="005F02D7">
        <w:t>Table A12.1 shows sample sizes, estimated burden, and estimated annualized cost of respondent burden for each part of the data collection and for total burden.</w:t>
      </w:r>
    </w:p>
    <w:p w:rsidR="00251185" w:rsidRDefault="00C1716F" w:rsidP="004E3EB1">
      <w:pPr>
        <w:pStyle w:val="P1-StandPara"/>
      </w:pPr>
      <w:r w:rsidRPr="00A65F12">
        <w:t xml:space="preserve">The estimated annualized cost to respondents for the retailer survey is based on the </w:t>
      </w:r>
      <w:r w:rsidRPr="00A65F12">
        <w:rPr>
          <w:i/>
        </w:rPr>
        <w:t>May 2009 National Occupational Employment and Wage Estimates for the United States</w:t>
      </w:r>
      <w:r w:rsidRPr="00A65F12">
        <w:t xml:space="preserve">, available at </w:t>
      </w:r>
      <w:hyperlink r:id="rId13" w:history="1">
        <w:r w:rsidRPr="00A65F12">
          <w:rPr>
            <w:rStyle w:val="Hyperlink"/>
          </w:rPr>
          <w:t>www.bls.gov/oes/current/oes_nat.htm</w:t>
        </w:r>
      </w:hyperlink>
      <w:r w:rsidRPr="00A65F12">
        <w:t xml:space="preserve">, for job category </w:t>
      </w:r>
      <w:r w:rsidR="006B6852">
        <w:t>“</w:t>
      </w:r>
      <w:r w:rsidRPr="00A65F12">
        <w:t xml:space="preserve">First-Line Supervisors / Managers of </w:t>
      </w:r>
      <w:r w:rsidR="00A65F12" w:rsidRPr="00A65F12">
        <w:t>Farming, Fishing, and Forestry</w:t>
      </w:r>
      <w:r w:rsidR="00722E73">
        <w:t>,</w:t>
      </w:r>
      <w:r w:rsidR="006B6852">
        <w:t>”</w:t>
      </w:r>
      <w:r w:rsidRPr="00A65F12">
        <w:t xml:space="preserve"> occupation code #4</w:t>
      </w:r>
      <w:r w:rsidR="00A65F12" w:rsidRPr="00A65F12">
        <w:t>5</w:t>
      </w:r>
      <w:r w:rsidRPr="00A65F12">
        <w:t>-1011, with a median wage of $</w:t>
      </w:r>
      <w:r w:rsidR="00A65F12" w:rsidRPr="00A65F12">
        <w:t>20.12</w:t>
      </w:r>
      <w:r w:rsidRPr="00A65F12">
        <w:t xml:space="preserve"> per hour</w:t>
      </w:r>
      <w:r w:rsidR="005F02D7" w:rsidRPr="00A65F12">
        <w:t>.</w:t>
      </w:r>
      <w:r w:rsidR="006B6852">
        <w:t xml:space="preserve"> </w:t>
      </w:r>
      <w:r w:rsidR="005F02D7" w:rsidRPr="00EC1412">
        <w:t>The estimated annualized c</w:t>
      </w:r>
      <w:r w:rsidR="005F02D7">
        <w:t>ost to focus g</w:t>
      </w:r>
      <w:r w:rsidR="005F02D7" w:rsidRPr="00EC1412">
        <w:t>roup</w:t>
      </w:r>
      <w:r w:rsidR="002C0312">
        <w:t xml:space="preserve"> participants</w:t>
      </w:r>
      <w:r w:rsidR="005F02D7" w:rsidRPr="00EC1412">
        <w:t xml:space="preserve"> is based on the national minimum wage of $7.25 per hour.</w:t>
      </w:r>
    </w:p>
    <w:p w:rsidR="00722E73" w:rsidRDefault="00722E73">
      <w:pPr>
        <w:spacing w:line="240" w:lineRule="auto"/>
        <w:rPr>
          <w:rFonts w:ascii="Franklin Gothic Medium" w:hAnsi="Franklin Gothic Medium"/>
          <w:sz w:val="22"/>
          <w:szCs w:val="32"/>
        </w:rPr>
      </w:pPr>
      <w:bookmarkStart w:id="46" w:name="_Toc282508099"/>
      <w:r>
        <w:br w:type="page"/>
      </w:r>
    </w:p>
    <w:p w:rsidR="006B6852" w:rsidRDefault="006D3765" w:rsidP="0088739A">
      <w:pPr>
        <w:pStyle w:val="TT-TableTitle"/>
        <w:rPr>
          <w:sz w:val="20"/>
          <w:szCs w:val="20"/>
        </w:rPr>
      </w:pPr>
      <w:r w:rsidRPr="008E7199">
        <w:rPr>
          <w:sz w:val="20"/>
          <w:szCs w:val="20"/>
        </w:rPr>
        <w:lastRenderedPageBreak/>
        <w:t>Table A</w:t>
      </w:r>
      <w:r w:rsidR="00726CDF" w:rsidRPr="008E7199">
        <w:rPr>
          <w:sz w:val="20"/>
          <w:szCs w:val="20"/>
        </w:rPr>
        <w:t>.</w:t>
      </w:r>
      <w:r w:rsidRPr="008E7199">
        <w:rPr>
          <w:sz w:val="20"/>
          <w:szCs w:val="20"/>
        </w:rPr>
        <w:t>1</w:t>
      </w:r>
      <w:r w:rsidR="002A49D6" w:rsidRPr="008E7199">
        <w:rPr>
          <w:sz w:val="20"/>
          <w:szCs w:val="20"/>
        </w:rPr>
        <w:t>2</w:t>
      </w:r>
      <w:r w:rsidR="00D05707" w:rsidRPr="008E7199">
        <w:rPr>
          <w:sz w:val="20"/>
          <w:szCs w:val="20"/>
        </w:rPr>
        <w:t>A</w:t>
      </w:r>
      <w:r w:rsidRPr="008E7199">
        <w:rPr>
          <w:sz w:val="20"/>
          <w:szCs w:val="20"/>
        </w:rPr>
        <w:tab/>
      </w:r>
      <w:bookmarkStart w:id="47" w:name="_Toc282508100"/>
      <w:bookmarkEnd w:id="46"/>
      <w:r w:rsidR="00C1716F" w:rsidRPr="008E7199">
        <w:rPr>
          <w:sz w:val="20"/>
          <w:szCs w:val="20"/>
        </w:rPr>
        <w:t>Respondent Burden and Cost Estimate</w:t>
      </w:r>
    </w:p>
    <w:p w:rsidR="00787CD9" w:rsidRDefault="00787CD9" w:rsidP="0088739A">
      <w:pPr>
        <w:pStyle w:val="TT-TableTitle"/>
        <w:rPr>
          <w:sz w:val="20"/>
          <w:szCs w:val="20"/>
        </w:rPr>
      </w:pPr>
    </w:p>
    <w:tbl>
      <w:tblPr>
        <w:tblW w:w="5000" w:type="pct"/>
        <w:tblLook w:val="04A0"/>
      </w:tblPr>
      <w:tblGrid>
        <w:gridCol w:w="1056"/>
        <w:gridCol w:w="1280"/>
        <w:gridCol w:w="964"/>
        <w:gridCol w:w="1182"/>
        <w:gridCol w:w="1042"/>
        <w:gridCol w:w="1119"/>
        <w:gridCol w:w="977"/>
        <w:gridCol w:w="914"/>
        <w:gridCol w:w="1042"/>
      </w:tblGrid>
      <w:tr w:rsidR="004D1D67" w:rsidRPr="00787CD9" w:rsidTr="00456DEA">
        <w:trPr>
          <w:trHeight w:val="300"/>
        </w:trPr>
        <w:tc>
          <w:tcPr>
            <w:tcW w:w="579"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Affected public</w:t>
            </w:r>
          </w:p>
        </w:tc>
        <w:tc>
          <w:tcPr>
            <w:tcW w:w="562"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Respondent</w:t>
            </w:r>
          </w:p>
        </w:tc>
        <w:tc>
          <w:tcPr>
            <w:tcW w:w="479"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45"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Number     of Respondents</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Responses Annually Per Respondent</w:t>
            </w:r>
          </w:p>
        </w:tc>
        <w:tc>
          <w:tcPr>
            <w:tcW w:w="612"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Total Annual Responses</w:t>
            </w:r>
          </w:p>
        </w:tc>
        <w:tc>
          <w:tcPr>
            <w:tcW w:w="537"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Estimated Hours Per Response</w:t>
            </w:r>
          </w:p>
        </w:tc>
        <w:tc>
          <w:tcPr>
            <w:tcW w:w="496"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Estimated Total Hours</w:t>
            </w:r>
          </w:p>
        </w:tc>
        <w:tc>
          <w:tcPr>
            <w:tcW w:w="521" w:type="pct"/>
            <w:vMerge w:val="restart"/>
            <w:tcBorders>
              <w:top w:val="single" w:sz="4" w:space="0" w:color="auto"/>
              <w:left w:val="single" w:sz="4" w:space="0" w:color="auto"/>
              <w:bottom w:val="single" w:sz="4" w:space="0" w:color="auto"/>
              <w:right w:val="single" w:sz="4" w:space="0" w:color="auto"/>
            </w:tcBorders>
            <w:shd w:val="clear" w:color="000000" w:fill="AFBED7"/>
            <w:vAlign w:val="center"/>
            <w:hideMark/>
          </w:tcPr>
          <w:p w:rsidR="004D1D67" w:rsidRPr="00787CD9" w:rsidRDefault="004D1D67" w:rsidP="00456DEA">
            <w:pPr>
              <w:spacing w:line="240" w:lineRule="auto"/>
              <w:jc w:val="center"/>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Annualized Cost of Respondent Burden</w:t>
            </w:r>
          </w:p>
        </w:tc>
      </w:tr>
      <w:tr w:rsidR="004D1D67" w:rsidRPr="00787CD9" w:rsidTr="00456DEA">
        <w:trPr>
          <w:trHeight w:val="480"/>
        </w:trPr>
        <w:tc>
          <w:tcPr>
            <w:tcW w:w="579"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562"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rsidR="004D1D67" w:rsidRPr="00787CD9" w:rsidRDefault="004D1D67" w:rsidP="00456DEA">
            <w:pPr>
              <w:spacing w:line="240" w:lineRule="auto"/>
              <w:rPr>
                <w:rFonts w:ascii="Franklin Gothic Medium" w:hAnsi="Franklin Gothic Medium"/>
                <w:b/>
                <w:bCs/>
                <w:color w:val="000000"/>
                <w:sz w:val="16"/>
                <w:szCs w:val="16"/>
              </w:rPr>
            </w:pPr>
          </w:p>
        </w:tc>
      </w:tr>
      <w:tr w:rsidR="004D1D67" w:rsidRPr="00787CD9" w:rsidTr="00456DEA">
        <w:trPr>
          <w:trHeight w:val="255"/>
        </w:trPr>
        <w:tc>
          <w:tcPr>
            <w:tcW w:w="579" w:type="pct"/>
            <w:vMerge w:val="restart"/>
            <w:tcBorders>
              <w:top w:val="nil"/>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Business (for profit)</w:t>
            </w:r>
          </w:p>
        </w:tc>
        <w:tc>
          <w:tcPr>
            <w:tcW w:w="562" w:type="pct"/>
            <w:vMerge w:val="restart"/>
            <w:tcBorders>
              <w:top w:val="nil"/>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 xml:space="preserve">FM manager                                         </w:t>
            </w: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Pretest</w:t>
            </w:r>
            <w:r>
              <w:rPr>
                <w:rFonts w:ascii="Franklin Gothic Medium" w:hAnsi="Franklin Gothic Medium"/>
                <w:color w:val="000000"/>
                <w:sz w:val="16"/>
                <w:szCs w:val="16"/>
              </w:rPr>
              <w:t>*</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11</w:t>
            </w:r>
          </w:p>
        </w:tc>
        <w:tc>
          <w:tcPr>
            <w:tcW w:w="570"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11</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11.00</w:t>
            </w:r>
          </w:p>
        </w:tc>
        <w:tc>
          <w:tcPr>
            <w:tcW w:w="521"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221.32</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Completed</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1345</w:t>
            </w:r>
          </w:p>
        </w:tc>
        <w:tc>
          <w:tcPr>
            <w:tcW w:w="570"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1345</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0.3596</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483.66</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9731.28</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Attempted</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336</w:t>
            </w:r>
          </w:p>
        </w:tc>
        <w:tc>
          <w:tcPr>
            <w:tcW w:w="570"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336</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0.0167</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5.61</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112.90</w:t>
            </w:r>
          </w:p>
        </w:tc>
      </w:tr>
      <w:tr w:rsidR="004D1D67" w:rsidRPr="00787CD9" w:rsidTr="00456DEA">
        <w:trPr>
          <w:trHeight w:val="495"/>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val="restart"/>
            <w:tcBorders>
              <w:top w:val="nil"/>
              <w:left w:val="single" w:sz="4" w:space="0" w:color="auto"/>
              <w:bottom w:val="single" w:sz="4" w:space="0" w:color="000000"/>
              <w:right w:val="nil"/>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New FM Manager (undercoverage study)</w:t>
            </w:r>
          </w:p>
        </w:tc>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Completed</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184</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184</w:t>
            </w:r>
          </w:p>
        </w:tc>
        <w:tc>
          <w:tcPr>
            <w:tcW w:w="537"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0.3596</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66.17</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1331.27</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nil"/>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Attempted</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61</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61</w:t>
            </w:r>
          </w:p>
        </w:tc>
        <w:tc>
          <w:tcPr>
            <w:tcW w:w="537"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0.0167</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1.02</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20.50</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SUBTOTAL</w:t>
            </w:r>
          </w:p>
        </w:tc>
        <w:tc>
          <w:tcPr>
            <w:tcW w:w="479" w:type="pct"/>
            <w:tcBorders>
              <w:top w:val="nil"/>
              <w:left w:val="nil"/>
              <w:bottom w:val="single" w:sz="4" w:space="0" w:color="auto"/>
              <w:right w:val="single" w:sz="4" w:space="0" w:color="auto"/>
            </w:tcBorders>
            <w:shd w:val="clear" w:color="000000" w:fill="000000"/>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 </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1937</w:t>
            </w:r>
          </w:p>
        </w:tc>
        <w:tc>
          <w:tcPr>
            <w:tcW w:w="570" w:type="pct"/>
            <w:tcBorders>
              <w:top w:val="nil"/>
              <w:left w:val="nil"/>
              <w:bottom w:val="single" w:sz="4" w:space="0" w:color="auto"/>
              <w:right w:val="single" w:sz="4" w:space="0" w:color="auto"/>
            </w:tcBorders>
            <w:shd w:val="clear" w:color="000000" w:fill="000000"/>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1937</w:t>
            </w:r>
          </w:p>
        </w:tc>
        <w:tc>
          <w:tcPr>
            <w:tcW w:w="537" w:type="pct"/>
            <w:tcBorders>
              <w:top w:val="nil"/>
              <w:left w:val="nil"/>
              <w:bottom w:val="single" w:sz="4" w:space="0" w:color="auto"/>
              <w:right w:val="single" w:sz="4" w:space="0" w:color="auto"/>
            </w:tcBorders>
            <w:shd w:val="clear" w:color="000000" w:fill="000000"/>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567.46</w:t>
            </w:r>
          </w:p>
        </w:tc>
        <w:tc>
          <w:tcPr>
            <w:tcW w:w="521"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11417.26</w:t>
            </w:r>
          </w:p>
        </w:tc>
      </w:tr>
      <w:tr w:rsidR="004D1D67" w:rsidRPr="00787CD9" w:rsidTr="00456DEA">
        <w:trPr>
          <w:trHeight w:val="300"/>
        </w:trPr>
        <w:tc>
          <w:tcPr>
            <w:tcW w:w="579" w:type="pct"/>
            <w:vMerge w:val="restart"/>
            <w:tcBorders>
              <w:top w:val="nil"/>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Business (not for profit)</w:t>
            </w:r>
          </w:p>
        </w:tc>
        <w:tc>
          <w:tcPr>
            <w:tcW w:w="562" w:type="pct"/>
            <w:vMerge w:val="restart"/>
            <w:tcBorders>
              <w:top w:val="nil"/>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 xml:space="preserve">FM manager                            </w:t>
            </w: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Completed</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336</w:t>
            </w:r>
          </w:p>
        </w:tc>
        <w:tc>
          <w:tcPr>
            <w:tcW w:w="570"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336</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0.3596</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120.83</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2431.01</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Attempted</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84</w:t>
            </w:r>
          </w:p>
        </w:tc>
        <w:tc>
          <w:tcPr>
            <w:tcW w:w="570"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84</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0.0167</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1.40</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28.22</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val="restart"/>
            <w:tcBorders>
              <w:top w:val="nil"/>
              <w:left w:val="single" w:sz="4" w:space="0" w:color="auto"/>
              <w:bottom w:val="single" w:sz="4" w:space="0" w:color="000000"/>
              <w:right w:val="nil"/>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New FM Manager (undercoverage study)</w:t>
            </w:r>
          </w:p>
        </w:tc>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Completed</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4</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4</w:t>
            </w:r>
          </w:p>
        </w:tc>
        <w:tc>
          <w:tcPr>
            <w:tcW w:w="537"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0.3596</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1.44</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28.94</w:t>
            </w:r>
          </w:p>
        </w:tc>
      </w:tr>
      <w:tr w:rsidR="004D1D67" w:rsidRPr="00787CD9" w:rsidTr="00456DEA">
        <w:trPr>
          <w:trHeight w:val="48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nil"/>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Attempted</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537"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0.0167</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0.02</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0.34</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tcBorders>
              <w:top w:val="single" w:sz="4" w:space="0" w:color="000000"/>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SUBTOTAL</w:t>
            </w:r>
          </w:p>
        </w:tc>
        <w:tc>
          <w:tcPr>
            <w:tcW w:w="479" w:type="pct"/>
            <w:tcBorders>
              <w:top w:val="nil"/>
              <w:left w:val="nil"/>
              <w:bottom w:val="single" w:sz="4" w:space="0" w:color="auto"/>
              <w:right w:val="single" w:sz="4" w:space="0" w:color="auto"/>
            </w:tcBorders>
            <w:shd w:val="clear" w:color="000000" w:fill="000000"/>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 </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425</w:t>
            </w:r>
          </w:p>
        </w:tc>
        <w:tc>
          <w:tcPr>
            <w:tcW w:w="570"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12"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425</w:t>
            </w:r>
          </w:p>
        </w:tc>
        <w:tc>
          <w:tcPr>
            <w:tcW w:w="537" w:type="pct"/>
            <w:tcBorders>
              <w:top w:val="nil"/>
              <w:left w:val="nil"/>
              <w:bottom w:val="single" w:sz="4" w:space="0" w:color="auto"/>
              <w:right w:val="single" w:sz="4" w:space="0" w:color="auto"/>
            </w:tcBorders>
            <w:shd w:val="clear" w:color="000000" w:fill="000000"/>
            <w:noWrap/>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123.68</w:t>
            </w:r>
          </w:p>
        </w:tc>
        <w:tc>
          <w:tcPr>
            <w:tcW w:w="521"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2488.51</w:t>
            </w:r>
          </w:p>
        </w:tc>
      </w:tr>
      <w:tr w:rsidR="004D1D67" w:rsidRPr="00787CD9" w:rsidTr="00456DEA">
        <w:trPr>
          <w:trHeight w:val="300"/>
        </w:trPr>
        <w:tc>
          <w:tcPr>
            <w:tcW w:w="579" w:type="pct"/>
            <w:vMerge w:val="restart"/>
            <w:tcBorders>
              <w:top w:val="nil"/>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Farms</w:t>
            </w:r>
          </w:p>
        </w:tc>
        <w:tc>
          <w:tcPr>
            <w:tcW w:w="5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Direct Marketing Farmers</w:t>
            </w: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Pretest</w:t>
            </w:r>
            <w:r>
              <w:rPr>
                <w:rFonts w:ascii="Franklin Gothic Medium" w:hAnsi="Franklin Gothic Medium"/>
                <w:color w:val="000000"/>
                <w:sz w:val="16"/>
                <w:szCs w:val="16"/>
              </w:rPr>
              <w:t>*</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w:t>
            </w:r>
          </w:p>
        </w:tc>
        <w:tc>
          <w:tcPr>
            <w:tcW w:w="537"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3.00</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60.36</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Completed</w:t>
            </w:r>
          </w:p>
        </w:tc>
        <w:tc>
          <w:tcPr>
            <w:tcW w:w="645"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353</w:t>
            </w:r>
          </w:p>
        </w:tc>
        <w:tc>
          <w:tcPr>
            <w:tcW w:w="570"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353</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0.4167</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147.10</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2959.55</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Attempted</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89</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89</w:t>
            </w:r>
          </w:p>
        </w:tc>
        <w:tc>
          <w:tcPr>
            <w:tcW w:w="537"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0.0167</w:t>
            </w:r>
          </w:p>
        </w:tc>
        <w:tc>
          <w:tcPr>
            <w:tcW w:w="496"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1.49</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29.90</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tcBorders>
              <w:top w:val="nil"/>
              <w:left w:val="nil"/>
              <w:bottom w:val="nil"/>
              <w:right w:val="single" w:sz="4" w:space="0" w:color="auto"/>
            </w:tcBorders>
            <w:shd w:val="clear" w:color="auto" w:fill="auto"/>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SUBTOTAL</w:t>
            </w:r>
          </w:p>
        </w:tc>
        <w:tc>
          <w:tcPr>
            <w:tcW w:w="479" w:type="pct"/>
            <w:tcBorders>
              <w:top w:val="nil"/>
              <w:left w:val="single" w:sz="4" w:space="0" w:color="auto"/>
              <w:bottom w:val="nil"/>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sz w:val="16"/>
                <w:szCs w:val="16"/>
              </w:rPr>
            </w:pPr>
            <w:r w:rsidRPr="00787CD9">
              <w:rPr>
                <w:rFonts w:ascii="Franklin Gothic Medium" w:hAnsi="Franklin Gothic Medium"/>
                <w:b/>
                <w:bCs/>
                <w:sz w:val="16"/>
                <w:szCs w:val="16"/>
              </w:rPr>
              <w:t> </w:t>
            </w:r>
          </w:p>
        </w:tc>
        <w:tc>
          <w:tcPr>
            <w:tcW w:w="645" w:type="pct"/>
            <w:tcBorders>
              <w:top w:val="nil"/>
              <w:left w:val="single" w:sz="4" w:space="0" w:color="auto"/>
              <w:bottom w:val="nil"/>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445</w:t>
            </w:r>
          </w:p>
        </w:tc>
        <w:tc>
          <w:tcPr>
            <w:tcW w:w="570" w:type="pct"/>
            <w:tcBorders>
              <w:top w:val="nil"/>
              <w:left w:val="single" w:sz="4" w:space="0" w:color="auto"/>
              <w:bottom w:val="nil"/>
              <w:right w:val="single" w:sz="4" w:space="0" w:color="auto"/>
            </w:tcBorders>
            <w:shd w:val="clear" w:color="000000" w:fill="000000"/>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12" w:type="pct"/>
            <w:tcBorders>
              <w:top w:val="nil"/>
              <w:left w:val="single" w:sz="4" w:space="0" w:color="auto"/>
              <w:bottom w:val="nil"/>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445</w:t>
            </w:r>
          </w:p>
        </w:tc>
        <w:tc>
          <w:tcPr>
            <w:tcW w:w="537" w:type="pct"/>
            <w:tcBorders>
              <w:top w:val="single" w:sz="4" w:space="0" w:color="auto"/>
              <w:left w:val="single" w:sz="4" w:space="0" w:color="auto"/>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151.58</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3049.82</w:t>
            </w:r>
          </w:p>
        </w:tc>
      </w:tr>
      <w:tr w:rsidR="004D1D67" w:rsidRPr="00787CD9" w:rsidTr="00456DEA">
        <w:trPr>
          <w:trHeight w:val="300"/>
        </w:trPr>
        <w:tc>
          <w:tcPr>
            <w:tcW w:w="579" w:type="pct"/>
            <w:vMerge w:val="restart"/>
            <w:tcBorders>
              <w:top w:val="nil"/>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Individuals or Households</w:t>
            </w:r>
          </w:p>
        </w:tc>
        <w:tc>
          <w:tcPr>
            <w:tcW w:w="5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SNAP Recipient FG Screened and Participants</w:t>
            </w:r>
          </w:p>
        </w:tc>
        <w:tc>
          <w:tcPr>
            <w:tcW w:w="4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Completed</w:t>
            </w:r>
          </w:p>
        </w:tc>
        <w:tc>
          <w:tcPr>
            <w:tcW w:w="6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1D67" w:rsidRPr="00F01245" w:rsidRDefault="004D1D67" w:rsidP="00456DEA">
            <w:pPr>
              <w:spacing w:line="240" w:lineRule="auto"/>
              <w:jc w:val="right"/>
              <w:rPr>
                <w:rFonts w:ascii="Franklin Gothic Medium" w:hAnsi="Franklin Gothic Medium"/>
                <w:color w:val="000000"/>
                <w:sz w:val="16"/>
                <w:szCs w:val="16"/>
              </w:rPr>
            </w:pPr>
            <w:r w:rsidRPr="00F01245">
              <w:rPr>
                <w:rFonts w:ascii="Franklin Gothic Medium" w:hAnsi="Franklin Gothic Medium"/>
                <w:color w:val="000000"/>
                <w:sz w:val="16"/>
                <w:szCs w:val="16"/>
              </w:rPr>
              <w:t>32</w:t>
            </w:r>
          </w:p>
        </w:tc>
        <w:tc>
          <w:tcPr>
            <w:tcW w:w="5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1D67" w:rsidRPr="00F01245" w:rsidRDefault="004D1D67" w:rsidP="00456DEA">
            <w:pPr>
              <w:spacing w:line="240" w:lineRule="auto"/>
              <w:jc w:val="right"/>
              <w:rPr>
                <w:rFonts w:ascii="Franklin Gothic Medium" w:hAnsi="Franklin Gothic Medium"/>
                <w:color w:val="000000"/>
                <w:sz w:val="16"/>
                <w:szCs w:val="16"/>
              </w:rPr>
            </w:pPr>
            <w:r w:rsidRPr="00F01245">
              <w:rPr>
                <w:rFonts w:ascii="Franklin Gothic Medium" w:hAnsi="Franklin Gothic Medium"/>
                <w:color w:val="000000"/>
                <w:sz w:val="16"/>
                <w:szCs w:val="16"/>
              </w:rPr>
              <w:t>1</w:t>
            </w:r>
          </w:p>
        </w:tc>
        <w:tc>
          <w:tcPr>
            <w:tcW w:w="6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D1D67" w:rsidRPr="00F01245" w:rsidRDefault="004D1D67" w:rsidP="00456DEA">
            <w:pPr>
              <w:spacing w:line="240" w:lineRule="auto"/>
              <w:jc w:val="right"/>
              <w:rPr>
                <w:rFonts w:ascii="Franklin Gothic Medium" w:hAnsi="Franklin Gothic Medium"/>
                <w:color w:val="000000"/>
                <w:sz w:val="16"/>
                <w:szCs w:val="16"/>
              </w:rPr>
            </w:pPr>
            <w:r w:rsidRPr="00F01245">
              <w:rPr>
                <w:rFonts w:ascii="Franklin Gothic Medium" w:hAnsi="Franklin Gothic Medium"/>
                <w:color w:val="000000"/>
                <w:sz w:val="16"/>
                <w:szCs w:val="16"/>
              </w:rPr>
              <w:t>32</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1D67" w:rsidRPr="00F01245" w:rsidRDefault="00F01245" w:rsidP="00456DEA">
            <w:pPr>
              <w:spacing w:line="240" w:lineRule="auto"/>
              <w:jc w:val="right"/>
              <w:rPr>
                <w:rFonts w:ascii="Franklin Gothic Medium" w:hAnsi="Franklin Gothic Medium"/>
                <w:color w:val="000000"/>
                <w:sz w:val="16"/>
                <w:szCs w:val="16"/>
              </w:rPr>
            </w:pPr>
            <w:r w:rsidRPr="00F01245">
              <w:rPr>
                <w:rFonts w:ascii="Franklin Gothic Medium" w:hAnsi="Franklin Gothic Medium"/>
                <w:color w:val="000000"/>
                <w:sz w:val="16"/>
                <w:szCs w:val="16"/>
              </w:rPr>
              <w:t>1.4</w:t>
            </w:r>
          </w:p>
        </w:tc>
        <w:tc>
          <w:tcPr>
            <w:tcW w:w="49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D1D67" w:rsidRPr="00F01245" w:rsidRDefault="00F01245" w:rsidP="00456DEA">
            <w:pPr>
              <w:spacing w:line="240" w:lineRule="auto"/>
              <w:jc w:val="right"/>
              <w:rPr>
                <w:rFonts w:ascii="Franklin Gothic Medium" w:hAnsi="Franklin Gothic Medium"/>
                <w:color w:val="000000"/>
                <w:sz w:val="16"/>
                <w:szCs w:val="16"/>
              </w:rPr>
            </w:pPr>
            <w:r w:rsidRPr="00F01245">
              <w:rPr>
                <w:rFonts w:ascii="Franklin Gothic Medium" w:hAnsi="Franklin Gothic Medium"/>
                <w:color w:val="000000"/>
                <w:sz w:val="16"/>
                <w:szCs w:val="16"/>
              </w:rPr>
              <w:t>44.8</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1D67" w:rsidRPr="00F01245" w:rsidRDefault="00F01245" w:rsidP="00456DEA">
            <w:pPr>
              <w:spacing w:line="240" w:lineRule="auto"/>
              <w:jc w:val="right"/>
              <w:rPr>
                <w:rFonts w:ascii="Franklin Gothic Medium" w:hAnsi="Franklin Gothic Medium"/>
                <w:color w:val="000000"/>
                <w:sz w:val="16"/>
                <w:szCs w:val="16"/>
              </w:rPr>
            </w:pPr>
            <w:r w:rsidRPr="00F01245">
              <w:rPr>
                <w:rFonts w:ascii="Franklin Gothic Medium" w:hAnsi="Franklin Gothic Medium"/>
                <w:color w:val="000000"/>
                <w:sz w:val="16"/>
                <w:szCs w:val="16"/>
              </w:rPr>
              <w:t>325.47</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645"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70"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612"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96"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21"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vMerge/>
            <w:tcBorders>
              <w:top w:val="single" w:sz="4" w:space="0" w:color="auto"/>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479"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rPr>
                <w:rFonts w:ascii="Franklin Gothic Medium" w:hAnsi="Franklin Gothic Medium"/>
                <w:color w:val="000000"/>
                <w:sz w:val="16"/>
                <w:szCs w:val="16"/>
              </w:rPr>
            </w:pPr>
            <w:r w:rsidRPr="00787CD9">
              <w:rPr>
                <w:rFonts w:ascii="Franklin Gothic Medium" w:hAnsi="Franklin Gothic Medium"/>
                <w:color w:val="000000"/>
                <w:sz w:val="16"/>
                <w:szCs w:val="16"/>
              </w:rPr>
              <w:t>Attempted</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20</w:t>
            </w:r>
          </w:p>
        </w:tc>
        <w:tc>
          <w:tcPr>
            <w:tcW w:w="570"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1</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20</w:t>
            </w:r>
          </w:p>
        </w:tc>
        <w:tc>
          <w:tcPr>
            <w:tcW w:w="537"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0.0334</w:t>
            </w:r>
          </w:p>
        </w:tc>
        <w:tc>
          <w:tcPr>
            <w:tcW w:w="496" w:type="pct"/>
            <w:tcBorders>
              <w:top w:val="nil"/>
              <w:left w:val="nil"/>
              <w:bottom w:val="nil"/>
              <w:right w:val="single" w:sz="4" w:space="0" w:color="auto"/>
            </w:tcBorders>
            <w:shd w:val="clear" w:color="auto" w:fill="auto"/>
            <w:noWrap/>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0.67</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color w:val="000000"/>
                <w:sz w:val="16"/>
                <w:szCs w:val="16"/>
              </w:rPr>
            </w:pPr>
            <w:r w:rsidRPr="00787CD9">
              <w:rPr>
                <w:rFonts w:ascii="Franklin Gothic Medium" w:hAnsi="Franklin Gothic Medium"/>
                <w:color w:val="000000"/>
                <w:sz w:val="16"/>
                <w:szCs w:val="16"/>
              </w:rPr>
              <w:t>4.86</w:t>
            </w:r>
          </w:p>
        </w:tc>
      </w:tr>
      <w:tr w:rsidR="004D1D67" w:rsidRPr="00787CD9" w:rsidTr="00456DEA">
        <w:trPr>
          <w:trHeight w:val="300"/>
        </w:trPr>
        <w:tc>
          <w:tcPr>
            <w:tcW w:w="579" w:type="pct"/>
            <w:vMerge/>
            <w:tcBorders>
              <w:top w:val="nil"/>
              <w:left w:val="single" w:sz="4" w:space="0" w:color="auto"/>
              <w:bottom w:val="single" w:sz="4" w:space="0" w:color="000000"/>
              <w:right w:val="single" w:sz="4" w:space="0" w:color="auto"/>
            </w:tcBorders>
            <w:vAlign w:val="center"/>
            <w:hideMark/>
          </w:tcPr>
          <w:p w:rsidR="004D1D67" w:rsidRPr="00787CD9" w:rsidRDefault="004D1D67" w:rsidP="00456DEA">
            <w:pPr>
              <w:spacing w:line="240" w:lineRule="auto"/>
              <w:rPr>
                <w:rFonts w:ascii="Franklin Gothic Medium" w:hAnsi="Franklin Gothic Medium"/>
                <w:color w:val="000000"/>
                <w:sz w:val="16"/>
                <w:szCs w:val="16"/>
              </w:rPr>
            </w:pPr>
          </w:p>
        </w:tc>
        <w:tc>
          <w:tcPr>
            <w:tcW w:w="562"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SUBTOTAL</w:t>
            </w:r>
          </w:p>
        </w:tc>
        <w:tc>
          <w:tcPr>
            <w:tcW w:w="479"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3947B8"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5</w:t>
            </w:r>
            <w:r w:rsidR="004D1D67" w:rsidRPr="00787CD9">
              <w:rPr>
                <w:rFonts w:ascii="Franklin Gothic Medium" w:hAnsi="Franklin Gothic Medium"/>
                <w:b/>
                <w:bCs/>
                <w:color w:val="000000"/>
                <w:sz w:val="16"/>
                <w:szCs w:val="16"/>
              </w:rPr>
              <w:t>2</w:t>
            </w:r>
          </w:p>
        </w:tc>
        <w:tc>
          <w:tcPr>
            <w:tcW w:w="570"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12" w:type="pct"/>
            <w:tcBorders>
              <w:top w:val="nil"/>
              <w:left w:val="nil"/>
              <w:bottom w:val="single" w:sz="4" w:space="0" w:color="auto"/>
              <w:right w:val="single" w:sz="4" w:space="0" w:color="auto"/>
            </w:tcBorders>
            <w:shd w:val="clear" w:color="auto" w:fill="auto"/>
            <w:noWrap/>
            <w:vAlign w:val="center"/>
            <w:hideMark/>
          </w:tcPr>
          <w:p w:rsidR="004D1D67" w:rsidRPr="00787CD9" w:rsidRDefault="003947B8"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5</w:t>
            </w:r>
            <w:r w:rsidR="004D1D67" w:rsidRPr="00787CD9">
              <w:rPr>
                <w:rFonts w:ascii="Franklin Gothic Medium" w:hAnsi="Franklin Gothic Medium"/>
                <w:b/>
                <w:bCs/>
                <w:color w:val="000000"/>
                <w:sz w:val="16"/>
                <w:szCs w:val="16"/>
              </w:rPr>
              <w:t>2</w:t>
            </w:r>
          </w:p>
        </w:tc>
        <w:tc>
          <w:tcPr>
            <w:tcW w:w="537"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4D1D67" w:rsidRPr="00787CD9" w:rsidRDefault="00F01245"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45.47</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F01245"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330.33</w:t>
            </w:r>
          </w:p>
        </w:tc>
      </w:tr>
      <w:tr w:rsidR="004D1D67" w:rsidRPr="00787CD9" w:rsidTr="00456DEA">
        <w:trPr>
          <w:trHeight w:val="300"/>
        </w:trPr>
        <w:tc>
          <w:tcPr>
            <w:tcW w:w="579" w:type="pct"/>
            <w:tcBorders>
              <w:top w:val="nil"/>
              <w:left w:val="single" w:sz="4" w:space="0" w:color="auto"/>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center"/>
              <w:rPr>
                <w:rFonts w:ascii="Franklin Gothic Medium" w:hAnsi="Franklin Gothic Medium"/>
                <w:color w:val="000000"/>
                <w:sz w:val="16"/>
                <w:szCs w:val="16"/>
              </w:rPr>
            </w:pPr>
            <w:r w:rsidRPr="00787CD9">
              <w:rPr>
                <w:rFonts w:ascii="Franklin Gothic Medium" w:hAnsi="Franklin Gothic Medium"/>
                <w:color w:val="000000"/>
                <w:sz w:val="16"/>
                <w:szCs w:val="16"/>
              </w:rPr>
              <w:t>ALL</w:t>
            </w:r>
          </w:p>
        </w:tc>
        <w:tc>
          <w:tcPr>
            <w:tcW w:w="562"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xml:space="preserve">TOTAL </w:t>
            </w:r>
          </w:p>
        </w:tc>
        <w:tc>
          <w:tcPr>
            <w:tcW w:w="479"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45"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2</w:t>
            </w:r>
            <w:r w:rsidR="00BE61CC">
              <w:rPr>
                <w:rFonts w:ascii="Franklin Gothic Medium" w:hAnsi="Franklin Gothic Medium"/>
                <w:b/>
                <w:bCs/>
                <w:color w:val="000000"/>
                <w:sz w:val="16"/>
                <w:szCs w:val="16"/>
              </w:rPr>
              <w:t>85</w:t>
            </w:r>
            <w:r w:rsidRPr="00787CD9">
              <w:rPr>
                <w:rFonts w:ascii="Franklin Gothic Medium" w:hAnsi="Franklin Gothic Medium"/>
                <w:b/>
                <w:bCs/>
                <w:color w:val="000000"/>
                <w:sz w:val="16"/>
                <w:szCs w:val="16"/>
              </w:rPr>
              <w:t>9</w:t>
            </w:r>
          </w:p>
        </w:tc>
        <w:tc>
          <w:tcPr>
            <w:tcW w:w="570"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612"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2</w:t>
            </w:r>
            <w:r w:rsidR="003947B8">
              <w:rPr>
                <w:rFonts w:ascii="Franklin Gothic Medium" w:hAnsi="Franklin Gothic Medium"/>
                <w:b/>
                <w:bCs/>
                <w:color w:val="000000"/>
                <w:sz w:val="16"/>
                <w:szCs w:val="16"/>
              </w:rPr>
              <w:t>85</w:t>
            </w:r>
            <w:r w:rsidRPr="00787CD9">
              <w:rPr>
                <w:rFonts w:ascii="Franklin Gothic Medium" w:hAnsi="Franklin Gothic Medium"/>
                <w:b/>
                <w:bCs/>
                <w:color w:val="000000"/>
                <w:sz w:val="16"/>
                <w:szCs w:val="16"/>
              </w:rPr>
              <w:t>9</w:t>
            </w:r>
          </w:p>
        </w:tc>
        <w:tc>
          <w:tcPr>
            <w:tcW w:w="537" w:type="pct"/>
            <w:tcBorders>
              <w:top w:val="nil"/>
              <w:left w:val="nil"/>
              <w:bottom w:val="single" w:sz="4" w:space="0" w:color="auto"/>
              <w:right w:val="single" w:sz="4" w:space="0" w:color="auto"/>
            </w:tcBorders>
            <w:shd w:val="clear" w:color="000000" w:fill="000000"/>
            <w:vAlign w:val="center"/>
            <w:hideMark/>
          </w:tcPr>
          <w:p w:rsidR="004D1D67" w:rsidRPr="00787CD9" w:rsidRDefault="004D1D67" w:rsidP="00456DEA">
            <w:pPr>
              <w:spacing w:line="240" w:lineRule="auto"/>
              <w:rPr>
                <w:rFonts w:ascii="Franklin Gothic Medium" w:hAnsi="Franklin Gothic Medium"/>
                <w:b/>
                <w:bCs/>
                <w:color w:val="000000"/>
                <w:sz w:val="16"/>
                <w:szCs w:val="16"/>
              </w:rPr>
            </w:pPr>
            <w:r w:rsidRPr="00787CD9">
              <w:rPr>
                <w:rFonts w:ascii="Franklin Gothic Medium" w:hAnsi="Franklin Gothic Medium"/>
                <w:b/>
                <w:bCs/>
                <w:color w:val="000000"/>
                <w:sz w:val="16"/>
                <w:szCs w:val="16"/>
              </w:rPr>
              <w:t> </w:t>
            </w:r>
          </w:p>
        </w:tc>
        <w:tc>
          <w:tcPr>
            <w:tcW w:w="496" w:type="pct"/>
            <w:tcBorders>
              <w:top w:val="nil"/>
              <w:left w:val="nil"/>
              <w:bottom w:val="single" w:sz="4" w:space="0" w:color="auto"/>
              <w:right w:val="single" w:sz="4" w:space="0" w:color="auto"/>
            </w:tcBorders>
            <w:shd w:val="clear" w:color="auto" w:fill="auto"/>
            <w:vAlign w:val="center"/>
            <w:hideMark/>
          </w:tcPr>
          <w:p w:rsidR="004D1D67" w:rsidRPr="00787CD9" w:rsidRDefault="00F01245" w:rsidP="00456DEA">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887</w:t>
            </w:r>
          </w:p>
        </w:tc>
        <w:tc>
          <w:tcPr>
            <w:tcW w:w="521" w:type="pct"/>
            <w:tcBorders>
              <w:top w:val="nil"/>
              <w:left w:val="nil"/>
              <w:bottom w:val="single" w:sz="4" w:space="0" w:color="auto"/>
              <w:right w:val="single" w:sz="4" w:space="0" w:color="auto"/>
            </w:tcBorders>
            <w:shd w:val="clear" w:color="auto" w:fill="auto"/>
            <w:vAlign w:val="center"/>
            <w:hideMark/>
          </w:tcPr>
          <w:p w:rsidR="004D1D67" w:rsidRPr="00787CD9" w:rsidRDefault="004D1D67" w:rsidP="00F01245">
            <w:pPr>
              <w:spacing w:line="240" w:lineRule="auto"/>
              <w:jc w:val="right"/>
              <w:rPr>
                <w:rFonts w:ascii="Franklin Gothic Medium" w:hAnsi="Franklin Gothic Medium"/>
                <w:b/>
                <w:bCs/>
                <w:color w:val="000000"/>
                <w:sz w:val="16"/>
                <w:szCs w:val="16"/>
              </w:rPr>
            </w:pPr>
            <w:r>
              <w:rPr>
                <w:rFonts w:ascii="Franklin Gothic Medium" w:hAnsi="Franklin Gothic Medium"/>
                <w:b/>
                <w:bCs/>
                <w:color w:val="000000"/>
                <w:sz w:val="16"/>
                <w:szCs w:val="16"/>
              </w:rPr>
              <w:t>17</w:t>
            </w:r>
            <w:r w:rsidR="00F01245">
              <w:rPr>
                <w:rFonts w:ascii="Franklin Gothic Medium" w:hAnsi="Franklin Gothic Medium"/>
                <w:b/>
                <w:bCs/>
                <w:color w:val="000000"/>
                <w:sz w:val="16"/>
                <w:szCs w:val="16"/>
              </w:rPr>
              <w:t>286</w:t>
            </w:r>
            <w:r>
              <w:rPr>
                <w:rFonts w:ascii="Franklin Gothic Medium" w:hAnsi="Franklin Gothic Medium"/>
                <w:b/>
                <w:bCs/>
                <w:color w:val="000000"/>
                <w:sz w:val="16"/>
                <w:szCs w:val="16"/>
              </w:rPr>
              <w:t>.00</w:t>
            </w:r>
          </w:p>
        </w:tc>
      </w:tr>
    </w:tbl>
    <w:p w:rsidR="00AA6728" w:rsidRPr="008E7199" w:rsidRDefault="004D1D67" w:rsidP="00AA6728">
      <w:pPr>
        <w:pStyle w:val="TF-TblFN"/>
        <w:rPr>
          <w:sz w:val="15"/>
          <w:szCs w:val="15"/>
        </w:rPr>
      </w:pPr>
      <w:r w:rsidRPr="008E7199">
        <w:rPr>
          <w:sz w:val="15"/>
          <w:szCs w:val="15"/>
          <w:vertAlign w:val="superscript"/>
        </w:rPr>
        <w:t>*</w:t>
      </w:r>
      <w:r w:rsidRPr="008E7199">
        <w:rPr>
          <w:sz w:val="15"/>
          <w:szCs w:val="15"/>
        </w:rPr>
        <w:t xml:space="preserve"> </w:t>
      </w:r>
      <w:r>
        <w:rPr>
          <w:sz w:val="15"/>
          <w:szCs w:val="15"/>
        </w:rPr>
        <w:t>FM M</w:t>
      </w:r>
      <w:r w:rsidR="008E7199">
        <w:rPr>
          <w:sz w:val="15"/>
          <w:szCs w:val="15"/>
        </w:rPr>
        <w:t xml:space="preserve">anager and DM Farmer </w:t>
      </w:r>
      <w:r w:rsidR="00AA6728" w:rsidRPr="008E7199">
        <w:rPr>
          <w:sz w:val="15"/>
          <w:szCs w:val="15"/>
        </w:rPr>
        <w:t>surveys were tested in two rounds; no more than 9 respondents were asked the same question</w:t>
      </w:r>
    </w:p>
    <w:p w:rsidR="00E554E9" w:rsidRDefault="00E554E9">
      <w:pPr>
        <w:spacing w:line="240" w:lineRule="auto"/>
        <w:rPr>
          <w:rFonts w:ascii="Franklin Gothic Medium" w:hAnsi="Franklin Gothic Medium"/>
          <w:b/>
          <w:color w:val="324162"/>
          <w:sz w:val="28"/>
          <w:szCs w:val="32"/>
        </w:rPr>
      </w:pPr>
      <w:bookmarkStart w:id="48" w:name="_Toc286158963"/>
      <w:bookmarkStart w:id="49" w:name="_Toc286160555"/>
      <w:bookmarkStart w:id="50" w:name="_Toc290021772"/>
      <w:bookmarkStart w:id="51" w:name="_Toc282506035"/>
      <w:bookmarkEnd w:id="47"/>
      <w:r>
        <w:br w:type="page"/>
      </w:r>
    </w:p>
    <w:p w:rsidR="006B6852" w:rsidRPr="00F44DEA" w:rsidRDefault="003C306C" w:rsidP="00F44DEA">
      <w:pPr>
        <w:pStyle w:val="Heading2"/>
      </w:pPr>
      <w:r w:rsidRPr="00F44DEA">
        <w:lastRenderedPageBreak/>
        <w:t>A.13.</w:t>
      </w:r>
      <w:r w:rsidRPr="00F44DEA">
        <w:tab/>
      </w:r>
      <w:bookmarkEnd w:id="48"/>
      <w:bookmarkEnd w:id="49"/>
      <w:bookmarkEnd w:id="50"/>
      <w:r w:rsidRPr="00F44DEA">
        <w:t xml:space="preserve">Provide Estimates of the Total Annual Cost Burden to Respondents or Record Keepers </w:t>
      </w:r>
      <w:proofErr w:type="gramStart"/>
      <w:r w:rsidRPr="00F44DEA">
        <w:t>Resulting</w:t>
      </w:r>
      <w:proofErr w:type="gramEnd"/>
      <w:r w:rsidRPr="00F44DEA">
        <w:t xml:space="preserve"> from the Collection of Information (do not include the cost of any hour burden shown in items 12 and 14).</w:t>
      </w:r>
    </w:p>
    <w:p w:rsidR="003C306C" w:rsidRPr="00F44DEA" w:rsidRDefault="003C306C" w:rsidP="00F44DEA">
      <w:pPr>
        <w:pStyle w:val="Heading2"/>
      </w:pPr>
      <w:r w:rsidRPr="00F44DEA">
        <w:tab/>
        <w:t>The cost estimates should be split into two components:</w:t>
      </w:r>
      <w:r w:rsidR="006B6852" w:rsidRPr="00F44DEA">
        <w:t xml:space="preserve"> </w:t>
      </w:r>
      <w:r w:rsidRPr="00F44DEA">
        <w:t>(a) a total capital and start-up costs component annualized over its expected useful life; and (b) a total operation and maintenance and purchase of services component.</w:t>
      </w:r>
    </w:p>
    <w:p w:rsidR="003C306C" w:rsidRDefault="003C306C" w:rsidP="004E3EB1">
      <w:pPr>
        <w:pStyle w:val="P1-StandPara"/>
      </w:pPr>
      <w:r w:rsidRPr="00EC1412">
        <w:t>There are no capital/start-up or ongoing operation/maintenance costs associated with this information collection.</w:t>
      </w:r>
    </w:p>
    <w:p w:rsidR="009C4963" w:rsidRDefault="009C4963" w:rsidP="004E3EB1">
      <w:pPr>
        <w:pStyle w:val="P1-StandPara"/>
      </w:pPr>
    </w:p>
    <w:p w:rsidR="006B6852" w:rsidRPr="00F44DEA" w:rsidRDefault="003C306C" w:rsidP="00F44DEA">
      <w:pPr>
        <w:pStyle w:val="Heading2"/>
      </w:pPr>
      <w:bookmarkStart w:id="52" w:name="_Toc290021773"/>
      <w:bookmarkStart w:id="53" w:name="_Toc280797912"/>
      <w:bookmarkEnd w:id="51"/>
      <w:r w:rsidRPr="00F44DEA">
        <w:t>A.14.</w:t>
      </w:r>
      <w:r w:rsidRPr="00F44DEA">
        <w:tab/>
      </w:r>
      <w:bookmarkEnd w:id="52"/>
      <w:r w:rsidRPr="00F44DEA">
        <w:t>Provide Estimates of Annualized Cost to the Federal Government.</w:t>
      </w:r>
    </w:p>
    <w:p w:rsidR="003C306C" w:rsidRPr="00F44DEA" w:rsidRDefault="003C306C" w:rsidP="00F44DEA">
      <w:pPr>
        <w:pStyle w:val="Heading2"/>
      </w:pPr>
      <w:r w:rsidRPr="00F44DEA">
        <w:tab/>
        <w:t>Also, provide a description of the method used to estimate cost and any other expense that would not have been incurred without this collection of information.</w:t>
      </w:r>
    </w:p>
    <w:p w:rsidR="007E4EDD" w:rsidRPr="00872A67" w:rsidRDefault="007E4EDD" w:rsidP="004E3EB1">
      <w:pPr>
        <w:pStyle w:val="P1-StandPara"/>
      </w:pPr>
      <w:r w:rsidRPr="00872A67">
        <w:t>Contractor costs associated with this study total $1,</w:t>
      </w:r>
      <w:r w:rsidR="001F13E5" w:rsidRPr="00872A67">
        <w:t>202</w:t>
      </w:r>
      <w:r w:rsidRPr="00872A67">
        <w:t>,000, with an estimated $</w:t>
      </w:r>
      <w:r w:rsidR="002518D6">
        <w:t>400</w:t>
      </w:r>
      <w:r w:rsidR="001F13E5" w:rsidRPr="00872A67">
        <w:t>,</w:t>
      </w:r>
      <w:r w:rsidR="002518D6">
        <w:t>666</w:t>
      </w:r>
      <w:r w:rsidRPr="00872A67">
        <w:t xml:space="preserve"> annual cost to the federal government. This is based on an estimate of 10,</w:t>
      </w:r>
      <w:r w:rsidR="001F13E5" w:rsidRPr="00872A67">
        <w:t>239</w:t>
      </w:r>
      <w:r w:rsidRPr="00872A67">
        <w:t xml:space="preserve"> labor hours, with a salary range of $30.46 – $236.60 per hour and includes instrument development, data collection, analysis, reporting, and overhead costs, including computing, copying, supplies, postage, shipping, and other miscellaneous items. The cost of the FNS employees involved in project oversight wi</w:t>
      </w:r>
      <w:r w:rsidR="00BE61CC">
        <w:t>th the study is estimated at $12</w:t>
      </w:r>
      <w:r w:rsidRPr="00872A67">
        <w:t>,</w:t>
      </w:r>
      <w:r w:rsidR="00BE61CC">
        <w:t xml:space="preserve">069 </w:t>
      </w:r>
      <w:r w:rsidRPr="00872A67">
        <w:t>annually</w:t>
      </w:r>
      <w:r w:rsidR="00BE61CC">
        <w:t>; for a combined total of $412,735 annually.</w:t>
      </w:r>
    </w:p>
    <w:p w:rsidR="007E4EDD" w:rsidRPr="005265F7" w:rsidRDefault="007E4EDD" w:rsidP="004E3EB1">
      <w:pPr>
        <w:pStyle w:val="P1-StandPara"/>
      </w:pPr>
    </w:p>
    <w:p w:rsidR="003C306C" w:rsidRPr="00F44DEA" w:rsidRDefault="003C306C" w:rsidP="00F44DEA">
      <w:pPr>
        <w:pStyle w:val="Heading2"/>
      </w:pPr>
      <w:bookmarkStart w:id="54" w:name="_Toc290021774"/>
      <w:bookmarkEnd w:id="53"/>
      <w:r w:rsidRPr="00F44DEA">
        <w:t>A.15.</w:t>
      </w:r>
      <w:r w:rsidRPr="00F44DEA">
        <w:tab/>
      </w:r>
      <w:bookmarkEnd w:id="54"/>
      <w:r w:rsidRPr="00F44DEA">
        <w:t>Explain the Reasons for any Program Changes or Adjustments Reported in Items 13 or 14 of the OMB Form 83-I.</w:t>
      </w:r>
    </w:p>
    <w:p w:rsidR="00DE3642" w:rsidRDefault="003C306C" w:rsidP="00DE3642">
      <w:pPr>
        <w:ind w:firstLine="720"/>
      </w:pPr>
      <w:r w:rsidRPr="00EC1412">
        <w:t>This is a new collection of information.</w:t>
      </w:r>
      <w:r w:rsidR="00DE3642">
        <w:t xml:space="preserve">  </w:t>
      </w:r>
      <w:r w:rsidR="00DE3642" w:rsidRPr="00220A7D">
        <w:t xml:space="preserve">This program change </w:t>
      </w:r>
      <w:r w:rsidR="00EF3E50">
        <w:t>is estimated to</w:t>
      </w:r>
      <w:r w:rsidR="00DE3642" w:rsidRPr="00220A7D">
        <w:t xml:space="preserve"> add </w:t>
      </w:r>
      <w:r w:rsidR="00F01245">
        <w:t>887</w:t>
      </w:r>
      <w:r w:rsidR="00DE3642" w:rsidRPr="00220A7D">
        <w:t xml:space="preserve"> burden hours</w:t>
      </w:r>
      <w:r w:rsidR="00D42B20">
        <w:t>, at an annualized cost of $17,</w:t>
      </w:r>
      <w:r w:rsidR="00F01245">
        <w:t>286</w:t>
      </w:r>
      <w:r w:rsidR="00DE3642" w:rsidRPr="00220A7D">
        <w:t xml:space="preserve"> to the OMB collection inventory.</w:t>
      </w:r>
    </w:p>
    <w:p w:rsidR="003C306C" w:rsidRDefault="003C306C" w:rsidP="004E3EB1">
      <w:pPr>
        <w:pStyle w:val="P1-StandPara"/>
      </w:pPr>
    </w:p>
    <w:p w:rsidR="003C306C" w:rsidRPr="00F44DEA" w:rsidRDefault="003C306C" w:rsidP="00F44DEA">
      <w:pPr>
        <w:pStyle w:val="Heading2"/>
      </w:pPr>
      <w:bookmarkStart w:id="55" w:name="_Toc290021775"/>
      <w:r w:rsidRPr="00F44DEA">
        <w:lastRenderedPageBreak/>
        <w:t>A.16.</w:t>
      </w:r>
      <w:r w:rsidRPr="00F44DEA">
        <w:tab/>
      </w:r>
      <w:bookmarkEnd w:id="55"/>
      <w:proofErr w:type="gramStart"/>
      <w:r w:rsidRPr="00F44DEA">
        <w:t>For</w:t>
      </w:r>
      <w:proofErr w:type="gramEnd"/>
      <w:r w:rsidRPr="00F44DEA">
        <w:t xml:space="preserve"> Collections of Information whose Results are Planned to be Published, Outline Plans for Tabulation and Publication.</w:t>
      </w:r>
    </w:p>
    <w:p w:rsidR="003C306C" w:rsidRPr="00F44DEA" w:rsidRDefault="003C306C" w:rsidP="00F44DEA">
      <w:pPr>
        <w:pStyle w:val="Heading4"/>
      </w:pPr>
      <w:r w:rsidRPr="00F44DEA">
        <w:tab/>
        <w:t>Time Schedule</w:t>
      </w:r>
    </w:p>
    <w:p w:rsidR="003C306C" w:rsidRDefault="003C306C" w:rsidP="004E3EB1">
      <w:pPr>
        <w:pStyle w:val="P1-StandPara"/>
      </w:pPr>
      <w:r w:rsidRPr="00EC1412">
        <w:t>The schedule for the study showing sample selection, beginning and ending dates of collection of information, completion of reports, and publication dates is shown on Table A16</w:t>
      </w:r>
      <w:r>
        <w:t>.1</w:t>
      </w:r>
      <w:r w:rsidRPr="00EC1412">
        <w:t>.</w:t>
      </w:r>
    </w:p>
    <w:p w:rsidR="003C306C" w:rsidRPr="00EC1412" w:rsidRDefault="003C306C" w:rsidP="004E3EB1">
      <w:pPr>
        <w:pStyle w:val="P1-StandPara"/>
      </w:pPr>
    </w:p>
    <w:p w:rsidR="003C306C" w:rsidRDefault="003C306C" w:rsidP="00F44DEA">
      <w:pPr>
        <w:pStyle w:val="TT-TableTitle"/>
      </w:pPr>
      <w:r w:rsidRPr="006D7E4A">
        <w:t xml:space="preserve">Table </w:t>
      </w:r>
      <w:r>
        <w:t>A</w:t>
      </w:r>
      <w:r w:rsidRPr="006D7E4A">
        <w:t>16.1</w:t>
      </w:r>
      <w:r>
        <w:t>.</w:t>
      </w:r>
      <w:r w:rsidRPr="006D7E4A">
        <w:tab/>
        <w:t>Data Collection and Reporting Schedule</w:t>
      </w:r>
    </w:p>
    <w:p w:rsidR="003C306C" w:rsidRDefault="003C306C" w:rsidP="00F44DEA">
      <w:pPr>
        <w:pStyle w:val="TT-TableTitle"/>
      </w:pPr>
    </w:p>
    <w:tbl>
      <w:tblPr>
        <w:tblStyle w:val="TableWestatStandardFormat"/>
        <w:tblW w:w="7488" w:type="dxa"/>
        <w:tblLayout w:type="fixed"/>
        <w:tblLook w:val="04A0"/>
      </w:tblPr>
      <w:tblGrid>
        <w:gridCol w:w="4518"/>
        <w:gridCol w:w="2970"/>
      </w:tblGrid>
      <w:tr w:rsidR="003C306C" w:rsidRPr="00EC1412" w:rsidTr="00EF12D3">
        <w:trPr>
          <w:cnfStyle w:val="100000000000"/>
        </w:trPr>
        <w:tc>
          <w:tcPr>
            <w:tcW w:w="4518" w:type="dxa"/>
          </w:tcPr>
          <w:p w:rsidR="003C306C" w:rsidRPr="00AF3F5F" w:rsidRDefault="003C306C" w:rsidP="000635CA">
            <w:pPr>
              <w:pStyle w:val="TH-TableHeading"/>
            </w:pPr>
            <w:r w:rsidRPr="00AF3F5F">
              <w:t>Activity</w:t>
            </w:r>
          </w:p>
        </w:tc>
        <w:tc>
          <w:tcPr>
            <w:tcW w:w="2970" w:type="dxa"/>
          </w:tcPr>
          <w:p w:rsidR="003C306C" w:rsidRPr="00AF3F5F" w:rsidRDefault="003C306C" w:rsidP="000635CA">
            <w:pPr>
              <w:pStyle w:val="TH-TableHeading"/>
            </w:pPr>
            <w:r w:rsidRPr="00AF3F5F">
              <w:t>Schedule</w:t>
            </w:r>
          </w:p>
        </w:tc>
      </w:tr>
      <w:tr w:rsidR="00D67C50" w:rsidRPr="00EC1412" w:rsidTr="00EF12D3">
        <w:tc>
          <w:tcPr>
            <w:tcW w:w="4518" w:type="dxa"/>
          </w:tcPr>
          <w:p w:rsidR="00D67C50" w:rsidRPr="00AF3F5F" w:rsidRDefault="000009EB" w:rsidP="000635CA">
            <w:pPr>
              <w:pStyle w:val="TX-TableText"/>
              <w:spacing w:before="40" w:after="40"/>
            </w:pPr>
            <w:r>
              <w:t>Farmers market</w:t>
            </w:r>
            <w:r w:rsidR="00A749BA">
              <w:t xml:space="preserve"> survey data c</w:t>
            </w:r>
            <w:r w:rsidR="00D67C50" w:rsidRPr="00AF3F5F">
              <w:t>ollection</w:t>
            </w:r>
          </w:p>
        </w:tc>
        <w:tc>
          <w:tcPr>
            <w:tcW w:w="2970" w:type="dxa"/>
          </w:tcPr>
          <w:p w:rsidR="00D67C50" w:rsidRPr="00AF3F5F" w:rsidRDefault="007C3D44" w:rsidP="00EF12D3">
            <w:pPr>
              <w:pStyle w:val="TX-TableText"/>
              <w:spacing w:before="40" w:after="40"/>
            </w:pPr>
            <w:r>
              <w:t>Sep</w:t>
            </w:r>
            <w:r w:rsidR="00D67C50" w:rsidRPr="00AF3F5F">
              <w:t xml:space="preserve">. </w:t>
            </w:r>
            <w:r w:rsidR="00D67C50">
              <w:t>1</w:t>
            </w:r>
            <w:r w:rsidR="00EF12D3">
              <w:t>, 2011</w:t>
            </w:r>
            <w:r w:rsidR="00D67C50" w:rsidRPr="00AF3F5F">
              <w:t>–January 15, 2012</w:t>
            </w:r>
          </w:p>
        </w:tc>
      </w:tr>
      <w:tr w:rsidR="00D67C50" w:rsidRPr="00EC1412" w:rsidTr="00EF12D3">
        <w:tc>
          <w:tcPr>
            <w:tcW w:w="4518" w:type="dxa"/>
          </w:tcPr>
          <w:p w:rsidR="00D67C50" w:rsidRPr="00AF3F5F" w:rsidRDefault="00A749BA" w:rsidP="000635CA">
            <w:pPr>
              <w:pStyle w:val="TX-TableText"/>
              <w:spacing w:before="40" w:after="40"/>
            </w:pPr>
            <w:r>
              <w:t>Focus g</w:t>
            </w:r>
            <w:r w:rsidR="00D67C50" w:rsidRPr="00AF3F5F">
              <w:t>roups with SNAP recipients</w:t>
            </w:r>
          </w:p>
        </w:tc>
        <w:tc>
          <w:tcPr>
            <w:tcW w:w="2970" w:type="dxa"/>
          </w:tcPr>
          <w:p w:rsidR="00D67C50" w:rsidRPr="00AF3F5F" w:rsidRDefault="00D67C50" w:rsidP="00EF12D3">
            <w:pPr>
              <w:pStyle w:val="TX-TableText"/>
              <w:spacing w:before="40" w:after="40"/>
            </w:pPr>
            <w:r>
              <w:t>February</w:t>
            </w:r>
            <w:r w:rsidRPr="00AF3F5F">
              <w:t xml:space="preserve"> 1-</w:t>
            </w:r>
            <w:r>
              <w:t>11</w:t>
            </w:r>
            <w:r w:rsidRPr="00AF3F5F">
              <w:t>, 2012</w:t>
            </w:r>
          </w:p>
        </w:tc>
      </w:tr>
      <w:tr w:rsidR="00D67C50" w:rsidRPr="00EC1412" w:rsidTr="00EF12D3">
        <w:tc>
          <w:tcPr>
            <w:tcW w:w="4518" w:type="dxa"/>
          </w:tcPr>
          <w:p w:rsidR="00D67C50" w:rsidRPr="00AF3F5F" w:rsidRDefault="00D67C50" w:rsidP="000635CA">
            <w:pPr>
              <w:pStyle w:val="TX-TableText"/>
              <w:spacing w:before="40" w:after="40"/>
            </w:pPr>
            <w:r w:rsidRPr="00AF3F5F">
              <w:t>Focus group</w:t>
            </w:r>
            <w:r w:rsidR="006B6852">
              <w:t xml:space="preserve"> </w:t>
            </w:r>
            <w:r w:rsidRPr="00AF3F5F">
              <w:t xml:space="preserve">draft 1 report </w:t>
            </w:r>
          </w:p>
        </w:tc>
        <w:tc>
          <w:tcPr>
            <w:tcW w:w="2970" w:type="dxa"/>
          </w:tcPr>
          <w:p w:rsidR="00D67C50" w:rsidRPr="00AF3F5F" w:rsidRDefault="002C0312" w:rsidP="00EF12D3">
            <w:pPr>
              <w:pStyle w:val="TX-TableText"/>
              <w:spacing w:before="40" w:after="40"/>
            </w:pPr>
            <w:r>
              <w:t>March 12</w:t>
            </w:r>
            <w:r w:rsidR="00D67C50" w:rsidRPr="00AF3F5F">
              <w:t>, 2012</w:t>
            </w:r>
          </w:p>
        </w:tc>
      </w:tr>
      <w:tr w:rsidR="00D67C50" w:rsidRPr="00EC1412" w:rsidTr="00EF12D3">
        <w:tc>
          <w:tcPr>
            <w:tcW w:w="4518" w:type="dxa"/>
          </w:tcPr>
          <w:p w:rsidR="00D67C50" w:rsidRPr="00AF3F5F" w:rsidRDefault="00D67C50" w:rsidP="000635CA">
            <w:pPr>
              <w:pStyle w:val="TX-TableText"/>
              <w:spacing w:before="40" w:after="40"/>
            </w:pPr>
            <w:r w:rsidRPr="00AF3F5F">
              <w:t xml:space="preserve">Focus group final report </w:t>
            </w:r>
          </w:p>
        </w:tc>
        <w:tc>
          <w:tcPr>
            <w:tcW w:w="2970" w:type="dxa"/>
          </w:tcPr>
          <w:p w:rsidR="00D67C50" w:rsidRPr="00AF3F5F" w:rsidRDefault="002C0312" w:rsidP="00EF12D3">
            <w:pPr>
              <w:pStyle w:val="TX-TableText"/>
              <w:spacing w:before="40" w:after="40"/>
            </w:pPr>
            <w:r>
              <w:t>April 9</w:t>
            </w:r>
            <w:r w:rsidR="00D67C50" w:rsidRPr="00AF3F5F">
              <w:t>, 2012</w:t>
            </w:r>
          </w:p>
        </w:tc>
      </w:tr>
      <w:tr w:rsidR="00D67C50" w:rsidRPr="00EC1412" w:rsidTr="00EF12D3">
        <w:tc>
          <w:tcPr>
            <w:tcW w:w="4518" w:type="dxa"/>
          </w:tcPr>
          <w:p w:rsidR="00D67C50" w:rsidRPr="00AF3F5F" w:rsidRDefault="00D67C50" w:rsidP="000635CA">
            <w:pPr>
              <w:pStyle w:val="TX-TableText"/>
              <w:spacing w:before="40" w:after="40"/>
            </w:pPr>
            <w:r w:rsidRPr="00AF3F5F">
              <w:t>Survey data cleaning, analysis and file production</w:t>
            </w:r>
          </w:p>
        </w:tc>
        <w:tc>
          <w:tcPr>
            <w:tcW w:w="2970" w:type="dxa"/>
          </w:tcPr>
          <w:p w:rsidR="00D67C50" w:rsidRPr="00AF3F5F" w:rsidRDefault="00D67C50" w:rsidP="00EF12D3">
            <w:pPr>
              <w:pStyle w:val="TX-TableText"/>
              <w:spacing w:before="40" w:after="40"/>
            </w:pPr>
            <w:r w:rsidRPr="00AF3F5F">
              <w:t xml:space="preserve">January </w:t>
            </w:r>
            <w:r>
              <w:t>–</w:t>
            </w:r>
            <w:r w:rsidRPr="00AF3F5F">
              <w:t xml:space="preserve"> </w:t>
            </w:r>
            <w:r>
              <w:t xml:space="preserve">April </w:t>
            </w:r>
            <w:r w:rsidRPr="00AF3F5F">
              <w:t>2012</w:t>
            </w:r>
          </w:p>
        </w:tc>
      </w:tr>
      <w:tr w:rsidR="00D67C50" w:rsidRPr="00EC1412" w:rsidTr="00EF12D3">
        <w:tc>
          <w:tcPr>
            <w:tcW w:w="4518" w:type="dxa"/>
          </w:tcPr>
          <w:p w:rsidR="00D67C50" w:rsidRPr="00AF3F5F" w:rsidRDefault="00D67C50" w:rsidP="000635CA">
            <w:pPr>
              <w:pStyle w:val="TX-TableText"/>
              <w:spacing w:before="40" w:after="40"/>
            </w:pPr>
            <w:r w:rsidRPr="00AF3F5F">
              <w:t xml:space="preserve">Preliminary data tables </w:t>
            </w:r>
          </w:p>
        </w:tc>
        <w:tc>
          <w:tcPr>
            <w:tcW w:w="2970" w:type="dxa"/>
          </w:tcPr>
          <w:p w:rsidR="00D67C50" w:rsidRPr="00AF3F5F" w:rsidRDefault="00D67C50" w:rsidP="00EF12D3">
            <w:pPr>
              <w:pStyle w:val="TX-TableText"/>
              <w:spacing w:before="40" w:after="40"/>
            </w:pPr>
            <w:r w:rsidRPr="00AF3F5F">
              <w:t xml:space="preserve">April </w:t>
            </w:r>
            <w:r w:rsidR="002C0312">
              <w:t>9</w:t>
            </w:r>
            <w:r w:rsidRPr="00AF3F5F">
              <w:t>, 2012</w:t>
            </w:r>
          </w:p>
        </w:tc>
      </w:tr>
      <w:tr w:rsidR="00D67C50" w:rsidRPr="00EC1412" w:rsidTr="00EF12D3">
        <w:tc>
          <w:tcPr>
            <w:tcW w:w="4518" w:type="dxa"/>
          </w:tcPr>
          <w:p w:rsidR="00D67C50" w:rsidRPr="00AF3F5F" w:rsidRDefault="00D67C50" w:rsidP="000635CA">
            <w:pPr>
              <w:pStyle w:val="TX-TableText"/>
              <w:spacing w:before="40" w:after="40"/>
            </w:pPr>
            <w:r w:rsidRPr="00AF3F5F">
              <w:t>Final data tables and data delivery</w:t>
            </w:r>
          </w:p>
        </w:tc>
        <w:tc>
          <w:tcPr>
            <w:tcW w:w="2970" w:type="dxa"/>
          </w:tcPr>
          <w:p w:rsidR="00D67C50" w:rsidRPr="00AF3F5F" w:rsidRDefault="00D67C50" w:rsidP="00EF12D3">
            <w:pPr>
              <w:pStyle w:val="TX-TableText"/>
              <w:spacing w:before="40" w:after="40"/>
            </w:pPr>
            <w:r w:rsidRPr="00AF3F5F">
              <w:t>May 18, 2012</w:t>
            </w:r>
          </w:p>
        </w:tc>
      </w:tr>
      <w:tr w:rsidR="00D67C50" w:rsidRPr="00EC1412" w:rsidTr="00EF12D3">
        <w:tc>
          <w:tcPr>
            <w:tcW w:w="4518" w:type="dxa"/>
          </w:tcPr>
          <w:p w:rsidR="00D67C50" w:rsidRPr="00AF3F5F" w:rsidRDefault="00D67C50" w:rsidP="000635CA">
            <w:pPr>
              <w:pStyle w:val="TX-TableText"/>
              <w:spacing w:before="40" w:after="40"/>
            </w:pPr>
            <w:r w:rsidRPr="00AF3F5F">
              <w:t>1</w:t>
            </w:r>
            <w:r w:rsidRPr="00AF3F5F">
              <w:rPr>
                <w:vertAlign w:val="superscript"/>
              </w:rPr>
              <w:t>st</w:t>
            </w:r>
            <w:r w:rsidRPr="00AF3F5F">
              <w:t xml:space="preserve"> draft final report </w:t>
            </w:r>
          </w:p>
        </w:tc>
        <w:tc>
          <w:tcPr>
            <w:tcW w:w="2970" w:type="dxa"/>
          </w:tcPr>
          <w:p w:rsidR="00D67C50" w:rsidRPr="00AF3F5F" w:rsidRDefault="00D67C50" w:rsidP="00EF12D3">
            <w:pPr>
              <w:pStyle w:val="TX-TableText"/>
              <w:spacing w:before="40" w:after="40"/>
            </w:pPr>
            <w:r w:rsidRPr="00AF3F5F">
              <w:t>June 8, 2012</w:t>
            </w:r>
          </w:p>
        </w:tc>
      </w:tr>
      <w:tr w:rsidR="00D67C50" w:rsidRPr="00EC1412" w:rsidTr="00EF12D3">
        <w:tc>
          <w:tcPr>
            <w:tcW w:w="4518" w:type="dxa"/>
          </w:tcPr>
          <w:p w:rsidR="00D67C50" w:rsidRPr="00AF3F5F" w:rsidRDefault="00D67C50" w:rsidP="000635CA">
            <w:pPr>
              <w:pStyle w:val="TX-TableText"/>
              <w:spacing w:before="40" w:after="40"/>
            </w:pPr>
            <w:r w:rsidRPr="00AF3F5F">
              <w:t>2</w:t>
            </w:r>
            <w:r w:rsidRPr="00AF3F5F">
              <w:rPr>
                <w:vertAlign w:val="superscript"/>
              </w:rPr>
              <w:t>nd</w:t>
            </w:r>
            <w:r w:rsidR="00A749BA">
              <w:t xml:space="preserve"> draft final r</w:t>
            </w:r>
            <w:r w:rsidRPr="00AF3F5F">
              <w:t>eport</w:t>
            </w:r>
          </w:p>
        </w:tc>
        <w:tc>
          <w:tcPr>
            <w:tcW w:w="2970" w:type="dxa"/>
          </w:tcPr>
          <w:p w:rsidR="00D67C50" w:rsidRPr="00AF3F5F" w:rsidRDefault="00D67C50" w:rsidP="00EF12D3">
            <w:pPr>
              <w:pStyle w:val="TX-TableText"/>
              <w:spacing w:before="40" w:after="40"/>
            </w:pPr>
            <w:r w:rsidRPr="00AF3F5F">
              <w:t>July 6, 2012</w:t>
            </w:r>
          </w:p>
        </w:tc>
      </w:tr>
      <w:tr w:rsidR="00D67C50" w:rsidRPr="00EC1412" w:rsidTr="00EF12D3">
        <w:tc>
          <w:tcPr>
            <w:tcW w:w="4518" w:type="dxa"/>
          </w:tcPr>
          <w:p w:rsidR="00D67C50" w:rsidRPr="00AF3F5F" w:rsidRDefault="00A749BA" w:rsidP="000635CA">
            <w:pPr>
              <w:pStyle w:val="TX-TableText"/>
              <w:spacing w:before="40" w:after="40"/>
            </w:pPr>
            <w:r>
              <w:t>Phase II final r</w:t>
            </w:r>
            <w:r w:rsidR="00D67C50" w:rsidRPr="00AF3F5F">
              <w:t>eport</w:t>
            </w:r>
          </w:p>
        </w:tc>
        <w:tc>
          <w:tcPr>
            <w:tcW w:w="2970" w:type="dxa"/>
          </w:tcPr>
          <w:p w:rsidR="00D67C50" w:rsidRPr="00AF3F5F" w:rsidRDefault="00D67C50" w:rsidP="00EF12D3">
            <w:pPr>
              <w:pStyle w:val="TX-TableText"/>
              <w:spacing w:before="40" w:after="40"/>
            </w:pPr>
            <w:r w:rsidRPr="00AF3F5F">
              <w:t>August 31, 2012</w:t>
            </w:r>
          </w:p>
        </w:tc>
      </w:tr>
      <w:tr w:rsidR="00D67C50" w:rsidRPr="00EC1412" w:rsidTr="00EF12D3">
        <w:tc>
          <w:tcPr>
            <w:tcW w:w="4518" w:type="dxa"/>
          </w:tcPr>
          <w:p w:rsidR="00D67C50" w:rsidRPr="00AF3F5F" w:rsidRDefault="00D67C50" w:rsidP="000635CA">
            <w:pPr>
              <w:pStyle w:val="TX-TableText"/>
              <w:spacing w:before="40" w:after="40"/>
            </w:pPr>
            <w:r w:rsidRPr="00AF3F5F">
              <w:t>Draft debriefing materials</w:t>
            </w:r>
          </w:p>
        </w:tc>
        <w:tc>
          <w:tcPr>
            <w:tcW w:w="2970" w:type="dxa"/>
          </w:tcPr>
          <w:p w:rsidR="00D67C50" w:rsidRPr="00AF3F5F" w:rsidRDefault="00D67C50" w:rsidP="00EF12D3">
            <w:pPr>
              <w:pStyle w:val="TX-TableText"/>
              <w:spacing w:before="40" w:after="40"/>
            </w:pPr>
            <w:r w:rsidRPr="00AF3F5F">
              <w:t>July 6, 2012</w:t>
            </w:r>
          </w:p>
        </w:tc>
      </w:tr>
      <w:tr w:rsidR="00D67C50" w:rsidRPr="00EC1412" w:rsidTr="00EF12D3">
        <w:tc>
          <w:tcPr>
            <w:tcW w:w="4518" w:type="dxa"/>
          </w:tcPr>
          <w:p w:rsidR="00D67C50" w:rsidRPr="00AF3F5F" w:rsidRDefault="00D67C50" w:rsidP="000635CA">
            <w:pPr>
              <w:pStyle w:val="TX-TableText"/>
              <w:spacing w:before="40" w:after="40"/>
            </w:pPr>
            <w:r w:rsidRPr="00AF3F5F">
              <w:t>Briefing for audiences selected by FNS</w:t>
            </w:r>
          </w:p>
        </w:tc>
        <w:tc>
          <w:tcPr>
            <w:tcW w:w="2970" w:type="dxa"/>
          </w:tcPr>
          <w:p w:rsidR="00D67C50" w:rsidRPr="00AF3F5F" w:rsidRDefault="00D67C50" w:rsidP="00EF12D3">
            <w:pPr>
              <w:pStyle w:val="TX-TableText"/>
              <w:spacing w:before="40" w:after="40"/>
            </w:pPr>
            <w:r w:rsidRPr="00AF3F5F">
              <w:t>August 3, 2012</w:t>
            </w:r>
          </w:p>
        </w:tc>
      </w:tr>
      <w:tr w:rsidR="00D67C50" w:rsidRPr="00EC1412" w:rsidTr="00EF12D3">
        <w:tc>
          <w:tcPr>
            <w:tcW w:w="4518" w:type="dxa"/>
          </w:tcPr>
          <w:p w:rsidR="00D67C50" w:rsidRPr="00AF3F5F" w:rsidRDefault="00D67C50" w:rsidP="000635CA">
            <w:pPr>
              <w:pStyle w:val="TX-TableText"/>
              <w:spacing w:before="40" w:after="40"/>
            </w:pPr>
            <w:r w:rsidRPr="00AF3F5F">
              <w:t>Revised briefing materials</w:t>
            </w:r>
          </w:p>
        </w:tc>
        <w:tc>
          <w:tcPr>
            <w:tcW w:w="2970" w:type="dxa"/>
          </w:tcPr>
          <w:p w:rsidR="00D67C50" w:rsidRPr="00AF3F5F" w:rsidRDefault="00D67C50" w:rsidP="00EF12D3">
            <w:pPr>
              <w:pStyle w:val="TX-TableText"/>
              <w:spacing w:before="40" w:after="40"/>
            </w:pPr>
            <w:r w:rsidRPr="00AF3F5F">
              <w:t>September 7, 2012</w:t>
            </w:r>
          </w:p>
        </w:tc>
      </w:tr>
    </w:tbl>
    <w:p w:rsidR="003C306C" w:rsidRDefault="003C306C" w:rsidP="004E3EB1">
      <w:pPr>
        <w:pStyle w:val="P1-StandPara"/>
      </w:pPr>
    </w:p>
    <w:p w:rsidR="003C306C" w:rsidRPr="00A87AFD" w:rsidRDefault="003C306C" w:rsidP="003C306C">
      <w:pPr>
        <w:pStyle w:val="Heading4"/>
      </w:pPr>
      <w:r>
        <w:tab/>
      </w:r>
      <w:r w:rsidRPr="00A87AFD">
        <w:t>Analysis Plan</w:t>
      </w:r>
    </w:p>
    <w:p w:rsidR="006B6852" w:rsidRDefault="003C306C" w:rsidP="004E3EB1">
      <w:pPr>
        <w:pStyle w:val="P1-StandPara"/>
      </w:pPr>
      <w:r w:rsidRPr="00A87AFD">
        <w:t xml:space="preserve">The main lines of analysis follow the </w:t>
      </w:r>
      <w:r w:rsidR="00A87AFD" w:rsidRPr="00A87AFD">
        <w:t xml:space="preserve">study </w:t>
      </w:r>
      <w:r w:rsidRPr="00A87AFD">
        <w:t>objectives outlined in section A.2. Exhibit A16.2 presents an overview of the research objectives, data collection activities, and reports that this study will produce for future policy development regarding point-of-purchase financial incentives.</w:t>
      </w:r>
    </w:p>
    <w:p w:rsidR="00A87AFD" w:rsidRPr="008E13BD" w:rsidRDefault="00A87AFD" w:rsidP="008E13BD">
      <w:pPr>
        <w:pStyle w:val="P1-StandPara"/>
      </w:pPr>
      <w:bookmarkStart w:id="56" w:name="_Toc286162376"/>
      <w:r w:rsidRPr="008E13BD">
        <w:br w:type="page"/>
      </w:r>
    </w:p>
    <w:p w:rsidR="003C306C" w:rsidRPr="008E13BD" w:rsidRDefault="003C306C" w:rsidP="008E13BD">
      <w:pPr>
        <w:pStyle w:val="TT-TableTitle"/>
      </w:pPr>
      <w:r w:rsidRPr="008E13BD">
        <w:lastRenderedPageBreak/>
        <w:t>Exhibit A16.2.</w:t>
      </w:r>
      <w:r w:rsidRPr="008E13BD">
        <w:tab/>
        <w:t>Objectives, Principal Data Sources, and Reports</w:t>
      </w:r>
      <w:bookmarkEnd w:id="56"/>
    </w:p>
    <w:p w:rsidR="003C306C" w:rsidRPr="008E13BD" w:rsidRDefault="003C306C" w:rsidP="008E13BD">
      <w:pPr>
        <w:pStyle w:val="TT-TableTitle"/>
      </w:pPr>
    </w:p>
    <w:tbl>
      <w:tblPr>
        <w:tblW w:w="5000" w:type="pct"/>
        <w:tblBorders>
          <w:top w:val="single" w:sz="4" w:space="0" w:color="auto"/>
          <w:bottom w:val="single" w:sz="4" w:space="0" w:color="auto"/>
          <w:insideH w:val="single" w:sz="4" w:space="0" w:color="auto"/>
          <w:insideV w:val="single" w:sz="4" w:space="0" w:color="auto"/>
        </w:tblBorders>
        <w:tblLook w:val="0000"/>
      </w:tblPr>
      <w:tblGrid>
        <w:gridCol w:w="4698"/>
        <w:gridCol w:w="3331"/>
        <w:gridCol w:w="1547"/>
      </w:tblGrid>
      <w:tr w:rsidR="00CA07F9" w:rsidRPr="00CA07F9" w:rsidTr="00CA07F9">
        <w:trPr>
          <w:cantSplit/>
        </w:trPr>
        <w:tc>
          <w:tcPr>
            <w:tcW w:w="2453" w:type="pct"/>
            <w:tcBorders>
              <w:left w:val="single" w:sz="4" w:space="0" w:color="auto"/>
            </w:tcBorders>
          </w:tcPr>
          <w:p w:rsidR="00A87AFD" w:rsidRPr="00CA07F9" w:rsidRDefault="00A87AFD" w:rsidP="0090399F">
            <w:pPr>
              <w:pStyle w:val="TH-TableHeading"/>
              <w:rPr>
                <w:sz w:val="24"/>
              </w:rPr>
            </w:pPr>
            <w:r w:rsidRPr="00CA07F9">
              <w:rPr>
                <w:sz w:val="24"/>
              </w:rPr>
              <w:t>Objectives</w:t>
            </w:r>
          </w:p>
        </w:tc>
        <w:tc>
          <w:tcPr>
            <w:tcW w:w="1739" w:type="pct"/>
          </w:tcPr>
          <w:p w:rsidR="00A87AFD" w:rsidRPr="00CA07F9" w:rsidRDefault="00A87AFD" w:rsidP="0090399F">
            <w:pPr>
              <w:pStyle w:val="TH-TableHeading"/>
              <w:rPr>
                <w:sz w:val="24"/>
              </w:rPr>
            </w:pPr>
            <w:r w:rsidRPr="00CA07F9">
              <w:rPr>
                <w:sz w:val="24"/>
              </w:rPr>
              <w:t>Data source</w:t>
            </w:r>
          </w:p>
        </w:tc>
        <w:tc>
          <w:tcPr>
            <w:tcW w:w="808" w:type="pct"/>
            <w:tcBorders>
              <w:right w:val="single" w:sz="4" w:space="0" w:color="auto"/>
            </w:tcBorders>
          </w:tcPr>
          <w:p w:rsidR="00A87AFD" w:rsidRPr="00CA07F9" w:rsidRDefault="00A87AFD" w:rsidP="0090399F">
            <w:pPr>
              <w:pStyle w:val="TH-TableHeading"/>
              <w:rPr>
                <w:sz w:val="24"/>
              </w:rPr>
            </w:pPr>
            <w:r w:rsidRPr="00CA07F9">
              <w:rPr>
                <w:sz w:val="24"/>
              </w:rPr>
              <w:t>Reports</w:t>
            </w:r>
          </w:p>
        </w:tc>
      </w:tr>
      <w:tr w:rsidR="00CA07F9" w:rsidRPr="00CA07F9" w:rsidTr="00CA07F9">
        <w:trPr>
          <w:cantSplit/>
        </w:trPr>
        <w:tc>
          <w:tcPr>
            <w:tcW w:w="2453" w:type="pct"/>
            <w:tcBorders>
              <w:left w:val="single" w:sz="4" w:space="0" w:color="auto"/>
            </w:tcBorders>
          </w:tcPr>
          <w:p w:rsidR="00442260" w:rsidRPr="00CA07F9" w:rsidRDefault="00916EC8" w:rsidP="0090399F">
            <w:pPr>
              <w:pStyle w:val="TX-TableText"/>
              <w:numPr>
                <w:ilvl w:val="0"/>
                <w:numId w:val="24"/>
              </w:numPr>
              <w:ind w:left="450"/>
              <w:rPr>
                <w:sz w:val="24"/>
              </w:rPr>
            </w:pPr>
            <w:r>
              <w:rPr>
                <w:sz w:val="24"/>
              </w:rPr>
              <w:t>U</w:t>
            </w:r>
            <w:r w:rsidR="002C0312" w:rsidRPr="00CA07F9">
              <w:rPr>
                <w:sz w:val="24"/>
              </w:rPr>
              <w:t>nderstand the characteristics of FMs, both SNAP-authorized and not SNAP-authorized</w:t>
            </w:r>
          </w:p>
        </w:tc>
        <w:tc>
          <w:tcPr>
            <w:tcW w:w="1739" w:type="pct"/>
          </w:tcPr>
          <w:p w:rsidR="00442260" w:rsidRPr="00CA07F9" w:rsidRDefault="00442260" w:rsidP="0090399F">
            <w:pPr>
              <w:pStyle w:val="TX-TableText"/>
              <w:rPr>
                <w:sz w:val="24"/>
              </w:rPr>
            </w:pPr>
            <w:r w:rsidRPr="00CA07F9">
              <w:rPr>
                <w:sz w:val="24"/>
              </w:rPr>
              <w:t xml:space="preserve">Survey of </w:t>
            </w:r>
            <w:r w:rsidR="000009EB">
              <w:rPr>
                <w:sz w:val="24"/>
              </w:rPr>
              <w:t>farmers market</w:t>
            </w:r>
            <w:r w:rsidRPr="00CA07F9">
              <w:rPr>
                <w:sz w:val="24"/>
              </w:rPr>
              <w:t xml:space="preserve"> managers and direct marketing farmers</w:t>
            </w:r>
          </w:p>
        </w:tc>
        <w:tc>
          <w:tcPr>
            <w:tcW w:w="808" w:type="pct"/>
            <w:vMerge w:val="restart"/>
            <w:tcBorders>
              <w:right w:val="single" w:sz="4" w:space="0" w:color="auto"/>
            </w:tcBorders>
            <w:vAlign w:val="center"/>
          </w:tcPr>
          <w:p w:rsidR="00442260" w:rsidRPr="00CA07F9" w:rsidRDefault="00442260" w:rsidP="0090399F">
            <w:pPr>
              <w:pStyle w:val="TX-TableText"/>
              <w:jc w:val="center"/>
              <w:rPr>
                <w:sz w:val="24"/>
              </w:rPr>
            </w:pPr>
            <w:r w:rsidRPr="00CA07F9">
              <w:rPr>
                <w:sz w:val="24"/>
              </w:rPr>
              <w:t>FINAL</w:t>
            </w:r>
          </w:p>
        </w:tc>
      </w:tr>
      <w:tr w:rsidR="00CA07F9" w:rsidRPr="00CA07F9" w:rsidTr="00CA07F9">
        <w:trPr>
          <w:cantSplit/>
        </w:trPr>
        <w:tc>
          <w:tcPr>
            <w:tcW w:w="2453" w:type="pct"/>
            <w:tcBorders>
              <w:left w:val="single" w:sz="4" w:space="0" w:color="auto"/>
            </w:tcBorders>
          </w:tcPr>
          <w:p w:rsidR="00442260" w:rsidRPr="00CA07F9" w:rsidRDefault="002C0312" w:rsidP="0090399F">
            <w:pPr>
              <w:pStyle w:val="TX-TableText"/>
              <w:numPr>
                <w:ilvl w:val="0"/>
                <w:numId w:val="24"/>
              </w:numPr>
              <w:ind w:left="450"/>
              <w:rPr>
                <w:sz w:val="24"/>
              </w:rPr>
            </w:pPr>
            <w:r w:rsidRPr="00CA07F9">
              <w:rPr>
                <w:sz w:val="24"/>
              </w:rPr>
              <w:t xml:space="preserve">For SNAP-authorized markets, understand the relationship of characteristics to the way the program works (system of redemptions, volume of redemptions, information available, etc) in that setting. </w:t>
            </w:r>
          </w:p>
        </w:tc>
        <w:tc>
          <w:tcPr>
            <w:tcW w:w="1739" w:type="pct"/>
          </w:tcPr>
          <w:p w:rsidR="00442260" w:rsidRPr="00CA07F9" w:rsidRDefault="00442260" w:rsidP="0090399F">
            <w:pPr>
              <w:pStyle w:val="TX-TableText"/>
              <w:rPr>
                <w:sz w:val="24"/>
              </w:rPr>
            </w:pPr>
            <w:r w:rsidRPr="00CA07F9">
              <w:rPr>
                <w:sz w:val="24"/>
              </w:rPr>
              <w:t xml:space="preserve">Survey of </w:t>
            </w:r>
            <w:r w:rsidR="000009EB">
              <w:rPr>
                <w:sz w:val="24"/>
              </w:rPr>
              <w:t>farmers market</w:t>
            </w:r>
            <w:r w:rsidRPr="00CA07F9">
              <w:rPr>
                <w:sz w:val="24"/>
              </w:rPr>
              <w:t xml:space="preserve"> managers and direct marketing farmers</w:t>
            </w:r>
          </w:p>
        </w:tc>
        <w:tc>
          <w:tcPr>
            <w:tcW w:w="808" w:type="pct"/>
            <w:vMerge/>
            <w:tcBorders>
              <w:right w:val="single" w:sz="4" w:space="0" w:color="auto"/>
            </w:tcBorders>
          </w:tcPr>
          <w:p w:rsidR="00442260" w:rsidRPr="00CA07F9" w:rsidRDefault="00442260" w:rsidP="0090399F">
            <w:pPr>
              <w:pStyle w:val="TX-TableText"/>
              <w:rPr>
                <w:sz w:val="24"/>
              </w:rPr>
            </w:pPr>
          </w:p>
        </w:tc>
      </w:tr>
      <w:tr w:rsidR="00CA07F9" w:rsidRPr="00CA07F9" w:rsidTr="00CA07F9">
        <w:trPr>
          <w:cantSplit/>
        </w:trPr>
        <w:tc>
          <w:tcPr>
            <w:tcW w:w="2453" w:type="pct"/>
            <w:tcBorders>
              <w:left w:val="single" w:sz="4" w:space="0" w:color="auto"/>
            </w:tcBorders>
          </w:tcPr>
          <w:p w:rsidR="00442260" w:rsidRPr="00CA07F9" w:rsidRDefault="002C0312" w:rsidP="0090399F">
            <w:pPr>
              <w:pStyle w:val="TX-TableText"/>
              <w:numPr>
                <w:ilvl w:val="0"/>
                <w:numId w:val="24"/>
              </w:numPr>
              <w:ind w:left="450"/>
              <w:rPr>
                <w:sz w:val="24"/>
              </w:rPr>
            </w:pPr>
            <w:r w:rsidRPr="00CA07F9">
              <w:rPr>
                <w:sz w:val="24"/>
              </w:rPr>
              <w:t xml:space="preserve">Understand connections to other markets, support organizations, and other entities, including sources of funding. </w:t>
            </w:r>
          </w:p>
        </w:tc>
        <w:tc>
          <w:tcPr>
            <w:tcW w:w="1739" w:type="pct"/>
          </w:tcPr>
          <w:p w:rsidR="00442260" w:rsidRPr="00CA07F9" w:rsidRDefault="00442260" w:rsidP="0090399F">
            <w:pPr>
              <w:pStyle w:val="TX-TableText"/>
              <w:rPr>
                <w:sz w:val="24"/>
              </w:rPr>
            </w:pPr>
            <w:r w:rsidRPr="00CA07F9">
              <w:rPr>
                <w:sz w:val="24"/>
              </w:rPr>
              <w:t xml:space="preserve">Survey of </w:t>
            </w:r>
            <w:r w:rsidR="000009EB">
              <w:rPr>
                <w:sz w:val="24"/>
              </w:rPr>
              <w:t>farmers market</w:t>
            </w:r>
            <w:r w:rsidRPr="00CA07F9">
              <w:rPr>
                <w:sz w:val="24"/>
              </w:rPr>
              <w:t xml:space="preserve"> managers and direct marketing farmers</w:t>
            </w:r>
          </w:p>
        </w:tc>
        <w:tc>
          <w:tcPr>
            <w:tcW w:w="808" w:type="pct"/>
            <w:vMerge/>
            <w:tcBorders>
              <w:right w:val="single" w:sz="4" w:space="0" w:color="auto"/>
            </w:tcBorders>
          </w:tcPr>
          <w:p w:rsidR="00442260" w:rsidRPr="00CA07F9" w:rsidRDefault="00442260" w:rsidP="0090399F">
            <w:pPr>
              <w:pStyle w:val="TX-TableText"/>
              <w:rPr>
                <w:sz w:val="24"/>
              </w:rPr>
            </w:pPr>
          </w:p>
        </w:tc>
      </w:tr>
      <w:tr w:rsidR="00CA07F9" w:rsidRPr="00CA07F9" w:rsidTr="00CA07F9">
        <w:trPr>
          <w:cantSplit/>
        </w:trPr>
        <w:tc>
          <w:tcPr>
            <w:tcW w:w="2453" w:type="pct"/>
            <w:tcBorders>
              <w:left w:val="single" w:sz="4" w:space="0" w:color="auto"/>
            </w:tcBorders>
          </w:tcPr>
          <w:p w:rsidR="00442260" w:rsidRPr="00CA07F9" w:rsidRDefault="002C0312" w:rsidP="0090399F">
            <w:pPr>
              <w:pStyle w:val="TX-TableText"/>
              <w:numPr>
                <w:ilvl w:val="0"/>
                <w:numId w:val="24"/>
              </w:numPr>
              <w:ind w:left="450"/>
              <w:rPr>
                <w:sz w:val="24"/>
              </w:rPr>
            </w:pPr>
            <w:r w:rsidRPr="00CA07F9">
              <w:rPr>
                <w:sz w:val="24"/>
              </w:rPr>
              <w:t>Understand the characteristics that predict participation</w:t>
            </w:r>
            <w:r w:rsidR="006B6852" w:rsidRPr="00CA07F9">
              <w:rPr>
                <w:sz w:val="24"/>
              </w:rPr>
              <w:t xml:space="preserve"> </w:t>
            </w:r>
            <w:r w:rsidRPr="00CA07F9">
              <w:rPr>
                <w:sz w:val="24"/>
              </w:rPr>
              <w:t>in SNAP and lack of participation in SNAP and other FNS programs</w:t>
            </w:r>
          </w:p>
        </w:tc>
        <w:tc>
          <w:tcPr>
            <w:tcW w:w="1739" w:type="pct"/>
          </w:tcPr>
          <w:p w:rsidR="00442260" w:rsidRPr="00CA07F9" w:rsidRDefault="00442260" w:rsidP="0090399F">
            <w:pPr>
              <w:pStyle w:val="TX-TableText"/>
              <w:rPr>
                <w:sz w:val="24"/>
              </w:rPr>
            </w:pPr>
            <w:r w:rsidRPr="00CA07F9">
              <w:rPr>
                <w:sz w:val="24"/>
              </w:rPr>
              <w:t xml:space="preserve">Survey of </w:t>
            </w:r>
            <w:r w:rsidR="000009EB">
              <w:rPr>
                <w:sz w:val="24"/>
              </w:rPr>
              <w:t>farmers market</w:t>
            </w:r>
            <w:r w:rsidRPr="00CA07F9">
              <w:rPr>
                <w:sz w:val="24"/>
              </w:rPr>
              <w:t xml:space="preserve"> managers and direct marketing farmers</w:t>
            </w:r>
          </w:p>
        </w:tc>
        <w:tc>
          <w:tcPr>
            <w:tcW w:w="808" w:type="pct"/>
            <w:vMerge/>
            <w:tcBorders>
              <w:right w:val="single" w:sz="4" w:space="0" w:color="auto"/>
            </w:tcBorders>
          </w:tcPr>
          <w:p w:rsidR="00442260" w:rsidRPr="00CA07F9" w:rsidRDefault="00442260" w:rsidP="0090399F">
            <w:pPr>
              <w:pStyle w:val="TX-TableText"/>
              <w:rPr>
                <w:sz w:val="24"/>
              </w:rPr>
            </w:pPr>
          </w:p>
        </w:tc>
      </w:tr>
      <w:tr w:rsidR="00CA07F9" w:rsidRPr="00CA07F9" w:rsidTr="00CA07F9">
        <w:trPr>
          <w:cantSplit/>
        </w:trPr>
        <w:tc>
          <w:tcPr>
            <w:tcW w:w="2453" w:type="pct"/>
            <w:tcBorders>
              <w:left w:val="single" w:sz="4" w:space="0" w:color="auto"/>
            </w:tcBorders>
          </w:tcPr>
          <w:p w:rsidR="00442260" w:rsidRPr="00CA07F9" w:rsidRDefault="002C0312" w:rsidP="0090399F">
            <w:pPr>
              <w:pStyle w:val="TX-TableText"/>
              <w:numPr>
                <w:ilvl w:val="0"/>
                <w:numId w:val="24"/>
              </w:numPr>
              <w:ind w:left="450"/>
              <w:rPr>
                <w:sz w:val="24"/>
              </w:rPr>
            </w:pPr>
            <w:r w:rsidRPr="00CA07F9">
              <w:rPr>
                <w:sz w:val="24"/>
              </w:rPr>
              <w:t xml:space="preserve">Understand perceptions of barriers and facilitators to SNAP participation, including why formerly authorized markets chose not to continue to participate and why never authorized markets have chosen not to participate to date. </w:t>
            </w:r>
          </w:p>
        </w:tc>
        <w:tc>
          <w:tcPr>
            <w:tcW w:w="1739" w:type="pct"/>
          </w:tcPr>
          <w:p w:rsidR="00442260" w:rsidRPr="00CA07F9" w:rsidRDefault="00442260" w:rsidP="0090399F">
            <w:pPr>
              <w:pStyle w:val="TX-TableText"/>
              <w:rPr>
                <w:sz w:val="24"/>
              </w:rPr>
            </w:pPr>
            <w:r w:rsidRPr="00CA07F9">
              <w:rPr>
                <w:sz w:val="24"/>
              </w:rPr>
              <w:t xml:space="preserve">Survey of </w:t>
            </w:r>
            <w:r w:rsidR="000009EB">
              <w:rPr>
                <w:sz w:val="24"/>
              </w:rPr>
              <w:t>farmers market</w:t>
            </w:r>
            <w:r w:rsidRPr="00CA07F9">
              <w:rPr>
                <w:sz w:val="24"/>
              </w:rPr>
              <w:t xml:space="preserve"> managers and direct marketing farmers</w:t>
            </w:r>
          </w:p>
        </w:tc>
        <w:tc>
          <w:tcPr>
            <w:tcW w:w="808" w:type="pct"/>
            <w:vMerge/>
            <w:tcBorders>
              <w:right w:val="single" w:sz="4" w:space="0" w:color="auto"/>
            </w:tcBorders>
          </w:tcPr>
          <w:p w:rsidR="00442260" w:rsidRPr="00CA07F9" w:rsidRDefault="00442260" w:rsidP="0090399F">
            <w:pPr>
              <w:pStyle w:val="TX-TableText"/>
              <w:rPr>
                <w:sz w:val="24"/>
              </w:rPr>
            </w:pPr>
          </w:p>
        </w:tc>
      </w:tr>
      <w:tr w:rsidR="00CA07F9" w:rsidRPr="00CA07F9" w:rsidTr="00CA07F9">
        <w:trPr>
          <w:cantSplit/>
        </w:trPr>
        <w:tc>
          <w:tcPr>
            <w:tcW w:w="2453" w:type="pct"/>
            <w:tcBorders>
              <w:left w:val="single" w:sz="4" w:space="0" w:color="auto"/>
            </w:tcBorders>
          </w:tcPr>
          <w:p w:rsidR="00442260" w:rsidRPr="00CA07F9" w:rsidRDefault="00442260" w:rsidP="00916EC8">
            <w:pPr>
              <w:pStyle w:val="TX-TableText"/>
              <w:numPr>
                <w:ilvl w:val="0"/>
                <w:numId w:val="24"/>
              </w:numPr>
              <w:ind w:left="450"/>
              <w:rPr>
                <w:sz w:val="24"/>
              </w:rPr>
            </w:pPr>
            <w:r w:rsidRPr="00CA07F9">
              <w:rPr>
                <w:sz w:val="24"/>
              </w:rPr>
              <w:t>Compar</w:t>
            </w:r>
            <w:r w:rsidR="00916EC8">
              <w:rPr>
                <w:sz w:val="24"/>
              </w:rPr>
              <w:t>e</w:t>
            </w:r>
            <w:r w:rsidRPr="00CA07F9">
              <w:rPr>
                <w:sz w:val="24"/>
              </w:rPr>
              <w:t xml:space="preserve"> the characteristics of the newly identified markets to the characteristics of </w:t>
            </w:r>
            <w:r w:rsidR="006B6852" w:rsidRPr="00CA07F9">
              <w:rPr>
                <w:sz w:val="24"/>
              </w:rPr>
              <w:t>“</w:t>
            </w:r>
            <w:r w:rsidRPr="00CA07F9">
              <w:rPr>
                <w:sz w:val="24"/>
              </w:rPr>
              <w:t>never</w:t>
            </w:r>
            <w:r w:rsidR="006B6852" w:rsidRPr="00CA07F9">
              <w:rPr>
                <w:sz w:val="24"/>
              </w:rPr>
              <w:t>”</w:t>
            </w:r>
            <w:r w:rsidRPr="00CA07F9">
              <w:rPr>
                <w:sz w:val="24"/>
              </w:rPr>
              <w:t xml:space="preserve"> authorized markets that were sampled from the AMS file.</w:t>
            </w:r>
          </w:p>
        </w:tc>
        <w:tc>
          <w:tcPr>
            <w:tcW w:w="1739" w:type="pct"/>
          </w:tcPr>
          <w:p w:rsidR="00B228A0" w:rsidRPr="00CA07F9" w:rsidRDefault="00BB374B" w:rsidP="0090399F">
            <w:pPr>
              <w:pStyle w:val="TX-TableText"/>
              <w:rPr>
                <w:sz w:val="24"/>
              </w:rPr>
            </w:pPr>
            <w:r w:rsidRPr="00CA07F9">
              <w:rPr>
                <w:sz w:val="24"/>
              </w:rPr>
              <w:t xml:space="preserve">Survey of </w:t>
            </w:r>
            <w:r w:rsidR="000009EB">
              <w:rPr>
                <w:sz w:val="24"/>
              </w:rPr>
              <w:t>farmers market</w:t>
            </w:r>
            <w:r w:rsidRPr="00CA07F9">
              <w:rPr>
                <w:sz w:val="24"/>
              </w:rPr>
              <w:t xml:space="preserve"> managers </w:t>
            </w:r>
          </w:p>
        </w:tc>
        <w:tc>
          <w:tcPr>
            <w:tcW w:w="808" w:type="pct"/>
            <w:vMerge/>
            <w:tcBorders>
              <w:right w:val="single" w:sz="4" w:space="0" w:color="auto"/>
            </w:tcBorders>
          </w:tcPr>
          <w:p w:rsidR="00442260" w:rsidRPr="00CA07F9" w:rsidRDefault="00442260" w:rsidP="0090399F">
            <w:pPr>
              <w:pStyle w:val="TX-TableText"/>
              <w:rPr>
                <w:sz w:val="24"/>
              </w:rPr>
            </w:pPr>
          </w:p>
        </w:tc>
      </w:tr>
      <w:tr w:rsidR="00CA07F9" w:rsidRPr="00CA07F9" w:rsidTr="00CA07F9">
        <w:trPr>
          <w:cantSplit/>
        </w:trPr>
        <w:tc>
          <w:tcPr>
            <w:tcW w:w="2453" w:type="pct"/>
            <w:tcBorders>
              <w:left w:val="single" w:sz="4" w:space="0" w:color="auto"/>
            </w:tcBorders>
          </w:tcPr>
          <w:p w:rsidR="00442260" w:rsidRPr="00CA07F9" w:rsidRDefault="00916EC8" w:rsidP="00916EC8">
            <w:pPr>
              <w:pStyle w:val="TX-TableText"/>
              <w:numPr>
                <w:ilvl w:val="0"/>
                <w:numId w:val="24"/>
              </w:numPr>
              <w:ind w:left="450"/>
              <w:rPr>
                <w:sz w:val="24"/>
              </w:rPr>
            </w:pPr>
            <w:r>
              <w:rPr>
                <w:sz w:val="24"/>
              </w:rPr>
              <w:t>Understand f</w:t>
            </w:r>
            <w:r w:rsidR="00442260" w:rsidRPr="00CA07F9">
              <w:rPr>
                <w:sz w:val="24"/>
              </w:rPr>
              <w:t xml:space="preserve">acilitators and barriers to shopping at the </w:t>
            </w:r>
            <w:r w:rsidR="000009EB">
              <w:rPr>
                <w:sz w:val="24"/>
              </w:rPr>
              <w:t>farmers market</w:t>
            </w:r>
            <w:r w:rsidR="00442260" w:rsidRPr="00CA07F9">
              <w:rPr>
                <w:sz w:val="24"/>
              </w:rPr>
              <w:t>.</w:t>
            </w:r>
          </w:p>
        </w:tc>
        <w:tc>
          <w:tcPr>
            <w:tcW w:w="1739" w:type="pct"/>
          </w:tcPr>
          <w:p w:rsidR="00442260" w:rsidRPr="00CA07F9" w:rsidRDefault="00A749BA" w:rsidP="0090399F">
            <w:pPr>
              <w:pStyle w:val="TX-TableText"/>
              <w:rPr>
                <w:sz w:val="24"/>
              </w:rPr>
            </w:pPr>
            <w:r>
              <w:rPr>
                <w:sz w:val="24"/>
              </w:rPr>
              <w:t>Focus group d</w:t>
            </w:r>
            <w:r w:rsidR="00442260" w:rsidRPr="00CA07F9">
              <w:rPr>
                <w:sz w:val="24"/>
              </w:rPr>
              <w:t>iscussion with SNAP recipients</w:t>
            </w:r>
          </w:p>
        </w:tc>
        <w:tc>
          <w:tcPr>
            <w:tcW w:w="808" w:type="pct"/>
            <w:vMerge/>
            <w:tcBorders>
              <w:right w:val="single" w:sz="4" w:space="0" w:color="auto"/>
            </w:tcBorders>
          </w:tcPr>
          <w:p w:rsidR="00442260" w:rsidRPr="00CA07F9" w:rsidRDefault="00442260" w:rsidP="0090399F">
            <w:pPr>
              <w:pStyle w:val="TX-TableText"/>
              <w:rPr>
                <w:sz w:val="24"/>
              </w:rPr>
            </w:pPr>
          </w:p>
        </w:tc>
      </w:tr>
    </w:tbl>
    <w:p w:rsidR="0090399F" w:rsidRDefault="0090399F" w:rsidP="0090399F">
      <w:pPr>
        <w:pStyle w:val="P1-StandPara"/>
      </w:pPr>
    </w:p>
    <w:p w:rsidR="0090399F" w:rsidRDefault="0090399F">
      <w:pPr>
        <w:spacing w:line="240" w:lineRule="auto"/>
        <w:rPr>
          <w:rFonts w:ascii="Franklin Gothic Medium" w:hAnsi="Franklin Gothic Medium"/>
          <w:b/>
          <w:i/>
          <w:szCs w:val="32"/>
        </w:rPr>
      </w:pPr>
      <w:r>
        <w:br w:type="page"/>
      </w:r>
    </w:p>
    <w:p w:rsidR="002B0BC5" w:rsidRPr="008E13BD" w:rsidRDefault="002B0BC5" w:rsidP="008E13BD">
      <w:pPr>
        <w:pStyle w:val="Heading4"/>
      </w:pPr>
      <w:r w:rsidRPr="008E13BD">
        <w:lastRenderedPageBreak/>
        <w:tab/>
        <w:t>Publication of Study Results</w:t>
      </w:r>
    </w:p>
    <w:p w:rsidR="002B0BC5" w:rsidRDefault="002B0BC5" w:rsidP="004E3EB1">
      <w:pPr>
        <w:pStyle w:val="P1-StandPara"/>
      </w:pPr>
      <w:r>
        <w:t>The study</w:t>
      </w:r>
      <w:r w:rsidR="006B6852">
        <w:t>’</w:t>
      </w:r>
      <w:r>
        <w:t>s findings will be presented in reports that will undergo peer review. Once final, FNS will make the reports available on its web site. Findings may also be published in one or more professional journals and publications intended for general or trade audiences, such as nutrition educators or food retailers.</w:t>
      </w:r>
    </w:p>
    <w:p w:rsidR="008E13BD" w:rsidRDefault="008E13BD" w:rsidP="004E3EB1">
      <w:pPr>
        <w:pStyle w:val="P1-StandPara"/>
      </w:pPr>
    </w:p>
    <w:p w:rsidR="003C306C" w:rsidRPr="008E13BD" w:rsidRDefault="003C306C" w:rsidP="008E13BD">
      <w:pPr>
        <w:pStyle w:val="Heading2"/>
      </w:pPr>
      <w:bookmarkStart w:id="57" w:name="_Toc290021776"/>
      <w:r w:rsidRPr="008E13BD">
        <w:t>A.17.</w:t>
      </w:r>
      <w:r w:rsidRPr="008E13BD">
        <w:tab/>
      </w:r>
      <w:bookmarkEnd w:id="57"/>
      <w:r w:rsidRPr="008E13BD">
        <w:t>If Seeking Approval to not Display the Expiration Date for OMB approval of the Information Collection, Explain the Reasons that Display would be Inappropriate.</w:t>
      </w:r>
    </w:p>
    <w:p w:rsidR="003C306C" w:rsidRDefault="003C306C" w:rsidP="008E13BD">
      <w:pPr>
        <w:pStyle w:val="P1-StandPara"/>
      </w:pPr>
      <w:r>
        <w:t>All data collection instruments will display the OMB approval number and expiration date</w:t>
      </w:r>
      <w:r w:rsidRPr="00EC1412">
        <w:t>.</w:t>
      </w:r>
    </w:p>
    <w:p w:rsidR="003C306C" w:rsidRDefault="003C306C" w:rsidP="008E13BD">
      <w:pPr>
        <w:pStyle w:val="P1-StandPara"/>
      </w:pPr>
    </w:p>
    <w:p w:rsidR="003C306C" w:rsidRPr="008E13BD" w:rsidRDefault="003C306C" w:rsidP="008E13BD">
      <w:pPr>
        <w:pStyle w:val="Heading2"/>
      </w:pPr>
      <w:bookmarkStart w:id="58" w:name="_Toc286158968"/>
      <w:bookmarkStart w:id="59" w:name="_Toc286160560"/>
      <w:bookmarkStart w:id="60" w:name="_Toc290021777"/>
      <w:r w:rsidRPr="008E13BD">
        <w:t>A.18.</w:t>
      </w:r>
      <w:r w:rsidRPr="008E13BD">
        <w:tab/>
      </w:r>
      <w:bookmarkEnd w:id="58"/>
      <w:bookmarkEnd w:id="59"/>
      <w:bookmarkEnd w:id="60"/>
      <w:r w:rsidRPr="008E13BD">
        <w:t xml:space="preserve">Explain Each Exception to the Certification Statement Identified in Item 19 </w:t>
      </w:r>
      <w:r w:rsidR="006B6852" w:rsidRPr="008E13BD">
        <w:t>“</w:t>
      </w:r>
      <w:r w:rsidRPr="008E13BD">
        <w:t>Certification for Paperwork Reduction Act.</w:t>
      </w:r>
      <w:r w:rsidR="006B6852" w:rsidRPr="008E13BD">
        <w:t>”</w:t>
      </w:r>
    </w:p>
    <w:p w:rsidR="003C306C" w:rsidRDefault="003C306C" w:rsidP="008E13BD">
      <w:pPr>
        <w:pStyle w:val="P1-StandPara"/>
      </w:pPr>
      <w:r w:rsidRPr="008E13BD">
        <w:t>There are no exceptions to the Certification for Paperwork Reduction Act (5 CFR 1320.9) for this study.</w:t>
      </w:r>
    </w:p>
    <w:sectPr w:rsidR="003C306C" w:rsidSect="00D066E6">
      <w:headerReference w:type="default" r:id="rId14"/>
      <w:footerReference w:type="default" r:id="rId15"/>
      <w:footerReference w:type="first" r:id="rId16"/>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977" w:rsidRDefault="005A3977" w:rsidP="006D3765">
      <w:pPr>
        <w:spacing w:line="240" w:lineRule="auto"/>
      </w:pPr>
      <w:r>
        <w:separator/>
      </w:r>
    </w:p>
  </w:endnote>
  <w:endnote w:type="continuationSeparator" w:id="0">
    <w:p w:rsidR="005A3977" w:rsidRDefault="005A3977" w:rsidP="006D37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Goudy">
    <w:altName w:val="Goudy"/>
    <w:panose1 w:val="00000000000000000000"/>
    <w:charset w:val="00"/>
    <w:family w:val="roman"/>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JPCAL+TimesNewRoman">
    <w:altName w:val="Times New Roman"/>
    <w:panose1 w:val="00000000000000000000"/>
    <w:charset w:val="00"/>
    <w:family w:val="roman"/>
    <w:notTrueType/>
    <w:pitch w:val="default"/>
    <w:sig w:usb0="00000003" w:usb1="00000000" w:usb2="00000000" w:usb3="00000000" w:csb0="00000001" w:csb1="00000000"/>
  </w:font>
  <w:font w:name="GillSans-Bold">
    <w:altName w:val="MS Mincho"/>
    <w:panose1 w:val="00000000000000000000"/>
    <w:charset w:val="80"/>
    <w:family w:val="auto"/>
    <w:notTrueType/>
    <w:pitch w:val="default"/>
    <w:sig w:usb0="00000000" w:usb1="08070000" w:usb2="00000010" w:usb3="00000000" w:csb0="00020000" w:csb1="00000000"/>
  </w:font>
  <w:font w:name="GillSans">
    <w:altName w:val="MS Mincho"/>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3D" w:rsidRPr="00124854" w:rsidRDefault="0065443D" w:rsidP="00056788">
    <w:pPr>
      <w:jc w:val="center"/>
    </w:pPr>
    <w:fldSimple w:instr=" PAGE   \* MERGEFORMAT ">
      <w:r>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6736"/>
      <w:docPartObj>
        <w:docPartGallery w:val="Page Numbers (Bottom of Page)"/>
        <w:docPartUnique/>
      </w:docPartObj>
    </w:sdtPr>
    <w:sdtContent>
      <w:p w:rsidR="0065443D" w:rsidRDefault="0065443D">
        <w:pPr>
          <w:pStyle w:val="Footer"/>
          <w:jc w:val="center"/>
        </w:pPr>
        <w:fldSimple w:instr=" PAGE   \* MERGEFORMAT ">
          <w:r w:rsidR="00270755">
            <w:rPr>
              <w:noProof/>
            </w:rPr>
            <w:t>vi</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899384"/>
      <w:docPartObj>
        <w:docPartGallery w:val="Page Numbers (Bottom of Page)"/>
        <w:docPartUnique/>
      </w:docPartObj>
    </w:sdtPr>
    <w:sdtContent>
      <w:p w:rsidR="0065443D" w:rsidRDefault="0065443D" w:rsidP="0026702F">
        <w:pPr>
          <w:pStyle w:val="Footer"/>
          <w:jc w:val="center"/>
        </w:pPr>
        <w:fldSimple w:instr=" PAGE   \* MERGEFORMAT ">
          <w:r w:rsidR="00270755">
            <w:rPr>
              <w:noProof/>
            </w:rPr>
            <w:t>iii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0479"/>
      <w:docPartObj>
        <w:docPartGallery w:val="Page Numbers (Bottom of Page)"/>
        <w:docPartUnique/>
      </w:docPartObj>
    </w:sdtPr>
    <w:sdtContent>
      <w:p w:rsidR="0065443D" w:rsidRDefault="0065443D">
        <w:pPr>
          <w:pStyle w:val="Footer"/>
          <w:jc w:val="center"/>
        </w:pPr>
        <w:fldSimple w:instr=" PAGE   \* MERGEFORMAT ">
          <w:r w:rsidR="00270755">
            <w:rPr>
              <w:noProof/>
            </w:rPr>
            <w:t>23</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3D" w:rsidRDefault="0065443D">
    <w:pPr>
      <w:pStyle w:val="Footer"/>
      <w:jc w:val="center"/>
    </w:pPr>
    <w:sdt>
      <w:sdtPr>
        <w:id w:val="3430474"/>
        <w:docPartObj>
          <w:docPartGallery w:val="Page Numbers (Bottom of Page)"/>
          <w:docPartUnique/>
        </w:docPartObj>
      </w:sdtPr>
      <w:sdtContent>
        <w:fldSimple w:instr=" PAGE   \* MERGEFORMAT ">
          <w:r w:rsidR="00270755">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977" w:rsidRDefault="005A3977" w:rsidP="006D3765">
      <w:pPr>
        <w:spacing w:line="240" w:lineRule="auto"/>
      </w:pPr>
      <w:r>
        <w:separator/>
      </w:r>
    </w:p>
  </w:footnote>
  <w:footnote w:type="continuationSeparator" w:id="0">
    <w:p w:rsidR="005A3977" w:rsidRDefault="005A3977" w:rsidP="006D3765">
      <w:pPr>
        <w:spacing w:line="240" w:lineRule="auto"/>
      </w:pPr>
      <w:r>
        <w:continuationSeparator/>
      </w:r>
    </w:p>
  </w:footnote>
  <w:footnote w:id="1">
    <w:p w:rsidR="0065443D" w:rsidRPr="008A3C93" w:rsidRDefault="0065443D" w:rsidP="00EF7030">
      <w:pPr>
        <w:pStyle w:val="FootnoteText"/>
      </w:pPr>
      <w:r w:rsidRPr="008A3C93">
        <w:rPr>
          <w:rStyle w:val="FootnoteReference"/>
          <w:color w:val="auto"/>
          <w:vertAlign w:val="superscript"/>
        </w:rPr>
        <w:footnoteRef/>
      </w:r>
      <w:r>
        <w:tab/>
        <w:t xml:space="preserve">FNCS Corporate Priorities FY 2010 Guide (April 2010).  </w:t>
      </w:r>
      <w:proofErr w:type="gramStart"/>
      <w:r>
        <w:t>USDA Food, Nutrition, and Consumer Services.</w:t>
      </w:r>
      <w:proofErr w:type="gramEnd"/>
      <w:r>
        <w:t xml:space="preserve">  Available at: </w:t>
      </w:r>
      <w:hyperlink r:id="rId1" w:history="1">
        <w:r w:rsidRPr="008A3C93">
          <w:rPr>
            <w:rStyle w:val="Hyperlink"/>
            <w:color w:val="auto"/>
          </w:rPr>
          <w:t>http://www.fns.usda.gov/ora/menu/gpra/FY2010PrioritiesGuide.pdf</w:t>
        </w:r>
      </w:hyperlink>
      <w:r>
        <w:t>.  Accessed on: 5/13/2011</w:t>
      </w:r>
    </w:p>
  </w:footnote>
  <w:footnote w:id="2">
    <w:p w:rsidR="0065443D" w:rsidRDefault="0065443D" w:rsidP="00EB47A8">
      <w:pPr>
        <w:pStyle w:val="FootnoteText"/>
      </w:pPr>
      <w:r w:rsidRPr="008D5F07">
        <w:rPr>
          <w:rStyle w:val="FootnoteReference"/>
          <w:vertAlign w:val="superscript"/>
        </w:rPr>
        <w:footnoteRef/>
      </w:r>
      <w:r>
        <w:tab/>
      </w:r>
      <w:r w:rsidRPr="000E6750">
        <w:rPr>
          <w:rFonts w:eastAsiaTheme="minorHAnsi"/>
        </w:rPr>
        <w:t xml:space="preserve">He, K., </w:t>
      </w:r>
      <w:proofErr w:type="spellStart"/>
      <w:r w:rsidRPr="000E6750">
        <w:rPr>
          <w:rFonts w:eastAsiaTheme="minorHAnsi"/>
        </w:rPr>
        <w:t>Hu</w:t>
      </w:r>
      <w:proofErr w:type="spellEnd"/>
      <w:r w:rsidRPr="000E6750">
        <w:rPr>
          <w:rFonts w:eastAsiaTheme="minorHAnsi"/>
        </w:rPr>
        <w:t xml:space="preserve">, F.B., </w:t>
      </w:r>
      <w:proofErr w:type="spellStart"/>
      <w:r w:rsidRPr="000E6750">
        <w:rPr>
          <w:rFonts w:eastAsiaTheme="minorHAnsi"/>
        </w:rPr>
        <w:t>Colditz</w:t>
      </w:r>
      <w:proofErr w:type="spellEnd"/>
      <w:r w:rsidRPr="000E6750">
        <w:rPr>
          <w:rFonts w:eastAsiaTheme="minorHAnsi"/>
        </w:rPr>
        <w:t xml:space="preserve">, G.A., Manson, J.E., Willett, W.C., and Liu, S. (2004). Changes in intake of fruits and vegetables in relation to risk of obesity and weight gain among middle-aged women. </w:t>
      </w:r>
      <w:proofErr w:type="spellStart"/>
      <w:r w:rsidRPr="000E6750">
        <w:rPr>
          <w:rFonts w:eastAsiaTheme="minorHAnsi" w:cs="Garamond-Italic"/>
          <w:i/>
          <w:iCs/>
        </w:rPr>
        <w:t>Int</w:t>
      </w:r>
      <w:proofErr w:type="spellEnd"/>
      <w:r w:rsidRPr="000E6750">
        <w:rPr>
          <w:rFonts w:eastAsiaTheme="minorHAnsi" w:cs="Garamond-Italic"/>
          <w:i/>
          <w:iCs/>
        </w:rPr>
        <w:t xml:space="preserve"> J </w:t>
      </w:r>
      <w:proofErr w:type="spellStart"/>
      <w:r w:rsidRPr="000E6750">
        <w:rPr>
          <w:rFonts w:eastAsiaTheme="minorHAnsi" w:cs="Garamond-Italic"/>
          <w:i/>
          <w:iCs/>
        </w:rPr>
        <w:t>Obes</w:t>
      </w:r>
      <w:proofErr w:type="spellEnd"/>
      <w:r w:rsidRPr="000E6750">
        <w:rPr>
          <w:rFonts w:eastAsiaTheme="minorHAnsi" w:cs="Garamond-Italic"/>
          <w:i/>
          <w:iCs/>
        </w:rPr>
        <w:t xml:space="preserve"> </w:t>
      </w:r>
      <w:proofErr w:type="spellStart"/>
      <w:r w:rsidRPr="000E6750">
        <w:rPr>
          <w:rFonts w:eastAsiaTheme="minorHAnsi" w:cs="Garamond-Italic"/>
          <w:i/>
          <w:iCs/>
        </w:rPr>
        <w:t>Relat</w:t>
      </w:r>
      <w:proofErr w:type="spellEnd"/>
      <w:r w:rsidRPr="000E6750">
        <w:rPr>
          <w:rFonts w:eastAsiaTheme="minorHAnsi" w:cs="Garamond-Italic"/>
          <w:i/>
          <w:iCs/>
        </w:rPr>
        <w:t xml:space="preserve"> </w:t>
      </w:r>
      <w:proofErr w:type="spellStart"/>
      <w:r w:rsidRPr="000E6750">
        <w:rPr>
          <w:rFonts w:eastAsiaTheme="minorHAnsi" w:cs="Garamond-Italic"/>
          <w:i/>
          <w:iCs/>
        </w:rPr>
        <w:t>Metab</w:t>
      </w:r>
      <w:proofErr w:type="spellEnd"/>
      <w:r w:rsidRPr="000E6750">
        <w:rPr>
          <w:rFonts w:eastAsiaTheme="minorHAnsi" w:cs="Garamond-Italic"/>
          <w:i/>
          <w:iCs/>
        </w:rPr>
        <w:t xml:space="preserve"> </w:t>
      </w:r>
      <w:proofErr w:type="spellStart"/>
      <w:r w:rsidRPr="000E6750">
        <w:rPr>
          <w:rFonts w:eastAsiaTheme="minorHAnsi" w:cs="Garamond-Italic"/>
          <w:i/>
          <w:iCs/>
        </w:rPr>
        <w:t>Disord</w:t>
      </w:r>
      <w:proofErr w:type="spellEnd"/>
      <w:r w:rsidRPr="000E6750">
        <w:rPr>
          <w:rFonts w:eastAsiaTheme="minorHAnsi" w:cs="Garamond-Italic"/>
          <w:i/>
          <w:iCs/>
        </w:rPr>
        <w:t xml:space="preserve">, </w:t>
      </w:r>
      <w:r w:rsidRPr="000E6750">
        <w:rPr>
          <w:rFonts w:eastAsiaTheme="minorHAnsi"/>
        </w:rPr>
        <w:t>28: 1569-1574.</w:t>
      </w:r>
    </w:p>
  </w:footnote>
  <w:footnote w:id="3">
    <w:p w:rsidR="0065443D" w:rsidRDefault="0065443D" w:rsidP="00EB47A8">
      <w:pPr>
        <w:pStyle w:val="FootnoteText"/>
      </w:pPr>
      <w:r w:rsidRPr="008D5F07">
        <w:rPr>
          <w:rStyle w:val="FootnoteReference"/>
          <w:vertAlign w:val="superscript"/>
        </w:rPr>
        <w:footnoteRef/>
      </w:r>
      <w:r>
        <w:tab/>
      </w:r>
      <w:proofErr w:type="spellStart"/>
      <w:r w:rsidRPr="000E6750">
        <w:rPr>
          <w:rFonts w:eastAsiaTheme="minorHAnsi"/>
        </w:rPr>
        <w:t>Eckel</w:t>
      </w:r>
      <w:proofErr w:type="spellEnd"/>
      <w:r w:rsidRPr="000E6750">
        <w:rPr>
          <w:rFonts w:eastAsiaTheme="minorHAnsi"/>
        </w:rPr>
        <w:t xml:space="preserve">, R. (1998). </w:t>
      </w:r>
      <w:proofErr w:type="gramStart"/>
      <w:r w:rsidRPr="000E6750">
        <w:rPr>
          <w:rFonts w:eastAsiaTheme="minorHAnsi"/>
        </w:rPr>
        <w:t>Obesity and heart disease.</w:t>
      </w:r>
      <w:proofErr w:type="gramEnd"/>
      <w:r w:rsidRPr="000E6750">
        <w:rPr>
          <w:rFonts w:eastAsiaTheme="minorHAnsi"/>
        </w:rPr>
        <w:t xml:space="preserve"> </w:t>
      </w:r>
      <w:proofErr w:type="gramStart"/>
      <w:r w:rsidRPr="000E6750">
        <w:rPr>
          <w:rFonts w:eastAsiaTheme="minorHAnsi"/>
        </w:rPr>
        <w:t>A statement for healthcare professionals from the nutrition committee, American Heart Association.</w:t>
      </w:r>
      <w:proofErr w:type="gramEnd"/>
      <w:r w:rsidRPr="000E6750">
        <w:rPr>
          <w:rFonts w:eastAsiaTheme="minorHAnsi"/>
        </w:rPr>
        <w:t xml:space="preserve"> </w:t>
      </w:r>
      <w:r w:rsidRPr="000E6750">
        <w:rPr>
          <w:rFonts w:eastAsiaTheme="minorHAnsi" w:cs="Garamond-Italic"/>
          <w:i/>
          <w:iCs/>
        </w:rPr>
        <w:t xml:space="preserve">Circulation, </w:t>
      </w:r>
      <w:r w:rsidRPr="000E6750">
        <w:rPr>
          <w:rFonts w:eastAsiaTheme="minorHAnsi"/>
        </w:rPr>
        <w:t>96: 3248-3250.</w:t>
      </w:r>
    </w:p>
  </w:footnote>
  <w:footnote w:id="4">
    <w:p w:rsidR="0065443D" w:rsidRDefault="0065443D" w:rsidP="00EB47A8">
      <w:pPr>
        <w:pStyle w:val="FootnoteText"/>
      </w:pPr>
      <w:r w:rsidRPr="008D5F07">
        <w:rPr>
          <w:rStyle w:val="FootnoteReference"/>
          <w:vertAlign w:val="superscript"/>
        </w:rPr>
        <w:footnoteRef/>
      </w:r>
      <w:r>
        <w:tab/>
      </w:r>
      <w:proofErr w:type="spellStart"/>
      <w:r w:rsidRPr="000E6750">
        <w:rPr>
          <w:rFonts w:eastAsiaTheme="minorHAnsi"/>
        </w:rPr>
        <w:t>Polednak</w:t>
      </w:r>
      <w:proofErr w:type="spellEnd"/>
      <w:r w:rsidRPr="000E6750">
        <w:rPr>
          <w:rFonts w:eastAsiaTheme="minorHAnsi"/>
        </w:rPr>
        <w:t xml:space="preserve">, A.P. (2003). Trends in incidence rates for obesity-associated cancers in the U.S. </w:t>
      </w:r>
      <w:r w:rsidRPr="000E6750">
        <w:rPr>
          <w:rFonts w:eastAsiaTheme="minorHAnsi" w:cs="Garamond-Italic"/>
          <w:i/>
          <w:iCs/>
        </w:rPr>
        <w:t xml:space="preserve">Cancer Detection and Prevention, </w:t>
      </w:r>
      <w:r w:rsidRPr="000E6750">
        <w:rPr>
          <w:rFonts w:eastAsiaTheme="minorHAnsi"/>
        </w:rPr>
        <w:t>27(6): 415-421.</w:t>
      </w:r>
    </w:p>
  </w:footnote>
  <w:footnote w:id="5">
    <w:p w:rsidR="0065443D" w:rsidRDefault="0065443D" w:rsidP="00EB47A8">
      <w:pPr>
        <w:pStyle w:val="FootnoteText"/>
      </w:pPr>
      <w:r w:rsidRPr="008D5F07">
        <w:rPr>
          <w:rStyle w:val="FootnoteReference"/>
          <w:vertAlign w:val="superscript"/>
        </w:rPr>
        <w:footnoteRef/>
      </w:r>
      <w:r>
        <w:tab/>
      </w:r>
      <w:proofErr w:type="spellStart"/>
      <w:proofErr w:type="gramStart"/>
      <w:r w:rsidRPr="000E6750">
        <w:rPr>
          <w:rFonts w:eastAsiaTheme="minorHAnsi"/>
        </w:rPr>
        <w:t>Calle</w:t>
      </w:r>
      <w:proofErr w:type="spellEnd"/>
      <w:r w:rsidRPr="000E6750">
        <w:rPr>
          <w:rFonts w:eastAsiaTheme="minorHAnsi"/>
        </w:rPr>
        <w:t xml:space="preserve">, E.E., Rodriguez, C., Walker-Thurmond, K., and </w:t>
      </w:r>
      <w:proofErr w:type="spellStart"/>
      <w:r w:rsidRPr="000E6750">
        <w:rPr>
          <w:rFonts w:eastAsiaTheme="minorHAnsi"/>
        </w:rPr>
        <w:t>Thun</w:t>
      </w:r>
      <w:proofErr w:type="spellEnd"/>
      <w:r w:rsidRPr="000E6750">
        <w:rPr>
          <w:rFonts w:eastAsiaTheme="minorHAnsi"/>
        </w:rPr>
        <w:t>, M.J. (2003).</w:t>
      </w:r>
      <w:proofErr w:type="gramEnd"/>
      <w:r w:rsidRPr="000E6750">
        <w:rPr>
          <w:rFonts w:eastAsiaTheme="minorHAnsi"/>
        </w:rPr>
        <w:t xml:space="preserve"> Overweight, obesity, and mortality from cancer in a prospectively studied cohort of U.S. adults. </w:t>
      </w:r>
      <w:r w:rsidRPr="000E6750">
        <w:rPr>
          <w:rFonts w:eastAsiaTheme="minorHAnsi" w:cs="Garamond-Italic"/>
          <w:i/>
          <w:iCs/>
        </w:rPr>
        <w:t xml:space="preserve">New England Journal of Medicine, </w:t>
      </w:r>
      <w:r w:rsidRPr="000E6750">
        <w:rPr>
          <w:rFonts w:eastAsiaTheme="minorHAnsi"/>
        </w:rPr>
        <w:t>348(17): 1625-1638.</w:t>
      </w:r>
    </w:p>
  </w:footnote>
  <w:footnote w:id="6">
    <w:p w:rsidR="0065443D" w:rsidRDefault="0065443D" w:rsidP="00EB47A8">
      <w:pPr>
        <w:pStyle w:val="FootnoteText"/>
      </w:pPr>
      <w:r w:rsidRPr="008D5F07">
        <w:rPr>
          <w:rStyle w:val="FootnoteReference"/>
          <w:vertAlign w:val="superscript"/>
        </w:rPr>
        <w:footnoteRef/>
      </w:r>
      <w:r>
        <w:tab/>
      </w:r>
      <w:proofErr w:type="spellStart"/>
      <w:proofErr w:type="gramStart"/>
      <w:r w:rsidRPr="000E6750">
        <w:rPr>
          <w:rFonts w:eastAsiaTheme="minorHAnsi"/>
        </w:rPr>
        <w:t>Casagrande</w:t>
      </w:r>
      <w:proofErr w:type="spellEnd"/>
      <w:r w:rsidRPr="000E6750">
        <w:rPr>
          <w:rFonts w:eastAsiaTheme="minorHAnsi"/>
        </w:rPr>
        <w:t>, S.S., Wang, Y., Anderson, C., and Gary, T.L. (2007).</w:t>
      </w:r>
      <w:proofErr w:type="gramEnd"/>
      <w:r w:rsidRPr="000E6750">
        <w:rPr>
          <w:rFonts w:eastAsiaTheme="minorHAnsi"/>
        </w:rPr>
        <w:t xml:space="preserve"> Have Americans increased their fruit and vegetable intake? </w:t>
      </w:r>
      <w:proofErr w:type="gramStart"/>
      <w:r w:rsidRPr="000E6750">
        <w:rPr>
          <w:rFonts w:eastAsiaTheme="minorHAnsi"/>
        </w:rPr>
        <w:t>The trends between 1988 and 2002.</w:t>
      </w:r>
      <w:proofErr w:type="gramEnd"/>
      <w:r w:rsidRPr="000E6750">
        <w:rPr>
          <w:rFonts w:eastAsiaTheme="minorHAnsi"/>
        </w:rPr>
        <w:t xml:space="preserve"> </w:t>
      </w:r>
      <w:r w:rsidRPr="000E6750">
        <w:rPr>
          <w:rFonts w:eastAsiaTheme="minorHAnsi" w:cs="Garamond-Italic"/>
          <w:i/>
          <w:iCs/>
        </w:rPr>
        <w:t xml:space="preserve">Am J </w:t>
      </w:r>
      <w:proofErr w:type="spellStart"/>
      <w:r w:rsidRPr="000E6750">
        <w:rPr>
          <w:rFonts w:eastAsiaTheme="minorHAnsi" w:cs="Garamond-Italic"/>
          <w:i/>
          <w:iCs/>
        </w:rPr>
        <w:t>Prev</w:t>
      </w:r>
      <w:proofErr w:type="spellEnd"/>
      <w:r w:rsidRPr="000E6750">
        <w:rPr>
          <w:rFonts w:eastAsiaTheme="minorHAnsi" w:cs="Garamond-Italic"/>
          <w:i/>
          <w:iCs/>
        </w:rPr>
        <w:t xml:space="preserve"> Med, </w:t>
      </w:r>
      <w:r w:rsidRPr="000E6750">
        <w:rPr>
          <w:rFonts w:eastAsiaTheme="minorHAnsi"/>
        </w:rPr>
        <w:t>32: 257-</w:t>
      </w:r>
      <w:proofErr w:type="gramStart"/>
      <w:r w:rsidRPr="000E6750">
        <w:rPr>
          <w:rFonts w:eastAsiaTheme="minorHAnsi"/>
        </w:rPr>
        <w:t>264.</w:t>
      </w:r>
      <w:proofErr w:type="gramEnd"/>
    </w:p>
  </w:footnote>
  <w:footnote w:id="7">
    <w:p w:rsidR="0065443D" w:rsidRDefault="0065443D" w:rsidP="00833890">
      <w:pPr>
        <w:pStyle w:val="FootnoteText"/>
      </w:pPr>
      <w:r w:rsidRPr="00833890">
        <w:rPr>
          <w:rStyle w:val="FootnoteReference"/>
          <w:vertAlign w:val="superscript"/>
        </w:rPr>
        <w:footnoteRef/>
      </w:r>
      <w:r w:rsidRPr="00833890">
        <w:rPr>
          <w:vertAlign w:val="superscript"/>
        </w:rPr>
        <w:t xml:space="preserve"> </w:t>
      </w:r>
      <w:proofErr w:type="gramStart"/>
      <w:r>
        <w:t>Formerly known as the Food Stamp program.</w:t>
      </w:r>
      <w:proofErr w:type="gramEnd"/>
      <w:r>
        <w:t xml:space="preserve">  In 2008 Congress renamed the program SNAP.</w:t>
      </w:r>
    </w:p>
  </w:footnote>
  <w:footnote w:id="8">
    <w:p w:rsidR="0065443D" w:rsidRDefault="0065443D" w:rsidP="00EB47A8">
      <w:pPr>
        <w:pStyle w:val="FootnoteText"/>
      </w:pPr>
      <w:r w:rsidRPr="008D5F07">
        <w:rPr>
          <w:rStyle w:val="FootnoteReference"/>
          <w:vertAlign w:val="superscript"/>
        </w:rPr>
        <w:footnoteRef/>
      </w:r>
      <w:r>
        <w:tab/>
      </w:r>
      <w:r w:rsidRPr="000E6750">
        <w:rPr>
          <w:rFonts w:eastAsiaTheme="minorHAnsi"/>
        </w:rPr>
        <w:t xml:space="preserve">Food and Nutrition Service (FNS). </w:t>
      </w:r>
      <w:proofErr w:type="gramStart"/>
      <w:r w:rsidRPr="000E6750">
        <w:rPr>
          <w:rFonts w:eastAsiaTheme="minorHAnsi"/>
        </w:rPr>
        <w:t>(2008, July).</w:t>
      </w:r>
      <w:proofErr w:type="gramEnd"/>
      <w:r w:rsidRPr="000E6750">
        <w:rPr>
          <w:rFonts w:eastAsiaTheme="minorHAnsi"/>
        </w:rPr>
        <w:t xml:space="preserve"> </w:t>
      </w:r>
      <w:r w:rsidRPr="000E6750">
        <w:rPr>
          <w:rFonts w:eastAsiaTheme="minorHAnsi" w:cs="Garamond-Italic"/>
          <w:i/>
          <w:iCs/>
        </w:rPr>
        <w:t>Diet quality of Americans by food stamp participation status: Data from NHANES.</w:t>
      </w:r>
    </w:p>
  </w:footnote>
  <w:footnote w:id="9">
    <w:p w:rsidR="0065443D" w:rsidRDefault="0065443D" w:rsidP="00EB47A8">
      <w:pPr>
        <w:pStyle w:val="FootnoteText"/>
      </w:pPr>
      <w:r w:rsidRPr="008D5F07">
        <w:rPr>
          <w:rStyle w:val="FootnoteReference"/>
          <w:vertAlign w:val="superscript"/>
        </w:rPr>
        <w:footnoteRef/>
      </w:r>
      <w:r>
        <w:tab/>
      </w:r>
      <w:r w:rsidRPr="000E6750">
        <w:rPr>
          <w:rFonts w:eastAsiaTheme="minorHAnsi"/>
        </w:rPr>
        <w:t xml:space="preserve">Briggs, S., Fisher, A., Lott, M., Miller, S., and </w:t>
      </w:r>
      <w:proofErr w:type="spellStart"/>
      <w:r w:rsidRPr="000E6750">
        <w:rPr>
          <w:rFonts w:eastAsiaTheme="minorHAnsi"/>
        </w:rPr>
        <w:t>Tessman</w:t>
      </w:r>
      <w:proofErr w:type="spellEnd"/>
      <w:r w:rsidRPr="000E6750">
        <w:rPr>
          <w:rFonts w:eastAsiaTheme="minorHAnsi"/>
        </w:rPr>
        <w:t xml:space="preserve">, N. (June, 2010). Real food, real choice: Connecting SNAP participants with </w:t>
      </w:r>
      <w:r>
        <w:rPr>
          <w:rFonts w:eastAsiaTheme="minorHAnsi"/>
        </w:rPr>
        <w:t>farmers market</w:t>
      </w:r>
      <w:r w:rsidRPr="000E6750">
        <w:rPr>
          <w:rFonts w:eastAsiaTheme="minorHAnsi"/>
        </w:rPr>
        <w:t>s. Community Food Coalition/</w:t>
      </w:r>
      <w:r>
        <w:rPr>
          <w:rFonts w:eastAsiaTheme="minorHAnsi"/>
        </w:rPr>
        <w:t>Farmers market</w:t>
      </w:r>
      <w:r w:rsidRPr="000E6750">
        <w:rPr>
          <w:rFonts w:eastAsiaTheme="minorHAnsi"/>
        </w:rPr>
        <w:t>s Coalition.</w:t>
      </w:r>
    </w:p>
  </w:footnote>
  <w:footnote w:id="10">
    <w:p w:rsidR="0065443D" w:rsidRDefault="0065443D" w:rsidP="00EB47A8">
      <w:pPr>
        <w:pStyle w:val="FootnoteText"/>
      </w:pPr>
      <w:r w:rsidRPr="008A3C93">
        <w:rPr>
          <w:rStyle w:val="FootnoteReference"/>
          <w:vertAlign w:val="superscript"/>
        </w:rPr>
        <w:footnoteRef/>
      </w:r>
      <w:r>
        <w:t xml:space="preserve"> FMC and CFSC embark on Farmers Market SNAP Research Project.  Available at: </w:t>
      </w:r>
      <w:hyperlink r:id="rId2" w:history="1">
        <w:r w:rsidRPr="00B87A59">
          <w:rPr>
            <w:rStyle w:val="Hyperlink"/>
          </w:rPr>
          <w:t>http://farmersmarketcoalition.org/snap-research</w:t>
        </w:r>
      </w:hyperlink>
      <w:r>
        <w:t>.  Accessed on 5/13/2011/</w:t>
      </w:r>
    </w:p>
  </w:footnote>
  <w:footnote w:id="11">
    <w:p w:rsidR="0065443D" w:rsidRDefault="0065443D" w:rsidP="00EB47A8">
      <w:pPr>
        <w:pStyle w:val="FootnoteText"/>
      </w:pPr>
      <w:r w:rsidRPr="008D5F07">
        <w:rPr>
          <w:rStyle w:val="FootnoteReference"/>
          <w:vertAlign w:val="superscript"/>
        </w:rPr>
        <w:footnoteRef/>
      </w:r>
      <w:r>
        <w:tab/>
      </w:r>
      <w:r w:rsidRPr="000E6750">
        <w:t xml:space="preserve">USDA, Economic Research Service, 2009. Supplemental Nutrition Assistance Program (SNAP) at Farmers Markets: A How-To Handbook. Available online at: </w:t>
      </w:r>
      <w:hyperlink r:id="rId3" w:history="1">
        <w:r w:rsidRPr="000E6750">
          <w:rPr>
            <w:rStyle w:val="Hyperlink"/>
            <w:rFonts w:cs="Garamond"/>
            <w:szCs w:val="24"/>
          </w:rPr>
          <w:t>http://www.ams.usda.gov/AMSv1.0/getfile?dDocName=STELPRDC5085298</w:t>
        </w:r>
      </w:hyperlink>
    </w:p>
  </w:footnote>
  <w:footnote w:id="12">
    <w:p w:rsidR="0065443D" w:rsidRPr="00BB5EAA" w:rsidRDefault="0065443D" w:rsidP="00EB47A8">
      <w:pPr>
        <w:pStyle w:val="FootnoteText"/>
      </w:pPr>
      <w:r w:rsidRPr="00BB5EAA">
        <w:rPr>
          <w:rStyle w:val="FootnoteReference"/>
          <w:vertAlign w:val="superscript"/>
        </w:rPr>
        <w:footnoteRef/>
      </w:r>
      <w:r>
        <w:rPr>
          <w:vertAlign w:val="superscript"/>
        </w:rPr>
        <w:tab/>
      </w:r>
      <w:r w:rsidRPr="00BB5EAA">
        <w:t xml:space="preserve">Food and Nutrition Service (FNS) Supplemental Nutrition Assistance Program (SNAP) Benefit Redemption Division (BRD) Annual Report for FY 2010. (2011). Available at: </w:t>
      </w:r>
      <w:hyperlink r:id="rId4" w:history="1">
        <w:r w:rsidRPr="00BB5EAA">
          <w:rPr>
            <w:rStyle w:val="Hyperlink"/>
          </w:rPr>
          <w:t>http://www.fns.usda.gov/snap/retailers/pdfs/2010-annual-report.pdf</w:t>
        </w:r>
      </w:hyperlink>
      <w:r w:rsidRPr="00BB5EAA">
        <w:t xml:space="preserve">. </w:t>
      </w:r>
      <w:proofErr w:type="gramStart"/>
      <w:r w:rsidRPr="00BB5EAA">
        <w:t>Accessed on May 11, 2011.</w:t>
      </w:r>
      <w:proofErr w:type="gramEnd"/>
    </w:p>
  </w:footnote>
  <w:footnote w:id="13">
    <w:p w:rsidR="0065443D" w:rsidRPr="00270FA3" w:rsidRDefault="0065443D" w:rsidP="00270FA3">
      <w:pPr>
        <w:autoSpaceDE w:val="0"/>
        <w:autoSpaceDN w:val="0"/>
        <w:adjustRightInd w:val="0"/>
        <w:spacing w:line="240" w:lineRule="auto"/>
        <w:ind w:left="720" w:hanging="720"/>
        <w:rPr>
          <w:rFonts w:cs="Garamond"/>
          <w:sz w:val="16"/>
          <w:szCs w:val="16"/>
        </w:rPr>
      </w:pPr>
      <w:r w:rsidRPr="00270FA3">
        <w:rPr>
          <w:rStyle w:val="FootnoteReference"/>
          <w:sz w:val="16"/>
          <w:szCs w:val="16"/>
        </w:rPr>
        <w:footnoteRef/>
      </w:r>
      <w:r w:rsidRPr="00270FA3">
        <w:rPr>
          <w:sz w:val="16"/>
          <w:szCs w:val="16"/>
        </w:rPr>
        <w:t xml:space="preserve"> </w:t>
      </w:r>
      <w:proofErr w:type="gramStart"/>
      <w:r w:rsidRPr="00270FA3">
        <w:rPr>
          <w:rFonts w:cs="Garamond"/>
          <w:sz w:val="16"/>
          <w:szCs w:val="16"/>
        </w:rPr>
        <w:t>de</w:t>
      </w:r>
      <w:proofErr w:type="gramEnd"/>
      <w:r w:rsidRPr="00270FA3">
        <w:rPr>
          <w:rFonts w:cs="Garamond"/>
          <w:sz w:val="16"/>
          <w:szCs w:val="16"/>
        </w:rPr>
        <w:t xml:space="preserve"> </w:t>
      </w:r>
      <w:proofErr w:type="spellStart"/>
      <w:r w:rsidRPr="00270FA3">
        <w:rPr>
          <w:rFonts w:cs="Garamond"/>
          <w:sz w:val="16"/>
          <w:szCs w:val="16"/>
        </w:rPr>
        <w:t>Leeuw</w:t>
      </w:r>
      <w:proofErr w:type="spellEnd"/>
      <w:r w:rsidRPr="00270FA3">
        <w:rPr>
          <w:rFonts w:cs="Garamond"/>
          <w:sz w:val="16"/>
          <w:szCs w:val="16"/>
        </w:rPr>
        <w:t>, E. D.</w:t>
      </w:r>
      <w:r>
        <w:rPr>
          <w:rFonts w:cs="Garamond"/>
          <w:sz w:val="16"/>
          <w:szCs w:val="16"/>
        </w:rPr>
        <w:t xml:space="preserve"> (2005)</w:t>
      </w:r>
      <w:r w:rsidRPr="00270FA3">
        <w:rPr>
          <w:rFonts w:cs="Garamond"/>
          <w:sz w:val="16"/>
          <w:szCs w:val="16"/>
        </w:rPr>
        <w:t xml:space="preserve">. </w:t>
      </w:r>
      <w:proofErr w:type="gramStart"/>
      <w:r w:rsidRPr="00270FA3">
        <w:rPr>
          <w:rFonts w:cs="Garamond"/>
          <w:sz w:val="16"/>
          <w:szCs w:val="16"/>
        </w:rPr>
        <w:t>To mix or not to mix data collection modes in surveys.</w:t>
      </w:r>
      <w:proofErr w:type="gramEnd"/>
      <w:r w:rsidRPr="00270FA3">
        <w:rPr>
          <w:rFonts w:cs="Garamond"/>
          <w:i/>
          <w:iCs/>
          <w:sz w:val="16"/>
          <w:szCs w:val="16"/>
        </w:rPr>
        <w:t xml:space="preserve"> Journal of Official Statistics-Stockholm-</w:t>
      </w:r>
      <w:r w:rsidRPr="00270FA3">
        <w:rPr>
          <w:rFonts w:cs="Garamond"/>
          <w:sz w:val="16"/>
          <w:szCs w:val="16"/>
        </w:rPr>
        <w:t xml:space="preserve"> 21 (2):233</w:t>
      </w:r>
    </w:p>
    <w:p w:rsidR="0065443D" w:rsidRDefault="0065443D" w:rsidP="00270FA3">
      <w:pPr>
        <w:pStyle w:val="FootnoteText"/>
        <w:spacing w:before="0" w:line="240" w:lineRule="auto"/>
      </w:pPr>
    </w:p>
  </w:footnote>
  <w:footnote w:id="14">
    <w:p w:rsidR="0065443D" w:rsidRDefault="0065443D" w:rsidP="00270FA3">
      <w:pPr>
        <w:pStyle w:val="FootnoteText"/>
        <w:ind w:left="0" w:firstLine="0"/>
      </w:pPr>
      <w:r w:rsidRPr="008A3C93">
        <w:rPr>
          <w:rStyle w:val="FootnoteReference"/>
          <w:vertAlign w:val="superscript"/>
        </w:rPr>
        <w:footnoteRef/>
      </w:r>
      <w:r>
        <w:tab/>
      </w:r>
      <w:proofErr w:type="gramStart"/>
      <w:r>
        <w:t>Ragland, E., and Tropp D. USDA National Farmers Market Manager Survey (2006).</w:t>
      </w:r>
      <w:proofErr w:type="gramEnd"/>
      <w:r>
        <w:t xml:space="preserve"> </w:t>
      </w:r>
      <w:proofErr w:type="gramStart"/>
      <w:r>
        <w:t>Marketing Services Division, USDA Agricultural Marketing Service, May 2009.</w:t>
      </w:r>
      <w:proofErr w:type="gramEnd"/>
      <w:r>
        <w:t xml:space="preserve"> </w:t>
      </w:r>
      <w:hyperlink r:id="rId5" w:history="1">
        <w:r w:rsidRPr="009310EE">
          <w:rPr>
            <w:rStyle w:val="Hyperlink"/>
          </w:rPr>
          <w:t>http://www.ams.usda.gov/AMSv1.0/getfile?dDocName=STELPRDC5077203</w:t>
        </w:r>
      </w:hyperlink>
      <w:r>
        <w:t xml:space="preserve">. </w:t>
      </w:r>
    </w:p>
  </w:footnote>
  <w:footnote w:id="15">
    <w:p w:rsidR="0065443D" w:rsidRPr="00147A34" w:rsidRDefault="0065443D" w:rsidP="00147A34">
      <w:pPr>
        <w:widowControl w:val="0"/>
        <w:autoSpaceDE w:val="0"/>
        <w:autoSpaceDN w:val="0"/>
        <w:adjustRightInd w:val="0"/>
        <w:spacing w:line="340" w:lineRule="atLeast"/>
        <w:rPr>
          <w:sz w:val="16"/>
          <w:szCs w:val="16"/>
        </w:rPr>
      </w:pPr>
      <w:r w:rsidRPr="00147A34">
        <w:rPr>
          <w:rStyle w:val="FootnoteReference"/>
          <w:sz w:val="16"/>
          <w:szCs w:val="16"/>
        </w:rPr>
        <w:footnoteRef/>
      </w:r>
      <w:r w:rsidRPr="00147A34">
        <w:rPr>
          <w:sz w:val="16"/>
          <w:szCs w:val="16"/>
        </w:rPr>
        <w:t xml:space="preserve"> </w:t>
      </w:r>
      <w:r w:rsidRPr="00147A34">
        <w:rPr>
          <w:color w:val="191919"/>
          <w:sz w:val="16"/>
          <w:szCs w:val="16"/>
          <w:lang w:eastAsia="ja-JP"/>
        </w:rPr>
        <w:t xml:space="preserve">Schaefer DR, </w:t>
      </w:r>
      <w:proofErr w:type="spellStart"/>
      <w:r w:rsidRPr="00147A34">
        <w:rPr>
          <w:color w:val="191919"/>
          <w:sz w:val="16"/>
          <w:szCs w:val="16"/>
          <w:lang w:eastAsia="ja-JP"/>
        </w:rPr>
        <w:t>Dillman</w:t>
      </w:r>
      <w:proofErr w:type="spellEnd"/>
      <w:r w:rsidRPr="00147A34">
        <w:rPr>
          <w:color w:val="191919"/>
          <w:sz w:val="16"/>
          <w:szCs w:val="16"/>
          <w:lang w:eastAsia="ja-JP"/>
        </w:rPr>
        <w:t xml:space="preserve"> DA</w:t>
      </w:r>
      <w:proofErr w:type="gramStart"/>
      <w:r w:rsidRPr="00147A34">
        <w:rPr>
          <w:color w:val="191919"/>
          <w:sz w:val="16"/>
          <w:szCs w:val="16"/>
          <w:lang w:eastAsia="ja-JP"/>
        </w:rPr>
        <w:t>.</w:t>
      </w:r>
      <w:r>
        <w:rPr>
          <w:color w:val="191919"/>
          <w:sz w:val="16"/>
          <w:szCs w:val="16"/>
          <w:lang w:eastAsia="ja-JP"/>
        </w:rPr>
        <w:t>(</w:t>
      </w:r>
      <w:proofErr w:type="gramEnd"/>
      <w:r w:rsidRPr="00147A34">
        <w:rPr>
          <w:color w:val="191919"/>
          <w:sz w:val="16"/>
          <w:szCs w:val="16"/>
          <w:lang w:eastAsia="ja-JP"/>
        </w:rPr>
        <w:t>1998</w:t>
      </w:r>
      <w:r>
        <w:rPr>
          <w:color w:val="191919"/>
          <w:sz w:val="16"/>
          <w:szCs w:val="16"/>
          <w:lang w:eastAsia="ja-JP"/>
        </w:rPr>
        <w:t xml:space="preserve">).  </w:t>
      </w:r>
      <w:proofErr w:type="gramStart"/>
      <w:r w:rsidRPr="00147A34">
        <w:rPr>
          <w:color w:val="191919"/>
          <w:sz w:val="16"/>
          <w:szCs w:val="16"/>
          <w:lang w:eastAsia="ja-JP"/>
        </w:rPr>
        <w:t>Development of a standard e-mail methodology.</w:t>
      </w:r>
      <w:proofErr w:type="gramEnd"/>
      <w:r w:rsidRPr="00147A34">
        <w:rPr>
          <w:color w:val="191919"/>
          <w:sz w:val="16"/>
          <w:szCs w:val="16"/>
          <w:lang w:eastAsia="ja-JP"/>
        </w:rPr>
        <w:t xml:space="preserve"> </w:t>
      </w:r>
      <w:r w:rsidRPr="00147A34">
        <w:rPr>
          <w:i/>
          <w:iCs/>
          <w:color w:val="191919"/>
          <w:sz w:val="16"/>
          <w:szCs w:val="16"/>
          <w:lang w:eastAsia="ja-JP"/>
        </w:rPr>
        <w:t>Public Opinion Q.</w:t>
      </w:r>
      <w:r w:rsidRPr="00147A34">
        <w:rPr>
          <w:color w:val="191919"/>
          <w:sz w:val="16"/>
          <w:szCs w:val="16"/>
          <w:lang w:eastAsia="ja-JP"/>
        </w:rPr>
        <w:t>; 62:378–97.</w:t>
      </w:r>
    </w:p>
  </w:footnote>
  <w:footnote w:id="16">
    <w:p w:rsidR="0065443D" w:rsidRPr="00147A34" w:rsidRDefault="0065443D" w:rsidP="00270FA3">
      <w:pPr>
        <w:autoSpaceDE w:val="0"/>
        <w:autoSpaceDN w:val="0"/>
        <w:adjustRightInd w:val="0"/>
        <w:spacing w:line="340" w:lineRule="atLeast"/>
        <w:ind w:left="720" w:hanging="720"/>
        <w:rPr>
          <w:rFonts w:cs="Garamond"/>
          <w:sz w:val="16"/>
          <w:szCs w:val="16"/>
        </w:rPr>
      </w:pPr>
      <w:r w:rsidRPr="00147A34">
        <w:rPr>
          <w:rStyle w:val="FootnoteReference"/>
          <w:sz w:val="16"/>
          <w:szCs w:val="16"/>
        </w:rPr>
        <w:footnoteRef/>
      </w:r>
      <w:r w:rsidRPr="00147A34">
        <w:rPr>
          <w:sz w:val="16"/>
          <w:szCs w:val="16"/>
        </w:rPr>
        <w:t xml:space="preserve"> </w:t>
      </w:r>
      <w:proofErr w:type="spellStart"/>
      <w:r w:rsidRPr="00147A34">
        <w:rPr>
          <w:rFonts w:cs="Garamond"/>
          <w:sz w:val="16"/>
          <w:szCs w:val="16"/>
        </w:rPr>
        <w:t>Dillman</w:t>
      </w:r>
      <w:proofErr w:type="spellEnd"/>
      <w:r w:rsidRPr="00147A34">
        <w:rPr>
          <w:rFonts w:cs="Garamond"/>
          <w:sz w:val="16"/>
          <w:szCs w:val="16"/>
        </w:rPr>
        <w:t>, D. A., Smyth, J. D., &amp; Christian, L. M. (2008). Internet, mail, and mixed-mode surveys: The tailored design method.  326-329.</w:t>
      </w:r>
    </w:p>
    <w:p w:rsidR="0065443D" w:rsidRDefault="0065443D" w:rsidP="00270FA3">
      <w:pPr>
        <w:pStyle w:val="FootnoteText"/>
      </w:pPr>
    </w:p>
  </w:footnote>
  <w:footnote w:id="17">
    <w:p w:rsidR="0065443D" w:rsidRDefault="0065443D">
      <w:pPr>
        <w:pStyle w:val="FootnoteText"/>
      </w:pPr>
      <w:r>
        <w:rPr>
          <w:rStyle w:val="FootnoteReference"/>
        </w:rPr>
        <w:footnoteRef/>
      </w:r>
      <w:r>
        <w:t xml:space="preserve"> </w:t>
      </w:r>
      <w:hyperlink r:id="rId6" w:history="1">
        <w:r w:rsidRPr="007967B7">
          <w:rPr>
            <w:rStyle w:val="Hyperlink"/>
          </w:rPr>
          <w:t>http://www.center-trt.org/downloads/obesity_prevention/interventions/healthbucks/NYC_Health_Bucks.pdf</w:t>
        </w:r>
      </w:hyperlink>
    </w:p>
    <w:p w:rsidR="0065443D" w:rsidRDefault="0065443D">
      <w:pPr>
        <w:pStyle w:val="FootnoteText"/>
      </w:pPr>
    </w:p>
  </w:footnote>
  <w:footnote w:id="18">
    <w:p w:rsidR="0065443D" w:rsidRPr="00A1048E" w:rsidRDefault="0065443D" w:rsidP="00EB47A8">
      <w:pPr>
        <w:pStyle w:val="FootnoteText"/>
        <w:rPr>
          <w:szCs w:val="16"/>
        </w:rPr>
      </w:pPr>
      <w:r w:rsidRPr="00A1048E">
        <w:rPr>
          <w:szCs w:val="16"/>
          <w:vertAlign w:val="superscript"/>
        </w:rPr>
        <w:footnoteRef/>
      </w:r>
      <w:r w:rsidRPr="00A1048E">
        <w:rPr>
          <w:szCs w:val="16"/>
        </w:rPr>
        <w:tab/>
      </w:r>
      <w:proofErr w:type="gramStart"/>
      <w:r w:rsidRPr="00A1048E">
        <w:rPr>
          <w:szCs w:val="16"/>
        </w:rPr>
        <w:t>Berlin</w:t>
      </w:r>
      <w:r>
        <w:rPr>
          <w:szCs w:val="16"/>
        </w:rPr>
        <w:t>,</w:t>
      </w:r>
      <w:r w:rsidRPr="00A1048E">
        <w:rPr>
          <w:szCs w:val="16"/>
        </w:rPr>
        <w:t xml:space="preserve"> M</w:t>
      </w:r>
      <w:r>
        <w:rPr>
          <w:szCs w:val="16"/>
        </w:rPr>
        <w:t>.</w:t>
      </w:r>
      <w:r w:rsidRPr="00A1048E">
        <w:rPr>
          <w:szCs w:val="16"/>
        </w:rPr>
        <w:t xml:space="preserve">, </w:t>
      </w:r>
      <w:proofErr w:type="spellStart"/>
      <w:r w:rsidRPr="00A1048E">
        <w:rPr>
          <w:szCs w:val="16"/>
        </w:rPr>
        <w:t>Mohadjer</w:t>
      </w:r>
      <w:proofErr w:type="spellEnd"/>
      <w:r>
        <w:rPr>
          <w:szCs w:val="16"/>
        </w:rPr>
        <w:t>,</w:t>
      </w:r>
      <w:r w:rsidRPr="00A1048E">
        <w:rPr>
          <w:szCs w:val="16"/>
        </w:rPr>
        <w:t xml:space="preserve"> L</w:t>
      </w:r>
      <w:r>
        <w:rPr>
          <w:szCs w:val="16"/>
        </w:rPr>
        <w:t>.</w:t>
      </w:r>
      <w:r w:rsidRPr="00A1048E">
        <w:rPr>
          <w:szCs w:val="16"/>
        </w:rPr>
        <w:t xml:space="preserve">, </w:t>
      </w:r>
      <w:proofErr w:type="spellStart"/>
      <w:r w:rsidRPr="00A1048E">
        <w:rPr>
          <w:szCs w:val="16"/>
        </w:rPr>
        <w:t>Waksberg</w:t>
      </w:r>
      <w:proofErr w:type="spellEnd"/>
      <w:r>
        <w:rPr>
          <w:szCs w:val="16"/>
        </w:rPr>
        <w:t>,</w:t>
      </w:r>
      <w:r w:rsidRPr="00A1048E">
        <w:rPr>
          <w:szCs w:val="16"/>
        </w:rPr>
        <w:t xml:space="preserve"> J</w:t>
      </w:r>
      <w:r>
        <w:rPr>
          <w:szCs w:val="16"/>
        </w:rPr>
        <w:t>.</w:t>
      </w:r>
      <w:r w:rsidRPr="00A1048E">
        <w:rPr>
          <w:szCs w:val="16"/>
        </w:rPr>
        <w:t xml:space="preserve">, </w:t>
      </w:r>
      <w:proofErr w:type="spellStart"/>
      <w:r w:rsidRPr="00A1048E">
        <w:rPr>
          <w:szCs w:val="16"/>
        </w:rPr>
        <w:t>Kolstad</w:t>
      </w:r>
      <w:proofErr w:type="spellEnd"/>
      <w:r>
        <w:rPr>
          <w:szCs w:val="16"/>
        </w:rPr>
        <w:t>,</w:t>
      </w:r>
      <w:r w:rsidRPr="00A1048E">
        <w:rPr>
          <w:szCs w:val="16"/>
        </w:rPr>
        <w:t xml:space="preserve"> A</w:t>
      </w:r>
      <w:r>
        <w:rPr>
          <w:szCs w:val="16"/>
        </w:rPr>
        <w:t>.</w:t>
      </w:r>
      <w:r w:rsidRPr="00A1048E">
        <w:rPr>
          <w:szCs w:val="16"/>
        </w:rPr>
        <w:t>, Kirsch</w:t>
      </w:r>
      <w:r>
        <w:rPr>
          <w:szCs w:val="16"/>
        </w:rPr>
        <w:t>,</w:t>
      </w:r>
      <w:r w:rsidRPr="00A1048E">
        <w:rPr>
          <w:szCs w:val="16"/>
        </w:rPr>
        <w:t xml:space="preserve"> D</w:t>
      </w:r>
      <w:r>
        <w:rPr>
          <w:szCs w:val="16"/>
        </w:rPr>
        <w:t>.</w:t>
      </w:r>
      <w:r w:rsidRPr="00A1048E">
        <w:rPr>
          <w:szCs w:val="16"/>
        </w:rPr>
        <w:t>, Rock</w:t>
      </w:r>
      <w:r>
        <w:rPr>
          <w:szCs w:val="16"/>
        </w:rPr>
        <w:t>,</w:t>
      </w:r>
      <w:r w:rsidRPr="00A1048E">
        <w:rPr>
          <w:szCs w:val="16"/>
        </w:rPr>
        <w:t xml:space="preserve"> D</w:t>
      </w:r>
      <w:r>
        <w:rPr>
          <w:szCs w:val="16"/>
        </w:rPr>
        <w:t>.</w:t>
      </w:r>
      <w:r w:rsidRPr="00A1048E">
        <w:rPr>
          <w:szCs w:val="16"/>
        </w:rPr>
        <w:t>,</w:t>
      </w:r>
      <w:r>
        <w:rPr>
          <w:szCs w:val="16"/>
        </w:rPr>
        <w:t xml:space="preserve"> and</w:t>
      </w:r>
      <w:r w:rsidRPr="00A1048E">
        <w:rPr>
          <w:szCs w:val="16"/>
        </w:rPr>
        <w:t xml:space="preserve"> Yamamoto</w:t>
      </w:r>
      <w:r>
        <w:rPr>
          <w:szCs w:val="16"/>
        </w:rPr>
        <w:t>,</w:t>
      </w:r>
      <w:r w:rsidRPr="00A1048E">
        <w:rPr>
          <w:szCs w:val="16"/>
        </w:rPr>
        <w:t xml:space="preserve"> K. (1993).</w:t>
      </w:r>
      <w:proofErr w:type="gramEnd"/>
      <w:r w:rsidRPr="00A1048E">
        <w:rPr>
          <w:szCs w:val="16"/>
        </w:rPr>
        <w:t xml:space="preserve"> </w:t>
      </w:r>
      <w:proofErr w:type="gramStart"/>
      <w:r w:rsidRPr="00A1048E">
        <w:rPr>
          <w:szCs w:val="16"/>
        </w:rPr>
        <w:t>An experiment in monetary incentives.</w:t>
      </w:r>
      <w:proofErr w:type="gramEnd"/>
      <w:r w:rsidRPr="00A1048E">
        <w:rPr>
          <w:szCs w:val="16"/>
        </w:rPr>
        <w:t xml:space="preserve"> </w:t>
      </w:r>
      <w:proofErr w:type="gramStart"/>
      <w:r w:rsidRPr="00A1048E">
        <w:rPr>
          <w:szCs w:val="16"/>
        </w:rPr>
        <w:t>Proceedings of Survey Research Methods Section of American Statistical Association, 393-8.</w:t>
      </w:r>
      <w:proofErr w:type="gramEnd"/>
    </w:p>
  </w:footnote>
  <w:footnote w:id="19">
    <w:p w:rsidR="0065443D" w:rsidRPr="00A1048E" w:rsidRDefault="0065443D" w:rsidP="00EB47A8">
      <w:pPr>
        <w:pStyle w:val="FootnoteText"/>
        <w:rPr>
          <w:szCs w:val="16"/>
        </w:rPr>
      </w:pPr>
      <w:r w:rsidRPr="00A1048E">
        <w:rPr>
          <w:szCs w:val="16"/>
          <w:vertAlign w:val="superscript"/>
        </w:rPr>
        <w:footnoteRef/>
      </w:r>
      <w:r w:rsidRPr="00A1048E">
        <w:rPr>
          <w:szCs w:val="16"/>
        </w:rPr>
        <w:tab/>
        <w:t>Groves</w:t>
      </w:r>
      <w:r>
        <w:rPr>
          <w:szCs w:val="16"/>
        </w:rPr>
        <w:t>,</w:t>
      </w:r>
      <w:r w:rsidRPr="00A1048E">
        <w:rPr>
          <w:szCs w:val="16"/>
        </w:rPr>
        <w:t xml:space="preserve"> R</w:t>
      </w:r>
      <w:r>
        <w:rPr>
          <w:szCs w:val="16"/>
        </w:rPr>
        <w:t>.</w:t>
      </w:r>
      <w:r w:rsidRPr="00A1048E">
        <w:rPr>
          <w:szCs w:val="16"/>
        </w:rPr>
        <w:t>, Singer</w:t>
      </w:r>
      <w:r>
        <w:rPr>
          <w:szCs w:val="16"/>
        </w:rPr>
        <w:t>,</w:t>
      </w:r>
      <w:r w:rsidRPr="00A1048E">
        <w:rPr>
          <w:szCs w:val="16"/>
        </w:rPr>
        <w:t xml:space="preserve"> E</w:t>
      </w:r>
      <w:r>
        <w:rPr>
          <w:szCs w:val="16"/>
        </w:rPr>
        <w:t>.</w:t>
      </w:r>
      <w:r w:rsidRPr="00A1048E">
        <w:rPr>
          <w:szCs w:val="16"/>
        </w:rPr>
        <w:t>, Corning</w:t>
      </w:r>
      <w:r>
        <w:rPr>
          <w:szCs w:val="16"/>
        </w:rPr>
        <w:t>,</w:t>
      </w:r>
      <w:r w:rsidRPr="00A1048E">
        <w:rPr>
          <w:szCs w:val="16"/>
        </w:rPr>
        <w:t xml:space="preserve"> A. (2000). Leverage-saliency theory of survey participation: description and an illustration. </w:t>
      </w:r>
      <w:proofErr w:type="gramStart"/>
      <w:r w:rsidRPr="00F87099">
        <w:rPr>
          <w:i/>
          <w:szCs w:val="16"/>
        </w:rPr>
        <w:t>Public Opinion Quarterly</w:t>
      </w:r>
      <w:r>
        <w:rPr>
          <w:i/>
          <w:szCs w:val="16"/>
        </w:rPr>
        <w:t>.</w:t>
      </w:r>
      <w:proofErr w:type="gramEnd"/>
      <w:r w:rsidRPr="00A1048E">
        <w:rPr>
          <w:szCs w:val="16"/>
        </w:rPr>
        <w:t xml:space="preserve"> 64(3): 299-308.</w:t>
      </w:r>
    </w:p>
  </w:footnote>
  <w:footnote w:id="20">
    <w:p w:rsidR="0065443D" w:rsidRDefault="0065443D" w:rsidP="00EB47A8">
      <w:pPr>
        <w:pStyle w:val="FootnoteText"/>
      </w:pPr>
      <w:r w:rsidRPr="008A3C93">
        <w:rPr>
          <w:rStyle w:val="FootnoteReference"/>
          <w:vertAlign w:val="superscript"/>
        </w:rPr>
        <w:footnoteRef/>
      </w:r>
      <w:r>
        <w:tab/>
        <w:t xml:space="preserve">Church, A.H. (1993). </w:t>
      </w:r>
      <w:proofErr w:type="gramStart"/>
      <w:r>
        <w:t>Estimating the effect of incentives on mail survey response rates: a meta-analysis.</w:t>
      </w:r>
      <w:proofErr w:type="gramEnd"/>
      <w:r>
        <w:t xml:space="preserve"> </w:t>
      </w:r>
      <w:proofErr w:type="gramStart"/>
      <w:r w:rsidRPr="00F87099">
        <w:rPr>
          <w:i/>
        </w:rPr>
        <w:t>Public Opinion Quarterly</w:t>
      </w:r>
      <w:r>
        <w:rPr>
          <w:i/>
        </w:rPr>
        <w:t>.</w:t>
      </w:r>
      <w:proofErr w:type="gramEnd"/>
      <w:r>
        <w:t xml:space="preserve"> 57:62-79.</w:t>
      </w:r>
    </w:p>
  </w:footnote>
  <w:footnote w:id="21">
    <w:p w:rsidR="0065443D" w:rsidRDefault="0065443D" w:rsidP="00EB47A8">
      <w:pPr>
        <w:pStyle w:val="FootnoteText"/>
      </w:pPr>
      <w:r w:rsidRPr="008A3C93">
        <w:rPr>
          <w:rStyle w:val="FootnoteReference"/>
          <w:vertAlign w:val="superscript"/>
        </w:rPr>
        <w:footnoteRef/>
      </w:r>
      <w:r>
        <w:tab/>
      </w:r>
      <w:r w:rsidRPr="007C7422">
        <w:t>http://www.amstat.org/sections/sgovt/rathbun.pdf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3D" w:rsidRPr="008C13B1" w:rsidRDefault="0065443D" w:rsidP="00C0701F">
    <w:pPr>
      <w:pStyle w:val="TC-TableofContentsHeading"/>
      <w:spacing w:after="360"/>
      <w:rPr>
        <w:sz w:val="24"/>
        <w:szCs w:val="24"/>
      </w:rPr>
    </w:pPr>
    <w:r w:rsidRPr="008C13B1">
      <w:rPr>
        <w:sz w:val="24"/>
        <w:szCs w:val="24"/>
      </w:rPr>
      <w:t>Contents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3D" w:rsidRPr="0026702F" w:rsidRDefault="0065443D" w:rsidP="002670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3D" w:rsidRDefault="006544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DEA"/>
    <w:multiLevelType w:val="hybridMultilevel"/>
    <w:tmpl w:val="9E6E50BC"/>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8E04D3"/>
    <w:multiLevelType w:val="hybridMultilevel"/>
    <w:tmpl w:val="5B7C1B24"/>
    <w:lvl w:ilvl="0" w:tplc="D4DA3EB0">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7230C"/>
    <w:multiLevelType w:val="hybridMultilevel"/>
    <w:tmpl w:val="55E8FAF2"/>
    <w:lvl w:ilvl="0" w:tplc="CD327CE2">
      <w:start w:val="2"/>
      <w:numFmt w:val="bullet"/>
      <w:lvlText w:val="•"/>
      <w:lvlJc w:val="left"/>
      <w:pPr>
        <w:ind w:left="3390" w:hanging="360"/>
      </w:pPr>
      <w:rPr>
        <w:rFonts w:ascii="Garamond" w:eastAsiaTheme="minorEastAsia" w:hAnsi="Garamond"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3">
    <w:nsid w:val="0AC849FF"/>
    <w:multiLevelType w:val="hybridMultilevel"/>
    <w:tmpl w:val="033C7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8088E"/>
    <w:multiLevelType w:val="hybridMultilevel"/>
    <w:tmpl w:val="CC02E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4AE658B"/>
    <w:multiLevelType w:val="hybridMultilevel"/>
    <w:tmpl w:val="8B72340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nsid w:val="277601EE"/>
    <w:multiLevelType w:val="hybridMultilevel"/>
    <w:tmpl w:val="55FE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6604C2B"/>
    <w:multiLevelType w:val="hybridMultilevel"/>
    <w:tmpl w:val="C3786C48"/>
    <w:lvl w:ilvl="0" w:tplc="36C20DA8">
      <w:start w:val="1"/>
      <w:numFmt w:val="bullet"/>
      <w:pStyle w:val="BulletsLast"/>
      <w:lvlText w:val=""/>
      <w:lvlJc w:val="left"/>
      <w:pPr>
        <w:ind w:left="720" w:hanging="360"/>
      </w:pPr>
      <w:rPr>
        <w:rFonts w:ascii="Symbol" w:hAnsi="Symbol" w:hint="default"/>
      </w:rPr>
    </w:lvl>
    <w:lvl w:ilvl="1" w:tplc="0ACA6664"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C7352"/>
    <w:multiLevelType w:val="hybridMultilevel"/>
    <w:tmpl w:val="ABBA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AC7081"/>
    <w:multiLevelType w:val="hybridMultilevel"/>
    <w:tmpl w:val="46940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Text w:val=""/>
      <w:lvlJc w:val="left"/>
      <w:pPr>
        <w:tabs>
          <w:tab w:val="num" w:pos="0"/>
        </w:tabs>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upperLetter"/>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7">
    <w:nsid w:val="44AF3E39"/>
    <w:multiLevelType w:val="hybridMultilevel"/>
    <w:tmpl w:val="17B868F2"/>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1369A4"/>
    <w:multiLevelType w:val="hybridMultilevel"/>
    <w:tmpl w:val="F9AE298A"/>
    <w:lvl w:ilvl="0" w:tplc="3B3CFCB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47727"/>
    <w:multiLevelType w:val="hybridMultilevel"/>
    <w:tmpl w:val="B34ABEE2"/>
    <w:lvl w:ilvl="0" w:tplc="04090001">
      <w:start w:val="1"/>
      <w:numFmt w:val="bullet"/>
      <w:pStyle w:val="Bulletsing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7E73C7"/>
    <w:multiLevelType w:val="multilevel"/>
    <w:tmpl w:val="15F6E5AE"/>
    <w:lvl w:ilvl="0">
      <w:start w:val="1"/>
      <w:numFmt w:val="decimal"/>
      <w:lvlText w:val="A.%1."/>
      <w:lvlJc w:val="left"/>
      <w:pPr>
        <w:ind w:left="360" w:hanging="360"/>
      </w:pPr>
      <w:rPr>
        <w:rFonts w:cs="Times New Roman" w:hint="default"/>
      </w:rPr>
    </w:lvl>
    <w:lvl w:ilvl="1">
      <w:start w:val="1"/>
      <w:numFmt w:val="decimal"/>
      <w:pStyle w:val="TableTitle"/>
      <w:suff w:val="nothing"/>
      <w:lvlText w:val="Table A%1.%2  "/>
      <w:lvlJc w:val="center"/>
      <w:pPr>
        <w:ind w:firstLine="720"/>
      </w:pPr>
      <w:rPr>
        <w:rFonts w:cs="Times New Roman" w:hint="default"/>
        <w:b/>
        <w:i w:val="0"/>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6E6A2EB2"/>
    <w:multiLevelType w:val="hybridMultilevel"/>
    <w:tmpl w:val="A6F0CE98"/>
    <w:lvl w:ilvl="0" w:tplc="3F227674">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152827"/>
    <w:multiLevelType w:val="hybridMultilevel"/>
    <w:tmpl w:val="51A6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6501E1"/>
    <w:multiLevelType w:val="hybridMultilevel"/>
    <w:tmpl w:val="469401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7FFC2CAD"/>
    <w:multiLevelType w:val="hybridMultilevel"/>
    <w:tmpl w:val="3AA2D74E"/>
    <w:lvl w:ilvl="0" w:tplc="938497FA">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5"/>
  </w:num>
  <w:num w:numId="4">
    <w:abstractNumId w:val="6"/>
  </w:num>
  <w:num w:numId="5">
    <w:abstractNumId w:val="7"/>
  </w:num>
  <w:num w:numId="6">
    <w:abstractNumId w:val="9"/>
  </w:num>
  <w:num w:numId="7">
    <w:abstractNumId w:val="18"/>
  </w:num>
  <w:num w:numId="8">
    <w:abstractNumId w:val="8"/>
  </w:num>
  <w:num w:numId="9">
    <w:abstractNumId w:val="14"/>
  </w:num>
  <w:num w:numId="10">
    <w:abstractNumId w:val="1"/>
  </w:num>
  <w:num w:numId="11">
    <w:abstractNumId w:val="16"/>
  </w:num>
  <w:num w:numId="12">
    <w:abstractNumId w:val="19"/>
  </w:num>
  <w:num w:numId="13">
    <w:abstractNumId w:val="20"/>
  </w:num>
  <w:num w:numId="14">
    <w:abstractNumId w:val="24"/>
  </w:num>
  <w:num w:numId="15">
    <w:abstractNumId w:val="12"/>
  </w:num>
  <w:num w:numId="16">
    <w:abstractNumId w:val="17"/>
  </w:num>
  <w:num w:numId="17">
    <w:abstractNumId w:val="0"/>
  </w:num>
  <w:num w:numId="18">
    <w:abstractNumId w:val="25"/>
  </w:num>
  <w:num w:numId="19">
    <w:abstractNumId w:val="13"/>
  </w:num>
  <w:num w:numId="20">
    <w:abstractNumId w:val="10"/>
  </w:num>
  <w:num w:numId="21">
    <w:abstractNumId w:val="23"/>
  </w:num>
  <w:num w:numId="22">
    <w:abstractNumId w:val="3"/>
  </w:num>
  <w:num w:numId="23">
    <w:abstractNumId w:val="2"/>
  </w:num>
  <w:num w:numId="24">
    <w:abstractNumId w:val="22"/>
  </w:num>
  <w:num w:numId="25">
    <w:abstractNumId w:val="21"/>
  </w:num>
  <w:num w:numId="26">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94562"/>
  </w:hdrShapeDefaults>
  <w:footnotePr>
    <w:footnote w:id="-1"/>
    <w:footnote w:id="0"/>
  </w:footnotePr>
  <w:endnotePr>
    <w:endnote w:id="-1"/>
    <w:endnote w:id="0"/>
  </w:endnotePr>
  <w:compat/>
  <w:rsids>
    <w:rsidRoot w:val="006D3765"/>
    <w:rsid w:val="000009EB"/>
    <w:rsid w:val="00001D5E"/>
    <w:rsid w:val="000034FB"/>
    <w:rsid w:val="00004DCB"/>
    <w:rsid w:val="000072A3"/>
    <w:rsid w:val="00007477"/>
    <w:rsid w:val="00011228"/>
    <w:rsid w:val="0001169E"/>
    <w:rsid w:val="00013095"/>
    <w:rsid w:val="000157E2"/>
    <w:rsid w:val="0001598C"/>
    <w:rsid w:val="00015B0E"/>
    <w:rsid w:val="00017B34"/>
    <w:rsid w:val="0002269D"/>
    <w:rsid w:val="00022762"/>
    <w:rsid w:val="00023236"/>
    <w:rsid w:val="00024E71"/>
    <w:rsid w:val="00026C89"/>
    <w:rsid w:val="00026DD5"/>
    <w:rsid w:val="00027E1A"/>
    <w:rsid w:val="00030D39"/>
    <w:rsid w:val="00031DFA"/>
    <w:rsid w:val="0003258A"/>
    <w:rsid w:val="00032974"/>
    <w:rsid w:val="00033FC0"/>
    <w:rsid w:val="00034E49"/>
    <w:rsid w:val="00035912"/>
    <w:rsid w:val="0003591B"/>
    <w:rsid w:val="0003661E"/>
    <w:rsid w:val="00036687"/>
    <w:rsid w:val="00036D2A"/>
    <w:rsid w:val="00037E15"/>
    <w:rsid w:val="000403D8"/>
    <w:rsid w:val="00040824"/>
    <w:rsid w:val="00040A85"/>
    <w:rsid w:val="00041210"/>
    <w:rsid w:val="00041358"/>
    <w:rsid w:val="000417FC"/>
    <w:rsid w:val="000427FE"/>
    <w:rsid w:val="000430FE"/>
    <w:rsid w:val="00043156"/>
    <w:rsid w:val="00043B14"/>
    <w:rsid w:val="00044650"/>
    <w:rsid w:val="000466D8"/>
    <w:rsid w:val="00046E60"/>
    <w:rsid w:val="00047BAD"/>
    <w:rsid w:val="00051021"/>
    <w:rsid w:val="000518AF"/>
    <w:rsid w:val="00051D49"/>
    <w:rsid w:val="00051E73"/>
    <w:rsid w:val="000520A9"/>
    <w:rsid w:val="00052484"/>
    <w:rsid w:val="00052D2A"/>
    <w:rsid w:val="00053589"/>
    <w:rsid w:val="00053ECC"/>
    <w:rsid w:val="00054941"/>
    <w:rsid w:val="000549FB"/>
    <w:rsid w:val="00054A73"/>
    <w:rsid w:val="00056788"/>
    <w:rsid w:val="000568DC"/>
    <w:rsid w:val="00056DA1"/>
    <w:rsid w:val="00061BF3"/>
    <w:rsid w:val="0006264E"/>
    <w:rsid w:val="00062996"/>
    <w:rsid w:val="000635CA"/>
    <w:rsid w:val="000645E0"/>
    <w:rsid w:val="000671EC"/>
    <w:rsid w:val="0007089D"/>
    <w:rsid w:val="00070DE4"/>
    <w:rsid w:val="00070F45"/>
    <w:rsid w:val="0007113A"/>
    <w:rsid w:val="000711DA"/>
    <w:rsid w:val="00072270"/>
    <w:rsid w:val="000740EE"/>
    <w:rsid w:val="00076C2E"/>
    <w:rsid w:val="00081A59"/>
    <w:rsid w:val="00083AC9"/>
    <w:rsid w:val="00085F6C"/>
    <w:rsid w:val="00086577"/>
    <w:rsid w:val="00087234"/>
    <w:rsid w:val="0008786B"/>
    <w:rsid w:val="0009253D"/>
    <w:rsid w:val="00092846"/>
    <w:rsid w:val="00092A05"/>
    <w:rsid w:val="00094327"/>
    <w:rsid w:val="00094820"/>
    <w:rsid w:val="00094D7B"/>
    <w:rsid w:val="000A1397"/>
    <w:rsid w:val="000A1C54"/>
    <w:rsid w:val="000A52C9"/>
    <w:rsid w:val="000A6B6B"/>
    <w:rsid w:val="000A6D2E"/>
    <w:rsid w:val="000A7CEF"/>
    <w:rsid w:val="000B0441"/>
    <w:rsid w:val="000B0E1E"/>
    <w:rsid w:val="000B1E3C"/>
    <w:rsid w:val="000B2029"/>
    <w:rsid w:val="000B20F0"/>
    <w:rsid w:val="000B2121"/>
    <w:rsid w:val="000B245C"/>
    <w:rsid w:val="000B28FC"/>
    <w:rsid w:val="000B2975"/>
    <w:rsid w:val="000B370C"/>
    <w:rsid w:val="000B4924"/>
    <w:rsid w:val="000B4BAD"/>
    <w:rsid w:val="000B501C"/>
    <w:rsid w:val="000B5B04"/>
    <w:rsid w:val="000B6A30"/>
    <w:rsid w:val="000B7E43"/>
    <w:rsid w:val="000C0EAF"/>
    <w:rsid w:val="000C0FA9"/>
    <w:rsid w:val="000C3A32"/>
    <w:rsid w:val="000C4862"/>
    <w:rsid w:val="000C5B56"/>
    <w:rsid w:val="000C60BF"/>
    <w:rsid w:val="000C688B"/>
    <w:rsid w:val="000D1916"/>
    <w:rsid w:val="000D1BD5"/>
    <w:rsid w:val="000D49FF"/>
    <w:rsid w:val="000D6C88"/>
    <w:rsid w:val="000D7573"/>
    <w:rsid w:val="000D7DF0"/>
    <w:rsid w:val="000E3405"/>
    <w:rsid w:val="000E3CF7"/>
    <w:rsid w:val="000E402D"/>
    <w:rsid w:val="000E4505"/>
    <w:rsid w:val="000E47DF"/>
    <w:rsid w:val="000E52C3"/>
    <w:rsid w:val="000E5D35"/>
    <w:rsid w:val="000E67F9"/>
    <w:rsid w:val="000E6C6F"/>
    <w:rsid w:val="000E73C0"/>
    <w:rsid w:val="000E7CB2"/>
    <w:rsid w:val="000E7E7C"/>
    <w:rsid w:val="000F10E3"/>
    <w:rsid w:val="000F20E3"/>
    <w:rsid w:val="000F3141"/>
    <w:rsid w:val="000F3ADF"/>
    <w:rsid w:val="000F4434"/>
    <w:rsid w:val="000F5273"/>
    <w:rsid w:val="000F52C1"/>
    <w:rsid w:val="000F6382"/>
    <w:rsid w:val="000F7C07"/>
    <w:rsid w:val="000F7FBB"/>
    <w:rsid w:val="00100DCF"/>
    <w:rsid w:val="001042DE"/>
    <w:rsid w:val="00105867"/>
    <w:rsid w:val="001065A5"/>
    <w:rsid w:val="001073FC"/>
    <w:rsid w:val="00107FFD"/>
    <w:rsid w:val="00111A45"/>
    <w:rsid w:val="00112086"/>
    <w:rsid w:val="00112118"/>
    <w:rsid w:val="001129E1"/>
    <w:rsid w:val="001157C6"/>
    <w:rsid w:val="00116D64"/>
    <w:rsid w:val="00117824"/>
    <w:rsid w:val="00117E39"/>
    <w:rsid w:val="00123505"/>
    <w:rsid w:val="0012498E"/>
    <w:rsid w:val="00125CA3"/>
    <w:rsid w:val="001260D3"/>
    <w:rsid w:val="0012683D"/>
    <w:rsid w:val="0013145E"/>
    <w:rsid w:val="001327C3"/>
    <w:rsid w:val="001330B8"/>
    <w:rsid w:val="00133E5F"/>
    <w:rsid w:val="00135284"/>
    <w:rsid w:val="0013662C"/>
    <w:rsid w:val="00137218"/>
    <w:rsid w:val="00140B12"/>
    <w:rsid w:val="00140C08"/>
    <w:rsid w:val="001427B7"/>
    <w:rsid w:val="001434BA"/>
    <w:rsid w:val="00147355"/>
    <w:rsid w:val="001476F6"/>
    <w:rsid w:val="00147957"/>
    <w:rsid w:val="0014798C"/>
    <w:rsid w:val="00147A34"/>
    <w:rsid w:val="001513EB"/>
    <w:rsid w:val="00152464"/>
    <w:rsid w:val="0015308E"/>
    <w:rsid w:val="0015317A"/>
    <w:rsid w:val="00156312"/>
    <w:rsid w:val="00157B9F"/>
    <w:rsid w:val="00160B59"/>
    <w:rsid w:val="0016153D"/>
    <w:rsid w:val="001615FF"/>
    <w:rsid w:val="001616CA"/>
    <w:rsid w:val="001645CA"/>
    <w:rsid w:val="00164EC3"/>
    <w:rsid w:val="001652A4"/>
    <w:rsid w:val="001658A0"/>
    <w:rsid w:val="001670FF"/>
    <w:rsid w:val="0016715E"/>
    <w:rsid w:val="00167583"/>
    <w:rsid w:val="00171334"/>
    <w:rsid w:val="00172736"/>
    <w:rsid w:val="001735F0"/>
    <w:rsid w:val="00173AC9"/>
    <w:rsid w:val="001838D7"/>
    <w:rsid w:val="00184912"/>
    <w:rsid w:val="00184BBC"/>
    <w:rsid w:val="00185014"/>
    <w:rsid w:val="00185AEE"/>
    <w:rsid w:val="00186649"/>
    <w:rsid w:val="001867AB"/>
    <w:rsid w:val="00187393"/>
    <w:rsid w:val="0019034B"/>
    <w:rsid w:val="0019055B"/>
    <w:rsid w:val="00190961"/>
    <w:rsid w:val="00190BAB"/>
    <w:rsid w:val="00192631"/>
    <w:rsid w:val="0019397B"/>
    <w:rsid w:val="00193AA0"/>
    <w:rsid w:val="00193B4D"/>
    <w:rsid w:val="00193F33"/>
    <w:rsid w:val="0019431A"/>
    <w:rsid w:val="00194BA5"/>
    <w:rsid w:val="00195E29"/>
    <w:rsid w:val="001963B7"/>
    <w:rsid w:val="0019732C"/>
    <w:rsid w:val="001979FE"/>
    <w:rsid w:val="001A05AC"/>
    <w:rsid w:val="001A069D"/>
    <w:rsid w:val="001A181D"/>
    <w:rsid w:val="001A22CC"/>
    <w:rsid w:val="001A2F4B"/>
    <w:rsid w:val="001A6AC8"/>
    <w:rsid w:val="001A6E94"/>
    <w:rsid w:val="001A75C7"/>
    <w:rsid w:val="001B0BA0"/>
    <w:rsid w:val="001B1599"/>
    <w:rsid w:val="001B17BC"/>
    <w:rsid w:val="001B21F7"/>
    <w:rsid w:val="001B233F"/>
    <w:rsid w:val="001B3ACA"/>
    <w:rsid w:val="001B637F"/>
    <w:rsid w:val="001B6AC4"/>
    <w:rsid w:val="001B74B9"/>
    <w:rsid w:val="001B7AF7"/>
    <w:rsid w:val="001C003B"/>
    <w:rsid w:val="001C016B"/>
    <w:rsid w:val="001C0310"/>
    <w:rsid w:val="001C4595"/>
    <w:rsid w:val="001C5505"/>
    <w:rsid w:val="001C78B7"/>
    <w:rsid w:val="001D0169"/>
    <w:rsid w:val="001D1946"/>
    <w:rsid w:val="001D415F"/>
    <w:rsid w:val="001D41EE"/>
    <w:rsid w:val="001D4F1D"/>
    <w:rsid w:val="001D5569"/>
    <w:rsid w:val="001D5707"/>
    <w:rsid w:val="001D614B"/>
    <w:rsid w:val="001D65AD"/>
    <w:rsid w:val="001D6680"/>
    <w:rsid w:val="001D6CA8"/>
    <w:rsid w:val="001D6D1E"/>
    <w:rsid w:val="001D6F89"/>
    <w:rsid w:val="001E0FA7"/>
    <w:rsid w:val="001E216E"/>
    <w:rsid w:val="001E223C"/>
    <w:rsid w:val="001E3156"/>
    <w:rsid w:val="001E3653"/>
    <w:rsid w:val="001E3D9B"/>
    <w:rsid w:val="001E4372"/>
    <w:rsid w:val="001E4C50"/>
    <w:rsid w:val="001E658D"/>
    <w:rsid w:val="001E7AE6"/>
    <w:rsid w:val="001E7C09"/>
    <w:rsid w:val="001E7CD9"/>
    <w:rsid w:val="001E7CDA"/>
    <w:rsid w:val="001F11B0"/>
    <w:rsid w:val="001F13E5"/>
    <w:rsid w:val="001F1CDC"/>
    <w:rsid w:val="001F29FE"/>
    <w:rsid w:val="001F3531"/>
    <w:rsid w:val="001F3BD1"/>
    <w:rsid w:val="001F4AF2"/>
    <w:rsid w:val="001F4D47"/>
    <w:rsid w:val="001F73B2"/>
    <w:rsid w:val="001F7B97"/>
    <w:rsid w:val="002001C4"/>
    <w:rsid w:val="00200717"/>
    <w:rsid w:val="00200C74"/>
    <w:rsid w:val="00201487"/>
    <w:rsid w:val="00202587"/>
    <w:rsid w:val="002028D3"/>
    <w:rsid w:val="00202D64"/>
    <w:rsid w:val="00202E76"/>
    <w:rsid w:val="00204A1C"/>
    <w:rsid w:val="0020509F"/>
    <w:rsid w:val="00207983"/>
    <w:rsid w:val="00207ED9"/>
    <w:rsid w:val="00212456"/>
    <w:rsid w:val="0021269A"/>
    <w:rsid w:val="00213BEC"/>
    <w:rsid w:val="002159FE"/>
    <w:rsid w:val="002164C0"/>
    <w:rsid w:val="002172D6"/>
    <w:rsid w:val="0021748D"/>
    <w:rsid w:val="002177DD"/>
    <w:rsid w:val="00217B5D"/>
    <w:rsid w:val="00220A7D"/>
    <w:rsid w:val="0022572D"/>
    <w:rsid w:val="00225B0A"/>
    <w:rsid w:val="00227419"/>
    <w:rsid w:val="0023001B"/>
    <w:rsid w:val="002303EF"/>
    <w:rsid w:val="00230F12"/>
    <w:rsid w:val="00232BB0"/>
    <w:rsid w:val="00232DDB"/>
    <w:rsid w:val="00233C04"/>
    <w:rsid w:val="002353A2"/>
    <w:rsid w:val="00235D61"/>
    <w:rsid w:val="00236762"/>
    <w:rsid w:val="0023699C"/>
    <w:rsid w:val="00237B80"/>
    <w:rsid w:val="00237F30"/>
    <w:rsid w:val="00240515"/>
    <w:rsid w:val="002417BE"/>
    <w:rsid w:val="002419B0"/>
    <w:rsid w:val="00241B5F"/>
    <w:rsid w:val="002434FF"/>
    <w:rsid w:val="002450B1"/>
    <w:rsid w:val="002454AF"/>
    <w:rsid w:val="0024679A"/>
    <w:rsid w:val="00246E6C"/>
    <w:rsid w:val="002473B5"/>
    <w:rsid w:val="00247BC3"/>
    <w:rsid w:val="002503AA"/>
    <w:rsid w:val="00250702"/>
    <w:rsid w:val="00251185"/>
    <w:rsid w:val="002518D6"/>
    <w:rsid w:val="002519B6"/>
    <w:rsid w:val="00253F87"/>
    <w:rsid w:val="00254196"/>
    <w:rsid w:val="0025507F"/>
    <w:rsid w:val="00260556"/>
    <w:rsid w:val="00260999"/>
    <w:rsid w:val="00261190"/>
    <w:rsid w:val="002623AA"/>
    <w:rsid w:val="002625D1"/>
    <w:rsid w:val="00263662"/>
    <w:rsid w:val="00264A12"/>
    <w:rsid w:val="002657C2"/>
    <w:rsid w:val="002658FC"/>
    <w:rsid w:val="00265934"/>
    <w:rsid w:val="0026702F"/>
    <w:rsid w:val="00267CB3"/>
    <w:rsid w:val="00270755"/>
    <w:rsid w:val="00270A8F"/>
    <w:rsid w:val="00270FA3"/>
    <w:rsid w:val="00271BB2"/>
    <w:rsid w:val="00272AC2"/>
    <w:rsid w:val="0027391B"/>
    <w:rsid w:val="00273D90"/>
    <w:rsid w:val="0027448F"/>
    <w:rsid w:val="00274862"/>
    <w:rsid w:val="002751A9"/>
    <w:rsid w:val="00275688"/>
    <w:rsid w:val="00275DAE"/>
    <w:rsid w:val="00276323"/>
    <w:rsid w:val="0027656F"/>
    <w:rsid w:val="00276C81"/>
    <w:rsid w:val="002819E3"/>
    <w:rsid w:val="00281EE2"/>
    <w:rsid w:val="0028214B"/>
    <w:rsid w:val="0028389B"/>
    <w:rsid w:val="002856CF"/>
    <w:rsid w:val="00286B70"/>
    <w:rsid w:val="00291A72"/>
    <w:rsid w:val="0029546E"/>
    <w:rsid w:val="00295764"/>
    <w:rsid w:val="00295F3D"/>
    <w:rsid w:val="002961CF"/>
    <w:rsid w:val="00296662"/>
    <w:rsid w:val="0029680E"/>
    <w:rsid w:val="00296EFC"/>
    <w:rsid w:val="00297160"/>
    <w:rsid w:val="002A1923"/>
    <w:rsid w:val="002A1BBE"/>
    <w:rsid w:val="002A42AD"/>
    <w:rsid w:val="002A49D6"/>
    <w:rsid w:val="002A641A"/>
    <w:rsid w:val="002A6D44"/>
    <w:rsid w:val="002A6F9A"/>
    <w:rsid w:val="002B0BC5"/>
    <w:rsid w:val="002B41C0"/>
    <w:rsid w:val="002B4D12"/>
    <w:rsid w:val="002B5F06"/>
    <w:rsid w:val="002B7AF1"/>
    <w:rsid w:val="002C0312"/>
    <w:rsid w:val="002C0915"/>
    <w:rsid w:val="002C1354"/>
    <w:rsid w:val="002C29B3"/>
    <w:rsid w:val="002C2DD7"/>
    <w:rsid w:val="002C33EE"/>
    <w:rsid w:val="002C349D"/>
    <w:rsid w:val="002C57DB"/>
    <w:rsid w:val="002C792C"/>
    <w:rsid w:val="002D38A0"/>
    <w:rsid w:val="002D4432"/>
    <w:rsid w:val="002E1784"/>
    <w:rsid w:val="002E1F68"/>
    <w:rsid w:val="002E2D5C"/>
    <w:rsid w:val="002E3695"/>
    <w:rsid w:val="002E3D7F"/>
    <w:rsid w:val="002E5659"/>
    <w:rsid w:val="002E6E9F"/>
    <w:rsid w:val="002F3571"/>
    <w:rsid w:val="002F3C9E"/>
    <w:rsid w:val="002F5855"/>
    <w:rsid w:val="002F6D10"/>
    <w:rsid w:val="002F6E8A"/>
    <w:rsid w:val="002F7244"/>
    <w:rsid w:val="003006FC"/>
    <w:rsid w:val="00300AF0"/>
    <w:rsid w:val="00301460"/>
    <w:rsid w:val="00301785"/>
    <w:rsid w:val="00302CE1"/>
    <w:rsid w:val="0030514D"/>
    <w:rsid w:val="003056A3"/>
    <w:rsid w:val="00307406"/>
    <w:rsid w:val="00307F02"/>
    <w:rsid w:val="0031126A"/>
    <w:rsid w:val="00312D87"/>
    <w:rsid w:val="00312FB3"/>
    <w:rsid w:val="00316DD4"/>
    <w:rsid w:val="003172A7"/>
    <w:rsid w:val="00317DB0"/>
    <w:rsid w:val="0032049A"/>
    <w:rsid w:val="00321CAD"/>
    <w:rsid w:val="0032202C"/>
    <w:rsid w:val="003225B6"/>
    <w:rsid w:val="00322971"/>
    <w:rsid w:val="003229D0"/>
    <w:rsid w:val="00322A86"/>
    <w:rsid w:val="00323FF4"/>
    <w:rsid w:val="00324179"/>
    <w:rsid w:val="00325523"/>
    <w:rsid w:val="00325963"/>
    <w:rsid w:val="003263FC"/>
    <w:rsid w:val="00327356"/>
    <w:rsid w:val="003273AD"/>
    <w:rsid w:val="003300FC"/>
    <w:rsid w:val="003312A8"/>
    <w:rsid w:val="00331313"/>
    <w:rsid w:val="00331EC8"/>
    <w:rsid w:val="00333127"/>
    <w:rsid w:val="00333DB0"/>
    <w:rsid w:val="003344B7"/>
    <w:rsid w:val="00334682"/>
    <w:rsid w:val="0033531E"/>
    <w:rsid w:val="00337C8D"/>
    <w:rsid w:val="00340016"/>
    <w:rsid w:val="00341455"/>
    <w:rsid w:val="003415F1"/>
    <w:rsid w:val="00341757"/>
    <w:rsid w:val="00341F44"/>
    <w:rsid w:val="00342801"/>
    <w:rsid w:val="00342CC0"/>
    <w:rsid w:val="003449A8"/>
    <w:rsid w:val="003453CA"/>
    <w:rsid w:val="00346429"/>
    <w:rsid w:val="00347422"/>
    <w:rsid w:val="00347CDA"/>
    <w:rsid w:val="00347EAD"/>
    <w:rsid w:val="00350B5C"/>
    <w:rsid w:val="00350F11"/>
    <w:rsid w:val="0035188B"/>
    <w:rsid w:val="003539BF"/>
    <w:rsid w:val="003548B7"/>
    <w:rsid w:val="00354A14"/>
    <w:rsid w:val="003563B5"/>
    <w:rsid w:val="003564A2"/>
    <w:rsid w:val="003565C3"/>
    <w:rsid w:val="00356BB4"/>
    <w:rsid w:val="00356D81"/>
    <w:rsid w:val="00357137"/>
    <w:rsid w:val="003575BC"/>
    <w:rsid w:val="003576C1"/>
    <w:rsid w:val="0035799A"/>
    <w:rsid w:val="00360702"/>
    <w:rsid w:val="00361C10"/>
    <w:rsid w:val="00362DFB"/>
    <w:rsid w:val="003632EE"/>
    <w:rsid w:val="00363B29"/>
    <w:rsid w:val="00363C6D"/>
    <w:rsid w:val="00366275"/>
    <w:rsid w:val="00366F60"/>
    <w:rsid w:val="00371CEB"/>
    <w:rsid w:val="00373866"/>
    <w:rsid w:val="003740F4"/>
    <w:rsid w:val="003748B6"/>
    <w:rsid w:val="00376ED0"/>
    <w:rsid w:val="0038068F"/>
    <w:rsid w:val="00381B25"/>
    <w:rsid w:val="00381C7C"/>
    <w:rsid w:val="00382917"/>
    <w:rsid w:val="00382C9F"/>
    <w:rsid w:val="00382E85"/>
    <w:rsid w:val="0038384C"/>
    <w:rsid w:val="003839BE"/>
    <w:rsid w:val="003842A1"/>
    <w:rsid w:val="003847B8"/>
    <w:rsid w:val="003863D6"/>
    <w:rsid w:val="003873B9"/>
    <w:rsid w:val="00387B97"/>
    <w:rsid w:val="00390B63"/>
    <w:rsid w:val="003921BF"/>
    <w:rsid w:val="003947B8"/>
    <w:rsid w:val="00394827"/>
    <w:rsid w:val="003950B2"/>
    <w:rsid w:val="00395441"/>
    <w:rsid w:val="003955ED"/>
    <w:rsid w:val="0039574C"/>
    <w:rsid w:val="00396C25"/>
    <w:rsid w:val="00396FAD"/>
    <w:rsid w:val="003A0019"/>
    <w:rsid w:val="003A03A7"/>
    <w:rsid w:val="003A065B"/>
    <w:rsid w:val="003A16D8"/>
    <w:rsid w:val="003A346C"/>
    <w:rsid w:val="003A3AED"/>
    <w:rsid w:val="003A51AF"/>
    <w:rsid w:val="003A57ED"/>
    <w:rsid w:val="003A5C9B"/>
    <w:rsid w:val="003A7AFC"/>
    <w:rsid w:val="003B1A54"/>
    <w:rsid w:val="003B1BFE"/>
    <w:rsid w:val="003B2B69"/>
    <w:rsid w:val="003B35C2"/>
    <w:rsid w:val="003B43B9"/>
    <w:rsid w:val="003B5A79"/>
    <w:rsid w:val="003B60BC"/>
    <w:rsid w:val="003C0530"/>
    <w:rsid w:val="003C0812"/>
    <w:rsid w:val="003C2E74"/>
    <w:rsid w:val="003C306C"/>
    <w:rsid w:val="003C36BE"/>
    <w:rsid w:val="003C3AC2"/>
    <w:rsid w:val="003C3FE7"/>
    <w:rsid w:val="003C421C"/>
    <w:rsid w:val="003C4296"/>
    <w:rsid w:val="003C474D"/>
    <w:rsid w:val="003C4B22"/>
    <w:rsid w:val="003C63D6"/>
    <w:rsid w:val="003C63F0"/>
    <w:rsid w:val="003C77B4"/>
    <w:rsid w:val="003D011E"/>
    <w:rsid w:val="003D28DD"/>
    <w:rsid w:val="003D2C20"/>
    <w:rsid w:val="003D5206"/>
    <w:rsid w:val="003D5674"/>
    <w:rsid w:val="003D5B1A"/>
    <w:rsid w:val="003D67B3"/>
    <w:rsid w:val="003D6F27"/>
    <w:rsid w:val="003D7503"/>
    <w:rsid w:val="003D7B17"/>
    <w:rsid w:val="003E00E0"/>
    <w:rsid w:val="003E1D3E"/>
    <w:rsid w:val="003E28A3"/>
    <w:rsid w:val="003E2AEE"/>
    <w:rsid w:val="003E30FD"/>
    <w:rsid w:val="003E5158"/>
    <w:rsid w:val="003E6473"/>
    <w:rsid w:val="003F0ED8"/>
    <w:rsid w:val="003F0F46"/>
    <w:rsid w:val="003F2DF2"/>
    <w:rsid w:val="003F5304"/>
    <w:rsid w:val="003F7676"/>
    <w:rsid w:val="0040044F"/>
    <w:rsid w:val="00400473"/>
    <w:rsid w:val="0040087E"/>
    <w:rsid w:val="004013F2"/>
    <w:rsid w:val="004020D3"/>
    <w:rsid w:val="004027D2"/>
    <w:rsid w:val="00402B18"/>
    <w:rsid w:val="00402F9F"/>
    <w:rsid w:val="004047EB"/>
    <w:rsid w:val="00405BBE"/>
    <w:rsid w:val="0040706B"/>
    <w:rsid w:val="004070CD"/>
    <w:rsid w:val="0040745F"/>
    <w:rsid w:val="004107E6"/>
    <w:rsid w:val="00411173"/>
    <w:rsid w:val="00413294"/>
    <w:rsid w:val="004147BD"/>
    <w:rsid w:val="00416A45"/>
    <w:rsid w:val="00417066"/>
    <w:rsid w:val="00417D4E"/>
    <w:rsid w:val="00417F62"/>
    <w:rsid w:val="00417F6B"/>
    <w:rsid w:val="00420DC2"/>
    <w:rsid w:val="004217DF"/>
    <w:rsid w:val="0042203C"/>
    <w:rsid w:val="00422497"/>
    <w:rsid w:val="00422CF6"/>
    <w:rsid w:val="004232AA"/>
    <w:rsid w:val="004256E0"/>
    <w:rsid w:val="00425CA2"/>
    <w:rsid w:val="00426E33"/>
    <w:rsid w:val="00431152"/>
    <w:rsid w:val="004333A5"/>
    <w:rsid w:val="00434553"/>
    <w:rsid w:val="00436E6D"/>
    <w:rsid w:val="00437000"/>
    <w:rsid w:val="004377AB"/>
    <w:rsid w:val="00440ECB"/>
    <w:rsid w:val="00442260"/>
    <w:rsid w:val="004435B9"/>
    <w:rsid w:val="00444073"/>
    <w:rsid w:val="004454AA"/>
    <w:rsid w:val="00445A8E"/>
    <w:rsid w:val="00445E9E"/>
    <w:rsid w:val="00446ED5"/>
    <w:rsid w:val="00446FF0"/>
    <w:rsid w:val="0045115A"/>
    <w:rsid w:val="00451F43"/>
    <w:rsid w:val="00455F11"/>
    <w:rsid w:val="00456D96"/>
    <w:rsid w:val="00456DEA"/>
    <w:rsid w:val="00457BA6"/>
    <w:rsid w:val="00457C35"/>
    <w:rsid w:val="00460062"/>
    <w:rsid w:val="00460903"/>
    <w:rsid w:val="00461E36"/>
    <w:rsid w:val="00462217"/>
    <w:rsid w:val="00462E14"/>
    <w:rsid w:val="004635CD"/>
    <w:rsid w:val="004641C2"/>
    <w:rsid w:val="004648A1"/>
    <w:rsid w:val="0046551C"/>
    <w:rsid w:val="0046690F"/>
    <w:rsid w:val="00466F9B"/>
    <w:rsid w:val="00467CE9"/>
    <w:rsid w:val="004708D0"/>
    <w:rsid w:val="00470B93"/>
    <w:rsid w:val="004715DE"/>
    <w:rsid w:val="00474263"/>
    <w:rsid w:val="00474C2C"/>
    <w:rsid w:val="00475586"/>
    <w:rsid w:val="00476470"/>
    <w:rsid w:val="00476499"/>
    <w:rsid w:val="00476726"/>
    <w:rsid w:val="004775F0"/>
    <w:rsid w:val="0048059F"/>
    <w:rsid w:val="004812D5"/>
    <w:rsid w:val="00481488"/>
    <w:rsid w:val="00483282"/>
    <w:rsid w:val="004835A5"/>
    <w:rsid w:val="0048539D"/>
    <w:rsid w:val="004858CD"/>
    <w:rsid w:val="00486434"/>
    <w:rsid w:val="0048644A"/>
    <w:rsid w:val="00486902"/>
    <w:rsid w:val="00486B39"/>
    <w:rsid w:val="00487D4C"/>
    <w:rsid w:val="0049057B"/>
    <w:rsid w:val="00490622"/>
    <w:rsid w:val="00490660"/>
    <w:rsid w:val="00491054"/>
    <w:rsid w:val="00494235"/>
    <w:rsid w:val="00495463"/>
    <w:rsid w:val="004965FE"/>
    <w:rsid w:val="004967E8"/>
    <w:rsid w:val="00497775"/>
    <w:rsid w:val="004979F6"/>
    <w:rsid w:val="00497CF4"/>
    <w:rsid w:val="004A0766"/>
    <w:rsid w:val="004A1DDA"/>
    <w:rsid w:val="004A1EF4"/>
    <w:rsid w:val="004A4161"/>
    <w:rsid w:val="004A4483"/>
    <w:rsid w:val="004A61A4"/>
    <w:rsid w:val="004A6389"/>
    <w:rsid w:val="004A6DDB"/>
    <w:rsid w:val="004A724F"/>
    <w:rsid w:val="004B1E9D"/>
    <w:rsid w:val="004B25E7"/>
    <w:rsid w:val="004B42FB"/>
    <w:rsid w:val="004B62E6"/>
    <w:rsid w:val="004C2BB7"/>
    <w:rsid w:val="004C3273"/>
    <w:rsid w:val="004C3877"/>
    <w:rsid w:val="004C3CED"/>
    <w:rsid w:val="004C4506"/>
    <w:rsid w:val="004C49DA"/>
    <w:rsid w:val="004C548B"/>
    <w:rsid w:val="004C6772"/>
    <w:rsid w:val="004C6B0D"/>
    <w:rsid w:val="004C7A1A"/>
    <w:rsid w:val="004D0283"/>
    <w:rsid w:val="004D12BA"/>
    <w:rsid w:val="004D1D67"/>
    <w:rsid w:val="004D204B"/>
    <w:rsid w:val="004D2EBB"/>
    <w:rsid w:val="004D3630"/>
    <w:rsid w:val="004D4B51"/>
    <w:rsid w:val="004D59B1"/>
    <w:rsid w:val="004D7B90"/>
    <w:rsid w:val="004D7EFE"/>
    <w:rsid w:val="004E00DC"/>
    <w:rsid w:val="004E14D1"/>
    <w:rsid w:val="004E1E52"/>
    <w:rsid w:val="004E22D0"/>
    <w:rsid w:val="004E3EB1"/>
    <w:rsid w:val="004E5D26"/>
    <w:rsid w:val="004F0140"/>
    <w:rsid w:val="004F2395"/>
    <w:rsid w:val="004F296A"/>
    <w:rsid w:val="004F3336"/>
    <w:rsid w:val="004F4397"/>
    <w:rsid w:val="004F5BB7"/>
    <w:rsid w:val="004F6700"/>
    <w:rsid w:val="004F69C0"/>
    <w:rsid w:val="004F7AB1"/>
    <w:rsid w:val="004F7C67"/>
    <w:rsid w:val="005011EF"/>
    <w:rsid w:val="005013F4"/>
    <w:rsid w:val="005026A0"/>
    <w:rsid w:val="0050290C"/>
    <w:rsid w:val="00502CC1"/>
    <w:rsid w:val="00503577"/>
    <w:rsid w:val="00503A16"/>
    <w:rsid w:val="00506020"/>
    <w:rsid w:val="00506A63"/>
    <w:rsid w:val="0050726F"/>
    <w:rsid w:val="005110DC"/>
    <w:rsid w:val="005112B3"/>
    <w:rsid w:val="00511D84"/>
    <w:rsid w:val="0051239A"/>
    <w:rsid w:val="005132E7"/>
    <w:rsid w:val="00514735"/>
    <w:rsid w:val="0051522C"/>
    <w:rsid w:val="005201A4"/>
    <w:rsid w:val="00521130"/>
    <w:rsid w:val="005216E5"/>
    <w:rsid w:val="00522164"/>
    <w:rsid w:val="0052288F"/>
    <w:rsid w:val="00523EE1"/>
    <w:rsid w:val="00524BBA"/>
    <w:rsid w:val="00525315"/>
    <w:rsid w:val="005257E7"/>
    <w:rsid w:val="005265F7"/>
    <w:rsid w:val="00530194"/>
    <w:rsid w:val="00530CAB"/>
    <w:rsid w:val="0053147C"/>
    <w:rsid w:val="005314AD"/>
    <w:rsid w:val="005314B6"/>
    <w:rsid w:val="00531DC4"/>
    <w:rsid w:val="00532208"/>
    <w:rsid w:val="00532F86"/>
    <w:rsid w:val="00533371"/>
    <w:rsid w:val="00534762"/>
    <w:rsid w:val="00535734"/>
    <w:rsid w:val="00535D9D"/>
    <w:rsid w:val="00540B01"/>
    <w:rsid w:val="00541589"/>
    <w:rsid w:val="00541B31"/>
    <w:rsid w:val="005423A5"/>
    <w:rsid w:val="005435B2"/>
    <w:rsid w:val="005443C6"/>
    <w:rsid w:val="0054755C"/>
    <w:rsid w:val="0054794B"/>
    <w:rsid w:val="00547AC2"/>
    <w:rsid w:val="0055094F"/>
    <w:rsid w:val="005510BA"/>
    <w:rsid w:val="00554BCD"/>
    <w:rsid w:val="00555457"/>
    <w:rsid w:val="005565B1"/>
    <w:rsid w:val="00557044"/>
    <w:rsid w:val="00557A16"/>
    <w:rsid w:val="00561BA6"/>
    <w:rsid w:val="00561E41"/>
    <w:rsid w:val="00562363"/>
    <w:rsid w:val="00563747"/>
    <w:rsid w:val="00563998"/>
    <w:rsid w:val="00564D33"/>
    <w:rsid w:val="00565C68"/>
    <w:rsid w:val="00566D5D"/>
    <w:rsid w:val="005678E1"/>
    <w:rsid w:val="005700E0"/>
    <w:rsid w:val="00571498"/>
    <w:rsid w:val="00571524"/>
    <w:rsid w:val="00572C40"/>
    <w:rsid w:val="00575597"/>
    <w:rsid w:val="00576BA0"/>
    <w:rsid w:val="00581903"/>
    <w:rsid w:val="00582D3B"/>
    <w:rsid w:val="00582DDC"/>
    <w:rsid w:val="005835DA"/>
    <w:rsid w:val="005848F0"/>
    <w:rsid w:val="00587C40"/>
    <w:rsid w:val="00591961"/>
    <w:rsid w:val="00591E27"/>
    <w:rsid w:val="0059209E"/>
    <w:rsid w:val="00592506"/>
    <w:rsid w:val="00592D6D"/>
    <w:rsid w:val="00593187"/>
    <w:rsid w:val="00594BE0"/>
    <w:rsid w:val="005969B3"/>
    <w:rsid w:val="00597CC6"/>
    <w:rsid w:val="005A0483"/>
    <w:rsid w:val="005A2887"/>
    <w:rsid w:val="005A308A"/>
    <w:rsid w:val="005A30CD"/>
    <w:rsid w:val="005A390E"/>
    <w:rsid w:val="005A3977"/>
    <w:rsid w:val="005A3E06"/>
    <w:rsid w:val="005A5D83"/>
    <w:rsid w:val="005A669A"/>
    <w:rsid w:val="005A6773"/>
    <w:rsid w:val="005A7907"/>
    <w:rsid w:val="005B0D2B"/>
    <w:rsid w:val="005B120F"/>
    <w:rsid w:val="005B3578"/>
    <w:rsid w:val="005B3B5C"/>
    <w:rsid w:val="005B4146"/>
    <w:rsid w:val="005B5ACA"/>
    <w:rsid w:val="005B5E64"/>
    <w:rsid w:val="005B675F"/>
    <w:rsid w:val="005B7125"/>
    <w:rsid w:val="005C012A"/>
    <w:rsid w:val="005C12F8"/>
    <w:rsid w:val="005C25B0"/>
    <w:rsid w:val="005C44A1"/>
    <w:rsid w:val="005C63B9"/>
    <w:rsid w:val="005D149B"/>
    <w:rsid w:val="005D3A2E"/>
    <w:rsid w:val="005D3AAC"/>
    <w:rsid w:val="005D3BFD"/>
    <w:rsid w:val="005D3F56"/>
    <w:rsid w:val="005D4E7E"/>
    <w:rsid w:val="005D5C3E"/>
    <w:rsid w:val="005D60F3"/>
    <w:rsid w:val="005D69DF"/>
    <w:rsid w:val="005D6EC5"/>
    <w:rsid w:val="005D70FF"/>
    <w:rsid w:val="005E14CA"/>
    <w:rsid w:val="005E2EF2"/>
    <w:rsid w:val="005E32A9"/>
    <w:rsid w:val="005E4AEA"/>
    <w:rsid w:val="005E57A2"/>
    <w:rsid w:val="005E668F"/>
    <w:rsid w:val="005E6721"/>
    <w:rsid w:val="005E7394"/>
    <w:rsid w:val="005F02D7"/>
    <w:rsid w:val="005F1621"/>
    <w:rsid w:val="005F251D"/>
    <w:rsid w:val="005F5048"/>
    <w:rsid w:val="00601C1B"/>
    <w:rsid w:val="0060244F"/>
    <w:rsid w:val="00602CC7"/>
    <w:rsid w:val="00603D33"/>
    <w:rsid w:val="00603FA8"/>
    <w:rsid w:val="00604428"/>
    <w:rsid w:val="00605950"/>
    <w:rsid w:val="00605B90"/>
    <w:rsid w:val="00606010"/>
    <w:rsid w:val="00606BF9"/>
    <w:rsid w:val="00607936"/>
    <w:rsid w:val="006110FE"/>
    <w:rsid w:val="00614DEF"/>
    <w:rsid w:val="00617005"/>
    <w:rsid w:val="00621A76"/>
    <w:rsid w:val="00621EAD"/>
    <w:rsid w:val="006226F0"/>
    <w:rsid w:val="006231D5"/>
    <w:rsid w:val="00623EEA"/>
    <w:rsid w:val="006255BF"/>
    <w:rsid w:val="00625600"/>
    <w:rsid w:val="006328D9"/>
    <w:rsid w:val="00632AFF"/>
    <w:rsid w:val="00633704"/>
    <w:rsid w:val="00633D72"/>
    <w:rsid w:val="00634343"/>
    <w:rsid w:val="00635A5D"/>
    <w:rsid w:val="00636E2A"/>
    <w:rsid w:val="00637408"/>
    <w:rsid w:val="0064212E"/>
    <w:rsid w:val="00642ED0"/>
    <w:rsid w:val="006430F2"/>
    <w:rsid w:val="0064334F"/>
    <w:rsid w:val="00643E70"/>
    <w:rsid w:val="00645FD2"/>
    <w:rsid w:val="0064794E"/>
    <w:rsid w:val="00650F9F"/>
    <w:rsid w:val="00652340"/>
    <w:rsid w:val="00652BAD"/>
    <w:rsid w:val="0065443D"/>
    <w:rsid w:val="00654AFD"/>
    <w:rsid w:val="006564B0"/>
    <w:rsid w:val="006567CD"/>
    <w:rsid w:val="00656EDB"/>
    <w:rsid w:val="006603BF"/>
    <w:rsid w:val="00660E05"/>
    <w:rsid w:val="00660FBE"/>
    <w:rsid w:val="00661441"/>
    <w:rsid w:val="006640E0"/>
    <w:rsid w:val="006665CC"/>
    <w:rsid w:val="00670341"/>
    <w:rsid w:val="00670B26"/>
    <w:rsid w:val="00670BCB"/>
    <w:rsid w:val="00671ACF"/>
    <w:rsid w:val="00671B28"/>
    <w:rsid w:val="00673F90"/>
    <w:rsid w:val="00674AD5"/>
    <w:rsid w:val="00676007"/>
    <w:rsid w:val="006760B5"/>
    <w:rsid w:val="0067618D"/>
    <w:rsid w:val="00676643"/>
    <w:rsid w:val="00677380"/>
    <w:rsid w:val="006773D5"/>
    <w:rsid w:val="00680507"/>
    <w:rsid w:val="00682DBD"/>
    <w:rsid w:val="00682ECE"/>
    <w:rsid w:val="00684B09"/>
    <w:rsid w:val="006853EF"/>
    <w:rsid w:val="0068719A"/>
    <w:rsid w:val="00687E5C"/>
    <w:rsid w:val="00690BB5"/>
    <w:rsid w:val="006914A8"/>
    <w:rsid w:val="00692089"/>
    <w:rsid w:val="00692C90"/>
    <w:rsid w:val="00692FFF"/>
    <w:rsid w:val="0069312A"/>
    <w:rsid w:val="00693A5F"/>
    <w:rsid w:val="00693D79"/>
    <w:rsid w:val="00694548"/>
    <w:rsid w:val="0069789A"/>
    <w:rsid w:val="006A04A4"/>
    <w:rsid w:val="006A161F"/>
    <w:rsid w:val="006A24E3"/>
    <w:rsid w:val="006A3EC0"/>
    <w:rsid w:val="006A5FF2"/>
    <w:rsid w:val="006A64C1"/>
    <w:rsid w:val="006B025A"/>
    <w:rsid w:val="006B32C8"/>
    <w:rsid w:val="006B40CD"/>
    <w:rsid w:val="006B43E8"/>
    <w:rsid w:val="006B63BF"/>
    <w:rsid w:val="006B6852"/>
    <w:rsid w:val="006B6BBB"/>
    <w:rsid w:val="006C07CE"/>
    <w:rsid w:val="006C09CB"/>
    <w:rsid w:val="006C0B5A"/>
    <w:rsid w:val="006C1B3D"/>
    <w:rsid w:val="006C5D3F"/>
    <w:rsid w:val="006C6904"/>
    <w:rsid w:val="006C70DB"/>
    <w:rsid w:val="006C763B"/>
    <w:rsid w:val="006D0DFD"/>
    <w:rsid w:val="006D2EB8"/>
    <w:rsid w:val="006D3339"/>
    <w:rsid w:val="006D3765"/>
    <w:rsid w:val="006D378D"/>
    <w:rsid w:val="006D3C7E"/>
    <w:rsid w:val="006D4076"/>
    <w:rsid w:val="006D5AE7"/>
    <w:rsid w:val="006D60A4"/>
    <w:rsid w:val="006D699F"/>
    <w:rsid w:val="006D6F41"/>
    <w:rsid w:val="006D7A0E"/>
    <w:rsid w:val="006E21A8"/>
    <w:rsid w:val="006E3E74"/>
    <w:rsid w:val="006E7965"/>
    <w:rsid w:val="006F1001"/>
    <w:rsid w:val="006F10B6"/>
    <w:rsid w:val="006F291B"/>
    <w:rsid w:val="006F3449"/>
    <w:rsid w:val="006F3E33"/>
    <w:rsid w:val="006F4811"/>
    <w:rsid w:val="006F48CF"/>
    <w:rsid w:val="006F5E89"/>
    <w:rsid w:val="006F655B"/>
    <w:rsid w:val="006F65C7"/>
    <w:rsid w:val="006F668D"/>
    <w:rsid w:val="007006F4"/>
    <w:rsid w:val="00700867"/>
    <w:rsid w:val="007011E2"/>
    <w:rsid w:val="00701391"/>
    <w:rsid w:val="00702EBF"/>
    <w:rsid w:val="0070347D"/>
    <w:rsid w:val="00704095"/>
    <w:rsid w:val="00705FD3"/>
    <w:rsid w:val="007069EF"/>
    <w:rsid w:val="007073F1"/>
    <w:rsid w:val="00711686"/>
    <w:rsid w:val="007118E7"/>
    <w:rsid w:val="00712699"/>
    <w:rsid w:val="00712C1D"/>
    <w:rsid w:val="00713FBB"/>
    <w:rsid w:val="0071424E"/>
    <w:rsid w:val="00714992"/>
    <w:rsid w:val="00715BE2"/>
    <w:rsid w:val="00717549"/>
    <w:rsid w:val="007201D6"/>
    <w:rsid w:val="00720A48"/>
    <w:rsid w:val="007214CE"/>
    <w:rsid w:val="007228BF"/>
    <w:rsid w:val="00722914"/>
    <w:rsid w:val="00722E73"/>
    <w:rsid w:val="00724244"/>
    <w:rsid w:val="00725336"/>
    <w:rsid w:val="00726877"/>
    <w:rsid w:val="00726CDF"/>
    <w:rsid w:val="0072763F"/>
    <w:rsid w:val="00730EFC"/>
    <w:rsid w:val="00732D61"/>
    <w:rsid w:val="0073490C"/>
    <w:rsid w:val="00735571"/>
    <w:rsid w:val="0073561F"/>
    <w:rsid w:val="00736AFF"/>
    <w:rsid w:val="00737970"/>
    <w:rsid w:val="007414BC"/>
    <w:rsid w:val="00742FAF"/>
    <w:rsid w:val="00747661"/>
    <w:rsid w:val="00753BB3"/>
    <w:rsid w:val="007559FE"/>
    <w:rsid w:val="007560DE"/>
    <w:rsid w:val="00756B2F"/>
    <w:rsid w:val="0076149B"/>
    <w:rsid w:val="00762826"/>
    <w:rsid w:val="00763B25"/>
    <w:rsid w:val="00763D95"/>
    <w:rsid w:val="00764498"/>
    <w:rsid w:val="0076528D"/>
    <w:rsid w:val="00770022"/>
    <w:rsid w:val="007734DE"/>
    <w:rsid w:val="007741C5"/>
    <w:rsid w:val="00774BC2"/>
    <w:rsid w:val="00776978"/>
    <w:rsid w:val="00776A9A"/>
    <w:rsid w:val="00776C86"/>
    <w:rsid w:val="00776F8C"/>
    <w:rsid w:val="00777996"/>
    <w:rsid w:val="00777B88"/>
    <w:rsid w:val="007804DB"/>
    <w:rsid w:val="00781693"/>
    <w:rsid w:val="007818A1"/>
    <w:rsid w:val="00781F54"/>
    <w:rsid w:val="00782974"/>
    <w:rsid w:val="00785960"/>
    <w:rsid w:val="00785C21"/>
    <w:rsid w:val="00786113"/>
    <w:rsid w:val="00786B3A"/>
    <w:rsid w:val="00786DF2"/>
    <w:rsid w:val="00787CD9"/>
    <w:rsid w:val="00791507"/>
    <w:rsid w:val="007923E1"/>
    <w:rsid w:val="00793003"/>
    <w:rsid w:val="007941B2"/>
    <w:rsid w:val="007948DB"/>
    <w:rsid w:val="00795A69"/>
    <w:rsid w:val="00795FB7"/>
    <w:rsid w:val="0079625E"/>
    <w:rsid w:val="007A1790"/>
    <w:rsid w:val="007A17DA"/>
    <w:rsid w:val="007A3025"/>
    <w:rsid w:val="007A4073"/>
    <w:rsid w:val="007A4E83"/>
    <w:rsid w:val="007A58CB"/>
    <w:rsid w:val="007A5A10"/>
    <w:rsid w:val="007A5B27"/>
    <w:rsid w:val="007A625F"/>
    <w:rsid w:val="007A6662"/>
    <w:rsid w:val="007A6A06"/>
    <w:rsid w:val="007A71D4"/>
    <w:rsid w:val="007B0195"/>
    <w:rsid w:val="007B047B"/>
    <w:rsid w:val="007B1F94"/>
    <w:rsid w:val="007B2AC3"/>
    <w:rsid w:val="007B2FD2"/>
    <w:rsid w:val="007B40A8"/>
    <w:rsid w:val="007B5DAF"/>
    <w:rsid w:val="007C232A"/>
    <w:rsid w:val="007C2555"/>
    <w:rsid w:val="007C2A11"/>
    <w:rsid w:val="007C3109"/>
    <w:rsid w:val="007C334E"/>
    <w:rsid w:val="007C3B2B"/>
    <w:rsid w:val="007C3D44"/>
    <w:rsid w:val="007C3D5D"/>
    <w:rsid w:val="007C4930"/>
    <w:rsid w:val="007C496E"/>
    <w:rsid w:val="007C4D48"/>
    <w:rsid w:val="007C574C"/>
    <w:rsid w:val="007C6A8E"/>
    <w:rsid w:val="007C7422"/>
    <w:rsid w:val="007D04B6"/>
    <w:rsid w:val="007D10E1"/>
    <w:rsid w:val="007D1BC6"/>
    <w:rsid w:val="007D2BE6"/>
    <w:rsid w:val="007D2D6B"/>
    <w:rsid w:val="007D3A05"/>
    <w:rsid w:val="007D3FED"/>
    <w:rsid w:val="007D4BA8"/>
    <w:rsid w:val="007D4F78"/>
    <w:rsid w:val="007D7AD5"/>
    <w:rsid w:val="007E02E6"/>
    <w:rsid w:val="007E0627"/>
    <w:rsid w:val="007E1108"/>
    <w:rsid w:val="007E1514"/>
    <w:rsid w:val="007E3CEF"/>
    <w:rsid w:val="007E4DCE"/>
    <w:rsid w:val="007E4EDD"/>
    <w:rsid w:val="007E50DD"/>
    <w:rsid w:val="007E5204"/>
    <w:rsid w:val="007E6158"/>
    <w:rsid w:val="007E622A"/>
    <w:rsid w:val="007E6295"/>
    <w:rsid w:val="007E64F9"/>
    <w:rsid w:val="007F042D"/>
    <w:rsid w:val="007F1399"/>
    <w:rsid w:val="007F19C1"/>
    <w:rsid w:val="007F1DC2"/>
    <w:rsid w:val="007F2331"/>
    <w:rsid w:val="007F2C2F"/>
    <w:rsid w:val="007F2E7D"/>
    <w:rsid w:val="007F2ECE"/>
    <w:rsid w:val="007F3684"/>
    <w:rsid w:val="007F3769"/>
    <w:rsid w:val="007F3A54"/>
    <w:rsid w:val="007F4385"/>
    <w:rsid w:val="007F73E2"/>
    <w:rsid w:val="007F77DE"/>
    <w:rsid w:val="00800067"/>
    <w:rsid w:val="008006C0"/>
    <w:rsid w:val="008011A2"/>
    <w:rsid w:val="008044F5"/>
    <w:rsid w:val="00804663"/>
    <w:rsid w:val="00804B98"/>
    <w:rsid w:val="008053E7"/>
    <w:rsid w:val="00805A37"/>
    <w:rsid w:val="00807305"/>
    <w:rsid w:val="00811263"/>
    <w:rsid w:val="00811C04"/>
    <w:rsid w:val="00813A01"/>
    <w:rsid w:val="00815B34"/>
    <w:rsid w:val="00816987"/>
    <w:rsid w:val="00817B0C"/>
    <w:rsid w:val="00820471"/>
    <w:rsid w:val="0082159A"/>
    <w:rsid w:val="00822AC6"/>
    <w:rsid w:val="00822F3B"/>
    <w:rsid w:val="00823780"/>
    <w:rsid w:val="008247A2"/>
    <w:rsid w:val="00825A30"/>
    <w:rsid w:val="00825F48"/>
    <w:rsid w:val="00826EA5"/>
    <w:rsid w:val="00827DE2"/>
    <w:rsid w:val="00830507"/>
    <w:rsid w:val="00831F44"/>
    <w:rsid w:val="008321B4"/>
    <w:rsid w:val="00832F8F"/>
    <w:rsid w:val="00833890"/>
    <w:rsid w:val="00833D2A"/>
    <w:rsid w:val="00837064"/>
    <w:rsid w:val="00840A9A"/>
    <w:rsid w:val="008410FE"/>
    <w:rsid w:val="00841794"/>
    <w:rsid w:val="008426DD"/>
    <w:rsid w:val="00843394"/>
    <w:rsid w:val="00843C83"/>
    <w:rsid w:val="00843F54"/>
    <w:rsid w:val="00844334"/>
    <w:rsid w:val="00844992"/>
    <w:rsid w:val="00845F7A"/>
    <w:rsid w:val="00847DA9"/>
    <w:rsid w:val="00850383"/>
    <w:rsid w:val="00850BD9"/>
    <w:rsid w:val="00851122"/>
    <w:rsid w:val="008527F0"/>
    <w:rsid w:val="00852F80"/>
    <w:rsid w:val="00853356"/>
    <w:rsid w:val="0085389A"/>
    <w:rsid w:val="008542B3"/>
    <w:rsid w:val="008560D3"/>
    <w:rsid w:val="00856C07"/>
    <w:rsid w:val="008615A7"/>
    <w:rsid w:val="0086182A"/>
    <w:rsid w:val="00861CFF"/>
    <w:rsid w:val="00863AA4"/>
    <w:rsid w:val="00863F13"/>
    <w:rsid w:val="00864209"/>
    <w:rsid w:val="00864227"/>
    <w:rsid w:val="00865617"/>
    <w:rsid w:val="008666AF"/>
    <w:rsid w:val="00866940"/>
    <w:rsid w:val="00866971"/>
    <w:rsid w:val="00866E0E"/>
    <w:rsid w:val="00870172"/>
    <w:rsid w:val="008701DD"/>
    <w:rsid w:val="00870586"/>
    <w:rsid w:val="008712B3"/>
    <w:rsid w:val="00871570"/>
    <w:rsid w:val="0087186D"/>
    <w:rsid w:val="00872A67"/>
    <w:rsid w:val="0087314D"/>
    <w:rsid w:val="00873914"/>
    <w:rsid w:val="0087436D"/>
    <w:rsid w:val="00875CF2"/>
    <w:rsid w:val="00876F11"/>
    <w:rsid w:val="008809CA"/>
    <w:rsid w:val="00881AC3"/>
    <w:rsid w:val="00881B91"/>
    <w:rsid w:val="00883D1A"/>
    <w:rsid w:val="008861A4"/>
    <w:rsid w:val="00886225"/>
    <w:rsid w:val="00886BE0"/>
    <w:rsid w:val="0088739A"/>
    <w:rsid w:val="00887617"/>
    <w:rsid w:val="00887738"/>
    <w:rsid w:val="00890B44"/>
    <w:rsid w:val="00893211"/>
    <w:rsid w:val="008941C1"/>
    <w:rsid w:val="008948B0"/>
    <w:rsid w:val="0089559E"/>
    <w:rsid w:val="008971EB"/>
    <w:rsid w:val="008A13AA"/>
    <w:rsid w:val="008A16A1"/>
    <w:rsid w:val="008A1D30"/>
    <w:rsid w:val="008A3C93"/>
    <w:rsid w:val="008A3FAA"/>
    <w:rsid w:val="008B0853"/>
    <w:rsid w:val="008B1ED1"/>
    <w:rsid w:val="008B2071"/>
    <w:rsid w:val="008B2971"/>
    <w:rsid w:val="008B3583"/>
    <w:rsid w:val="008B491A"/>
    <w:rsid w:val="008B56CE"/>
    <w:rsid w:val="008B6C7D"/>
    <w:rsid w:val="008B6E07"/>
    <w:rsid w:val="008B6EF5"/>
    <w:rsid w:val="008B7C19"/>
    <w:rsid w:val="008C0DB6"/>
    <w:rsid w:val="008C13B1"/>
    <w:rsid w:val="008C197B"/>
    <w:rsid w:val="008C2186"/>
    <w:rsid w:val="008C275F"/>
    <w:rsid w:val="008C35B0"/>
    <w:rsid w:val="008C361B"/>
    <w:rsid w:val="008C4E45"/>
    <w:rsid w:val="008C5862"/>
    <w:rsid w:val="008C58E0"/>
    <w:rsid w:val="008C736B"/>
    <w:rsid w:val="008C7D59"/>
    <w:rsid w:val="008D0D73"/>
    <w:rsid w:val="008D0DBA"/>
    <w:rsid w:val="008D1045"/>
    <w:rsid w:val="008D28BA"/>
    <w:rsid w:val="008D2D7B"/>
    <w:rsid w:val="008D5F07"/>
    <w:rsid w:val="008D7654"/>
    <w:rsid w:val="008D7B09"/>
    <w:rsid w:val="008D7DDC"/>
    <w:rsid w:val="008D7E2E"/>
    <w:rsid w:val="008E03AB"/>
    <w:rsid w:val="008E0490"/>
    <w:rsid w:val="008E09B0"/>
    <w:rsid w:val="008E13BD"/>
    <w:rsid w:val="008E19F7"/>
    <w:rsid w:val="008E2679"/>
    <w:rsid w:val="008E2FAF"/>
    <w:rsid w:val="008E316F"/>
    <w:rsid w:val="008E4137"/>
    <w:rsid w:val="008E56BA"/>
    <w:rsid w:val="008E61C8"/>
    <w:rsid w:val="008E7152"/>
    <w:rsid w:val="008E7199"/>
    <w:rsid w:val="008E71C1"/>
    <w:rsid w:val="008F0DAE"/>
    <w:rsid w:val="008F3AD5"/>
    <w:rsid w:val="008F3B34"/>
    <w:rsid w:val="008F4527"/>
    <w:rsid w:val="008F63E3"/>
    <w:rsid w:val="008F7443"/>
    <w:rsid w:val="00900418"/>
    <w:rsid w:val="00900479"/>
    <w:rsid w:val="009024DC"/>
    <w:rsid w:val="0090399F"/>
    <w:rsid w:val="009043BC"/>
    <w:rsid w:val="009045A7"/>
    <w:rsid w:val="00904880"/>
    <w:rsid w:val="00907182"/>
    <w:rsid w:val="00907304"/>
    <w:rsid w:val="0090775E"/>
    <w:rsid w:val="00910A2A"/>
    <w:rsid w:val="009115E2"/>
    <w:rsid w:val="00911BDB"/>
    <w:rsid w:val="00916D86"/>
    <w:rsid w:val="00916EC8"/>
    <w:rsid w:val="0092000E"/>
    <w:rsid w:val="009200E2"/>
    <w:rsid w:val="00920B78"/>
    <w:rsid w:val="0092335D"/>
    <w:rsid w:val="009237CE"/>
    <w:rsid w:val="00923B41"/>
    <w:rsid w:val="0092409B"/>
    <w:rsid w:val="009244A8"/>
    <w:rsid w:val="009245B3"/>
    <w:rsid w:val="00927DAF"/>
    <w:rsid w:val="009314E2"/>
    <w:rsid w:val="009359D4"/>
    <w:rsid w:val="00936E4A"/>
    <w:rsid w:val="00941CD6"/>
    <w:rsid w:val="0094216B"/>
    <w:rsid w:val="00944E0D"/>
    <w:rsid w:val="00946BB5"/>
    <w:rsid w:val="0095063E"/>
    <w:rsid w:val="009517C6"/>
    <w:rsid w:val="0095195B"/>
    <w:rsid w:val="00953016"/>
    <w:rsid w:val="00953113"/>
    <w:rsid w:val="009533FB"/>
    <w:rsid w:val="009535D9"/>
    <w:rsid w:val="00954EF7"/>
    <w:rsid w:val="0095513D"/>
    <w:rsid w:val="00955B64"/>
    <w:rsid w:val="00955F4E"/>
    <w:rsid w:val="00956FA5"/>
    <w:rsid w:val="009571A2"/>
    <w:rsid w:val="00957915"/>
    <w:rsid w:val="00960676"/>
    <w:rsid w:val="00961F12"/>
    <w:rsid w:val="009620DE"/>
    <w:rsid w:val="00962D4E"/>
    <w:rsid w:val="0096319F"/>
    <w:rsid w:val="00963CD9"/>
    <w:rsid w:val="00964729"/>
    <w:rsid w:val="00965290"/>
    <w:rsid w:val="00965294"/>
    <w:rsid w:val="0096573F"/>
    <w:rsid w:val="00965D75"/>
    <w:rsid w:val="00965F6E"/>
    <w:rsid w:val="009661E1"/>
    <w:rsid w:val="009668D2"/>
    <w:rsid w:val="00966B25"/>
    <w:rsid w:val="0097081F"/>
    <w:rsid w:val="00970A76"/>
    <w:rsid w:val="009721BF"/>
    <w:rsid w:val="009725E3"/>
    <w:rsid w:val="00973EE9"/>
    <w:rsid w:val="00974980"/>
    <w:rsid w:val="00976706"/>
    <w:rsid w:val="00977EDF"/>
    <w:rsid w:val="00983004"/>
    <w:rsid w:val="0098397D"/>
    <w:rsid w:val="00983EE0"/>
    <w:rsid w:val="00986ECA"/>
    <w:rsid w:val="009900D5"/>
    <w:rsid w:val="00990E05"/>
    <w:rsid w:val="00992CC4"/>
    <w:rsid w:val="00992F20"/>
    <w:rsid w:val="00993F86"/>
    <w:rsid w:val="009941CA"/>
    <w:rsid w:val="009952F5"/>
    <w:rsid w:val="00995947"/>
    <w:rsid w:val="00995952"/>
    <w:rsid w:val="0099628D"/>
    <w:rsid w:val="009A1A1D"/>
    <w:rsid w:val="009A1ADE"/>
    <w:rsid w:val="009A2747"/>
    <w:rsid w:val="009A341C"/>
    <w:rsid w:val="009A420B"/>
    <w:rsid w:val="009A4ABF"/>
    <w:rsid w:val="009A65A2"/>
    <w:rsid w:val="009B0081"/>
    <w:rsid w:val="009B0667"/>
    <w:rsid w:val="009B1A90"/>
    <w:rsid w:val="009B1AC2"/>
    <w:rsid w:val="009B2C48"/>
    <w:rsid w:val="009B3728"/>
    <w:rsid w:val="009B50FC"/>
    <w:rsid w:val="009B573F"/>
    <w:rsid w:val="009B6F45"/>
    <w:rsid w:val="009C01AD"/>
    <w:rsid w:val="009C275F"/>
    <w:rsid w:val="009C4963"/>
    <w:rsid w:val="009C6361"/>
    <w:rsid w:val="009C67DC"/>
    <w:rsid w:val="009C7ADB"/>
    <w:rsid w:val="009C7B2F"/>
    <w:rsid w:val="009C7CB5"/>
    <w:rsid w:val="009C7F1F"/>
    <w:rsid w:val="009D0161"/>
    <w:rsid w:val="009D0ED8"/>
    <w:rsid w:val="009D15C7"/>
    <w:rsid w:val="009D2E2F"/>
    <w:rsid w:val="009D36FA"/>
    <w:rsid w:val="009D49F0"/>
    <w:rsid w:val="009D4F4B"/>
    <w:rsid w:val="009D502D"/>
    <w:rsid w:val="009D5B22"/>
    <w:rsid w:val="009D6079"/>
    <w:rsid w:val="009D6A5F"/>
    <w:rsid w:val="009D6FBC"/>
    <w:rsid w:val="009E0341"/>
    <w:rsid w:val="009E148A"/>
    <w:rsid w:val="009E2A53"/>
    <w:rsid w:val="009E2E53"/>
    <w:rsid w:val="009E3C77"/>
    <w:rsid w:val="009E4371"/>
    <w:rsid w:val="009E55EC"/>
    <w:rsid w:val="009F1D7F"/>
    <w:rsid w:val="009F298D"/>
    <w:rsid w:val="009F2C89"/>
    <w:rsid w:val="009F3AF9"/>
    <w:rsid w:val="009F40B3"/>
    <w:rsid w:val="009F463B"/>
    <w:rsid w:val="009F4C9B"/>
    <w:rsid w:val="009F5647"/>
    <w:rsid w:val="009F59F5"/>
    <w:rsid w:val="009F6940"/>
    <w:rsid w:val="00A00621"/>
    <w:rsid w:val="00A00C78"/>
    <w:rsid w:val="00A02634"/>
    <w:rsid w:val="00A02E8C"/>
    <w:rsid w:val="00A03115"/>
    <w:rsid w:val="00A03A71"/>
    <w:rsid w:val="00A03BA9"/>
    <w:rsid w:val="00A04463"/>
    <w:rsid w:val="00A04DA5"/>
    <w:rsid w:val="00A0565A"/>
    <w:rsid w:val="00A06523"/>
    <w:rsid w:val="00A06863"/>
    <w:rsid w:val="00A06BC6"/>
    <w:rsid w:val="00A0749E"/>
    <w:rsid w:val="00A10986"/>
    <w:rsid w:val="00A109B9"/>
    <w:rsid w:val="00A1119E"/>
    <w:rsid w:val="00A12EDB"/>
    <w:rsid w:val="00A13E56"/>
    <w:rsid w:val="00A13F3D"/>
    <w:rsid w:val="00A21C0E"/>
    <w:rsid w:val="00A22B6C"/>
    <w:rsid w:val="00A247D5"/>
    <w:rsid w:val="00A2490C"/>
    <w:rsid w:val="00A24C94"/>
    <w:rsid w:val="00A256DF"/>
    <w:rsid w:val="00A25D65"/>
    <w:rsid w:val="00A30010"/>
    <w:rsid w:val="00A3028B"/>
    <w:rsid w:val="00A30EFA"/>
    <w:rsid w:val="00A321BB"/>
    <w:rsid w:val="00A3432C"/>
    <w:rsid w:val="00A34C1D"/>
    <w:rsid w:val="00A360A9"/>
    <w:rsid w:val="00A3617B"/>
    <w:rsid w:val="00A3649A"/>
    <w:rsid w:val="00A36CC8"/>
    <w:rsid w:val="00A37035"/>
    <w:rsid w:val="00A37082"/>
    <w:rsid w:val="00A415A7"/>
    <w:rsid w:val="00A41A6E"/>
    <w:rsid w:val="00A41B27"/>
    <w:rsid w:val="00A41E2B"/>
    <w:rsid w:val="00A43185"/>
    <w:rsid w:val="00A43ABA"/>
    <w:rsid w:val="00A446BD"/>
    <w:rsid w:val="00A4497A"/>
    <w:rsid w:val="00A44E00"/>
    <w:rsid w:val="00A47A19"/>
    <w:rsid w:val="00A523B1"/>
    <w:rsid w:val="00A542BA"/>
    <w:rsid w:val="00A54321"/>
    <w:rsid w:val="00A55FE4"/>
    <w:rsid w:val="00A57C97"/>
    <w:rsid w:val="00A604DD"/>
    <w:rsid w:val="00A607D0"/>
    <w:rsid w:val="00A622A2"/>
    <w:rsid w:val="00A636FA"/>
    <w:rsid w:val="00A64366"/>
    <w:rsid w:val="00A64BB3"/>
    <w:rsid w:val="00A65AB2"/>
    <w:rsid w:val="00A65F12"/>
    <w:rsid w:val="00A66395"/>
    <w:rsid w:val="00A66AF2"/>
    <w:rsid w:val="00A67137"/>
    <w:rsid w:val="00A67DBD"/>
    <w:rsid w:val="00A70150"/>
    <w:rsid w:val="00A715EC"/>
    <w:rsid w:val="00A71B21"/>
    <w:rsid w:val="00A73712"/>
    <w:rsid w:val="00A74574"/>
    <w:rsid w:val="00A749BA"/>
    <w:rsid w:val="00A74B27"/>
    <w:rsid w:val="00A75D05"/>
    <w:rsid w:val="00A76870"/>
    <w:rsid w:val="00A77233"/>
    <w:rsid w:val="00A77B57"/>
    <w:rsid w:val="00A8046A"/>
    <w:rsid w:val="00A8068F"/>
    <w:rsid w:val="00A80C91"/>
    <w:rsid w:val="00A80ECB"/>
    <w:rsid w:val="00A8116A"/>
    <w:rsid w:val="00A826F3"/>
    <w:rsid w:val="00A82ED2"/>
    <w:rsid w:val="00A8374C"/>
    <w:rsid w:val="00A83E54"/>
    <w:rsid w:val="00A85C23"/>
    <w:rsid w:val="00A86E5B"/>
    <w:rsid w:val="00A87A19"/>
    <w:rsid w:val="00A87AFD"/>
    <w:rsid w:val="00A92564"/>
    <w:rsid w:val="00A92C3E"/>
    <w:rsid w:val="00A93DB3"/>
    <w:rsid w:val="00A946CB"/>
    <w:rsid w:val="00A94E5E"/>
    <w:rsid w:val="00A95C1F"/>
    <w:rsid w:val="00A964B5"/>
    <w:rsid w:val="00A96A83"/>
    <w:rsid w:val="00A978BB"/>
    <w:rsid w:val="00AA0779"/>
    <w:rsid w:val="00AA0841"/>
    <w:rsid w:val="00AA0DCB"/>
    <w:rsid w:val="00AA0E2E"/>
    <w:rsid w:val="00AA10B1"/>
    <w:rsid w:val="00AA146A"/>
    <w:rsid w:val="00AA194A"/>
    <w:rsid w:val="00AA2E6E"/>
    <w:rsid w:val="00AA6728"/>
    <w:rsid w:val="00AA67FC"/>
    <w:rsid w:val="00AA6D6C"/>
    <w:rsid w:val="00AB006A"/>
    <w:rsid w:val="00AB1987"/>
    <w:rsid w:val="00AB1A83"/>
    <w:rsid w:val="00AB3305"/>
    <w:rsid w:val="00AB36DA"/>
    <w:rsid w:val="00AB60A2"/>
    <w:rsid w:val="00AB66FC"/>
    <w:rsid w:val="00AB720D"/>
    <w:rsid w:val="00AB7868"/>
    <w:rsid w:val="00AC23BC"/>
    <w:rsid w:val="00AC3037"/>
    <w:rsid w:val="00AC3303"/>
    <w:rsid w:val="00AC334A"/>
    <w:rsid w:val="00AC4927"/>
    <w:rsid w:val="00AC4FF9"/>
    <w:rsid w:val="00AC7187"/>
    <w:rsid w:val="00AC7F97"/>
    <w:rsid w:val="00AD06F0"/>
    <w:rsid w:val="00AD1BCC"/>
    <w:rsid w:val="00AD59CE"/>
    <w:rsid w:val="00AD60DC"/>
    <w:rsid w:val="00AD7E74"/>
    <w:rsid w:val="00AE1010"/>
    <w:rsid w:val="00AE14C9"/>
    <w:rsid w:val="00AE1983"/>
    <w:rsid w:val="00AE4651"/>
    <w:rsid w:val="00AE4E3E"/>
    <w:rsid w:val="00AE73BF"/>
    <w:rsid w:val="00AE75EE"/>
    <w:rsid w:val="00AF00FC"/>
    <w:rsid w:val="00AF01B9"/>
    <w:rsid w:val="00AF0375"/>
    <w:rsid w:val="00AF0E1F"/>
    <w:rsid w:val="00AF1436"/>
    <w:rsid w:val="00AF17DE"/>
    <w:rsid w:val="00AF1DCB"/>
    <w:rsid w:val="00AF3F5F"/>
    <w:rsid w:val="00AF6E66"/>
    <w:rsid w:val="00AF7A9C"/>
    <w:rsid w:val="00AF7D78"/>
    <w:rsid w:val="00B00326"/>
    <w:rsid w:val="00B0209B"/>
    <w:rsid w:val="00B0237F"/>
    <w:rsid w:val="00B1207C"/>
    <w:rsid w:val="00B12F14"/>
    <w:rsid w:val="00B13611"/>
    <w:rsid w:val="00B138FB"/>
    <w:rsid w:val="00B13A74"/>
    <w:rsid w:val="00B14869"/>
    <w:rsid w:val="00B1607A"/>
    <w:rsid w:val="00B175D0"/>
    <w:rsid w:val="00B214B9"/>
    <w:rsid w:val="00B21C6C"/>
    <w:rsid w:val="00B228A0"/>
    <w:rsid w:val="00B23150"/>
    <w:rsid w:val="00B2430D"/>
    <w:rsid w:val="00B2559B"/>
    <w:rsid w:val="00B26243"/>
    <w:rsid w:val="00B26360"/>
    <w:rsid w:val="00B31CC6"/>
    <w:rsid w:val="00B339C5"/>
    <w:rsid w:val="00B3571D"/>
    <w:rsid w:val="00B357B6"/>
    <w:rsid w:val="00B35945"/>
    <w:rsid w:val="00B36B67"/>
    <w:rsid w:val="00B3757A"/>
    <w:rsid w:val="00B40053"/>
    <w:rsid w:val="00B4095C"/>
    <w:rsid w:val="00B40FF2"/>
    <w:rsid w:val="00B4244D"/>
    <w:rsid w:val="00B42C85"/>
    <w:rsid w:val="00B44C6E"/>
    <w:rsid w:val="00B4558D"/>
    <w:rsid w:val="00B45D8C"/>
    <w:rsid w:val="00B46D1D"/>
    <w:rsid w:val="00B46F72"/>
    <w:rsid w:val="00B47EB9"/>
    <w:rsid w:val="00B53939"/>
    <w:rsid w:val="00B552BF"/>
    <w:rsid w:val="00B5570B"/>
    <w:rsid w:val="00B61FDE"/>
    <w:rsid w:val="00B622D4"/>
    <w:rsid w:val="00B64173"/>
    <w:rsid w:val="00B65699"/>
    <w:rsid w:val="00B65CE6"/>
    <w:rsid w:val="00B66CB8"/>
    <w:rsid w:val="00B66F9D"/>
    <w:rsid w:val="00B670FD"/>
    <w:rsid w:val="00B677AD"/>
    <w:rsid w:val="00B70239"/>
    <w:rsid w:val="00B71C5E"/>
    <w:rsid w:val="00B72321"/>
    <w:rsid w:val="00B768F4"/>
    <w:rsid w:val="00B77DA3"/>
    <w:rsid w:val="00B8067B"/>
    <w:rsid w:val="00B808B4"/>
    <w:rsid w:val="00B818C3"/>
    <w:rsid w:val="00B818C8"/>
    <w:rsid w:val="00B81D4F"/>
    <w:rsid w:val="00B826AB"/>
    <w:rsid w:val="00B827D5"/>
    <w:rsid w:val="00B82F20"/>
    <w:rsid w:val="00B831FB"/>
    <w:rsid w:val="00B84A59"/>
    <w:rsid w:val="00B86FC7"/>
    <w:rsid w:val="00B9053E"/>
    <w:rsid w:val="00B90B10"/>
    <w:rsid w:val="00B90C77"/>
    <w:rsid w:val="00B91A2A"/>
    <w:rsid w:val="00B91F4B"/>
    <w:rsid w:val="00B92961"/>
    <w:rsid w:val="00B932EE"/>
    <w:rsid w:val="00B9403B"/>
    <w:rsid w:val="00B9493B"/>
    <w:rsid w:val="00B95F3B"/>
    <w:rsid w:val="00B96A21"/>
    <w:rsid w:val="00BA066B"/>
    <w:rsid w:val="00BA2349"/>
    <w:rsid w:val="00BA2AC1"/>
    <w:rsid w:val="00BA3096"/>
    <w:rsid w:val="00BA5C2B"/>
    <w:rsid w:val="00BA6228"/>
    <w:rsid w:val="00BA6404"/>
    <w:rsid w:val="00BA689D"/>
    <w:rsid w:val="00BA7369"/>
    <w:rsid w:val="00BA73E1"/>
    <w:rsid w:val="00BB2E7F"/>
    <w:rsid w:val="00BB307E"/>
    <w:rsid w:val="00BB32C4"/>
    <w:rsid w:val="00BB374B"/>
    <w:rsid w:val="00BB4A4F"/>
    <w:rsid w:val="00BB5898"/>
    <w:rsid w:val="00BB5EAA"/>
    <w:rsid w:val="00BB6F3D"/>
    <w:rsid w:val="00BB6F59"/>
    <w:rsid w:val="00BB7760"/>
    <w:rsid w:val="00BB79F6"/>
    <w:rsid w:val="00BC1A51"/>
    <w:rsid w:val="00BC1AFB"/>
    <w:rsid w:val="00BC3928"/>
    <w:rsid w:val="00BC3999"/>
    <w:rsid w:val="00BC51B5"/>
    <w:rsid w:val="00BC6A12"/>
    <w:rsid w:val="00BD0C85"/>
    <w:rsid w:val="00BD0DF4"/>
    <w:rsid w:val="00BD17FD"/>
    <w:rsid w:val="00BD2731"/>
    <w:rsid w:val="00BD45B8"/>
    <w:rsid w:val="00BD48FE"/>
    <w:rsid w:val="00BD5A1C"/>
    <w:rsid w:val="00BD66C9"/>
    <w:rsid w:val="00BD7C26"/>
    <w:rsid w:val="00BD7C79"/>
    <w:rsid w:val="00BE06AE"/>
    <w:rsid w:val="00BE1C4F"/>
    <w:rsid w:val="00BE2D8D"/>
    <w:rsid w:val="00BE3F4F"/>
    <w:rsid w:val="00BE4F6D"/>
    <w:rsid w:val="00BE5382"/>
    <w:rsid w:val="00BE53BF"/>
    <w:rsid w:val="00BE5CE8"/>
    <w:rsid w:val="00BE61CC"/>
    <w:rsid w:val="00BE669C"/>
    <w:rsid w:val="00BE6CD1"/>
    <w:rsid w:val="00BE73A3"/>
    <w:rsid w:val="00BE7A48"/>
    <w:rsid w:val="00BE7D8E"/>
    <w:rsid w:val="00BF03FA"/>
    <w:rsid w:val="00BF1E19"/>
    <w:rsid w:val="00BF1F72"/>
    <w:rsid w:val="00BF2182"/>
    <w:rsid w:val="00BF2211"/>
    <w:rsid w:val="00BF260F"/>
    <w:rsid w:val="00BF2BD0"/>
    <w:rsid w:val="00BF3029"/>
    <w:rsid w:val="00BF3CD2"/>
    <w:rsid w:val="00BF6FD3"/>
    <w:rsid w:val="00BF785A"/>
    <w:rsid w:val="00BF7C60"/>
    <w:rsid w:val="00BF7CEF"/>
    <w:rsid w:val="00C00FF4"/>
    <w:rsid w:val="00C02538"/>
    <w:rsid w:val="00C02C6A"/>
    <w:rsid w:val="00C030F5"/>
    <w:rsid w:val="00C04129"/>
    <w:rsid w:val="00C0434F"/>
    <w:rsid w:val="00C05B21"/>
    <w:rsid w:val="00C0701F"/>
    <w:rsid w:val="00C077BA"/>
    <w:rsid w:val="00C11F54"/>
    <w:rsid w:val="00C1486F"/>
    <w:rsid w:val="00C1550E"/>
    <w:rsid w:val="00C15C51"/>
    <w:rsid w:val="00C166FA"/>
    <w:rsid w:val="00C1716F"/>
    <w:rsid w:val="00C20CA8"/>
    <w:rsid w:val="00C212BD"/>
    <w:rsid w:val="00C22714"/>
    <w:rsid w:val="00C22818"/>
    <w:rsid w:val="00C233EC"/>
    <w:rsid w:val="00C234D0"/>
    <w:rsid w:val="00C242AA"/>
    <w:rsid w:val="00C242C1"/>
    <w:rsid w:val="00C268B1"/>
    <w:rsid w:val="00C26CF1"/>
    <w:rsid w:val="00C26D86"/>
    <w:rsid w:val="00C270CE"/>
    <w:rsid w:val="00C30A18"/>
    <w:rsid w:val="00C30F51"/>
    <w:rsid w:val="00C3131A"/>
    <w:rsid w:val="00C32535"/>
    <w:rsid w:val="00C32661"/>
    <w:rsid w:val="00C33218"/>
    <w:rsid w:val="00C33EB5"/>
    <w:rsid w:val="00C343B0"/>
    <w:rsid w:val="00C34C06"/>
    <w:rsid w:val="00C35095"/>
    <w:rsid w:val="00C36ED0"/>
    <w:rsid w:val="00C40410"/>
    <w:rsid w:val="00C410D6"/>
    <w:rsid w:val="00C422E7"/>
    <w:rsid w:val="00C42D05"/>
    <w:rsid w:val="00C43144"/>
    <w:rsid w:val="00C44361"/>
    <w:rsid w:val="00C45728"/>
    <w:rsid w:val="00C46C9C"/>
    <w:rsid w:val="00C47D38"/>
    <w:rsid w:val="00C52761"/>
    <w:rsid w:val="00C5421F"/>
    <w:rsid w:val="00C542C3"/>
    <w:rsid w:val="00C54C36"/>
    <w:rsid w:val="00C556D2"/>
    <w:rsid w:val="00C55B26"/>
    <w:rsid w:val="00C573C0"/>
    <w:rsid w:val="00C60237"/>
    <w:rsid w:val="00C612BD"/>
    <w:rsid w:val="00C6138C"/>
    <w:rsid w:val="00C617CC"/>
    <w:rsid w:val="00C63F4E"/>
    <w:rsid w:val="00C651C4"/>
    <w:rsid w:val="00C65BB5"/>
    <w:rsid w:val="00C70755"/>
    <w:rsid w:val="00C716BA"/>
    <w:rsid w:val="00C723BB"/>
    <w:rsid w:val="00C736D8"/>
    <w:rsid w:val="00C73D1C"/>
    <w:rsid w:val="00C73F1D"/>
    <w:rsid w:val="00C73F3E"/>
    <w:rsid w:val="00C73F6B"/>
    <w:rsid w:val="00C756A8"/>
    <w:rsid w:val="00C75F7A"/>
    <w:rsid w:val="00C76B57"/>
    <w:rsid w:val="00C77254"/>
    <w:rsid w:val="00C77A71"/>
    <w:rsid w:val="00C801A3"/>
    <w:rsid w:val="00C803AE"/>
    <w:rsid w:val="00C81B5F"/>
    <w:rsid w:val="00C81BBC"/>
    <w:rsid w:val="00C81C2D"/>
    <w:rsid w:val="00C8235E"/>
    <w:rsid w:val="00C83253"/>
    <w:rsid w:val="00C832DA"/>
    <w:rsid w:val="00C83354"/>
    <w:rsid w:val="00C834DD"/>
    <w:rsid w:val="00C8764F"/>
    <w:rsid w:val="00C90279"/>
    <w:rsid w:val="00C90C28"/>
    <w:rsid w:val="00C9143F"/>
    <w:rsid w:val="00C9216B"/>
    <w:rsid w:val="00C97693"/>
    <w:rsid w:val="00CA00B2"/>
    <w:rsid w:val="00CA07F9"/>
    <w:rsid w:val="00CA0E57"/>
    <w:rsid w:val="00CA1914"/>
    <w:rsid w:val="00CA3C0C"/>
    <w:rsid w:val="00CA41D3"/>
    <w:rsid w:val="00CA544E"/>
    <w:rsid w:val="00CA7119"/>
    <w:rsid w:val="00CA7665"/>
    <w:rsid w:val="00CB0244"/>
    <w:rsid w:val="00CB05E9"/>
    <w:rsid w:val="00CB1642"/>
    <w:rsid w:val="00CB22F4"/>
    <w:rsid w:val="00CB3078"/>
    <w:rsid w:val="00CB3FDC"/>
    <w:rsid w:val="00CB406C"/>
    <w:rsid w:val="00CB4483"/>
    <w:rsid w:val="00CB4F5B"/>
    <w:rsid w:val="00CB5548"/>
    <w:rsid w:val="00CC0E8C"/>
    <w:rsid w:val="00CC17A0"/>
    <w:rsid w:val="00CC346E"/>
    <w:rsid w:val="00CC3E3C"/>
    <w:rsid w:val="00CC4111"/>
    <w:rsid w:val="00CD034C"/>
    <w:rsid w:val="00CD0A38"/>
    <w:rsid w:val="00CD2228"/>
    <w:rsid w:val="00CD2938"/>
    <w:rsid w:val="00CD3DF4"/>
    <w:rsid w:val="00CD514C"/>
    <w:rsid w:val="00CD5E94"/>
    <w:rsid w:val="00CD73D8"/>
    <w:rsid w:val="00CE00A0"/>
    <w:rsid w:val="00CE146D"/>
    <w:rsid w:val="00CE16BB"/>
    <w:rsid w:val="00CE1CDE"/>
    <w:rsid w:val="00CE1FC1"/>
    <w:rsid w:val="00CE23D3"/>
    <w:rsid w:val="00CE344F"/>
    <w:rsid w:val="00CE36A6"/>
    <w:rsid w:val="00CE3D7A"/>
    <w:rsid w:val="00CE4A76"/>
    <w:rsid w:val="00CE5258"/>
    <w:rsid w:val="00CE69F6"/>
    <w:rsid w:val="00CE6CA1"/>
    <w:rsid w:val="00CE6DFC"/>
    <w:rsid w:val="00CE70E0"/>
    <w:rsid w:val="00CE7562"/>
    <w:rsid w:val="00CE763C"/>
    <w:rsid w:val="00CF19E0"/>
    <w:rsid w:val="00CF1D24"/>
    <w:rsid w:val="00CF1E6D"/>
    <w:rsid w:val="00CF446B"/>
    <w:rsid w:val="00CF4770"/>
    <w:rsid w:val="00CF4B40"/>
    <w:rsid w:val="00CF7719"/>
    <w:rsid w:val="00D007BA"/>
    <w:rsid w:val="00D00B0C"/>
    <w:rsid w:val="00D0110A"/>
    <w:rsid w:val="00D014CD"/>
    <w:rsid w:val="00D03B52"/>
    <w:rsid w:val="00D04E03"/>
    <w:rsid w:val="00D05707"/>
    <w:rsid w:val="00D066E6"/>
    <w:rsid w:val="00D07198"/>
    <w:rsid w:val="00D07D07"/>
    <w:rsid w:val="00D10AE4"/>
    <w:rsid w:val="00D114A6"/>
    <w:rsid w:val="00D164F4"/>
    <w:rsid w:val="00D1702E"/>
    <w:rsid w:val="00D17558"/>
    <w:rsid w:val="00D20854"/>
    <w:rsid w:val="00D20F0F"/>
    <w:rsid w:val="00D24632"/>
    <w:rsid w:val="00D2488C"/>
    <w:rsid w:val="00D254E7"/>
    <w:rsid w:val="00D26F41"/>
    <w:rsid w:val="00D27304"/>
    <w:rsid w:val="00D30B17"/>
    <w:rsid w:val="00D31034"/>
    <w:rsid w:val="00D316CD"/>
    <w:rsid w:val="00D32004"/>
    <w:rsid w:val="00D3339C"/>
    <w:rsid w:val="00D33DA9"/>
    <w:rsid w:val="00D35351"/>
    <w:rsid w:val="00D40E08"/>
    <w:rsid w:val="00D41CCE"/>
    <w:rsid w:val="00D42B20"/>
    <w:rsid w:val="00D450DF"/>
    <w:rsid w:val="00D45A85"/>
    <w:rsid w:val="00D4769C"/>
    <w:rsid w:val="00D503D4"/>
    <w:rsid w:val="00D5084F"/>
    <w:rsid w:val="00D508B9"/>
    <w:rsid w:val="00D50FD0"/>
    <w:rsid w:val="00D51A75"/>
    <w:rsid w:val="00D51CEB"/>
    <w:rsid w:val="00D52309"/>
    <w:rsid w:val="00D551C2"/>
    <w:rsid w:val="00D55C45"/>
    <w:rsid w:val="00D56C59"/>
    <w:rsid w:val="00D5775F"/>
    <w:rsid w:val="00D60858"/>
    <w:rsid w:val="00D60944"/>
    <w:rsid w:val="00D61725"/>
    <w:rsid w:val="00D62CF4"/>
    <w:rsid w:val="00D62D18"/>
    <w:rsid w:val="00D635D8"/>
    <w:rsid w:val="00D63891"/>
    <w:rsid w:val="00D63B9F"/>
    <w:rsid w:val="00D645F1"/>
    <w:rsid w:val="00D64C88"/>
    <w:rsid w:val="00D67C50"/>
    <w:rsid w:val="00D716B7"/>
    <w:rsid w:val="00D7296B"/>
    <w:rsid w:val="00D732AB"/>
    <w:rsid w:val="00D73AE0"/>
    <w:rsid w:val="00D745F0"/>
    <w:rsid w:val="00D747C6"/>
    <w:rsid w:val="00D74D2F"/>
    <w:rsid w:val="00D755E3"/>
    <w:rsid w:val="00D7675F"/>
    <w:rsid w:val="00D76FDC"/>
    <w:rsid w:val="00D7727D"/>
    <w:rsid w:val="00D80487"/>
    <w:rsid w:val="00D81240"/>
    <w:rsid w:val="00D81A1F"/>
    <w:rsid w:val="00D8307E"/>
    <w:rsid w:val="00D839DF"/>
    <w:rsid w:val="00D83B47"/>
    <w:rsid w:val="00D84310"/>
    <w:rsid w:val="00D85DB7"/>
    <w:rsid w:val="00D865A1"/>
    <w:rsid w:val="00D90DFF"/>
    <w:rsid w:val="00D9187F"/>
    <w:rsid w:val="00D932E4"/>
    <w:rsid w:val="00D93F41"/>
    <w:rsid w:val="00D94840"/>
    <w:rsid w:val="00D94A69"/>
    <w:rsid w:val="00D94C0B"/>
    <w:rsid w:val="00D961D4"/>
    <w:rsid w:val="00D96C9A"/>
    <w:rsid w:val="00DA1A56"/>
    <w:rsid w:val="00DA1D19"/>
    <w:rsid w:val="00DA1EA3"/>
    <w:rsid w:val="00DA2998"/>
    <w:rsid w:val="00DA2A31"/>
    <w:rsid w:val="00DA3F8D"/>
    <w:rsid w:val="00DA4312"/>
    <w:rsid w:val="00DA5BAA"/>
    <w:rsid w:val="00DA629A"/>
    <w:rsid w:val="00DA6D81"/>
    <w:rsid w:val="00DA749B"/>
    <w:rsid w:val="00DB03C6"/>
    <w:rsid w:val="00DB07B4"/>
    <w:rsid w:val="00DB0CAD"/>
    <w:rsid w:val="00DB1E9A"/>
    <w:rsid w:val="00DB2001"/>
    <w:rsid w:val="00DB38A4"/>
    <w:rsid w:val="00DB3CA5"/>
    <w:rsid w:val="00DB57EB"/>
    <w:rsid w:val="00DB7CD0"/>
    <w:rsid w:val="00DC07BF"/>
    <w:rsid w:val="00DC0D53"/>
    <w:rsid w:val="00DC184E"/>
    <w:rsid w:val="00DC1D6F"/>
    <w:rsid w:val="00DC243F"/>
    <w:rsid w:val="00DC4134"/>
    <w:rsid w:val="00DC4A5B"/>
    <w:rsid w:val="00DC7241"/>
    <w:rsid w:val="00DC74DE"/>
    <w:rsid w:val="00DD041B"/>
    <w:rsid w:val="00DD3461"/>
    <w:rsid w:val="00DD55CC"/>
    <w:rsid w:val="00DD6FD5"/>
    <w:rsid w:val="00DD7234"/>
    <w:rsid w:val="00DD7B13"/>
    <w:rsid w:val="00DD7DBE"/>
    <w:rsid w:val="00DD7ECA"/>
    <w:rsid w:val="00DE1E2A"/>
    <w:rsid w:val="00DE28C6"/>
    <w:rsid w:val="00DE34F8"/>
    <w:rsid w:val="00DE3642"/>
    <w:rsid w:val="00DE38B9"/>
    <w:rsid w:val="00DE3AB6"/>
    <w:rsid w:val="00DE4A00"/>
    <w:rsid w:val="00DE52AF"/>
    <w:rsid w:val="00DE639A"/>
    <w:rsid w:val="00DF00D3"/>
    <w:rsid w:val="00DF0A6D"/>
    <w:rsid w:val="00DF1303"/>
    <w:rsid w:val="00DF31EB"/>
    <w:rsid w:val="00DF3ACF"/>
    <w:rsid w:val="00DF4347"/>
    <w:rsid w:val="00DF47E6"/>
    <w:rsid w:val="00DF51B5"/>
    <w:rsid w:val="00DF5756"/>
    <w:rsid w:val="00DF5B8F"/>
    <w:rsid w:val="00DF66D6"/>
    <w:rsid w:val="00DF72CF"/>
    <w:rsid w:val="00E00A37"/>
    <w:rsid w:val="00E03B89"/>
    <w:rsid w:val="00E04275"/>
    <w:rsid w:val="00E04773"/>
    <w:rsid w:val="00E05011"/>
    <w:rsid w:val="00E0579C"/>
    <w:rsid w:val="00E05B77"/>
    <w:rsid w:val="00E060C9"/>
    <w:rsid w:val="00E078F5"/>
    <w:rsid w:val="00E101BC"/>
    <w:rsid w:val="00E10820"/>
    <w:rsid w:val="00E11208"/>
    <w:rsid w:val="00E119C2"/>
    <w:rsid w:val="00E11EB2"/>
    <w:rsid w:val="00E12A7C"/>
    <w:rsid w:val="00E13714"/>
    <w:rsid w:val="00E137A9"/>
    <w:rsid w:val="00E13E6A"/>
    <w:rsid w:val="00E201D2"/>
    <w:rsid w:val="00E20918"/>
    <w:rsid w:val="00E214B7"/>
    <w:rsid w:val="00E21E9A"/>
    <w:rsid w:val="00E22A15"/>
    <w:rsid w:val="00E24784"/>
    <w:rsid w:val="00E24BC8"/>
    <w:rsid w:val="00E26219"/>
    <w:rsid w:val="00E3102A"/>
    <w:rsid w:val="00E31A6C"/>
    <w:rsid w:val="00E325FE"/>
    <w:rsid w:val="00E326F7"/>
    <w:rsid w:val="00E3437C"/>
    <w:rsid w:val="00E34417"/>
    <w:rsid w:val="00E34577"/>
    <w:rsid w:val="00E351DA"/>
    <w:rsid w:val="00E37913"/>
    <w:rsid w:val="00E40F96"/>
    <w:rsid w:val="00E41013"/>
    <w:rsid w:val="00E41B3B"/>
    <w:rsid w:val="00E4243A"/>
    <w:rsid w:val="00E426A1"/>
    <w:rsid w:val="00E42BCE"/>
    <w:rsid w:val="00E43C7E"/>
    <w:rsid w:val="00E457D2"/>
    <w:rsid w:val="00E45931"/>
    <w:rsid w:val="00E45FD0"/>
    <w:rsid w:val="00E479BC"/>
    <w:rsid w:val="00E50A72"/>
    <w:rsid w:val="00E53343"/>
    <w:rsid w:val="00E554E9"/>
    <w:rsid w:val="00E557CA"/>
    <w:rsid w:val="00E55DBC"/>
    <w:rsid w:val="00E55F11"/>
    <w:rsid w:val="00E5623A"/>
    <w:rsid w:val="00E56521"/>
    <w:rsid w:val="00E61543"/>
    <w:rsid w:val="00E61855"/>
    <w:rsid w:val="00E639DE"/>
    <w:rsid w:val="00E64E17"/>
    <w:rsid w:val="00E65148"/>
    <w:rsid w:val="00E6653A"/>
    <w:rsid w:val="00E6694F"/>
    <w:rsid w:val="00E70105"/>
    <w:rsid w:val="00E705AF"/>
    <w:rsid w:val="00E712E3"/>
    <w:rsid w:val="00E71D12"/>
    <w:rsid w:val="00E72E65"/>
    <w:rsid w:val="00E75026"/>
    <w:rsid w:val="00E75998"/>
    <w:rsid w:val="00E75F98"/>
    <w:rsid w:val="00E76D4E"/>
    <w:rsid w:val="00E7705B"/>
    <w:rsid w:val="00E77457"/>
    <w:rsid w:val="00E776CA"/>
    <w:rsid w:val="00E7792A"/>
    <w:rsid w:val="00E81DFD"/>
    <w:rsid w:val="00E8272F"/>
    <w:rsid w:val="00E83BDC"/>
    <w:rsid w:val="00E842E9"/>
    <w:rsid w:val="00E84387"/>
    <w:rsid w:val="00E853E3"/>
    <w:rsid w:val="00E856B5"/>
    <w:rsid w:val="00E86D27"/>
    <w:rsid w:val="00E86D98"/>
    <w:rsid w:val="00E8766A"/>
    <w:rsid w:val="00E90C30"/>
    <w:rsid w:val="00E917C7"/>
    <w:rsid w:val="00E92F15"/>
    <w:rsid w:val="00E938A8"/>
    <w:rsid w:val="00E93CEB"/>
    <w:rsid w:val="00E93E6B"/>
    <w:rsid w:val="00E949EF"/>
    <w:rsid w:val="00E95C9C"/>
    <w:rsid w:val="00E9604D"/>
    <w:rsid w:val="00E9755F"/>
    <w:rsid w:val="00E9797B"/>
    <w:rsid w:val="00E97D89"/>
    <w:rsid w:val="00E97F02"/>
    <w:rsid w:val="00EA02DF"/>
    <w:rsid w:val="00EA2FCE"/>
    <w:rsid w:val="00EA366D"/>
    <w:rsid w:val="00EA37AB"/>
    <w:rsid w:val="00EA3BED"/>
    <w:rsid w:val="00EA3C50"/>
    <w:rsid w:val="00EA417B"/>
    <w:rsid w:val="00EA6D3A"/>
    <w:rsid w:val="00EA7539"/>
    <w:rsid w:val="00EB2190"/>
    <w:rsid w:val="00EB3073"/>
    <w:rsid w:val="00EB3307"/>
    <w:rsid w:val="00EB3603"/>
    <w:rsid w:val="00EB400D"/>
    <w:rsid w:val="00EB46E0"/>
    <w:rsid w:val="00EB47A8"/>
    <w:rsid w:val="00EB4C47"/>
    <w:rsid w:val="00EB4D97"/>
    <w:rsid w:val="00EB546A"/>
    <w:rsid w:val="00EB54C1"/>
    <w:rsid w:val="00EB5DAD"/>
    <w:rsid w:val="00EB6A12"/>
    <w:rsid w:val="00EB6C87"/>
    <w:rsid w:val="00EB784F"/>
    <w:rsid w:val="00EB79A0"/>
    <w:rsid w:val="00EB7AA4"/>
    <w:rsid w:val="00EB7E00"/>
    <w:rsid w:val="00EC0D2C"/>
    <w:rsid w:val="00EC323B"/>
    <w:rsid w:val="00EC4533"/>
    <w:rsid w:val="00EC4BA4"/>
    <w:rsid w:val="00EC5606"/>
    <w:rsid w:val="00EC5BB6"/>
    <w:rsid w:val="00EC649C"/>
    <w:rsid w:val="00EC712A"/>
    <w:rsid w:val="00EC71D0"/>
    <w:rsid w:val="00EC72C8"/>
    <w:rsid w:val="00EC779A"/>
    <w:rsid w:val="00ED00E1"/>
    <w:rsid w:val="00ED07A0"/>
    <w:rsid w:val="00ED47A3"/>
    <w:rsid w:val="00ED5C10"/>
    <w:rsid w:val="00ED6D16"/>
    <w:rsid w:val="00ED79C0"/>
    <w:rsid w:val="00EE0661"/>
    <w:rsid w:val="00EE12F3"/>
    <w:rsid w:val="00EE1499"/>
    <w:rsid w:val="00EE215F"/>
    <w:rsid w:val="00EE21A1"/>
    <w:rsid w:val="00EE25F2"/>
    <w:rsid w:val="00EE2AA2"/>
    <w:rsid w:val="00EE2C61"/>
    <w:rsid w:val="00EE3759"/>
    <w:rsid w:val="00EE461E"/>
    <w:rsid w:val="00EE4FFB"/>
    <w:rsid w:val="00EE5E16"/>
    <w:rsid w:val="00EE64D7"/>
    <w:rsid w:val="00EE6A0B"/>
    <w:rsid w:val="00EE7E6B"/>
    <w:rsid w:val="00EF0C08"/>
    <w:rsid w:val="00EF0E47"/>
    <w:rsid w:val="00EF12D3"/>
    <w:rsid w:val="00EF234C"/>
    <w:rsid w:val="00EF3B14"/>
    <w:rsid w:val="00EF3E50"/>
    <w:rsid w:val="00EF42B7"/>
    <w:rsid w:val="00EF51F9"/>
    <w:rsid w:val="00EF57C1"/>
    <w:rsid w:val="00EF6986"/>
    <w:rsid w:val="00EF7030"/>
    <w:rsid w:val="00F01245"/>
    <w:rsid w:val="00F0175F"/>
    <w:rsid w:val="00F01E7C"/>
    <w:rsid w:val="00F0216C"/>
    <w:rsid w:val="00F05C41"/>
    <w:rsid w:val="00F06187"/>
    <w:rsid w:val="00F105E2"/>
    <w:rsid w:val="00F106C5"/>
    <w:rsid w:val="00F107F9"/>
    <w:rsid w:val="00F112B3"/>
    <w:rsid w:val="00F113BD"/>
    <w:rsid w:val="00F1224A"/>
    <w:rsid w:val="00F12382"/>
    <w:rsid w:val="00F13FB8"/>
    <w:rsid w:val="00F16620"/>
    <w:rsid w:val="00F166E4"/>
    <w:rsid w:val="00F16839"/>
    <w:rsid w:val="00F16A7D"/>
    <w:rsid w:val="00F172FC"/>
    <w:rsid w:val="00F206CA"/>
    <w:rsid w:val="00F20BB0"/>
    <w:rsid w:val="00F21BC3"/>
    <w:rsid w:val="00F22208"/>
    <w:rsid w:val="00F24ABE"/>
    <w:rsid w:val="00F24C56"/>
    <w:rsid w:val="00F2633F"/>
    <w:rsid w:val="00F2646D"/>
    <w:rsid w:val="00F264E0"/>
    <w:rsid w:val="00F26C4A"/>
    <w:rsid w:val="00F27401"/>
    <w:rsid w:val="00F27CD4"/>
    <w:rsid w:val="00F27FE2"/>
    <w:rsid w:val="00F30202"/>
    <w:rsid w:val="00F314F5"/>
    <w:rsid w:val="00F31DAE"/>
    <w:rsid w:val="00F33F3E"/>
    <w:rsid w:val="00F34B59"/>
    <w:rsid w:val="00F37064"/>
    <w:rsid w:val="00F4138A"/>
    <w:rsid w:val="00F42379"/>
    <w:rsid w:val="00F42CF9"/>
    <w:rsid w:val="00F42DD8"/>
    <w:rsid w:val="00F44DEA"/>
    <w:rsid w:val="00F46A5A"/>
    <w:rsid w:val="00F46ACC"/>
    <w:rsid w:val="00F50C30"/>
    <w:rsid w:val="00F51313"/>
    <w:rsid w:val="00F51C8D"/>
    <w:rsid w:val="00F51DA5"/>
    <w:rsid w:val="00F53701"/>
    <w:rsid w:val="00F53E95"/>
    <w:rsid w:val="00F54BEF"/>
    <w:rsid w:val="00F54CCA"/>
    <w:rsid w:val="00F56D05"/>
    <w:rsid w:val="00F61EF6"/>
    <w:rsid w:val="00F62D5E"/>
    <w:rsid w:val="00F648BF"/>
    <w:rsid w:val="00F6613F"/>
    <w:rsid w:val="00F66CC4"/>
    <w:rsid w:val="00F67597"/>
    <w:rsid w:val="00F729A5"/>
    <w:rsid w:val="00F729F6"/>
    <w:rsid w:val="00F73BBD"/>
    <w:rsid w:val="00F75C79"/>
    <w:rsid w:val="00F76E15"/>
    <w:rsid w:val="00F80812"/>
    <w:rsid w:val="00F815B9"/>
    <w:rsid w:val="00F81FA3"/>
    <w:rsid w:val="00F820CA"/>
    <w:rsid w:val="00F82FBA"/>
    <w:rsid w:val="00F843FF"/>
    <w:rsid w:val="00F84643"/>
    <w:rsid w:val="00F8476F"/>
    <w:rsid w:val="00F858D9"/>
    <w:rsid w:val="00F85A23"/>
    <w:rsid w:val="00F85DCC"/>
    <w:rsid w:val="00F87099"/>
    <w:rsid w:val="00F8729A"/>
    <w:rsid w:val="00F87B71"/>
    <w:rsid w:val="00F90657"/>
    <w:rsid w:val="00F92FC1"/>
    <w:rsid w:val="00F9350E"/>
    <w:rsid w:val="00F948F4"/>
    <w:rsid w:val="00F96C75"/>
    <w:rsid w:val="00FA01FA"/>
    <w:rsid w:val="00FA025D"/>
    <w:rsid w:val="00FA19AC"/>
    <w:rsid w:val="00FA4C62"/>
    <w:rsid w:val="00FA4CF1"/>
    <w:rsid w:val="00FA57AA"/>
    <w:rsid w:val="00FA726A"/>
    <w:rsid w:val="00FB0D83"/>
    <w:rsid w:val="00FB2A84"/>
    <w:rsid w:val="00FB3FBE"/>
    <w:rsid w:val="00FB41B0"/>
    <w:rsid w:val="00FB44CD"/>
    <w:rsid w:val="00FB7008"/>
    <w:rsid w:val="00FB7AC0"/>
    <w:rsid w:val="00FB7EBF"/>
    <w:rsid w:val="00FC168E"/>
    <w:rsid w:val="00FC19D1"/>
    <w:rsid w:val="00FC1AE3"/>
    <w:rsid w:val="00FC34C9"/>
    <w:rsid w:val="00FC3885"/>
    <w:rsid w:val="00FC6146"/>
    <w:rsid w:val="00FD064D"/>
    <w:rsid w:val="00FD2DF5"/>
    <w:rsid w:val="00FD3817"/>
    <w:rsid w:val="00FD3A46"/>
    <w:rsid w:val="00FD5F57"/>
    <w:rsid w:val="00FD6313"/>
    <w:rsid w:val="00FD6A41"/>
    <w:rsid w:val="00FD6A8F"/>
    <w:rsid w:val="00FD777A"/>
    <w:rsid w:val="00FE1005"/>
    <w:rsid w:val="00FE1FAB"/>
    <w:rsid w:val="00FE490B"/>
    <w:rsid w:val="00FE668F"/>
    <w:rsid w:val="00FE7B70"/>
    <w:rsid w:val="00FF2EC2"/>
    <w:rsid w:val="00FF2F4B"/>
    <w:rsid w:val="00FF53E5"/>
    <w:rsid w:val="00FF59A5"/>
    <w:rsid w:val="00FF5A68"/>
    <w:rsid w:val="00FF6633"/>
    <w:rsid w:val="00FF7212"/>
    <w:rsid w:val="00FF748E"/>
    <w:rsid w:val="00FF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8A3C93"/>
    <w:pPr>
      <w:spacing w:line="240" w:lineRule="atLeast"/>
    </w:pPr>
    <w:rPr>
      <w:rFonts w:ascii="Garamond" w:hAnsi="Garamond"/>
      <w:sz w:val="24"/>
    </w:rPr>
  </w:style>
  <w:style w:type="paragraph" w:styleId="Heading1">
    <w:name w:val="heading 1"/>
    <w:aliases w:val="H1-Sec.Head"/>
    <w:basedOn w:val="Normal"/>
    <w:next w:val="L1-FlLSp12"/>
    <w:link w:val="Heading1Char"/>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qFormat/>
    <w:rsid w:val="008A3C93"/>
    <w:pPr>
      <w:numPr>
        <w:ilvl w:val="2"/>
      </w:numPr>
      <w:ind w:left="1152" w:hanging="1152"/>
      <w:outlineLvl w:val="2"/>
    </w:pPr>
  </w:style>
  <w:style w:type="paragraph" w:styleId="Heading4">
    <w:name w:val="heading 4"/>
    <w:aliases w:val="H4 Sec.Heading"/>
    <w:basedOn w:val="Heading1"/>
    <w:next w:val="L1-FlLSp12"/>
    <w:link w:val="Heading4Char"/>
    <w:qFormat/>
    <w:rsid w:val="008A3C93"/>
    <w:pPr>
      <w:outlineLvl w:val="3"/>
    </w:pPr>
    <w:rPr>
      <w:i/>
      <w:color w:val="auto"/>
      <w:sz w:val="24"/>
    </w:rPr>
  </w:style>
  <w:style w:type="paragraph" w:styleId="Heading5">
    <w:name w:val="heading 5"/>
    <w:basedOn w:val="Normal"/>
    <w:next w:val="Normal"/>
    <w:link w:val="Heading5Char"/>
    <w:qFormat/>
    <w:rsid w:val="008A3C93"/>
    <w:pPr>
      <w:keepLines/>
      <w:spacing w:before="360" w:line="360" w:lineRule="atLeast"/>
      <w:jc w:val="center"/>
      <w:outlineLvl w:val="4"/>
    </w:pPr>
  </w:style>
  <w:style w:type="paragraph" w:styleId="Heading6">
    <w:name w:val="heading 6"/>
    <w:basedOn w:val="Normal1"/>
    <w:next w:val="Normal"/>
    <w:link w:val="Heading6Char"/>
    <w:qFormat/>
    <w:rsid w:val="008A3C93"/>
    <w:pPr>
      <w:spacing w:after="120"/>
      <w:jc w:val="center"/>
      <w:outlineLvl w:val="5"/>
    </w:pPr>
    <w:rPr>
      <w:rFonts w:ascii="Calibri" w:hAnsi="Calibri"/>
      <w:b/>
    </w:rPr>
  </w:style>
  <w:style w:type="paragraph" w:styleId="Heading7">
    <w:name w:val="heading 7"/>
    <w:basedOn w:val="Normal"/>
    <w:next w:val="Normal"/>
    <w:link w:val="Heading7Char"/>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11"/>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11"/>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3C93"/>
    <w:pPr>
      <w:keepLines/>
      <w:jc w:val="center"/>
    </w:pPr>
  </w:style>
  <w:style w:type="paragraph" w:customStyle="1" w:styleId="C3-CtrSp12">
    <w:name w:val="C3-Ctr Sp&amp;1/2"/>
    <w:basedOn w:val="Normal"/>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rsid w:val="008A3C93"/>
    <w:pPr>
      <w:tabs>
        <w:tab w:val="right" w:pos="1152"/>
        <w:tab w:val="center" w:pos="1440"/>
        <w:tab w:val="left" w:pos="1728"/>
      </w:tabs>
      <w:ind w:left="1728" w:hanging="1728"/>
    </w:pPr>
  </w:style>
  <w:style w:type="paragraph" w:styleId="Footer">
    <w:name w:val="footer"/>
    <w:basedOn w:val="Normal"/>
    <w:link w:val="FooterChar"/>
    <w:rsid w:val="008A3C93"/>
  </w:style>
  <w:style w:type="paragraph" w:styleId="FootnoteText">
    <w:name w:val="footnote text"/>
    <w:aliases w:val="F1"/>
    <w:link w:val="FootnoteTextChar"/>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rsid w:val="008A3C93"/>
    <w:pPr>
      <w:tabs>
        <w:tab w:val="left" w:pos="1152"/>
      </w:tabs>
      <w:spacing w:line="360" w:lineRule="atLeast"/>
    </w:pPr>
  </w:style>
  <w:style w:type="paragraph" w:customStyle="1" w:styleId="N0-FlLftBullet">
    <w:name w:val="N0-Fl Lft Bullet"/>
    <w:basedOn w:val="Normal"/>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paragraph" w:customStyle="1" w:styleId="N2-2ndBullet">
    <w:name w:val="N2-2nd Bullet"/>
    <w:basedOn w:val="Normal"/>
    <w:rsid w:val="008A3C93"/>
    <w:pPr>
      <w:numPr>
        <w:numId w:val="2"/>
      </w:numPr>
      <w:spacing w:after="240"/>
    </w:pPr>
  </w:style>
  <w:style w:type="paragraph" w:customStyle="1" w:styleId="N3-3rdBullet">
    <w:name w:val="N3-3rd Bullet"/>
    <w:basedOn w:val="Normal"/>
    <w:rsid w:val="008A3C93"/>
    <w:pPr>
      <w:numPr>
        <w:numId w:val="3"/>
      </w:numPr>
      <w:spacing w:after="240"/>
    </w:pPr>
  </w:style>
  <w:style w:type="paragraph" w:customStyle="1" w:styleId="N4-4thBullet">
    <w:name w:val="N4-4th Bullet"/>
    <w:basedOn w:val="Normal"/>
    <w:rsid w:val="008A3C93"/>
    <w:pPr>
      <w:numPr>
        <w:numId w:val="4"/>
      </w:numPr>
      <w:spacing w:after="240"/>
    </w:pPr>
  </w:style>
  <w:style w:type="paragraph" w:customStyle="1" w:styleId="N5-5thBullet">
    <w:name w:val="N5-5th Bullet"/>
    <w:basedOn w:val="Normal"/>
    <w:rsid w:val="008A3C93"/>
    <w:pPr>
      <w:tabs>
        <w:tab w:val="left" w:pos="3456"/>
      </w:tabs>
      <w:spacing w:after="240"/>
      <w:ind w:left="3456" w:hanging="576"/>
    </w:pPr>
  </w:style>
  <w:style w:type="paragraph" w:customStyle="1" w:styleId="N6-DateInd">
    <w:name w:val="N6-Date Ind."/>
    <w:basedOn w:val="Normal"/>
    <w:rsid w:val="008A3C93"/>
    <w:pPr>
      <w:tabs>
        <w:tab w:val="left" w:pos="4910"/>
      </w:tabs>
      <w:ind w:left="4910"/>
    </w:pPr>
  </w:style>
  <w:style w:type="paragraph" w:customStyle="1" w:styleId="N7-3Block">
    <w:name w:val="N7-3&quot; Block"/>
    <w:basedOn w:val="Normal"/>
    <w:rsid w:val="008A3C93"/>
    <w:pPr>
      <w:tabs>
        <w:tab w:val="left" w:pos="1152"/>
      </w:tabs>
      <w:ind w:left="1152" w:right="1152"/>
    </w:pPr>
  </w:style>
  <w:style w:type="paragraph" w:customStyle="1" w:styleId="N8-QxQBlock">
    <w:name w:val="N8-QxQ Block"/>
    <w:basedOn w:val="Normal"/>
    <w:rsid w:val="008A3C93"/>
    <w:pPr>
      <w:tabs>
        <w:tab w:val="left" w:pos="1152"/>
      </w:tabs>
      <w:spacing w:after="360" w:line="360" w:lineRule="atLeast"/>
      <w:ind w:left="1152" w:hanging="1152"/>
    </w:pPr>
  </w:style>
  <w:style w:type="paragraph" w:customStyle="1" w:styleId="P1-StandPara">
    <w:name w:val="P1-Stand Para"/>
    <w:basedOn w:val="Normal"/>
    <w:link w:val="P1-StandParaChar"/>
    <w:rsid w:val="008A3C93"/>
    <w:pPr>
      <w:spacing w:line="480" w:lineRule="auto"/>
      <w:ind w:firstLine="1152"/>
    </w:pPr>
  </w:style>
  <w:style w:type="paragraph" w:customStyle="1" w:styleId="Q1-BestFinQ">
    <w:name w:val="Q1-Best/Fin Q"/>
    <w:basedOn w:val="Heading1"/>
    <w:rsid w:val="008A3C93"/>
    <w:pPr>
      <w:spacing w:line="240" w:lineRule="atLeast"/>
      <w:jc w:val="both"/>
    </w:pPr>
    <w:rPr>
      <w:sz w:val="24"/>
    </w:rPr>
  </w:style>
  <w:style w:type="paragraph" w:customStyle="1" w:styleId="SH-SglSpHead">
    <w:name w:val="SH-Sgl Sp Head"/>
    <w:basedOn w:val="Heading1"/>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rsid w:val="008A3C93"/>
    <w:pPr>
      <w:tabs>
        <w:tab w:val="left" w:pos="576"/>
      </w:tabs>
      <w:ind w:firstLine="576"/>
    </w:pPr>
  </w:style>
  <w:style w:type="paragraph" w:customStyle="1" w:styleId="T0-ChapPgHd">
    <w:name w:val="T0-Chap/Pg Hd"/>
    <w:basedOn w:val="Normal"/>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8A3C93"/>
    <w:pPr>
      <w:tabs>
        <w:tab w:val="clear" w:pos="1152"/>
        <w:tab w:val="left" w:pos="1440"/>
      </w:tabs>
      <w:spacing w:after="0" w:line="240" w:lineRule="atLeast"/>
      <w:ind w:left="0" w:firstLine="0"/>
    </w:pPr>
    <w:rPr>
      <w:b w:val="0"/>
      <w:color w:val="auto"/>
      <w:sz w:val="22"/>
    </w:rPr>
  </w:style>
  <w:style w:type="paragraph" w:customStyle="1" w:styleId="CT-ContractInformation">
    <w:name w:val="CT-Contract Information"/>
    <w:basedOn w:val="Normal"/>
    <w:rsid w:val="008A3C93"/>
    <w:pPr>
      <w:tabs>
        <w:tab w:val="left" w:pos="2232"/>
      </w:tabs>
      <w:spacing w:line="240" w:lineRule="exact"/>
    </w:pPr>
    <w:rPr>
      <w:vanish/>
    </w:rPr>
  </w:style>
  <w:style w:type="paragraph" w:customStyle="1" w:styleId="R1-ResPara">
    <w:name w:val="R1-Res. Para"/>
    <w:rsid w:val="008A3C93"/>
    <w:pPr>
      <w:spacing w:line="240" w:lineRule="atLeast"/>
      <w:ind w:left="288"/>
    </w:pPr>
    <w:rPr>
      <w:rFonts w:ascii="Garamond" w:hAnsi="Garamond"/>
      <w:sz w:val="24"/>
    </w:rPr>
  </w:style>
  <w:style w:type="paragraph" w:customStyle="1" w:styleId="R2-ResBullet">
    <w:name w:val="R2-Res Bullet"/>
    <w:basedOn w:val="Normal"/>
    <w:rsid w:val="008A3C93"/>
    <w:pPr>
      <w:tabs>
        <w:tab w:val="left" w:pos="720"/>
      </w:tabs>
      <w:ind w:left="720" w:hanging="432"/>
    </w:pPr>
  </w:style>
  <w:style w:type="paragraph" w:customStyle="1" w:styleId="RF-Reference">
    <w:name w:val="RF-Reference"/>
    <w:basedOn w:val="Normal"/>
    <w:rsid w:val="008A3C93"/>
    <w:pPr>
      <w:spacing w:line="240" w:lineRule="exact"/>
      <w:ind w:left="216" w:hanging="216"/>
    </w:pPr>
  </w:style>
  <w:style w:type="paragraph" w:customStyle="1" w:styleId="RH-SglSpHead">
    <w:name w:val="RH-Sgl Sp Head"/>
    <w:basedOn w:val="Heading1"/>
    <w:next w:val="RL-FlLftSgl"/>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3C93"/>
    <w:pPr>
      <w:tabs>
        <w:tab w:val="clear" w:pos="1152"/>
      </w:tabs>
      <w:spacing w:after="0" w:line="240" w:lineRule="atLeast"/>
      <w:ind w:left="0" w:firstLine="0"/>
    </w:pPr>
    <w:rPr>
      <w:sz w:val="24"/>
    </w:rPr>
  </w:style>
  <w:style w:type="paragraph" w:customStyle="1" w:styleId="SU-FlLftUndln">
    <w:name w:val="SU-Fl Lft Undln"/>
    <w:basedOn w:val="Normal"/>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99"/>
    <w:qFormat/>
    <w:rsid w:val="008A3C93"/>
  </w:style>
  <w:style w:type="character" w:customStyle="1" w:styleId="Heading6Char">
    <w:name w:val="Heading 6 Char"/>
    <w:link w:val="Heading6"/>
    <w:rsid w:val="008A3C93"/>
    <w:rPr>
      <w:rFonts w:ascii="Calibri" w:hAnsi="Calibri"/>
      <w:b/>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9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aliases w:val="F1 Char"/>
    <w:link w:val="FootnoteText"/>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link w:val="Heading1"/>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rsid w:val="008A3C93"/>
    <w:rPr>
      <w:rFonts w:ascii="Garamond" w:hAnsi="Garamond"/>
      <w:sz w:val="16"/>
    </w:rPr>
  </w:style>
  <w:style w:type="character" w:customStyle="1" w:styleId="FooterChar">
    <w:name w:val="Footer Char"/>
    <w:link w:val="Footer"/>
    <w:rsid w:val="008A3C93"/>
    <w:rPr>
      <w:rFonts w:ascii="Garamond" w:hAnsi="Garamond"/>
      <w:sz w:val="24"/>
    </w:rPr>
  </w:style>
  <w:style w:type="character" w:customStyle="1" w:styleId="Heading4Char">
    <w:name w:val="Heading 4 Char"/>
    <w:aliases w:val="H4 Sec.Heading Char"/>
    <w:link w:val="Heading4"/>
    <w:rsid w:val="008A3C93"/>
    <w:rPr>
      <w:rFonts w:ascii="Franklin Gothic Medium" w:hAnsi="Franklin Gothic Medium"/>
      <w:b/>
      <w:i/>
      <w:sz w:val="24"/>
      <w:szCs w:val="32"/>
    </w:rPr>
  </w:style>
  <w:style w:type="character" w:customStyle="1" w:styleId="Heading2Char">
    <w:name w:val="Heading 2 Char"/>
    <w:aliases w:val="H2-Sec. Head Char"/>
    <w:link w:val="Heading2"/>
    <w:rsid w:val="008A3C93"/>
    <w:rPr>
      <w:rFonts w:ascii="Franklin Gothic Medium" w:hAnsi="Franklin Gothic Medium"/>
      <w:b/>
      <w:color w:val="324162"/>
      <w:sz w:val="28"/>
      <w:szCs w:val="32"/>
    </w:rPr>
  </w:style>
  <w:style w:type="character" w:customStyle="1" w:styleId="Heading3Char">
    <w:name w:val="Heading 3 Char"/>
    <w:aliases w:val="H3-Sec. Head Char"/>
    <w:link w:val="Heading3"/>
    <w:rsid w:val="008A3C93"/>
    <w:rPr>
      <w:rFonts w:ascii="Franklin Gothic Medium" w:hAnsi="Franklin Gothic Medium"/>
      <w:b/>
      <w:color w:val="324162"/>
      <w:sz w:val="28"/>
      <w:szCs w:val="32"/>
    </w:rPr>
  </w:style>
  <w:style w:type="character" w:customStyle="1" w:styleId="Heading5Char">
    <w:name w:val="Heading 5 Char"/>
    <w:link w:val="Heading5"/>
    <w:rsid w:val="008A3C93"/>
    <w:rPr>
      <w:rFonts w:ascii="Garamond" w:hAnsi="Garamond"/>
      <w:sz w:val="24"/>
    </w:rPr>
  </w:style>
  <w:style w:type="character" w:customStyle="1" w:styleId="Heading7Char">
    <w:name w:val="Heading 7 Char"/>
    <w:link w:val="Heading7"/>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uiPriority w:val="1"/>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uiPriority w:val="99"/>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13"/>
      </w:numPr>
      <w:spacing w:before="360" w:after="240"/>
      <w:jc w:val="center"/>
    </w:pPr>
    <w:rPr>
      <w:b/>
      <w:color w:val="auto"/>
    </w:rPr>
  </w:style>
  <w:style w:type="character" w:customStyle="1" w:styleId="NoSpacingChar">
    <w:name w:val="No Spacing Char"/>
    <w:basedOn w:val="DefaultParagraphFont"/>
    <w:link w:val="NoSpacing"/>
    <w:uiPriority w:val="1"/>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12"/>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uiPriority w:val="99"/>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8A3C93"/>
    <w:rPr>
      <w:rFonts w:ascii="Arial" w:hAnsi="Arial"/>
      <w:b/>
      <w:bCs/>
      <w:kern w:val="28"/>
      <w:sz w:val="32"/>
      <w:szCs w:val="32"/>
    </w:rPr>
  </w:style>
  <w:style w:type="paragraph" w:styleId="Subtitle">
    <w:name w:val="Subtitle"/>
    <w:basedOn w:val="Normal"/>
    <w:next w:val="Normal"/>
    <w:link w:val="SubtitleChar"/>
    <w:uiPriority w:val="99"/>
    <w:qFormat/>
    <w:rsid w:val="008A3C93"/>
    <w:pPr>
      <w:spacing w:after="60"/>
      <w:jc w:val="center"/>
      <w:outlineLvl w:val="1"/>
    </w:pPr>
    <w:rPr>
      <w:rFonts w:ascii="Arial" w:hAnsi="Arial"/>
      <w:sz w:val="28"/>
      <w:szCs w:val="28"/>
    </w:rPr>
  </w:style>
  <w:style w:type="character" w:customStyle="1" w:styleId="SubtitleChar">
    <w:name w:val="Subtitle Char"/>
    <w:link w:val="Subtitle"/>
    <w:uiPriority w:val="99"/>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uiPriority w:val="99"/>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uiPriority w:val="99"/>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uiPriority w:val="99"/>
    <w:rsid w:val="008A3C93"/>
    <w:rPr>
      <w:rFonts w:ascii="Franklin Gothic Medium" w:hAnsi="Franklin Gothic Medium"/>
      <w:b/>
      <w:color w:val="003C79"/>
    </w:rPr>
  </w:style>
  <w:style w:type="paragraph" w:customStyle="1" w:styleId="ReportCover-AuthorName">
    <w:name w:val="ReportCover-AuthorName"/>
    <w:basedOn w:val="Normal"/>
    <w:uiPriority w:val="99"/>
    <w:rsid w:val="008A3C93"/>
    <w:rPr>
      <w:rFonts w:ascii="Franklin Gothic Medium" w:hAnsi="Franklin Gothic Medium"/>
      <w:color w:val="003C79"/>
      <w:sz w:val="22"/>
      <w:szCs w:val="22"/>
    </w:rPr>
  </w:style>
  <w:style w:type="paragraph" w:customStyle="1" w:styleId="ReportCover-Date">
    <w:name w:val="ReportCover-Date"/>
    <w:basedOn w:val="Normal"/>
    <w:uiPriority w:val="99"/>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uiPriority w:val="99"/>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uiPriority w:val="99"/>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14"/>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5"/>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 w:type="paragraph" w:customStyle="1" w:styleId="p1-standpara0">
    <w:name w:val="p1-standpara"/>
    <w:basedOn w:val="Normal"/>
    <w:rsid w:val="0016153D"/>
    <w:pPr>
      <w:spacing w:line="480" w:lineRule="auto"/>
      <w:ind w:firstLine="1152"/>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aliases w:val="Table1"/>
    <w:qFormat/>
    <w:rsid w:val="008A3C93"/>
    <w:pPr>
      <w:spacing w:line="240" w:lineRule="atLeast"/>
    </w:pPr>
    <w:rPr>
      <w:rFonts w:ascii="Garamond" w:hAnsi="Garamond"/>
      <w:sz w:val="24"/>
    </w:rPr>
  </w:style>
  <w:style w:type="paragraph" w:styleId="Heading1">
    <w:name w:val="heading 1"/>
    <w:aliases w:val="H1-Sec.Head"/>
    <w:basedOn w:val="Normal"/>
    <w:next w:val="L1-FlLSp12"/>
    <w:link w:val="Heading1Char"/>
    <w:qFormat/>
    <w:rsid w:val="008A3C93"/>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L1-FlLSp12"/>
    <w:link w:val="Heading2Char"/>
    <w:qFormat/>
    <w:rsid w:val="008A3C93"/>
    <w:pPr>
      <w:numPr>
        <w:ilvl w:val="1"/>
      </w:numPr>
      <w:ind w:left="1152" w:hanging="1152"/>
      <w:outlineLvl w:val="1"/>
    </w:pPr>
    <w:rPr>
      <w:sz w:val="28"/>
    </w:rPr>
  </w:style>
  <w:style w:type="paragraph" w:styleId="Heading3">
    <w:name w:val="heading 3"/>
    <w:aliases w:val="H3-Sec. Head"/>
    <w:basedOn w:val="Heading2"/>
    <w:next w:val="L1-FlLSp12"/>
    <w:link w:val="Heading3Char"/>
    <w:qFormat/>
    <w:rsid w:val="008A3C93"/>
    <w:pPr>
      <w:numPr>
        <w:ilvl w:val="2"/>
      </w:numPr>
      <w:ind w:left="1152" w:hanging="1152"/>
      <w:outlineLvl w:val="2"/>
    </w:pPr>
  </w:style>
  <w:style w:type="paragraph" w:styleId="Heading4">
    <w:name w:val="heading 4"/>
    <w:aliases w:val="H4 Sec.Heading"/>
    <w:basedOn w:val="Heading1"/>
    <w:next w:val="L1-FlLSp12"/>
    <w:link w:val="Heading4Char"/>
    <w:qFormat/>
    <w:rsid w:val="008A3C93"/>
    <w:pPr>
      <w:outlineLvl w:val="3"/>
    </w:pPr>
    <w:rPr>
      <w:i/>
      <w:color w:val="auto"/>
      <w:sz w:val="24"/>
    </w:rPr>
  </w:style>
  <w:style w:type="paragraph" w:styleId="Heading5">
    <w:name w:val="heading 5"/>
    <w:basedOn w:val="Normal"/>
    <w:next w:val="Normal"/>
    <w:link w:val="Heading5Char"/>
    <w:qFormat/>
    <w:rsid w:val="008A3C93"/>
    <w:pPr>
      <w:keepLines/>
      <w:spacing w:before="360" w:line="360" w:lineRule="atLeast"/>
      <w:jc w:val="center"/>
      <w:outlineLvl w:val="4"/>
    </w:pPr>
  </w:style>
  <w:style w:type="paragraph" w:styleId="Heading6">
    <w:name w:val="heading 6"/>
    <w:basedOn w:val="Normal1"/>
    <w:next w:val="Normal"/>
    <w:link w:val="Heading6Char"/>
    <w:qFormat/>
    <w:rsid w:val="008A3C93"/>
    <w:pPr>
      <w:spacing w:after="120"/>
      <w:jc w:val="center"/>
      <w:outlineLvl w:val="5"/>
    </w:pPr>
    <w:rPr>
      <w:rFonts w:ascii="Calibri" w:hAnsi="Calibri"/>
      <w:b/>
    </w:rPr>
  </w:style>
  <w:style w:type="paragraph" w:styleId="Heading7">
    <w:name w:val="heading 7"/>
    <w:basedOn w:val="Normal"/>
    <w:next w:val="Normal"/>
    <w:link w:val="Heading7Char"/>
    <w:qFormat/>
    <w:rsid w:val="008A3C93"/>
    <w:pPr>
      <w:spacing w:before="240" w:after="60"/>
      <w:outlineLvl w:val="6"/>
    </w:pPr>
  </w:style>
  <w:style w:type="paragraph" w:styleId="Heading8">
    <w:name w:val="heading 8"/>
    <w:basedOn w:val="Normal"/>
    <w:next w:val="Normal"/>
    <w:link w:val="Heading8Char"/>
    <w:uiPriority w:val="99"/>
    <w:qFormat/>
    <w:rsid w:val="008A3C93"/>
    <w:pPr>
      <w:numPr>
        <w:ilvl w:val="7"/>
        <w:numId w:val="11"/>
      </w:numPr>
      <w:spacing w:before="240" w:after="60" w:line="240" w:lineRule="auto"/>
      <w:outlineLvl w:val="7"/>
    </w:pPr>
    <w:rPr>
      <w:rFonts w:ascii="Times New Roman" w:hAnsi="Times New Roman"/>
      <w:i/>
      <w:iCs/>
      <w:szCs w:val="24"/>
    </w:rPr>
  </w:style>
  <w:style w:type="paragraph" w:styleId="Heading9">
    <w:name w:val="heading 9"/>
    <w:basedOn w:val="Normal"/>
    <w:next w:val="Normal"/>
    <w:link w:val="Heading9Char"/>
    <w:uiPriority w:val="99"/>
    <w:qFormat/>
    <w:rsid w:val="008A3C93"/>
    <w:pPr>
      <w:numPr>
        <w:ilvl w:val="8"/>
        <w:numId w:val="11"/>
      </w:numPr>
      <w:spacing w:before="240" w:after="60" w:line="240" w:lineRule="auto"/>
      <w:outlineLvl w:val="8"/>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3C93"/>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A3C93"/>
    <w:pPr>
      <w:keepLines/>
      <w:jc w:val="center"/>
    </w:pPr>
  </w:style>
  <w:style w:type="paragraph" w:customStyle="1" w:styleId="C3-CtrSp12">
    <w:name w:val="C3-Ctr Sp&amp;1/2"/>
    <w:basedOn w:val="Normal"/>
    <w:rsid w:val="008A3C93"/>
    <w:pPr>
      <w:keepLines/>
      <w:spacing w:line="360" w:lineRule="atLeast"/>
      <w:jc w:val="center"/>
    </w:pPr>
  </w:style>
  <w:style w:type="paragraph" w:customStyle="1" w:styleId="E1-Equation">
    <w:name w:val="E1-Equation"/>
    <w:basedOn w:val="Normal"/>
    <w:rsid w:val="008A3C93"/>
    <w:pPr>
      <w:tabs>
        <w:tab w:val="center" w:pos="4680"/>
        <w:tab w:val="right" w:pos="9360"/>
      </w:tabs>
    </w:pPr>
  </w:style>
  <w:style w:type="paragraph" w:customStyle="1" w:styleId="E2-Equation">
    <w:name w:val="E2-Equation"/>
    <w:basedOn w:val="Normal"/>
    <w:rsid w:val="008A3C93"/>
    <w:pPr>
      <w:tabs>
        <w:tab w:val="right" w:pos="1152"/>
        <w:tab w:val="center" w:pos="1440"/>
        <w:tab w:val="left" w:pos="1728"/>
      </w:tabs>
      <w:ind w:left="1728" w:hanging="1728"/>
    </w:pPr>
  </w:style>
  <w:style w:type="paragraph" w:styleId="Footer">
    <w:name w:val="footer"/>
    <w:basedOn w:val="Normal"/>
    <w:link w:val="FooterChar"/>
    <w:rsid w:val="008A3C93"/>
  </w:style>
  <w:style w:type="paragraph" w:styleId="FootnoteText">
    <w:name w:val="footnote text"/>
    <w:aliases w:val="F1"/>
    <w:link w:val="FootnoteTextChar"/>
    <w:rsid w:val="008A3C93"/>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8A3C93"/>
    <w:rPr>
      <w:sz w:val="16"/>
    </w:rPr>
  </w:style>
  <w:style w:type="paragraph" w:customStyle="1" w:styleId="L1-FlLSp12">
    <w:name w:val="L1-FlL Sp&amp;1/2"/>
    <w:basedOn w:val="Normal"/>
    <w:rsid w:val="008A3C93"/>
    <w:pPr>
      <w:tabs>
        <w:tab w:val="left" w:pos="1152"/>
      </w:tabs>
      <w:spacing w:line="360" w:lineRule="atLeast"/>
    </w:pPr>
  </w:style>
  <w:style w:type="paragraph" w:customStyle="1" w:styleId="N0-FlLftBullet">
    <w:name w:val="N0-Fl Lft Bullet"/>
    <w:basedOn w:val="Normal"/>
    <w:rsid w:val="008A3C93"/>
    <w:pPr>
      <w:tabs>
        <w:tab w:val="left" w:pos="576"/>
      </w:tabs>
      <w:spacing w:after="240"/>
      <w:ind w:left="576" w:hanging="576"/>
    </w:pPr>
  </w:style>
  <w:style w:type="paragraph" w:customStyle="1" w:styleId="N1-1stBullet">
    <w:name w:val="N1-1st Bullet"/>
    <w:basedOn w:val="Normal"/>
    <w:link w:val="N1-1stBulletChar"/>
    <w:rsid w:val="008A3C93"/>
    <w:pPr>
      <w:numPr>
        <w:numId w:val="1"/>
      </w:numPr>
      <w:spacing w:after="240"/>
    </w:pPr>
  </w:style>
  <w:style w:type="paragraph" w:customStyle="1" w:styleId="N2-2ndBullet">
    <w:name w:val="N2-2nd Bullet"/>
    <w:basedOn w:val="Normal"/>
    <w:rsid w:val="008A3C93"/>
    <w:pPr>
      <w:numPr>
        <w:numId w:val="2"/>
      </w:numPr>
      <w:spacing w:after="240"/>
    </w:pPr>
  </w:style>
  <w:style w:type="paragraph" w:customStyle="1" w:styleId="N3-3rdBullet">
    <w:name w:val="N3-3rd Bullet"/>
    <w:basedOn w:val="Normal"/>
    <w:rsid w:val="008A3C93"/>
    <w:pPr>
      <w:numPr>
        <w:numId w:val="3"/>
      </w:numPr>
      <w:spacing w:after="240"/>
    </w:pPr>
  </w:style>
  <w:style w:type="paragraph" w:customStyle="1" w:styleId="N4-4thBullet">
    <w:name w:val="N4-4th Bullet"/>
    <w:basedOn w:val="Normal"/>
    <w:rsid w:val="008A3C93"/>
    <w:pPr>
      <w:numPr>
        <w:numId w:val="4"/>
      </w:numPr>
      <w:spacing w:after="240"/>
    </w:pPr>
  </w:style>
  <w:style w:type="paragraph" w:customStyle="1" w:styleId="N5-5thBullet">
    <w:name w:val="N5-5th Bullet"/>
    <w:basedOn w:val="Normal"/>
    <w:rsid w:val="008A3C93"/>
    <w:pPr>
      <w:tabs>
        <w:tab w:val="left" w:pos="3456"/>
      </w:tabs>
      <w:spacing w:after="240"/>
      <w:ind w:left="3456" w:hanging="576"/>
    </w:pPr>
  </w:style>
  <w:style w:type="paragraph" w:customStyle="1" w:styleId="N6-DateInd">
    <w:name w:val="N6-Date Ind."/>
    <w:basedOn w:val="Normal"/>
    <w:rsid w:val="008A3C93"/>
    <w:pPr>
      <w:tabs>
        <w:tab w:val="left" w:pos="4910"/>
      </w:tabs>
      <w:ind w:left="4910"/>
    </w:pPr>
  </w:style>
  <w:style w:type="paragraph" w:customStyle="1" w:styleId="N7-3Block">
    <w:name w:val="N7-3&quot; Block"/>
    <w:basedOn w:val="Normal"/>
    <w:rsid w:val="008A3C93"/>
    <w:pPr>
      <w:tabs>
        <w:tab w:val="left" w:pos="1152"/>
      </w:tabs>
      <w:ind w:left="1152" w:right="1152"/>
    </w:pPr>
  </w:style>
  <w:style w:type="paragraph" w:customStyle="1" w:styleId="N8-QxQBlock">
    <w:name w:val="N8-QxQ Block"/>
    <w:basedOn w:val="Normal"/>
    <w:rsid w:val="008A3C93"/>
    <w:pPr>
      <w:tabs>
        <w:tab w:val="left" w:pos="1152"/>
      </w:tabs>
      <w:spacing w:after="360" w:line="360" w:lineRule="atLeast"/>
      <w:ind w:left="1152" w:hanging="1152"/>
    </w:pPr>
  </w:style>
  <w:style w:type="paragraph" w:customStyle="1" w:styleId="P1-StandPara">
    <w:name w:val="P1-Stand Para"/>
    <w:basedOn w:val="Normal"/>
    <w:link w:val="P1-StandParaChar"/>
    <w:rsid w:val="008A3C93"/>
    <w:pPr>
      <w:spacing w:line="480" w:lineRule="auto"/>
      <w:ind w:firstLine="1152"/>
    </w:pPr>
  </w:style>
  <w:style w:type="paragraph" w:customStyle="1" w:styleId="Q1-BestFinQ">
    <w:name w:val="Q1-Best/Fin Q"/>
    <w:basedOn w:val="Heading1"/>
    <w:rsid w:val="008A3C93"/>
    <w:pPr>
      <w:spacing w:line="240" w:lineRule="atLeast"/>
      <w:jc w:val="both"/>
    </w:pPr>
    <w:rPr>
      <w:sz w:val="24"/>
    </w:rPr>
  </w:style>
  <w:style w:type="paragraph" w:customStyle="1" w:styleId="SH-SglSpHead">
    <w:name w:val="SH-Sgl Sp Head"/>
    <w:basedOn w:val="Heading1"/>
    <w:rsid w:val="008A3C93"/>
    <w:pPr>
      <w:tabs>
        <w:tab w:val="clear" w:pos="1152"/>
        <w:tab w:val="left" w:pos="576"/>
      </w:tabs>
      <w:spacing w:line="240" w:lineRule="atLeast"/>
      <w:ind w:left="576" w:hanging="576"/>
    </w:pPr>
    <w:rPr>
      <w:b w:val="0"/>
      <w:sz w:val="24"/>
    </w:rPr>
  </w:style>
  <w:style w:type="paragraph" w:customStyle="1" w:styleId="SL-FlLftSgl">
    <w:name w:val="SL-Fl Lft Sgl"/>
    <w:basedOn w:val="Normal"/>
    <w:rsid w:val="008A3C93"/>
  </w:style>
  <w:style w:type="paragraph" w:customStyle="1" w:styleId="SP-SglSpPara">
    <w:name w:val="SP-Sgl Sp Para"/>
    <w:basedOn w:val="Normal"/>
    <w:rsid w:val="008A3C93"/>
    <w:pPr>
      <w:tabs>
        <w:tab w:val="left" w:pos="576"/>
      </w:tabs>
      <w:ind w:firstLine="576"/>
    </w:pPr>
  </w:style>
  <w:style w:type="paragraph" w:customStyle="1" w:styleId="T0-ChapPgHd">
    <w:name w:val="T0-Chap/Pg Hd"/>
    <w:basedOn w:val="Normal"/>
    <w:rsid w:val="008A3C93"/>
    <w:pPr>
      <w:tabs>
        <w:tab w:val="left" w:pos="8640"/>
      </w:tabs>
    </w:pPr>
    <w:rPr>
      <w:rFonts w:ascii="Franklin Gothic Medium" w:hAnsi="Franklin Gothic Medium"/>
      <w:u w:val="words"/>
    </w:rPr>
  </w:style>
  <w:style w:type="paragraph" w:styleId="TOC1">
    <w:name w:val="toc 1"/>
    <w:basedOn w:val="Normal"/>
    <w:uiPriority w:val="39"/>
    <w:rsid w:val="008A3C93"/>
    <w:pPr>
      <w:tabs>
        <w:tab w:val="left" w:pos="1440"/>
        <w:tab w:val="right" w:leader="dot" w:pos="8208"/>
        <w:tab w:val="left" w:pos="8640"/>
      </w:tabs>
      <w:ind w:left="1440" w:right="1800" w:hanging="1152"/>
    </w:pPr>
  </w:style>
  <w:style w:type="paragraph" w:styleId="TOC2">
    <w:name w:val="toc 2"/>
    <w:basedOn w:val="Normal"/>
    <w:uiPriority w:val="39"/>
    <w:rsid w:val="008A3C93"/>
    <w:pPr>
      <w:tabs>
        <w:tab w:val="left" w:pos="2160"/>
        <w:tab w:val="right" w:leader="dot" w:pos="8208"/>
        <w:tab w:val="left" w:pos="8640"/>
      </w:tabs>
      <w:ind w:left="2160" w:right="1800" w:hanging="720"/>
    </w:pPr>
    <w:rPr>
      <w:szCs w:val="22"/>
    </w:rPr>
  </w:style>
  <w:style w:type="paragraph" w:styleId="TOC3">
    <w:name w:val="toc 3"/>
    <w:basedOn w:val="Normal"/>
    <w:uiPriority w:val="39"/>
    <w:rsid w:val="008A3C93"/>
    <w:pPr>
      <w:tabs>
        <w:tab w:val="left" w:pos="3024"/>
        <w:tab w:val="right" w:leader="dot" w:pos="8208"/>
        <w:tab w:val="left" w:pos="8640"/>
      </w:tabs>
      <w:ind w:left="3024" w:right="1800" w:hanging="864"/>
    </w:pPr>
  </w:style>
  <w:style w:type="paragraph" w:styleId="TOC4">
    <w:name w:val="toc 4"/>
    <w:basedOn w:val="Normal"/>
    <w:rsid w:val="008A3C93"/>
    <w:pPr>
      <w:tabs>
        <w:tab w:val="left" w:pos="3888"/>
        <w:tab w:val="right" w:leader="dot" w:pos="8208"/>
        <w:tab w:val="left" w:pos="8640"/>
      </w:tabs>
      <w:ind w:left="3888" w:right="1800" w:hanging="864"/>
    </w:pPr>
  </w:style>
  <w:style w:type="paragraph" w:styleId="TOC5">
    <w:name w:val="toc 5"/>
    <w:basedOn w:val="Normal"/>
    <w:uiPriority w:val="39"/>
    <w:rsid w:val="008A3C93"/>
    <w:pPr>
      <w:tabs>
        <w:tab w:val="left" w:pos="1440"/>
        <w:tab w:val="right" w:leader="dot" w:pos="8208"/>
        <w:tab w:val="left" w:pos="8640"/>
      </w:tabs>
      <w:ind w:left="1440" w:right="1800" w:hanging="1152"/>
    </w:pPr>
  </w:style>
  <w:style w:type="paragraph" w:customStyle="1" w:styleId="TT-TableTitle">
    <w:name w:val="TT-Table Title"/>
    <w:basedOn w:val="Heading1"/>
    <w:rsid w:val="008A3C93"/>
    <w:pPr>
      <w:tabs>
        <w:tab w:val="clear" w:pos="1152"/>
        <w:tab w:val="left" w:pos="1440"/>
      </w:tabs>
      <w:spacing w:after="0" w:line="240" w:lineRule="atLeast"/>
      <w:ind w:left="0" w:firstLine="0"/>
    </w:pPr>
    <w:rPr>
      <w:b w:val="0"/>
      <w:color w:val="auto"/>
      <w:sz w:val="22"/>
    </w:rPr>
  </w:style>
  <w:style w:type="paragraph" w:customStyle="1" w:styleId="CT-ContractInformation">
    <w:name w:val="CT-Contract Information"/>
    <w:basedOn w:val="Normal"/>
    <w:rsid w:val="008A3C93"/>
    <w:pPr>
      <w:tabs>
        <w:tab w:val="left" w:pos="2232"/>
      </w:tabs>
      <w:spacing w:line="240" w:lineRule="exact"/>
    </w:pPr>
    <w:rPr>
      <w:vanish/>
    </w:rPr>
  </w:style>
  <w:style w:type="paragraph" w:customStyle="1" w:styleId="R1-ResPara">
    <w:name w:val="R1-Res. Para"/>
    <w:rsid w:val="008A3C93"/>
    <w:pPr>
      <w:spacing w:line="240" w:lineRule="atLeast"/>
      <w:ind w:left="288"/>
    </w:pPr>
    <w:rPr>
      <w:rFonts w:ascii="Garamond" w:hAnsi="Garamond"/>
      <w:sz w:val="24"/>
    </w:rPr>
  </w:style>
  <w:style w:type="paragraph" w:customStyle="1" w:styleId="R2-ResBullet">
    <w:name w:val="R2-Res Bullet"/>
    <w:basedOn w:val="Normal"/>
    <w:rsid w:val="008A3C93"/>
    <w:pPr>
      <w:tabs>
        <w:tab w:val="left" w:pos="720"/>
      </w:tabs>
      <w:ind w:left="720" w:hanging="432"/>
    </w:pPr>
  </w:style>
  <w:style w:type="paragraph" w:customStyle="1" w:styleId="RF-Reference">
    <w:name w:val="RF-Reference"/>
    <w:basedOn w:val="Normal"/>
    <w:rsid w:val="008A3C93"/>
    <w:pPr>
      <w:spacing w:line="240" w:lineRule="exact"/>
      <w:ind w:left="216" w:hanging="216"/>
    </w:pPr>
  </w:style>
  <w:style w:type="paragraph" w:customStyle="1" w:styleId="RH-SglSpHead">
    <w:name w:val="RH-Sgl Sp Head"/>
    <w:basedOn w:val="Heading1"/>
    <w:next w:val="RL-FlLftSgl"/>
    <w:rsid w:val="008A3C9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A3C93"/>
    <w:pPr>
      <w:tabs>
        <w:tab w:val="clear" w:pos="1152"/>
      </w:tabs>
      <w:spacing w:after="0" w:line="240" w:lineRule="atLeast"/>
      <w:ind w:left="0" w:firstLine="0"/>
    </w:pPr>
    <w:rPr>
      <w:sz w:val="24"/>
    </w:rPr>
  </w:style>
  <w:style w:type="paragraph" w:customStyle="1" w:styleId="SU-FlLftUndln">
    <w:name w:val="SU-Fl Lft Undln"/>
    <w:basedOn w:val="Normal"/>
    <w:rsid w:val="008A3C93"/>
    <w:pPr>
      <w:keepNext/>
      <w:spacing w:line="240" w:lineRule="exact"/>
    </w:pPr>
    <w:rPr>
      <w:u w:val="single"/>
    </w:rPr>
  </w:style>
  <w:style w:type="paragraph" w:customStyle="1" w:styleId="Header-1">
    <w:name w:val="Header-1"/>
    <w:basedOn w:val="Heading1"/>
    <w:rsid w:val="008A3C93"/>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8A3C93"/>
    <w:pPr>
      <w:tabs>
        <w:tab w:val="clear" w:pos="1152"/>
      </w:tabs>
      <w:spacing w:after="0"/>
      <w:ind w:left="0" w:firstLine="0"/>
      <w:jc w:val="right"/>
    </w:pPr>
    <w:rPr>
      <w:sz w:val="40"/>
    </w:rPr>
  </w:style>
  <w:style w:type="character" w:styleId="PageNumber">
    <w:name w:val="page number"/>
    <w:basedOn w:val="DefaultParagraphFont"/>
    <w:rsid w:val="008A3C93"/>
  </w:style>
  <w:style w:type="paragraph" w:customStyle="1" w:styleId="R0-FLLftSglBoldItalic">
    <w:name w:val="R0-FL Lft Sgl Bold Italic"/>
    <w:basedOn w:val="Heading1"/>
    <w:rsid w:val="008A3C93"/>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A3C93"/>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A3C9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A3C93"/>
    <w:rPr>
      <w:rFonts w:ascii="Franklin Gothic Medium" w:hAnsi="Franklin Gothic Medium"/>
      <w:sz w:val="18"/>
    </w:rPr>
  </w:style>
  <w:style w:type="paragraph" w:customStyle="1" w:styleId="TH-TableHeading">
    <w:name w:val="TH-Table Heading"/>
    <w:basedOn w:val="Heading1"/>
    <w:rsid w:val="008A3C93"/>
    <w:pPr>
      <w:spacing w:after="0" w:line="240" w:lineRule="atLeast"/>
      <w:ind w:left="0" w:firstLine="0"/>
      <w:jc w:val="center"/>
    </w:pPr>
    <w:rPr>
      <w:color w:val="auto"/>
      <w:sz w:val="20"/>
    </w:rPr>
  </w:style>
  <w:style w:type="paragraph" w:styleId="TOC6">
    <w:name w:val="toc 6"/>
    <w:rsid w:val="008A3C93"/>
    <w:pPr>
      <w:tabs>
        <w:tab w:val="right" w:leader="dot" w:pos="8208"/>
        <w:tab w:val="left" w:pos="8640"/>
      </w:tabs>
      <w:ind w:left="288"/>
    </w:pPr>
    <w:rPr>
      <w:rFonts w:ascii="Garamond" w:hAnsi="Garamond"/>
      <w:sz w:val="24"/>
      <w:szCs w:val="22"/>
    </w:rPr>
  </w:style>
  <w:style w:type="paragraph" w:styleId="TOC7">
    <w:name w:val="toc 7"/>
    <w:rsid w:val="008A3C93"/>
    <w:pPr>
      <w:tabs>
        <w:tab w:val="right" w:leader="dot" w:pos="8208"/>
        <w:tab w:val="left" w:pos="8640"/>
      </w:tabs>
      <w:ind w:left="1440"/>
    </w:pPr>
    <w:rPr>
      <w:rFonts w:ascii="Garamond" w:hAnsi="Garamond"/>
      <w:sz w:val="24"/>
      <w:szCs w:val="22"/>
    </w:rPr>
  </w:style>
  <w:style w:type="paragraph" w:styleId="TOC8">
    <w:name w:val="toc 8"/>
    <w:rsid w:val="008A3C93"/>
    <w:pPr>
      <w:tabs>
        <w:tab w:val="right" w:leader="dot" w:pos="8208"/>
        <w:tab w:val="left" w:pos="8640"/>
      </w:tabs>
      <w:ind w:left="2160"/>
    </w:pPr>
    <w:rPr>
      <w:rFonts w:ascii="Garamond" w:hAnsi="Garamond"/>
      <w:sz w:val="24"/>
      <w:szCs w:val="22"/>
    </w:rPr>
  </w:style>
  <w:style w:type="paragraph" w:styleId="TOC9">
    <w:name w:val="toc 9"/>
    <w:rsid w:val="008A3C93"/>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A3C93"/>
    <w:rPr>
      <w:rFonts w:ascii="Franklin Gothic Medium" w:hAnsi="Franklin Gothic Medium"/>
      <w:sz w:val="20"/>
    </w:rPr>
  </w:style>
  <w:style w:type="paragraph" w:styleId="ListParagraph">
    <w:name w:val="List Paragraph"/>
    <w:basedOn w:val="Normal"/>
    <w:uiPriority w:val="99"/>
    <w:qFormat/>
    <w:rsid w:val="008A3C93"/>
  </w:style>
  <w:style w:type="character" w:customStyle="1" w:styleId="Heading6Char">
    <w:name w:val="Heading 6 Char"/>
    <w:link w:val="Heading6"/>
    <w:rsid w:val="008A3C93"/>
    <w:rPr>
      <w:rFonts w:ascii="Calibri" w:hAnsi="Calibri"/>
      <w:b/>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uiPriority w:val="99"/>
    <w:rsid w:val="008A3C93"/>
    <w:pPr>
      <w:spacing w:after="120"/>
      <w:ind w:left="360"/>
    </w:pPr>
    <w:rPr>
      <w:rFonts w:ascii="Calibri" w:hAnsi="Calibri"/>
      <w:sz w:val="16"/>
      <w:szCs w:val="16"/>
    </w:rPr>
  </w:style>
  <w:style w:type="character" w:customStyle="1" w:styleId="BodyTextIndent3Char">
    <w:name w:val="Body Text Indent 3 Char"/>
    <w:link w:val="BodyTextIndent3"/>
    <w:uiPriority w:val="99"/>
    <w:rsid w:val="008A3C93"/>
    <w:rPr>
      <w:rFonts w:ascii="Calibri" w:hAnsi="Calibri"/>
      <w:sz w:val="16"/>
      <w:szCs w:val="16"/>
    </w:rPr>
  </w:style>
  <w:style w:type="table" w:styleId="TableGrid">
    <w:name w:val="Table Grid"/>
    <w:basedOn w:val="TableNormal"/>
    <w:uiPriority w:val="99"/>
    <w:rsid w:val="008A3C93"/>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aliases w:val="F1 Char"/>
    <w:link w:val="FootnoteText"/>
    <w:rsid w:val="008A3C93"/>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line="480" w:lineRule="auto"/>
      <w:ind w:left="1728" w:right="-187" w:hanging="576"/>
    </w:pPr>
    <w:rPr>
      <w:sz w:val="22"/>
    </w:rPr>
  </w:style>
  <w:style w:type="paragraph" w:styleId="NormalWeb">
    <w:name w:val="Normal (Web)"/>
    <w:basedOn w:val="Normal"/>
    <w:uiPriority w:val="99"/>
    <w:rsid w:val="008A3C93"/>
    <w:pPr>
      <w:spacing w:before="100" w:beforeAutospacing="1" w:after="100" w:afterAutospacing="1" w:line="240" w:lineRule="auto"/>
    </w:pPr>
    <w:rPr>
      <w:rFonts w:ascii="Verdana" w:hAnsi="Verdana"/>
      <w:color w:val="000000"/>
      <w:sz w:val="6"/>
      <w:szCs w:val="6"/>
    </w:rPr>
  </w:style>
  <w:style w:type="paragraph" w:styleId="BalloonText">
    <w:name w:val="Balloon Text"/>
    <w:basedOn w:val="Normal"/>
    <w:link w:val="BalloonTextChar"/>
    <w:uiPriority w:val="99"/>
    <w:semiHidden/>
    <w:rsid w:val="008A3C93"/>
    <w:pPr>
      <w:spacing w:line="240" w:lineRule="auto"/>
    </w:pPr>
    <w:rPr>
      <w:rFonts w:ascii="Tahoma" w:hAnsi="Tahoma"/>
      <w:sz w:val="16"/>
      <w:szCs w:val="16"/>
    </w:rPr>
  </w:style>
  <w:style w:type="character" w:customStyle="1" w:styleId="BalloonTextChar">
    <w:name w:val="Balloon Text Char"/>
    <w:link w:val="BalloonText"/>
    <w:uiPriority w:val="99"/>
    <w:semiHidden/>
    <w:rsid w:val="008A3C93"/>
    <w:rPr>
      <w:rFonts w:ascii="Tahoma" w:hAnsi="Tahoma"/>
      <w:sz w:val="16"/>
      <w:szCs w:val="16"/>
    </w:rPr>
  </w:style>
  <w:style w:type="paragraph" w:styleId="BodyTextIndent2">
    <w:name w:val="Body Text Indent 2"/>
    <w:basedOn w:val="Normal"/>
    <w:link w:val="BodyTextIndent2Char"/>
    <w:uiPriority w:val="99"/>
    <w:unhideWhenUsed/>
    <w:rsid w:val="006D3765"/>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link w:val="Heading1"/>
    <w:rsid w:val="008A3C93"/>
    <w:rPr>
      <w:rFonts w:ascii="Franklin Gothic Medium" w:hAnsi="Franklin Gothic Medium"/>
      <w:b/>
      <w:color w:val="324162"/>
      <w:sz w:val="32"/>
      <w:szCs w:val="32"/>
    </w:rPr>
  </w:style>
  <w:style w:type="character" w:styleId="CommentReference">
    <w:name w:val="annotation reference"/>
    <w:basedOn w:val="DefaultParagraphFont"/>
    <w:uiPriority w:val="99"/>
    <w:semiHidden/>
    <w:rsid w:val="008A3C93"/>
    <w:rPr>
      <w:rFonts w:cs="Times New Roman"/>
      <w:sz w:val="16"/>
      <w:szCs w:val="16"/>
    </w:rPr>
  </w:style>
  <w:style w:type="paragraph" w:styleId="CommentText">
    <w:name w:val="annotation text"/>
    <w:basedOn w:val="Normal"/>
    <w:link w:val="CommentTextChar"/>
    <w:uiPriority w:val="99"/>
    <w:rsid w:val="008A3C93"/>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8A3C93"/>
  </w:style>
  <w:style w:type="paragraph" w:styleId="CommentSubject">
    <w:name w:val="annotation subject"/>
    <w:basedOn w:val="CommentText"/>
    <w:next w:val="CommentText"/>
    <w:link w:val="CommentSubjectChar"/>
    <w:uiPriority w:val="99"/>
    <w:semiHidden/>
    <w:rsid w:val="008A3C93"/>
    <w:rPr>
      <w:rFonts w:ascii="Garamond" w:hAnsi="Garamond"/>
      <w:b/>
      <w:bCs/>
    </w:rPr>
  </w:style>
  <w:style w:type="character" w:customStyle="1" w:styleId="CommentSubjectChar">
    <w:name w:val="Comment Subject Char"/>
    <w:link w:val="CommentSubject"/>
    <w:uiPriority w:val="99"/>
    <w:semiHidden/>
    <w:rsid w:val="008A3C93"/>
    <w:rPr>
      <w:rFonts w:ascii="Garamond" w:hAnsi="Garamond"/>
      <w:b/>
      <w:bCs/>
    </w:rPr>
  </w:style>
  <w:style w:type="paragraph" w:styleId="BodyTextIndent">
    <w:name w:val="Body Text Indent"/>
    <w:basedOn w:val="Normal"/>
    <w:link w:val="BodyTextIndentChar"/>
    <w:uiPriority w:val="99"/>
    <w:rsid w:val="008A3C93"/>
    <w:pPr>
      <w:spacing w:after="120"/>
      <w:ind w:left="360"/>
    </w:pPr>
  </w:style>
  <w:style w:type="character" w:customStyle="1" w:styleId="BodyTextIndentChar">
    <w:name w:val="Body Text Indent Char"/>
    <w:basedOn w:val="DefaultParagraphFont"/>
    <w:link w:val="BodyTextIndent"/>
    <w:uiPriority w:val="99"/>
    <w:rsid w:val="008A3C93"/>
    <w:rPr>
      <w:rFonts w:ascii="Garamond" w:hAnsi="Garamond"/>
      <w:sz w:val="24"/>
    </w:rPr>
  </w:style>
  <w:style w:type="character" w:styleId="Hyperlink">
    <w:name w:val="Hyperlink"/>
    <w:basedOn w:val="DefaultParagraphFont"/>
    <w:uiPriority w:val="99"/>
    <w:rsid w:val="008A3C93"/>
    <w:rPr>
      <w:rFonts w:cs="Times New Roman"/>
      <w:color w:val="000000"/>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rsid w:val="008A3C93"/>
    <w:pPr>
      <w:spacing w:after="120"/>
    </w:pPr>
  </w:style>
  <w:style w:type="character" w:customStyle="1" w:styleId="BodyTextChar">
    <w:name w:val="Body Text Char"/>
    <w:link w:val="BodyText"/>
    <w:uiPriority w:val="99"/>
    <w:rsid w:val="008A3C93"/>
    <w:rPr>
      <w:rFonts w:ascii="Garamond" w:hAnsi="Garamond"/>
      <w:sz w:val="24"/>
    </w:rPr>
  </w:style>
  <w:style w:type="character" w:customStyle="1" w:styleId="HeaderChar">
    <w:name w:val="Header Char"/>
    <w:link w:val="Header"/>
    <w:rsid w:val="008A3C93"/>
    <w:rPr>
      <w:rFonts w:ascii="Garamond" w:hAnsi="Garamond"/>
      <w:sz w:val="16"/>
    </w:rPr>
  </w:style>
  <w:style w:type="character" w:customStyle="1" w:styleId="FooterChar">
    <w:name w:val="Footer Char"/>
    <w:link w:val="Footer"/>
    <w:rsid w:val="008A3C93"/>
    <w:rPr>
      <w:rFonts w:ascii="Garamond" w:hAnsi="Garamond"/>
      <w:sz w:val="24"/>
    </w:rPr>
  </w:style>
  <w:style w:type="character" w:customStyle="1" w:styleId="Heading4Char">
    <w:name w:val="Heading 4 Char"/>
    <w:aliases w:val="H4 Sec.Heading Char"/>
    <w:link w:val="Heading4"/>
    <w:rsid w:val="008A3C93"/>
    <w:rPr>
      <w:rFonts w:ascii="Franklin Gothic Medium" w:hAnsi="Franklin Gothic Medium"/>
      <w:b/>
      <w:i/>
      <w:sz w:val="24"/>
      <w:szCs w:val="32"/>
    </w:rPr>
  </w:style>
  <w:style w:type="character" w:customStyle="1" w:styleId="Heading2Char">
    <w:name w:val="Heading 2 Char"/>
    <w:aliases w:val="H2-Sec. Head Char"/>
    <w:link w:val="Heading2"/>
    <w:rsid w:val="008A3C93"/>
    <w:rPr>
      <w:rFonts w:ascii="Franklin Gothic Medium" w:hAnsi="Franklin Gothic Medium"/>
      <w:b/>
      <w:color w:val="324162"/>
      <w:sz w:val="28"/>
      <w:szCs w:val="32"/>
    </w:rPr>
  </w:style>
  <w:style w:type="character" w:customStyle="1" w:styleId="Heading3Char">
    <w:name w:val="Heading 3 Char"/>
    <w:aliases w:val="H3-Sec. Head Char"/>
    <w:link w:val="Heading3"/>
    <w:rsid w:val="008A3C93"/>
    <w:rPr>
      <w:rFonts w:ascii="Franklin Gothic Medium" w:hAnsi="Franklin Gothic Medium"/>
      <w:b/>
      <w:color w:val="324162"/>
      <w:sz w:val="28"/>
      <w:szCs w:val="32"/>
    </w:rPr>
  </w:style>
  <w:style w:type="character" w:customStyle="1" w:styleId="Heading5Char">
    <w:name w:val="Heading 5 Char"/>
    <w:link w:val="Heading5"/>
    <w:rsid w:val="008A3C93"/>
    <w:rPr>
      <w:rFonts w:ascii="Garamond" w:hAnsi="Garamond"/>
      <w:sz w:val="24"/>
    </w:rPr>
  </w:style>
  <w:style w:type="character" w:customStyle="1" w:styleId="Heading7Char">
    <w:name w:val="Heading 7 Char"/>
    <w:link w:val="Heading7"/>
    <w:rsid w:val="008A3C93"/>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rsid w:val="008A3C93"/>
    <w:rPr>
      <w:rFonts w:cs="Times New Roman"/>
      <w:color w:val="000000"/>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99"/>
    <w:qFormat/>
    <w:rsid w:val="008A3C93"/>
    <w:rPr>
      <w:rFonts w:cs="Times New Roman"/>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link w:val="NoSpacingChar"/>
    <w:uiPriority w:val="1"/>
    <w:qFormat/>
    <w:rsid w:val="008A3C93"/>
    <w:pPr>
      <w:spacing w:line="360" w:lineRule="atLeast"/>
      <w:jc w:val="center"/>
    </w:pPr>
    <w:rPr>
      <w:rFonts w:ascii="Calibri" w:hAnsi="Calibri"/>
      <w:b/>
      <w:sz w:val="24"/>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rsid w:val="008A3C93"/>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customStyle="1" w:styleId="Normal1">
    <w:name w:val="Normal1"/>
    <w:basedOn w:val="Normal"/>
    <w:link w:val="NormalChar"/>
    <w:uiPriority w:val="99"/>
    <w:rsid w:val="008A3C93"/>
  </w:style>
  <w:style w:type="character" w:customStyle="1" w:styleId="NormalChar">
    <w:name w:val="Normal Char"/>
    <w:link w:val="Normal1"/>
    <w:uiPriority w:val="99"/>
    <w:rsid w:val="008A3C93"/>
    <w:rPr>
      <w:rFonts w:ascii="Garamond" w:hAnsi="Garamond"/>
      <w:sz w:val="24"/>
    </w:rPr>
  </w:style>
  <w:style w:type="paragraph" w:customStyle="1" w:styleId="Default">
    <w:name w:val="Default"/>
    <w:uiPriority w:val="99"/>
    <w:rsid w:val="008A3C93"/>
    <w:pPr>
      <w:autoSpaceDE w:val="0"/>
      <w:autoSpaceDN w:val="0"/>
      <w:adjustRightInd w:val="0"/>
    </w:pPr>
    <w:rPr>
      <w:rFonts w:eastAsia="Calibri"/>
      <w:color w:val="000000"/>
      <w:sz w:val="24"/>
      <w:szCs w:val="24"/>
      <w:lang w:bidi="he-IL"/>
    </w:rPr>
  </w:style>
  <w:style w:type="paragraph" w:customStyle="1" w:styleId="TableTitle">
    <w:name w:val="Table Title"/>
    <w:basedOn w:val="Default"/>
    <w:next w:val="Default"/>
    <w:uiPriority w:val="99"/>
    <w:rsid w:val="008A3C93"/>
    <w:pPr>
      <w:keepNext/>
      <w:numPr>
        <w:ilvl w:val="1"/>
        <w:numId w:val="13"/>
      </w:numPr>
      <w:spacing w:before="360" w:after="240"/>
      <w:jc w:val="center"/>
    </w:pPr>
    <w:rPr>
      <w:b/>
      <w:color w:val="auto"/>
    </w:rPr>
  </w:style>
  <w:style w:type="character" w:customStyle="1" w:styleId="NoSpacingChar">
    <w:name w:val="No Spacing Char"/>
    <w:basedOn w:val="DefaultParagraphFont"/>
    <w:link w:val="NoSpacing"/>
    <w:uiPriority w:val="1"/>
    <w:rsid w:val="00953016"/>
    <w:rPr>
      <w:rFonts w:ascii="Calibri" w:hAnsi="Calibri"/>
      <w:b/>
      <w:sz w:val="24"/>
    </w:rPr>
  </w:style>
  <w:style w:type="character" w:styleId="FollowedHyperlink">
    <w:name w:val="FollowedHyperlink"/>
    <w:basedOn w:val="DefaultParagraphFont"/>
    <w:uiPriority w:val="99"/>
    <w:semiHidden/>
    <w:unhideWhenUsed/>
    <w:rsid w:val="005F02D7"/>
    <w:rPr>
      <w:color w:val="800080" w:themeColor="followedHyperlink"/>
      <w:u w:val="single"/>
    </w:rPr>
  </w:style>
  <w:style w:type="character" w:customStyle="1" w:styleId="Heading8Char">
    <w:name w:val="Heading 8 Char"/>
    <w:link w:val="Heading8"/>
    <w:uiPriority w:val="99"/>
    <w:rsid w:val="008A3C93"/>
    <w:rPr>
      <w:i/>
      <w:iCs/>
      <w:sz w:val="24"/>
      <w:szCs w:val="24"/>
    </w:rPr>
  </w:style>
  <w:style w:type="character" w:customStyle="1" w:styleId="Heading9Char">
    <w:name w:val="Heading 9 Char"/>
    <w:link w:val="Heading9"/>
    <w:uiPriority w:val="99"/>
    <w:rsid w:val="008A3C93"/>
    <w:rPr>
      <w:rFonts w:ascii="Arial" w:hAnsi="Arial"/>
      <w:sz w:val="24"/>
      <w:szCs w:val="24"/>
    </w:rPr>
  </w:style>
  <w:style w:type="paragraph" w:customStyle="1" w:styleId="ExhibitHead">
    <w:name w:val="Exhibit Head"/>
    <w:basedOn w:val="Normal"/>
    <w:uiPriority w:val="99"/>
    <w:rsid w:val="008A3C93"/>
    <w:pPr>
      <w:spacing w:after="120" w:line="240" w:lineRule="auto"/>
      <w:jc w:val="center"/>
    </w:pPr>
    <w:rPr>
      <w:rFonts w:ascii="Arial" w:hAnsi="Arial"/>
      <w:b/>
      <w:bCs/>
      <w:sz w:val="20"/>
    </w:rPr>
  </w:style>
  <w:style w:type="paragraph" w:customStyle="1" w:styleId="BodyText1">
    <w:name w:val="Body Text1"/>
    <w:link w:val="BodytextChar0"/>
    <w:uiPriority w:val="99"/>
    <w:rsid w:val="008A3C93"/>
    <w:pPr>
      <w:tabs>
        <w:tab w:val="left" w:pos="630"/>
        <w:tab w:val="left" w:pos="1260"/>
      </w:tabs>
      <w:autoSpaceDE w:val="0"/>
      <w:autoSpaceDN w:val="0"/>
      <w:adjustRightInd w:val="0"/>
      <w:spacing w:after="240"/>
      <w:jc w:val="both"/>
    </w:pPr>
    <w:rPr>
      <w:sz w:val="24"/>
      <w:szCs w:val="24"/>
    </w:rPr>
  </w:style>
  <w:style w:type="character" w:customStyle="1" w:styleId="BodytextChar0">
    <w:name w:val="Body text Char"/>
    <w:link w:val="BodyText1"/>
    <w:uiPriority w:val="99"/>
    <w:locked/>
    <w:rsid w:val="008A3C93"/>
    <w:rPr>
      <w:sz w:val="24"/>
      <w:szCs w:val="24"/>
    </w:rPr>
  </w:style>
  <w:style w:type="paragraph" w:customStyle="1" w:styleId="TableText">
    <w:name w:val="Table Text"/>
    <w:basedOn w:val="Normal"/>
    <w:uiPriority w:val="99"/>
    <w:rsid w:val="008A3C93"/>
    <w:pPr>
      <w:spacing w:after="120" w:line="240" w:lineRule="auto"/>
    </w:pPr>
    <w:rPr>
      <w:rFonts w:ascii="Arial" w:hAnsi="Arial"/>
      <w:color w:val="339966"/>
      <w:sz w:val="18"/>
      <w:szCs w:val="18"/>
    </w:rPr>
  </w:style>
  <w:style w:type="paragraph" w:customStyle="1" w:styleId="TableRowheading">
    <w:name w:val="Table Row heading"/>
    <w:basedOn w:val="TableText"/>
    <w:uiPriority w:val="99"/>
    <w:rsid w:val="008A3C93"/>
    <w:pPr>
      <w:jc w:val="center"/>
    </w:pPr>
    <w:rPr>
      <w:b/>
      <w:bCs/>
    </w:rPr>
  </w:style>
  <w:style w:type="paragraph" w:customStyle="1" w:styleId="AbtHeadC">
    <w:name w:val="AbtHead C"/>
    <w:basedOn w:val="Normal"/>
    <w:next w:val="BodyText"/>
    <w:link w:val="AbtHeadCChar"/>
    <w:uiPriority w:val="99"/>
    <w:rsid w:val="008A3C93"/>
    <w:pPr>
      <w:keepNext/>
      <w:keepLines/>
      <w:tabs>
        <w:tab w:val="left" w:pos="720"/>
        <w:tab w:val="left" w:pos="1080"/>
        <w:tab w:val="left" w:pos="1440"/>
        <w:tab w:val="left" w:pos="1800"/>
      </w:tabs>
      <w:spacing w:after="240" w:line="264" w:lineRule="auto"/>
      <w:outlineLvl w:val="2"/>
    </w:pPr>
    <w:rPr>
      <w:rFonts w:ascii="Arial" w:hAnsi="Arial"/>
      <w:b/>
      <w:sz w:val="20"/>
    </w:rPr>
  </w:style>
  <w:style w:type="character" w:customStyle="1" w:styleId="CommentTextChar2">
    <w:name w:val="Comment Text Char2"/>
    <w:uiPriority w:val="99"/>
    <w:locked/>
    <w:rsid w:val="008A3C93"/>
    <w:rPr>
      <w:rFonts w:cs="Times New Roman"/>
    </w:rPr>
  </w:style>
  <w:style w:type="paragraph" w:customStyle="1" w:styleId="ExhibitColumnHeads">
    <w:name w:val="Exhibit Column Heads"/>
    <w:basedOn w:val="BodyText"/>
    <w:uiPriority w:val="99"/>
    <w:rsid w:val="008A3C93"/>
    <w:pPr>
      <w:tabs>
        <w:tab w:val="left" w:pos="720"/>
        <w:tab w:val="left" w:pos="1080"/>
        <w:tab w:val="left" w:pos="1440"/>
      </w:tabs>
      <w:spacing w:before="20" w:after="20" w:line="240" w:lineRule="auto"/>
      <w:jc w:val="center"/>
    </w:pPr>
    <w:rPr>
      <w:rFonts w:ascii="Arial" w:hAnsi="Arial" w:cs="Arial"/>
      <w:b/>
      <w:bCs/>
      <w:sz w:val="20"/>
    </w:rPr>
  </w:style>
  <w:style w:type="paragraph" w:customStyle="1" w:styleId="Exhibit">
    <w:name w:val="Exhibit"/>
    <w:basedOn w:val="Normal"/>
    <w:uiPriority w:val="99"/>
    <w:rsid w:val="008A3C93"/>
    <w:pPr>
      <w:spacing w:line="240" w:lineRule="auto"/>
    </w:pPr>
    <w:rPr>
      <w:rFonts w:ascii="Arial Narrow" w:hAnsi="Arial Narrow"/>
      <w:sz w:val="18"/>
    </w:rPr>
  </w:style>
  <w:style w:type="paragraph" w:customStyle="1" w:styleId="ExhibitTitle">
    <w:name w:val="Exhibit Title"/>
    <w:basedOn w:val="Default"/>
    <w:next w:val="Default"/>
    <w:uiPriority w:val="99"/>
    <w:rsid w:val="008A3C93"/>
    <w:rPr>
      <w:color w:val="auto"/>
    </w:rPr>
  </w:style>
  <w:style w:type="paragraph" w:styleId="Caption">
    <w:name w:val="caption"/>
    <w:basedOn w:val="Normal"/>
    <w:next w:val="Normal"/>
    <w:uiPriority w:val="99"/>
    <w:qFormat/>
    <w:rsid w:val="008A3C93"/>
    <w:rPr>
      <w:b/>
      <w:bCs/>
      <w:sz w:val="20"/>
    </w:rPr>
  </w:style>
  <w:style w:type="paragraph" w:customStyle="1" w:styleId="TOCTitle">
    <w:name w:val="TOC Title"/>
    <w:basedOn w:val="Default"/>
    <w:next w:val="Default"/>
    <w:uiPriority w:val="99"/>
    <w:rsid w:val="008A3C93"/>
    <w:rPr>
      <w:color w:val="auto"/>
    </w:rPr>
  </w:style>
  <w:style w:type="paragraph" w:customStyle="1" w:styleId="BodyTextItalics">
    <w:name w:val="Body Text Italics"/>
    <w:basedOn w:val="Default"/>
    <w:next w:val="Default"/>
    <w:uiPriority w:val="99"/>
    <w:rsid w:val="008A3C93"/>
    <w:rPr>
      <w:color w:val="auto"/>
    </w:rPr>
  </w:style>
  <w:style w:type="paragraph" w:customStyle="1" w:styleId="HeadingUnderline">
    <w:name w:val="Heading Underline"/>
    <w:basedOn w:val="Default"/>
    <w:next w:val="Default"/>
    <w:uiPriority w:val="99"/>
    <w:rsid w:val="008A3C93"/>
    <w:rPr>
      <w:color w:val="auto"/>
    </w:rPr>
  </w:style>
  <w:style w:type="paragraph" w:customStyle="1" w:styleId="BodyText0">
    <w:name w:val="BodyText"/>
    <w:basedOn w:val="Default"/>
    <w:next w:val="Default"/>
    <w:link w:val="BodyTextCharChar"/>
    <w:uiPriority w:val="99"/>
    <w:rsid w:val="008A3C93"/>
    <w:rPr>
      <w:color w:val="auto"/>
    </w:rPr>
  </w:style>
  <w:style w:type="character" w:customStyle="1" w:styleId="BodyTextCharChar">
    <w:name w:val="BodyText Char Char"/>
    <w:link w:val="BodyText0"/>
    <w:uiPriority w:val="99"/>
    <w:locked/>
    <w:rsid w:val="008A3C93"/>
    <w:rPr>
      <w:rFonts w:eastAsia="Calibri"/>
      <w:sz w:val="24"/>
      <w:szCs w:val="24"/>
      <w:lang w:bidi="he-IL"/>
    </w:rPr>
  </w:style>
  <w:style w:type="paragraph" w:customStyle="1" w:styleId="BodyTextIndent1">
    <w:name w:val="Body Text Indent1"/>
    <w:basedOn w:val="Default"/>
    <w:next w:val="Default"/>
    <w:uiPriority w:val="99"/>
    <w:rsid w:val="008A3C93"/>
    <w:rPr>
      <w:color w:val="auto"/>
    </w:rPr>
  </w:style>
  <w:style w:type="paragraph" w:customStyle="1" w:styleId="Bullet">
    <w:name w:val="Bullet"/>
    <w:basedOn w:val="Default"/>
    <w:next w:val="Default"/>
    <w:link w:val="BulletChar"/>
    <w:uiPriority w:val="99"/>
    <w:rsid w:val="008A3C93"/>
    <w:rPr>
      <w:color w:val="auto"/>
    </w:rPr>
  </w:style>
  <w:style w:type="character" w:customStyle="1" w:styleId="BulletChar">
    <w:name w:val="Bullet Char"/>
    <w:link w:val="Bullet"/>
    <w:uiPriority w:val="99"/>
    <w:locked/>
    <w:rsid w:val="008A3C93"/>
    <w:rPr>
      <w:rFonts w:eastAsia="Calibri"/>
      <w:sz w:val="24"/>
      <w:szCs w:val="24"/>
      <w:lang w:bidi="he-IL"/>
    </w:rPr>
  </w:style>
  <w:style w:type="paragraph" w:customStyle="1" w:styleId="ExhibitColumnHeadLeft">
    <w:name w:val="Exhibit Column Head Left"/>
    <w:basedOn w:val="Default"/>
    <w:next w:val="Default"/>
    <w:uiPriority w:val="99"/>
    <w:rsid w:val="008A3C93"/>
    <w:rPr>
      <w:color w:val="auto"/>
    </w:rPr>
  </w:style>
  <w:style w:type="paragraph" w:customStyle="1" w:styleId="ExhibitColumnHead">
    <w:name w:val="Exhibit Column Head"/>
    <w:basedOn w:val="Default"/>
    <w:next w:val="Default"/>
    <w:uiPriority w:val="99"/>
    <w:rsid w:val="008A3C93"/>
    <w:rPr>
      <w:color w:val="auto"/>
    </w:rPr>
  </w:style>
  <w:style w:type="paragraph" w:customStyle="1" w:styleId="ExhibitInfo">
    <w:name w:val="Exhibit Info"/>
    <w:basedOn w:val="Default"/>
    <w:next w:val="Default"/>
    <w:uiPriority w:val="99"/>
    <w:rsid w:val="008A3C93"/>
    <w:rPr>
      <w:color w:val="auto"/>
    </w:rPr>
  </w:style>
  <w:style w:type="paragraph" w:customStyle="1" w:styleId="ExhibitInfoCentered">
    <w:name w:val="Exhibit Info Centered"/>
    <w:basedOn w:val="Default"/>
    <w:next w:val="Default"/>
    <w:uiPriority w:val="99"/>
    <w:rsid w:val="008A3C93"/>
    <w:rPr>
      <w:color w:val="auto"/>
    </w:rPr>
  </w:style>
  <w:style w:type="paragraph" w:customStyle="1" w:styleId="ContactInfo">
    <w:name w:val="Contact Info"/>
    <w:basedOn w:val="Default"/>
    <w:next w:val="Default"/>
    <w:uiPriority w:val="99"/>
    <w:rsid w:val="008A3C93"/>
    <w:rPr>
      <w:color w:val="auto"/>
    </w:rPr>
  </w:style>
  <w:style w:type="paragraph" w:customStyle="1" w:styleId="ContactInfoLAST">
    <w:name w:val="Contact Info LAST"/>
    <w:basedOn w:val="Default"/>
    <w:next w:val="Default"/>
    <w:uiPriority w:val="99"/>
    <w:rsid w:val="008A3C93"/>
    <w:rPr>
      <w:color w:val="auto"/>
    </w:rPr>
  </w:style>
  <w:style w:type="paragraph" w:customStyle="1" w:styleId="ConfPled">
    <w:name w:val="Conf Pled"/>
    <w:basedOn w:val="Default"/>
    <w:next w:val="Default"/>
    <w:uiPriority w:val="99"/>
    <w:rsid w:val="008A3C93"/>
    <w:rPr>
      <w:rFonts w:ascii="Arial" w:hAnsi="Arial" w:cs="Arial"/>
      <w:color w:val="auto"/>
    </w:rPr>
  </w:style>
  <w:style w:type="paragraph" w:customStyle="1" w:styleId="ConfPledBodyText">
    <w:name w:val="Conf Pled Body Text"/>
    <w:basedOn w:val="Default"/>
    <w:next w:val="Default"/>
    <w:uiPriority w:val="99"/>
    <w:rsid w:val="008A3C93"/>
    <w:rPr>
      <w:rFonts w:ascii="Arial" w:hAnsi="Arial" w:cs="Arial"/>
      <w:color w:val="auto"/>
    </w:rPr>
  </w:style>
  <w:style w:type="paragraph" w:customStyle="1" w:styleId="bullet0">
    <w:name w:val="bullet"/>
    <w:basedOn w:val="Default"/>
    <w:next w:val="Default"/>
    <w:uiPriority w:val="99"/>
    <w:rsid w:val="008A3C93"/>
    <w:rPr>
      <w:rFonts w:ascii="Arial" w:hAnsi="Arial" w:cs="Arial"/>
      <w:color w:val="auto"/>
    </w:rPr>
  </w:style>
  <w:style w:type="paragraph" w:customStyle="1" w:styleId="ConfPledIndent">
    <w:name w:val="Conf Pled Indent"/>
    <w:basedOn w:val="Default"/>
    <w:next w:val="Default"/>
    <w:uiPriority w:val="99"/>
    <w:rsid w:val="008A3C93"/>
    <w:rPr>
      <w:rFonts w:ascii="Arial" w:hAnsi="Arial" w:cs="Arial"/>
      <w:color w:val="auto"/>
    </w:rPr>
  </w:style>
  <w:style w:type="paragraph" w:customStyle="1" w:styleId="Sign">
    <w:name w:val="Sign"/>
    <w:basedOn w:val="Default"/>
    <w:next w:val="Default"/>
    <w:uiPriority w:val="99"/>
    <w:rsid w:val="008A3C93"/>
    <w:rPr>
      <w:rFonts w:ascii="Arial" w:hAnsi="Arial" w:cs="Arial"/>
      <w:color w:val="auto"/>
    </w:rPr>
  </w:style>
  <w:style w:type="paragraph" w:customStyle="1" w:styleId="TableColumnHeadLeft">
    <w:name w:val="Table Column Head Left"/>
    <w:basedOn w:val="Default"/>
    <w:next w:val="Default"/>
    <w:uiPriority w:val="99"/>
    <w:rsid w:val="008A3C93"/>
    <w:rPr>
      <w:color w:val="auto"/>
    </w:rPr>
  </w:style>
  <w:style w:type="paragraph" w:customStyle="1" w:styleId="TableColumnHead">
    <w:name w:val="Table Column Head"/>
    <w:basedOn w:val="Default"/>
    <w:next w:val="Default"/>
    <w:uiPriority w:val="99"/>
    <w:rsid w:val="008A3C93"/>
    <w:rPr>
      <w:color w:val="auto"/>
    </w:rPr>
  </w:style>
  <w:style w:type="paragraph" w:customStyle="1" w:styleId="TableInfo">
    <w:name w:val="Table Info"/>
    <w:basedOn w:val="Default"/>
    <w:next w:val="Default"/>
    <w:uiPriority w:val="99"/>
    <w:rsid w:val="008A3C93"/>
    <w:rPr>
      <w:color w:val="auto"/>
    </w:rPr>
  </w:style>
  <w:style w:type="paragraph" w:customStyle="1" w:styleId="TableInfoCentered">
    <w:name w:val="Table Info Centered"/>
    <w:basedOn w:val="Default"/>
    <w:next w:val="Default"/>
    <w:uiPriority w:val="99"/>
    <w:rsid w:val="008A3C93"/>
    <w:rPr>
      <w:color w:val="auto"/>
    </w:rPr>
  </w:style>
  <w:style w:type="paragraph" w:customStyle="1" w:styleId="Footnote">
    <w:name w:val="Footnote"/>
    <w:basedOn w:val="Normal"/>
    <w:link w:val="FootnoteChar"/>
    <w:uiPriority w:val="99"/>
    <w:rsid w:val="008A3C93"/>
    <w:pPr>
      <w:tabs>
        <w:tab w:val="left" w:pos="-720"/>
        <w:tab w:val="left" w:pos="0"/>
        <w:tab w:val="left" w:pos="720"/>
      </w:tabs>
      <w:suppressAutoHyphens/>
      <w:spacing w:line="240" w:lineRule="auto"/>
    </w:pPr>
    <w:rPr>
      <w:sz w:val="20"/>
      <w:szCs w:val="16"/>
    </w:rPr>
  </w:style>
  <w:style w:type="character" w:customStyle="1" w:styleId="FootnoteChar">
    <w:name w:val="Footnote Char"/>
    <w:link w:val="Footnote"/>
    <w:uiPriority w:val="99"/>
    <w:locked/>
    <w:rsid w:val="008A3C93"/>
    <w:rPr>
      <w:rFonts w:ascii="Garamond" w:hAnsi="Garamond"/>
      <w:szCs w:val="16"/>
    </w:rPr>
  </w:style>
  <w:style w:type="paragraph" w:customStyle="1" w:styleId="Bulletsingle">
    <w:name w:val="Bullet single"/>
    <w:basedOn w:val="Normal"/>
    <w:link w:val="BulletsingleChar"/>
    <w:uiPriority w:val="99"/>
    <w:rsid w:val="008A3C93"/>
    <w:pPr>
      <w:numPr>
        <w:numId w:val="12"/>
      </w:numPr>
      <w:spacing w:line="240" w:lineRule="auto"/>
      <w:jc w:val="both"/>
    </w:pPr>
  </w:style>
  <w:style w:type="character" w:customStyle="1" w:styleId="BulletsingleChar">
    <w:name w:val="Bullet single Char"/>
    <w:link w:val="Bulletsingle"/>
    <w:uiPriority w:val="99"/>
    <w:locked/>
    <w:rsid w:val="008A3C93"/>
    <w:rPr>
      <w:rFonts w:ascii="Garamond" w:hAnsi="Garamond"/>
      <w:sz w:val="24"/>
    </w:rPr>
  </w:style>
  <w:style w:type="paragraph" w:customStyle="1" w:styleId="Heading4NEW">
    <w:name w:val="Heading 4 NEW"/>
    <w:basedOn w:val="Normal"/>
    <w:uiPriority w:val="99"/>
    <w:rsid w:val="008A3C93"/>
    <w:pPr>
      <w:spacing w:after="240" w:line="240" w:lineRule="auto"/>
    </w:pPr>
    <w:rPr>
      <w:b/>
      <w:bCs/>
      <w:i/>
      <w:iCs/>
    </w:rPr>
  </w:style>
  <w:style w:type="character" w:customStyle="1" w:styleId="EndnoteTextChar">
    <w:name w:val="Endnote Text Char"/>
    <w:link w:val="EndnoteText"/>
    <w:uiPriority w:val="99"/>
    <w:semiHidden/>
    <w:rsid w:val="008A3C93"/>
  </w:style>
  <w:style w:type="paragraph" w:styleId="EndnoteText">
    <w:name w:val="endnote text"/>
    <w:basedOn w:val="Normal"/>
    <w:link w:val="EndnoteTextChar"/>
    <w:uiPriority w:val="99"/>
    <w:semiHidden/>
    <w:rsid w:val="008A3C93"/>
    <w:pPr>
      <w:spacing w:line="240" w:lineRule="auto"/>
    </w:pPr>
    <w:rPr>
      <w:rFonts w:ascii="Times New Roman" w:hAnsi="Times New Roman"/>
      <w:sz w:val="20"/>
    </w:rPr>
  </w:style>
  <w:style w:type="character" w:customStyle="1" w:styleId="EndnoteTextChar1">
    <w:name w:val="Endnote Text Char1"/>
    <w:uiPriority w:val="99"/>
    <w:rsid w:val="008A3C93"/>
    <w:rPr>
      <w:rFonts w:ascii="Times New Roman" w:hAnsi="Times New Roman" w:cs="Times New Roman"/>
      <w:sz w:val="20"/>
      <w:szCs w:val="20"/>
    </w:rPr>
  </w:style>
  <w:style w:type="character" w:customStyle="1" w:styleId="CommentTextChar1">
    <w:name w:val="Comment Text Char1"/>
    <w:uiPriority w:val="99"/>
    <w:semiHidden/>
    <w:rsid w:val="008A3C93"/>
    <w:rPr>
      <w:rFonts w:ascii="Times New Roman" w:hAnsi="Times New Roman" w:cs="Times New Roman"/>
      <w:sz w:val="20"/>
      <w:szCs w:val="20"/>
    </w:rPr>
  </w:style>
  <w:style w:type="character" w:customStyle="1" w:styleId="CommentSubjectChar1">
    <w:name w:val="Comment Subject Char1"/>
    <w:basedOn w:val="CommentTextChar2"/>
    <w:uiPriority w:val="99"/>
    <w:semiHidden/>
    <w:rsid w:val="008A3C93"/>
    <w:rPr>
      <w:rFonts w:cs="Times New Roman"/>
    </w:rPr>
  </w:style>
  <w:style w:type="paragraph" w:customStyle="1" w:styleId="AbtHeadA">
    <w:name w:val="AbtHead A"/>
    <w:basedOn w:val="Normal"/>
    <w:next w:val="BodyText"/>
    <w:uiPriority w:val="99"/>
    <w:rsid w:val="008A3C93"/>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styleId="BodyText2">
    <w:name w:val="Body Text 2"/>
    <w:basedOn w:val="Normal"/>
    <w:link w:val="BodyText2Char1"/>
    <w:uiPriority w:val="99"/>
    <w:rsid w:val="008A3C93"/>
    <w:pPr>
      <w:spacing w:after="120"/>
      <w:ind w:left="360"/>
    </w:pPr>
    <w:rPr>
      <w:szCs w:val="24"/>
    </w:rPr>
  </w:style>
  <w:style w:type="character" w:customStyle="1" w:styleId="BodyText2Char">
    <w:name w:val="Body Text 2 Char"/>
    <w:uiPriority w:val="99"/>
    <w:semiHidden/>
    <w:rsid w:val="008A3C93"/>
    <w:rPr>
      <w:rFonts w:ascii="Garamond" w:hAnsi="Garamond" w:cs="Garamond"/>
      <w:sz w:val="24"/>
      <w:szCs w:val="24"/>
    </w:rPr>
  </w:style>
  <w:style w:type="character" w:customStyle="1" w:styleId="BodyText2Char1">
    <w:name w:val="Body Text 2 Char1"/>
    <w:link w:val="BodyText2"/>
    <w:uiPriority w:val="99"/>
    <w:locked/>
    <w:rsid w:val="008A3C93"/>
    <w:rPr>
      <w:rFonts w:ascii="Garamond" w:hAnsi="Garamond"/>
      <w:sz w:val="24"/>
      <w:szCs w:val="24"/>
    </w:rPr>
  </w:style>
  <w:style w:type="paragraph" w:styleId="Title">
    <w:name w:val="Title"/>
    <w:basedOn w:val="Normal"/>
    <w:next w:val="Normal"/>
    <w:link w:val="TitleChar"/>
    <w:uiPriority w:val="99"/>
    <w:qFormat/>
    <w:rsid w:val="008A3C93"/>
    <w:pPr>
      <w:spacing w:before="240" w:after="60"/>
      <w:jc w:val="center"/>
      <w:outlineLvl w:val="0"/>
    </w:pPr>
    <w:rPr>
      <w:rFonts w:ascii="Arial" w:hAnsi="Arial"/>
      <w:b/>
      <w:bCs/>
      <w:kern w:val="28"/>
      <w:sz w:val="32"/>
      <w:szCs w:val="32"/>
    </w:rPr>
  </w:style>
  <w:style w:type="character" w:customStyle="1" w:styleId="TitleChar">
    <w:name w:val="Title Char"/>
    <w:link w:val="Title"/>
    <w:uiPriority w:val="99"/>
    <w:rsid w:val="008A3C93"/>
    <w:rPr>
      <w:rFonts w:ascii="Arial" w:hAnsi="Arial"/>
      <w:b/>
      <w:bCs/>
      <w:kern w:val="28"/>
      <w:sz w:val="32"/>
      <w:szCs w:val="32"/>
    </w:rPr>
  </w:style>
  <w:style w:type="paragraph" w:styleId="Subtitle">
    <w:name w:val="Subtitle"/>
    <w:basedOn w:val="Normal"/>
    <w:next w:val="Normal"/>
    <w:link w:val="SubtitleChar"/>
    <w:uiPriority w:val="99"/>
    <w:qFormat/>
    <w:rsid w:val="008A3C93"/>
    <w:pPr>
      <w:spacing w:after="60"/>
      <w:jc w:val="center"/>
      <w:outlineLvl w:val="1"/>
    </w:pPr>
    <w:rPr>
      <w:rFonts w:ascii="Arial" w:hAnsi="Arial"/>
      <w:sz w:val="28"/>
      <w:szCs w:val="28"/>
    </w:rPr>
  </w:style>
  <w:style w:type="character" w:customStyle="1" w:styleId="SubtitleChar">
    <w:name w:val="Subtitle Char"/>
    <w:link w:val="Subtitle"/>
    <w:uiPriority w:val="99"/>
    <w:rsid w:val="008A3C93"/>
    <w:rPr>
      <w:rFonts w:ascii="Arial" w:hAnsi="Arial"/>
      <w:sz w:val="28"/>
      <w:szCs w:val="28"/>
    </w:rPr>
  </w:style>
  <w:style w:type="paragraph" w:styleId="TOCHeading">
    <w:name w:val="TOC Heading"/>
    <w:basedOn w:val="Heading1"/>
    <w:next w:val="Normal"/>
    <w:uiPriority w:val="99"/>
    <w:qFormat/>
    <w:rsid w:val="008A3C93"/>
    <w:pPr>
      <w:keepLines/>
      <w:spacing w:before="480" w:after="0" w:line="276" w:lineRule="auto"/>
      <w:outlineLvl w:val="9"/>
    </w:pPr>
    <w:rPr>
      <w:rFonts w:ascii="Cambria" w:hAnsi="Cambria"/>
      <w:bCs/>
      <w:color w:val="365F91"/>
      <w:sz w:val="28"/>
      <w:szCs w:val="28"/>
    </w:rPr>
  </w:style>
  <w:style w:type="paragraph" w:customStyle="1" w:styleId="AbtHeadB">
    <w:name w:val="AbtHead B"/>
    <w:basedOn w:val="BodyText"/>
    <w:next w:val="BodyText"/>
    <w:uiPriority w:val="99"/>
    <w:rsid w:val="008A3C93"/>
    <w:pPr>
      <w:keepNext/>
      <w:keepLines/>
      <w:tabs>
        <w:tab w:val="left" w:pos="720"/>
        <w:tab w:val="left" w:pos="1080"/>
        <w:tab w:val="left" w:pos="1440"/>
        <w:tab w:val="left" w:pos="1800"/>
      </w:tabs>
      <w:spacing w:after="240" w:line="240" w:lineRule="auto"/>
      <w:ind w:hanging="720"/>
      <w:outlineLvl w:val="1"/>
    </w:pPr>
    <w:rPr>
      <w:rFonts w:ascii="Arial Bold" w:hAnsi="Arial Bold"/>
      <w:b/>
      <w:smallCaps/>
      <w:sz w:val="22"/>
    </w:rPr>
  </w:style>
  <w:style w:type="character" w:customStyle="1" w:styleId="CharChar2">
    <w:name w:val="Char Char2"/>
    <w:basedOn w:val="DefaultParagraphFont"/>
    <w:uiPriority w:val="99"/>
    <w:semiHidden/>
    <w:rsid w:val="008A3C93"/>
    <w:rPr>
      <w:rFonts w:cs="Times New Roman"/>
      <w:sz w:val="20"/>
      <w:szCs w:val="20"/>
    </w:rPr>
  </w:style>
  <w:style w:type="paragraph" w:customStyle="1" w:styleId="Table">
    <w:name w:val="Table"/>
    <w:basedOn w:val="Normal"/>
    <w:uiPriority w:val="99"/>
    <w:rsid w:val="008A3C93"/>
    <w:pPr>
      <w:tabs>
        <w:tab w:val="left" w:pos="720"/>
        <w:tab w:val="left" w:pos="1080"/>
        <w:tab w:val="left" w:pos="1440"/>
        <w:tab w:val="left" w:pos="1800"/>
      </w:tabs>
      <w:spacing w:line="264" w:lineRule="auto"/>
    </w:pPr>
    <w:rPr>
      <w:rFonts w:ascii="Arial" w:hAnsi="Arial"/>
      <w:sz w:val="20"/>
    </w:rPr>
  </w:style>
  <w:style w:type="paragraph" w:customStyle="1" w:styleId="ReportCover-Title">
    <w:name w:val="ReportCover-Title"/>
    <w:basedOn w:val="Normal"/>
    <w:uiPriority w:val="99"/>
    <w:rsid w:val="008A3C93"/>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uiPriority w:val="99"/>
    <w:rsid w:val="008A3C93"/>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uiPriority w:val="99"/>
    <w:rsid w:val="008A3C93"/>
    <w:rPr>
      <w:rFonts w:ascii="Franklin Gothic Medium" w:hAnsi="Franklin Gothic Medium"/>
      <w:b/>
      <w:color w:val="003C79"/>
    </w:rPr>
  </w:style>
  <w:style w:type="paragraph" w:customStyle="1" w:styleId="ReportCover-AuthorName">
    <w:name w:val="ReportCover-AuthorName"/>
    <w:basedOn w:val="Normal"/>
    <w:uiPriority w:val="99"/>
    <w:rsid w:val="008A3C93"/>
    <w:rPr>
      <w:rFonts w:ascii="Franklin Gothic Medium" w:hAnsi="Franklin Gothic Medium"/>
      <w:color w:val="003C79"/>
      <w:sz w:val="22"/>
      <w:szCs w:val="22"/>
    </w:rPr>
  </w:style>
  <w:style w:type="paragraph" w:customStyle="1" w:styleId="ReportCover-Date">
    <w:name w:val="ReportCover-Date"/>
    <w:basedOn w:val="Normal"/>
    <w:uiPriority w:val="99"/>
    <w:rsid w:val="008A3C93"/>
    <w:pPr>
      <w:spacing w:after="840" w:line="260" w:lineRule="exact"/>
    </w:pPr>
    <w:rPr>
      <w:rFonts w:ascii="Franklin Gothic Medium" w:hAnsi="Franklin Gothic Medium"/>
      <w:b/>
      <w:color w:val="003C79"/>
    </w:rPr>
  </w:style>
  <w:style w:type="paragraph" w:customStyle="1" w:styleId="ReportCover-Prepared">
    <w:name w:val="ReportCover-Prepared"/>
    <w:basedOn w:val="Normal"/>
    <w:uiPriority w:val="99"/>
    <w:rsid w:val="008A3C93"/>
    <w:pPr>
      <w:spacing w:line="260" w:lineRule="exact"/>
    </w:pPr>
    <w:rPr>
      <w:rFonts w:ascii="Franklin Gothic Medium" w:hAnsi="Franklin Gothic Medium"/>
      <w:color w:val="003C79"/>
      <w:sz w:val="20"/>
    </w:rPr>
  </w:style>
  <w:style w:type="paragraph" w:customStyle="1" w:styleId="ReportCover-ImageBottom">
    <w:name w:val="ReportCover-ImageBottom"/>
    <w:basedOn w:val="Normal"/>
    <w:uiPriority w:val="99"/>
    <w:rsid w:val="008A3C93"/>
    <w:pPr>
      <w:spacing w:line="20" w:lineRule="exact"/>
      <w:jc w:val="right"/>
    </w:pPr>
    <w:rPr>
      <w:rFonts w:ascii="Franklin Gothic Medium" w:hAnsi="Franklin Gothic Medium"/>
      <w:color w:val="003C79"/>
    </w:rPr>
  </w:style>
  <w:style w:type="paragraph" w:customStyle="1" w:styleId="ReportCover-ImageTop">
    <w:name w:val="ReportCover-ImageTop"/>
    <w:basedOn w:val="Normal"/>
    <w:uiPriority w:val="99"/>
    <w:rsid w:val="008A3C93"/>
    <w:pPr>
      <w:spacing w:line="100" w:lineRule="exact"/>
    </w:pPr>
  </w:style>
  <w:style w:type="paragraph" w:customStyle="1" w:styleId="EX-ExhibitTitle">
    <w:name w:val="EX-Exhibit Title"/>
    <w:basedOn w:val="TT-TableTitle"/>
    <w:uiPriority w:val="99"/>
    <w:rsid w:val="008A3C93"/>
  </w:style>
  <w:style w:type="character" w:customStyle="1" w:styleId="Heading5-SF">
    <w:name w:val="Heading5-SF"/>
    <w:rsid w:val="008A3C93"/>
    <w:rPr>
      <w:rFonts w:ascii="Arial" w:hAnsi="Arial" w:cs="Arial"/>
      <w:b/>
      <w:color w:val="0000AC"/>
    </w:rPr>
  </w:style>
  <w:style w:type="paragraph" w:customStyle="1" w:styleId="Bullets">
    <w:name w:val="Bullets"/>
    <w:basedOn w:val="BodyText"/>
    <w:link w:val="BulletsCharChar"/>
    <w:uiPriority w:val="99"/>
    <w:rsid w:val="008A3C93"/>
    <w:pPr>
      <w:numPr>
        <w:numId w:val="14"/>
      </w:numPr>
      <w:tabs>
        <w:tab w:val="left" w:pos="720"/>
        <w:tab w:val="left" w:pos="1440"/>
        <w:tab w:val="left" w:pos="1800"/>
      </w:tabs>
      <w:spacing w:after="0" w:line="264" w:lineRule="auto"/>
    </w:pPr>
    <w:rPr>
      <w:rFonts w:ascii="Times New Roman" w:eastAsia="Calibri" w:hAnsi="Times New Roman"/>
      <w:sz w:val="22"/>
    </w:rPr>
  </w:style>
  <w:style w:type="character" w:customStyle="1" w:styleId="BulletsCharChar">
    <w:name w:val="Bullets Char Char"/>
    <w:link w:val="Bullets"/>
    <w:uiPriority w:val="99"/>
    <w:rsid w:val="008A3C93"/>
    <w:rPr>
      <w:rFonts w:eastAsia="Calibri"/>
      <w:sz w:val="22"/>
    </w:rPr>
  </w:style>
  <w:style w:type="character" w:customStyle="1" w:styleId="AbtHeadCChar">
    <w:name w:val="AbtHead C Char"/>
    <w:link w:val="AbtHeadC"/>
    <w:uiPriority w:val="99"/>
    <w:rsid w:val="008A3C93"/>
    <w:rPr>
      <w:rFonts w:ascii="Arial" w:hAnsi="Arial"/>
      <w:b/>
    </w:rPr>
  </w:style>
  <w:style w:type="character" w:customStyle="1" w:styleId="FootnoteTextChar1">
    <w:name w:val="Footnote Text Char1"/>
    <w:aliases w:val="F1 Char1"/>
    <w:basedOn w:val="DefaultParagraphFont"/>
    <w:semiHidden/>
    <w:locked/>
    <w:rsid w:val="008A3C93"/>
    <w:rPr>
      <w:rFonts w:ascii="Calibri" w:eastAsia="Calibri" w:hAnsi="Calibri"/>
    </w:rPr>
  </w:style>
  <w:style w:type="paragraph" w:customStyle="1" w:styleId="BulletsLast">
    <w:name w:val="BulletsLast"/>
    <w:basedOn w:val="Bullets"/>
    <w:uiPriority w:val="99"/>
    <w:rsid w:val="008A3C93"/>
    <w:pPr>
      <w:numPr>
        <w:numId w:val="15"/>
      </w:numPr>
      <w:tabs>
        <w:tab w:val="clear" w:pos="720"/>
        <w:tab w:val="clear" w:pos="1800"/>
        <w:tab w:val="left" w:pos="1080"/>
      </w:tabs>
      <w:spacing w:after="180"/>
    </w:pPr>
  </w:style>
  <w:style w:type="character" w:customStyle="1" w:styleId="F1CharChar">
    <w:name w:val="F1 Char Char"/>
    <w:uiPriority w:val="99"/>
    <w:locked/>
    <w:rsid w:val="008A3C93"/>
  </w:style>
  <w:style w:type="paragraph" w:styleId="DocumentMap">
    <w:name w:val="Document Map"/>
    <w:basedOn w:val="Normal"/>
    <w:link w:val="DocumentMapChar"/>
    <w:uiPriority w:val="99"/>
    <w:semiHidden/>
    <w:unhideWhenUsed/>
    <w:rsid w:val="0085335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3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22822">
      <w:bodyDiv w:val="1"/>
      <w:marLeft w:val="0"/>
      <w:marRight w:val="0"/>
      <w:marTop w:val="0"/>
      <w:marBottom w:val="0"/>
      <w:divBdr>
        <w:top w:val="none" w:sz="0" w:space="0" w:color="auto"/>
        <w:left w:val="none" w:sz="0" w:space="0" w:color="auto"/>
        <w:bottom w:val="none" w:sz="0" w:space="0" w:color="auto"/>
        <w:right w:val="none" w:sz="0" w:space="0" w:color="auto"/>
      </w:divBdr>
    </w:div>
    <w:div w:id="233128120">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73059629">
      <w:bodyDiv w:val="1"/>
      <w:marLeft w:val="0"/>
      <w:marRight w:val="0"/>
      <w:marTop w:val="0"/>
      <w:marBottom w:val="0"/>
      <w:divBdr>
        <w:top w:val="none" w:sz="0" w:space="0" w:color="auto"/>
        <w:left w:val="none" w:sz="0" w:space="0" w:color="auto"/>
        <w:bottom w:val="none" w:sz="0" w:space="0" w:color="auto"/>
        <w:right w:val="none" w:sz="0" w:space="0" w:color="auto"/>
      </w:divBdr>
    </w:div>
    <w:div w:id="494029797">
      <w:bodyDiv w:val="1"/>
      <w:marLeft w:val="0"/>
      <w:marRight w:val="0"/>
      <w:marTop w:val="0"/>
      <w:marBottom w:val="0"/>
      <w:divBdr>
        <w:top w:val="none" w:sz="0" w:space="0" w:color="auto"/>
        <w:left w:val="none" w:sz="0" w:space="0" w:color="auto"/>
        <w:bottom w:val="none" w:sz="0" w:space="0" w:color="auto"/>
        <w:right w:val="none" w:sz="0" w:space="0" w:color="auto"/>
      </w:divBdr>
    </w:div>
    <w:div w:id="510334572">
      <w:bodyDiv w:val="1"/>
      <w:marLeft w:val="0"/>
      <w:marRight w:val="0"/>
      <w:marTop w:val="0"/>
      <w:marBottom w:val="0"/>
      <w:divBdr>
        <w:top w:val="none" w:sz="0" w:space="0" w:color="auto"/>
        <w:left w:val="none" w:sz="0" w:space="0" w:color="auto"/>
        <w:bottom w:val="none" w:sz="0" w:space="0" w:color="auto"/>
        <w:right w:val="none" w:sz="0" w:space="0" w:color="auto"/>
      </w:divBdr>
    </w:div>
    <w:div w:id="548491871">
      <w:bodyDiv w:val="1"/>
      <w:marLeft w:val="0"/>
      <w:marRight w:val="0"/>
      <w:marTop w:val="0"/>
      <w:marBottom w:val="0"/>
      <w:divBdr>
        <w:top w:val="none" w:sz="0" w:space="0" w:color="auto"/>
        <w:left w:val="none" w:sz="0" w:space="0" w:color="auto"/>
        <w:bottom w:val="none" w:sz="0" w:space="0" w:color="auto"/>
        <w:right w:val="none" w:sz="0" w:space="0" w:color="auto"/>
      </w:divBdr>
    </w:div>
    <w:div w:id="644551815">
      <w:bodyDiv w:val="1"/>
      <w:marLeft w:val="0"/>
      <w:marRight w:val="0"/>
      <w:marTop w:val="0"/>
      <w:marBottom w:val="0"/>
      <w:divBdr>
        <w:top w:val="none" w:sz="0" w:space="0" w:color="auto"/>
        <w:left w:val="none" w:sz="0" w:space="0" w:color="auto"/>
        <w:bottom w:val="none" w:sz="0" w:space="0" w:color="auto"/>
        <w:right w:val="none" w:sz="0" w:space="0" w:color="auto"/>
      </w:divBdr>
    </w:div>
    <w:div w:id="751969109">
      <w:bodyDiv w:val="1"/>
      <w:marLeft w:val="0"/>
      <w:marRight w:val="0"/>
      <w:marTop w:val="0"/>
      <w:marBottom w:val="0"/>
      <w:divBdr>
        <w:top w:val="none" w:sz="0" w:space="0" w:color="auto"/>
        <w:left w:val="none" w:sz="0" w:space="0" w:color="auto"/>
        <w:bottom w:val="none" w:sz="0" w:space="0" w:color="auto"/>
        <w:right w:val="none" w:sz="0" w:space="0" w:color="auto"/>
      </w:divBdr>
    </w:div>
    <w:div w:id="881215457">
      <w:bodyDiv w:val="1"/>
      <w:marLeft w:val="0"/>
      <w:marRight w:val="0"/>
      <w:marTop w:val="0"/>
      <w:marBottom w:val="0"/>
      <w:divBdr>
        <w:top w:val="none" w:sz="0" w:space="0" w:color="auto"/>
        <w:left w:val="none" w:sz="0" w:space="0" w:color="auto"/>
        <w:bottom w:val="none" w:sz="0" w:space="0" w:color="auto"/>
        <w:right w:val="none" w:sz="0" w:space="0" w:color="auto"/>
      </w:divBdr>
    </w:div>
    <w:div w:id="888883688">
      <w:bodyDiv w:val="1"/>
      <w:marLeft w:val="0"/>
      <w:marRight w:val="0"/>
      <w:marTop w:val="0"/>
      <w:marBottom w:val="0"/>
      <w:divBdr>
        <w:top w:val="none" w:sz="0" w:space="0" w:color="auto"/>
        <w:left w:val="none" w:sz="0" w:space="0" w:color="auto"/>
        <w:bottom w:val="none" w:sz="0" w:space="0" w:color="auto"/>
        <w:right w:val="none" w:sz="0" w:space="0" w:color="auto"/>
      </w:divBdr>
    </w:div>
    <w:div w:id="1049308497">
      <w:bodyDiv w:val="1"/>
      <w:marLeft w:val="0"/>
      <w:marRight w:val="0"/>
      <w:marTop w:val="0"/>
      <w:marBottom w:val="0"/>
      <w:divBdr>
        <w:top w:val="none" w:sz="0" w:space="0" w:color="auto"/>
        <w:left w:val="none" w:sz="0" w:space="0" w:color="auto"/>
        <w:bottom w:val="none" w:sz="0" w:space="0" w:color="auto"/>
        <w:right w:val="none" w:sz="0" w:space="0" w:color="auto"/>
      </w:divBdr>
    </w:div>
    <w:div w:id="1051001166">
      <w:bodyDiv w:val="1"/>
      <w:marLeft w:val="0"/>
      <w:marRight w:val="0"/>
      <w:marTop w:val="0"/>
      <w:marBottom w:val="0"/>
      <w:divBdr>
        <w:top w:val="none" w:sz="0" w:space="0" w:color="auto"/>
        <w:left w:val="none" w:sz="0" w:space="0" w:color="auto"/>
        <w:bottom w:val="none" w:sz="0" w:space="0" w:color="auto"/>
        <w:right w:val="none" w:sz="0" w:space="0" w:color="auto"/>
      </w:divBdr>
    </w:div>
    <w:div w:id="1241215485">
      <w:bodyDiv w:val="1"/>
      <w:marLeft w:val="0"/>
      <w:marRight w:val="0"/>
      <w:marTop w:val="0"/>
      <w:marBottom w:val="0"/>
      <w:divBdr>
        <w:top w:val="none" w:sz="0" w:space="0" w:color="auto"/>
        <w:left w:val="none" w:sz="0" w:space="0" w:color="auto"/>
        <w:bottom w:val="none" w:sz="0" w:space="0" w:color="auto"/>
        <w:right w:val="none" w:sz="0" w:space="0" w:color="auto"/>
      </w:divBdr>
    </w:div>
    <w:div w:id="1247611775">
      <w:bodyDiv w:val="1"/>
      <w:marLeft w:val="0"/>
      <w:marRight w:val="0"/>
      <w:marTop w:val="0"/>
      <w:marBottom w:val="0"/>
      <w:divBdr>
        <w:top w:val="none" w:sz="0" w:space="0" w:color="auto"/>
        <w:left w:val="none" w:sz="0" w:space="0" w:color="auto"/>
        <w:bottom w:val="none" w:sz="0" w:space="0" w:color="auto"/>
        <w:right w:val="none" w:sz="0" w:space="0" w:color="auto"/>
      </w:divBdr>
    </w:div>
    <w:div w:id="1346515271">
      <w:bodyDiv w:val="1"/>
      <w:marLeft w:val="0"/>
      <w:marRight w:val="0"/>
      <w:marTop w:val="0"/>
      <w:marBottom w:val="0"/>
      <w:divBdr>
        <w:top w:val="none" w:sz="0" w:space="0" w:color="auto"/>
        <w:left w:val="none" w:sz="0" w:space="0" w:color="auto"/>
        <w:bottom w:val="none" w:sz="0" w:space="0" w:color="auto"/>
        <w:right w:val="none" w:sz="0" w:space="0" w:color="auto"/>
      </w:divBdr>
      <w:divsChild>
        <w:div w:id="184559019">
          <w:marLeft w:val="0"/>
          <w:marRight w:val="0"/>
          <w:marTop w:val="0"/>
          <w:marBottom w:val="0"/>
          <w:divBdr>
            <w:top w:val="none" w:sz="0" w:space="0" w:color="auto"/>
            <w:left w:val="none" w:sz="0" w:space="0" w:color="auto"/>
            <w:bottom w:val="none" w:sz="0" w:space="0" w:color="auto"/>
            <w:right w:val="none" w:sz="0" w:space="0" w:color="auto"/>
          </w:divBdr>
          <w:divsChild>
            <w:div w:id="20778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695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66">
          <w:marLeft w:val="0"/>
          <w:marRight w:val="0"/>
          <w:marTop w:val="60"/>
          <w:marBottom w:val="0"/>
          <w:divBdr>
            <w:top w:val="none" w:sz="0" w:space="0" w:color="auto"/>
            <w:left w:val="none" w:sz="0" w:space="0" w:color="auto"/>
            <w:bottom w:val="none" w:sz="0" w:space="0" w:color="auto"/>
            <w:right w:val="none" w:sz="0" w:space="0" w:color="auto"/>
          </w:divBdr>
          <w:divsChild>
            <w:div w:id="468405563">
              <w:marLeft w:val="0"/>
              <w:marRight w:val="0"/>
              <w:marTop w:val="0"/>
              <w:marBottom w:val="0"/>
              <w:divBdr>
                <w:top w:val="none" w:sz="0" w:space="0" w:color="auto"/>
                <w:left w:val="none" w:sz="0" w:space="0" w:color="auto"/>
                <w:bottom w:val="none" w:sz="0" w:space="0" w:color="auto"/>
                <w:right w:val="none" w:sz="0" w:space="0" w:color="auto"/>
              </w:divBdr>
              <w:divsChild>
                <w:div w:id="202986789">
                  <w:marLeft w:val="0"/>
                  <w:marRight w:val="0"/>
                  <w:marTop w:val="0"/>
                  <w:marBottom w:val="0"/>
                  <w:divBdr>
                    <w:top w:val="dashed" w:sz="6" w:space="0" w:color="BBBBBB"/>
                    <w:left w:val="none" w:sz="0" w:space="0" w:color="auto"/>
                    <w:bottom w:val="none" w:sz="0" w:space="0" w:color="auto"/>
                    <w:right w:val="none" w:sz="0" w:space="0" w:color="auto"/>
                  </w:divBdr>
                </w:div>
              </w:divsChild>
            </w:div>
          </w:divsChild>
        </w:div>
      </w:divsChild>
    </w:div>
    <w:div w:id="1431122769">
      <w:bodyDiv w:val="1"/>
      <w:marLeft w:val="0"/>
      <w:marRight w:val="0"/>
      <w:marTop w:val="0"/>
      <w:marBottom w:val="0"/>
      <w:divBdr>
        <w:top w:val="none" w:sz="0" w:space="0" w:color="auto"/>
        <w:left w:val="none" w:sz="0" w:space="0" w:color="auto"/>
        <w:bottom w:val="none" w:sz="0" w:space="0" w:color="auto"/>
        <w:right w:val="none" w:sz="0" w:space="0" w:color="auto"/>
      </w:divBdr>
    </w:div>
    <w:div w:id="1478916908">
      <w:bodyDiv w:val="1"/>
      <w:marLeft w:val="0"/>
      <w:marRight w:val="0"/>
      <w:marTop w:val="0"/>
      <w:marBottom w:val="0"/>
      <w:divBdr>
        <w:top w:val="none" w:sz="0" w:space="0" w:color="auto"/>
        <w:left w:val="none" w:sz="0" w:space="0" w:color="auto"/>
        <w:bottom w:val="none" w:sz="0" w:space="0" w:color="auto"/>
        <w:right w:val="none" w:sz="0" w:space="0" w:color="auto"/>
      </w:divBdr>
    </w:div>
    <w:div w:id="1683818398">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785687262">
      <w:bodyDiv w:val="1"/>
      <w:marLeft w:val="0"/>
      <w:marRight w:val="0"/>
      <w:marTop w:val="0"/>
      <w:marBottom w:val="0"/>
      <w:divBdr>
        <w:top w:val="none" w:sz="0" w:space="0" w:color="auto"/>
        <w:left w:val="none" w:sz="0" w:space="0" w:color="auto"/>
        <w:bottom w:val="none" w:sz="0" w:space="0" w:color="auto"/>
        <w:right w:val="none" w:sz="0" w:space="0" w:color="auto"/>
      </w:divBdr>
    </w:div>
    <w:div w:id="1787390280">
      <w:bodyDiv w:val="1"/>
      <w:marLeft w:val="0"/>
      <w:marRight w:val="0"/>
      <w:marTop w:val="0"/>
      <w:marBottom w:val="0"/>
      <w:divBdr>
        <w:top w:val="none" w:sz="0" w:space="0" w:color="auto"/>
        <w:left w:val="none" w:sz="0" w:space="0" w:color="auto"/>
        <w:bottom w:val="none" w:sz="0" w:space="0" w:color="auto"/>
        <w:right w:val="none" w:sz="0" w:space="0" w:color="auto"/>
      </w:divBdr>
    </w:div>
    <w:div w:id="1807430541">
      <w:bodyDiv w:val="1"/>
      <w:marLeft w:val="0"/>
      <w:marRight w:val="0"/>
      <w:marTop w:val="0"/>
      <w:marBottom w:val="0"/>
      <w:divBdr>
        <w:top w:val="none" w:sz="0" w:space="0" w:color="auto"/>
        <w:left w:val="none" w:sz="0" w:space="0" w:color="auto"/>
        <w:bottom w:val="none" w:sz="0" w:space="0" w:color="auto"/>
        <w:right w:val="none" w:sz="0" w:space="0" w:color="auto"/>
      </w:divBdr>
    </w:div>
    <w:div w:id="1849833877">
      <w:bodyDiv w:val="1"/>
      <w:marLeft w:val="0"/>
      <w:marRight w:val="0"/>
      <w:marTop w:val="0"/>
      <w:marBottom w:val="0"/>
      <w:divBdr>
        <w:top w:val="none" w:sz="0" w:space="0" w:color="auto"/>
        <w:left w:val="none" w:sz="0" w:space="0" w:color="auto"/>
        <w:bottom w:val="none" w:sz="0" w:space="0" w:color="auto"/>
        <w:right w:val="none" w:sz="0" w:space="0" w:color="auto"/>
      </w:divBdr>
    </w:div>
    <w:div w:id="1850949957">
      <w:bodyDiv w:val="1"/>
      <w:marLeft w:val="0"/>
      <w:marRight w:val="0"/>
      <w:marTop w:val="0"/>
      <w:marBottom w:val="0"/>
      <w:divBdr>
        <w:top w:val="none" w:sz="0" w:space="0" w:color="auto"/>
        <w:left w:val="none" w:sz="0" w:space="0" w:color="auto"/>
        <w:bottom w:val="none" w:sz="0" w:space="0" w:color="auto"/>
        <w:right w:val="none" w:sz="0" w:space="0" w:color="auto"/>
      </w:divBdr>
      <w:divsChild>
        <w:div w:id="98917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412150">
      <w:bodyDiv w:val="1"/>
      <w:marLeft w:val="0"/>
      <w:marRight w:val="0"/>
      <w:marTop w:val="0"/>
      <w:marBottom w:val="0"/>
      <w:divBdr>
        <w:top w:val="none" w:sz="0" w:space="0" w:color="auto"/>
        <w:left w:val="none" w:sz="0" w:space="0" w:color="auto"/>
        <w:bottom w:val="none" w:sz="0" w:space="0" w:color="auto"/>
        <w:right w:val="none" w:sz="0" w:space="0" w:color="auto"/>
      </w:divBdr>
    </w:div>
    <w:div w:id="2085880934">
      <w:bodyDiv w:val="1"/>
      <w:marLeft w:val="0"/>
      <w:marRight w:val="0"/>
      <w:marTop w:val="0"/>
      <w:marBottom w:val="0"/>
      <w:divBdr>
        <w:top w:val="none" w:sz="0" w:space="0" w:color="auto"/>
        <w:left w:val="none" w:sz="0" w:space="0" w:color="auto"/>
        <w:bottom w:val="none" w:sz="0" w:space="0" w:color="auto"/>
        <w:right w:val="none" w:sz="0" w:space="0" w:color="auto"/>
      </w:divBdr>
    </w:div>
    <w:div w:id="2145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ams.usda.gov/AMSv1.0/getfile?dDocName=STELPRDC5085298" TargetMode="External"/><Relationship Id="rId2" Type="http://schemas.openxmlformats.org/officeDocument/2006/relationships/hyperlink" Target="http://farmersmarketcoalition.org/snap-research" TargetMode="External"/><Relationship Id="rId1" Type="http://schemas.openxmlformats.org/officeDocument/2006/relationships/hyperlink" Target="http://www.fns.usda.gov/ora/menu/gpra/FY2010PrioritiesGuide.pdf" TargetMode="External"/><Relationship Id="rId6" Type="http://schemas.openxmlformats.org/officeDocument/2006/relationships/hyperlink" Target="http://www.center-trt.org/downloads/obesity_prevention/interventions/healthbucks/NYC_Health_Bucks.pdf" TargetMode="External"/><Relationship Id="rId5" Type="http://schemas.openxmlformats.org/officeDocument/2006/relationships/hyperlink" Target="http://www.ams.usda.gov/AMSv1.0/getfile?dDocName=STELPRDC5077203" TargetMode="External"/><Relationship Id="rId4" Type="http://schemas.openxmlformats.org/officeDocument/2006/relationships/hyperlink" Target="http://www.fns.usda.gov/snap/retailers/pdfs/2010-annu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8876\8876.01.09\2011-(05)May-12%20Farmers%20Market%20OMB%20Package\8876.01.09%20Farmers%20Market%20OMB%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6B95-25C1-4FC8-854B-48A32DB0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8876.01.09 Farmers Market OMB Template.dotx</Template>
  <TotalTime>71</TotalTime>
  <Pages>28</Pages>
  <Words>6201</Words>
  <Characters>35348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8876.01.09: Farmers Market OMB SSA</vt:lpstr>
    </vt:vector>
  </TitlesOfParts>
  <Company>Westat</Company>
  <LinksUpToDate>false</LinksUpToDate>
  <CharactersWithSpaces>41467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8876.01.09: Farmers Market OMB SSA</dc:title>
  <dc:subject>Farmers Market OMB SSA</dc:subject>
  <dc:creator>Freeland_s</dc:creator>
  <cp:keywords/>
  <dc:description/>
  <cp:lastModifiedBy>Kelly Kinnison</cp:lastModifiedBy>
  <cp:revision>12</cp:revision>
  <cp:lastPrinted>2011-07-07T10:22:00Z</cp:lastPrinted>
  <dcterms:created xsi:type="dcterms:W3CDTF">2011-11-10T18:45:00Z</dcterms:created>
  <dcterms:modified xsi:type="dcterms:W3CDTF">2011-11-17T16:16:00Z</dcterms:modified>
</cp:coreProperties>
</file>