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76" w:rsidRPr="00502E00" w:rsidRDefault="002A7F76" w:rsidP="00E17D50">
      <w:pPr>
        <w:pStyle w:val="ListParagraph"/>
        <w:spacing w:after="0" w:line="240" w:lineRule="auto"/>
        <w:ind w:left="360"/>
        <w:jc w:val="center"/>
        <w:rPr>
          <w:rFonts w:ascii="Times New Roman" w:hAnsi="Times New Roman"/>
          <w:sz w:val="24"/>
        </w:rPr>
      </w:pPr>
      <w:r w:rsidRPr="00502E00">
        <w:rPr>
          <w:rFonts w:ascii="Times New Roman" w:hAnsi="Times New Roman" w:cs="OMODMN+ArialNarrow"/>
          <w:b/>
          <w:bCs/>
          <w:color w:val="000000"/>
          <w:sz w:val="24"/>
          <w:szCs w:val="23"/>
        </w:rPr>
        <w:t>Supporting Statement for Paperwork Reduction Act Submissions</w:t>
      </w:r>
    </w:p>
    <w:p w:rsidR="002A7F76" w:rsidRPr="00502E00" w:rsidRDefault="002A7F76" w:rsidP="00E17D50">
      <w:pPr>
        <w:pStyle w:val="ListParagraph"/>
        <w:spacing w:after="0" w:line="240" w:lineRule="auto"/>
        <w:ind w:left="360"/>
        <w:rPr>
          <w:rFonts w:ascii="Times New Roman" w:hAnsi="Times New Roman"/>
          <w:sz w:val="24"/>
        </w:rPr>
      </w:pPr>
    </w:p>
    <w:p w:rsidR="002A7F76" w:rsidRPr="00502E00" w:rsidRDefault="002A7F76" w:rsidP="00934422">
      <w:pPr>
        <w:pStyle w:val="ListParagraph"/>
        <w:numPr>
          <w:ilvl w:val="0"/>
          <w:numId w:val="6"/>
        </w:numPr>
        <w:spacing w:after="0" w:line="240" w:lineRule="auto"/>
        <w:rPr>
          <w:rFonts w:ascii="Times New Roman" w:hAnsi="Times New Roman"/>
          <w:b/>
          <w:sz w:val="24"/>
          <w:u w:val="single"/>
        </w:rPr>
      </w:pPr>
      <w:r w:rsidRPr="00502E00">
        <w:rPr>
          <w:rFonts w:ascii="Times New Roman" w:hAnsi="Times New Roman"/>
          <w:b/>
          <w:sz w:val="24"/>
          <w:u w:val="single"/>
        </w:rPr>
        <w:t>Justification</w:t>
      </w:r>
    </w:p>
    <w:p w:rsidR="002A7F76" w:rsidRPr="00502E00" w:rsidRDefault="002A7F76" w:rsidP="00934422">
      <w:pPr>
        <w:pStyle w:val="ListParagraph"/>
        <w:spacing w:after="0" w:line="240" w:lineRule="auto"/>
        <w:ind w:left="360"/>
        <w:rPr>
          <w:rFonts w:ascii="Times New Roman" w:hAnsi="Times New Roman"/>
          <w:b/>
          <w:sz w:val="24"/>
          <w:u w:val="single"/>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Explain the </w:t>
      </w:r>
      <w:r w:rsidRPr="00502E00">
        <w:rPr>
          <w:rFonts w:ascii="Times New Roman" w:hAnsi="Times New Roman"/>
          <w:b/>
          <w:sz w:val="24"/>
          <w:szCs w:val="16"/>
        </w:rPr>
        <w:t>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A7F76" w:rsidRPr="00502E00" w:rsidRDefault="002A7F76" w:rsidP="00934422">
      <w:pPr>
        <w:pStyle w:val="ListParagraph"/>
        <w:spacing w:after="0" w:line="240" w:lineRule="auto"/>
        <w:ind w:left="360"/>
        <w:rPr>
          <w:rFonts w:ascii="Times New Roman" w:hAnsi="Times New Roman"/>
          <w:b/>
          <w:sz w:val="24"/>
        </w:rPr>
      </w:pPr>
    </w:p>
    <w:p w:rsidR="002A7F76" w:rsidRPr="00502E00" w:rsidRDefault="002A7F76" w:rsidP="00934422">
      <w:pPr>
        <w:shd w:val="clear" w:color="auto" w:fill="FFFFFF"/>
        <w:spacing w:after="0" w:line="240" w:lineRule="auto"/>
        <w:ind w:left="720"/>
        <w:rPr>
          <w:rFonts w:ascii="Times New Roman" w:eastAsia="MS Mincho" w:hAnsi="Times New Roman"/>
          <w:sz w:val="24"/>
          <w:lang w:eastAsia="ja-JP"/>
        </w:rPr>
      </w:pPr>
      <w:r w:rsidRPr="00502E00">
        <w:rPr>
          <w:rFonts w:ascii="Times New Roman" w:hAnsi="Times New Roman"/>
          <w:sz w:val="24"/>
        </w:rPr>
        <w:t>Title V of the Fair and Accurate Credit Transactions (FACT) Act of 2003 established the Financial Literacy and Education Commission (FLEC), named the Secretary of the Treasury as Chair of the Commission, and designated Treasury’s Office of Financial Education (</w:t>
      </w:r>
      <w:smartTag w:uri="urn:schemas-microsoft-com:office:smarttags" w:element="PersonName">
        <w:r w:rsidRPr="00502E00">
          <w:rPr>
            <w:rFonts w:ascii="Times New Roman" w:hAnsi="Times New Roman"/>
            <w:sz w:val="24"/>
          </w:rPr>
          <w:t>OFE</w:t>
        </w:r>
      </w:smartTag>
      <w:r w:rsidRPr="00502E00">
        <w:rPr>
          <w:rFonts w:ascii="Times New Roman" w:hAnsi="Times New Roman"/>
          <w:sz w:val="24"/>
        </w:rPr>
        <w:t>) to lend its expertise and provide primary support to the Commission. T</w:t>
      </w:r>
      <w:r w:rsidRPr="00502E00">
        <w:rPr>
          <w:rFonts w:ascii="Times New Roman" w:eastAsia="MS Mincho" w:hAnsi="Times New Roman"/>
          <w:sz w:val="24"/>
          <w:lang w:eastAsia="ja-JP"/>
        </w:rPr>
        <w:t xml:space="preserve">he </w:t>
      </w:r>
      <w:smartTag w:uri="urn:schemas-microsoft-com:office:smarttags" w:element="PersonName">
        <w:r w:rsidRPr="00502E00">
          <w:rPr>
            <w:rFonts w:ascii="Times New Roman" w:eastAsia="MS Mincho" w:hAnsi="Times New Roman"/>
            <w:sz w:val="24"/>
            <w:lang w:eastAsia="ja-JP"/>
          </w:rPr>
          <w:t>OFE</w:t>
        </w:r>
      </w:smartTag>
      <w:r w:rsidRPr="00502E00">
        <w:rPr>
          <w:rFonts w:ascii="Times New Roman" w:eastAsia="MS Mincho" w:hAnsi="Times New Roman"/>
          <w:sz w:val="24"/>
          <w:lang w:eastAsia="ja-JP"/>
        </w:rPr>
        <w:t xml:space="preserve"> strives to promote policy solutions, sharing information, and encouraging greater efficiency of initiatives within the government and the private sector to ensure that all Americans have the skills, knowledge, and access they need to make wise financial choices through. </w:t>
      </w:r>
    </w:p>
    <w:p w:rsidR="002A7F76" w:rsidRPr="00502E00" w:rsidRDefault="002A7F76" w:rsidP="00934422">
      <w:pPr>
        <w:shd w:val="clear" w:color="auto" w:fill="FFFFFF"/>
        <w:spacing w:after="0" w:line="240" w:lineRule="auto"/>
        <w:ind w:left="720"/>
        <w:rPr>
          <w:rFonts w:ascii="Times New Roman" w:eastAsia="MS Mincho" w:hAnsi="Times New Roman"/>
          <w:sz w:val="24"/>
          <w:lang w:eastAsia="ja-JP"/>
        </w:rPr>
      </w:pPr>
    </w:p>
    <w:p w:rsidR="002A7F76" w:rsidRPr="00502E00" w:rsidRDefault="002A7F76" w:rsidP="00934422">
      <w:pPr>
        <w:spacing w:after="0" w:line="240" w:lineRule="auto"/>
        <w:ind w:left="720"/>
        <w:rPr>
          <w:rFonts w:ascii="Times New Roman" w:hAnsi="Times New Roman"/>
          <w:sz w:val="24"/>
        </w:rPr>
      </w:pPr>
      <w:r w:rsidRPr="00502E00">
        <w:rPr>
          <w:rFonts w:ascii="Times New Roman" w:hAnsi="Times New Roman"/>
          <w:sz w:val="24"/>
        </w:rPr>
        <w:t xml:space="preserve">In 2009, Treasury brought all member agencies together to identify key priorities for the FLEC. Based in large part on its Congressional mandate, the FLEC members agreed on four areas of strategic focus and created working groups for each: National Strategy, Outreach and Communications, Core Competencies, and Research and Evaluation.  This Paper Reduction Act submission is specifically about the development of the core competencies.  </w:t>
      </w:r>
    </w:p>
    <w:p w:rsidR="002A7F76" w:rsidRPr="00502E00" w:rsidRDefault="002A7F76" w:rsidP="00934422">
      <w:pPr>
        <w:spacing w:after="0" w:line="240" w:lineRule="auto"/>
        <w:rPr>
          <w:rFonts w:ascii="Times New Roman" w:hAnsi="Times New Roman"/>
          <w:sz w:val="24"/>
        </w:rPr>
      </w:pPr>
    </w:p>
    <w:p w:rsidR="002A7F76" w:rsidRPr="00502E00" w:rsidRDefault="002A7F76" w:rsidP="00934422">
      <w:pPr>
        <w:spacing w:after="0" w:line="240" w:lineRule="auto"/>
        <w:ind w:left="720"/>
        <w:rPr>
          <w:rFonts w:ascii="Times New Roman" w:hAnsi="Times New Roman"/>
          <w:sz w:val="24"/>
        </w:rPr>
      </w:pPr>
      <w:r w:rsidRPr="00502E00">
        <w:rPr>
          <w:rFonts w:ascii="Times New Roman" w:hAnsi="Times New Roman"/>
          <w:sz w:val="24"/>
        </w:rPr>
        <w:t>The Core Competencies Working Group was created because the Federal government is uniquely positioned to address the lack of a common understanding of what the field of financial education collectively is trying to achieve.  Treasury, in conjunction with the FLEC's Core Competencies Working Group, identif</w:t>
      </w:r>
      <w:r>
        <w:rPr>
          <w:rFonts w:ascii="Times New Roman" w:hAnsi="Times New Roman"/>
          <w:sz w:val="24"/>
        </w:rPr>
        <w:t>ied</w:t>
      </w:r>
      <w:r w:rsidRPr="00502E00">
        <w:rPr>
          <w:rFonts w:ascii="Times New Roman" w:hAnsi="Times New Roman"/>
          <w:sz w:val="24"/>
        </w:rPr>
        <w:t xml:space="preserve"> five core concept areas: (1) earning, (2) spending, (3) saving and investing, (4) borrowing, and (5) protecting against risk</w:t>
      </w:r>
      <w:r w:rsidR="0051685F">
        <w:rPr>
          <w:rFonts w:ascii="Times New Roman" w:hAnsi="Times New Roman"/>
          <w:sz w:val="24"/>
        </w:rPr>
        <w:t xml:space="preserve"> (Exhibit 5)</w:t>
      </w:r>
      <w:r w:rsidRPr="00502E00">
        <w:rPr>
          <w:rFonts w:ascii="Times New Roman" w:hAnsi="Times New Roman"/>
          <w:sz w:val="24"/>
        </w:rPr>
        <w:t xml:space="preserve">.  </w:t>
      </w:r>
    </w:p>
    <w:p w:rsidR="002A7F76" w:rsidRPr="00502E00" w:rsidRDefault="002A7F76" w:rsidP="00934422">
      <w:pPr>
        <w:spacing w:after="0" w:line="240" w:lineRule="auto"/>
        <w:rPr>
          <w:rFonts w:ascii="Times New Roman" w:hAnsi="Times New Roman"/>
          <w:sz w:val="24"/>
        </w:rPr>
      </w:pPr>
    </w:p>
    <w:p w:rsidR="002A7F76" w:rsidRPr="00502E00" w:rsidRDefault="002A7F76" w:rsidP="00934422">
      <w:pPr>
        <w:spacing w:after="0" w:line="240" w:lineRule="auto"/>
        <w:ind w:left="720"/>
        <w:rPr>
          <w:rFonts w:ascii="Times New Roman" w:hAnsi="Times New Roman"/>
          <w:sz w:val="24"/>
        </w:rPr>
      </w:pPr>
      <w:r w:rsidRPr="00502E00">
        <w:rPr>
          <w:rFonts w:ascii="Times New Roman" w:hAnsi="Times New Roman"/>
          <w:sz w:val="24"/>
        </w:rPr>
        <w:t xml:space="preserve">The ultimate goal is to put this set of core competencies into a format and language that </w:t>
      </w:r>
      <w:r w:rsidR="0051685F">
        <w:rPr>
          <w:rFonts w:ascii="Times New Roman" w:hAnsi="Times New Roman"/>
          <w:sz w:val="24"/>
        </w:rPr>
        <w:t>is</w:t>
      </w:r>
      <w:r w:rsidRPr="00502E00">
        <w:rPr>
          <w:rFonts w:ascii="Times New Roman" w:hAnsi="Times New Roman"/>
          <w:sz w:val="24"/>
        </w:rPr>
        <w:t xml:space="preserve"> easily accessible and easily remembered – analogous to the “food pyramid</w:t>
      </w:r>
      <w:r w:rsidR="0066216D">
        <w:rPr>
          <w:rFonts w:ascii="Times New Roman" w:hAnsi="Times New Roman"/>
          <w:sz w:val="24"/>
        </w:rPr>
        <w:t>.</w:t>
      </w:r>
      <w:r w:rsidRPr="00502E00">
        <w:rPr>
          <w:rFonts w:ascii="Times New Roman" w:hAnsi="Times New Roman"/>
          <w:sz w:val="24"/>
        </w:rPr>
        <w:t xml:space="preserve">”  In order to achieve this, the </w:t>
      </w:r>
      <w:smartTag w:uri="urn:schemas-microsoft-com:office:smarttags" w:element="PersonName">
        <w:r w:rsidRPr="00502E00">
          <w:rPr>
            <w:rFonts w:ascii="Times New Roman" w:hAnsi="Times New Roman"/>
            <w:sz w:val="24"/>
          </w:rPr>
          <w:t>OFE</w:t>
        </w:r>
      </w:smartTag>
      <w:r w:rsidRPr="00502E00">
        <w:rPr>
          <w:rFonts w:ascii="Times New Roman" w:hAnsi="Times New Roman"/>
          <w:sz w:val="24"/>
        </w:rPr>
        <w:t xml:space="preserve"> entered into a contract with </w:t>
      </w:r>
      <w:proofErr w:type="spellStart"/>
      <w:r w:rsidRPr="00502E00">
        <w:rPr>
          <w:rFonts w:ascii="Times New Roman" w:hAnsi="Times New Roman"/>
          <w:sz w:val="24"/>
        </w:rPr>
        <w:t>PowerTrain</w:t>
      </w:r>
      <w:proofErr w:type="spellEnd"/>
      <w:r w:rsidRPr="00502E00">
        <w:rPr>
          <w:rFonts w:ascii="Times New Roman" w:hAnsi="Times New Roman"/>
          <w:sz w:val="24"/>
        </w:rPr>
        <w:t xml:space="preserve">, Inc., a subcontractor of Office of Personnel Management – Emerging Solutions, to: </w:t>
      </w:r>
      <w:r w:rsidRPr="00502E00">
        <w:rPr>
          <w:rFonts w:ascii="Times New Roman" w:hAnsi="Times New Roman" w:cs="Arial"/>
          <w:sz w:val="24"/>
        </w:rPr>
        <w:t xml:space="preserve">1) conduct formative research on the development of various successful campaigns including the food pyramid in order to develop the branding and positioning concepts related to the core competencies, 2) test concept among various audiences,  3) identify successful methods to impart financial capabilities and other comparable services, and 4) develop strategic marketing plan to make the core competencies accessible to the U.S. population with customized sub-plans for different target groups. </w:t>
      </w:r>
    </w:p>
    <w:p w:rsidR="002A7F76" w:rsidRPr="00502E00" w:rsidRDefault="002A7F76" w:rsidP="00934422">
      <w:pPr>
        <w:pStyle w:val="ListParagraph"/>
        <w:spacing w:after="0" w:line="240" w:lineRule="auto"/>
        <w:ind w:left="0"/>
        <w:rPr>
          <w:rFonts w:ascii="Times New Roman" w:hAnsi="Times New Roman" w:cs="Arial"/>
          <w:sz w:val="24"/>
        </w:rPr>
      </w:pPr>
    </w:p>
    <w:p w:rsidR="002A7F76" w:rsidRPr="00502E00" w:rsidRDefault="002A7F76" w:rsidP="0018364C">
      <w:pPr>
        <w:pStyle w:val="ListParagraph"/>
        <w:spacing w:after="0" w:line="240" w:lineRule="auto"/>
        <w:rPr>
          <w:rFonts w:ascii="Times New Roman" w:hAnsi="Times New Roman"/>
          <w:sz w:val="24"/>
        </w:rPr>
      </w:pPr>
      <w:r w:rsidRPr="00502E00">
        <w:rPr>
          <w:rFonts w:ascii="Times New Roman" w:hAnsi="Times New Roman"/>
          <w:sz w:val="24"/>
        </w:rPr>
        <w:t xml:space="preserve">The contractor is using focus groups to accomplish the formative research phase (to select and understand target audiences and develop draft marketing strategies). The contractor is also using the focus group data collection method to evaluate a short list of </w:t>
      </w:r>
      <w:r w:rsidRPr="00502E00">
        <w:rPr>
          <w:rFonts w:ascii="Times New Roman" w:hAnsi="Times New Roman"/>
          <w:sz w:val="24"/>
        </w:rPr>
        <w:lastRenderedPageBreak/>
        <w:t xml:space="preserve">alternative strategies and tactics, ensure that potential executions have no major deficiencies, and fine-tune possible approaches so that they speak to the target audiences in the most effective way.   </w:t>
      </w:r>
    </w:p>
    <w:p w:rsidR="002A7F76" w:rsidRPr="00502E00" w:rsidRDefault="002A7F76" w:rsidP="00934422">
      <w:pPr>
        <w:pStyle w:val="ListParagraph"/>
        <w:spacing w:after="0" w:line="240" w:lineRule="auto"/>
        <w:ind w:left="0"/>
        <w:rPr>
          <w:rFonts w:ascii="Times New Roman" w:hAnsi="Times New Roman"/>
          <w:sz w:val="24"/>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Indicate </w:t>
      </w:r>
      <w:r w:rsidRPr="00502E00">
        <w:rPr>
          <w:rFonts w:ascii="Times New Roman" w:hAnsi="Times New Roman"/>
          <w:b/>
          <w:sz w:val="24"/>
          <w:szCs w:val="16"/>
        </w:rPr>
        <w:t>how, by whom, and for what purpose the information is to be used. Except for a new collection, indicate the actual use the agency has made of the information received from the current collection.</w:t>
      </w:r>
    </w:p>
    <w:p w:rsidR="002A7F76" w:rsidRPr="00502E00" w:rsidRDefault="002A7F76" w:rsidP="00934422">
      <w:pPr>
        <w:pStyle w:val="ListParagraph"/>
        <w:spacing w:after="0" w:line="240" w:lineRule="auto"/>
        <w:rPr>
          <w:rFonts w:ascii="Times New Roman" w:hAnsi="Times New Roman"/>
          <w:sz w:val="24"/>
        </w:rPr>
      </w:pPr>
      <w:r w:rsidRPr="00502E00">
        <w:rPr>
          <w:rFonts w:ascii="Times New Roman" w:hAnsi="Times New Roman"/>
          <w:sz w:val="24"/>
        </w:rPr>
        <w:t>The contractor will use the information to: a) select the best concept, and b) to assess whether different concepts are appropriate for different audiences.</w:t>
      </w:r>
    </w:p>
    <w:p w:rsidR="002A7F76" w:rsidRPr="00502E00" w:rsidRDefault="002A7F76" w:rsidP="00934422">
      <w:pPr>
        <w:pStyle w:val="ListParagraph"/>
        <w:spacing w:after="0" w:line="240" w:lineRule="auto"/>
        <w:ind w:left="840"/>
        <w:rPr>
          <w:rFonts w:ascii="Times New Roman" w:hAnsi="Times New Roman"/>
          <w:sz w:val="24"/>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Describe </w:t>
      </w:r>
      <w:r w:rsidRPr="00502E00">
        <w:rPr>
          <w:rFonts w:ascii="Times New Roman" w:hAnsi="Times New Roman"/>
          <w:b/>
          <w:sz w:val="24"/>
          <w:szCs w:val="16"/>
        </w:rPr>
        <w:t>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A7F76" w:rsidRPr="00502E00" w:rsidRDefault="0066216D" w:rsidP="00934422">
      <w:pPr>
        <w:pStyle w:val="ListParagraph"/>
        <w:spacing w:after="0" w:line="240" w:lineRule="auto"/>
        <w:rPr>
          <w:rFonts w:ascii="Times New Roman" w:hAnsi="Times New Roman"/>
          <w:sz w:val="24"/>
        </w:rPr>
      </w:pPr>
      <w:r>
        <w:rPr>
          <w:rFonts w:ascii="Times New Roman" w:hAnsi="Times New Roman"/>
          <w:sz w:val="24"/>
        </w:rPr>
        <w:t xml:space="preserve">  Data collection would be done through approximately 10 focus groups across the country and the only technology used would be audio and visual recording devices.  </w:t>
      </w:r>
    </w:p>
    <w:p w:rsidR="002A7F76" w:rsidRPr="00502E00" w:rsidRDefault="002A7F76" w:rsidP="00934422">
      <w:pPr>
        <w:pStyle w:val="Default"/>
        <w:rPr>
          <w:rFonts w:ascii="Times New Roman" w:hAnsi="Times New Roman"/>
          <w:szCs w:val="16"/>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Describe </w:t>
      </w:r>
      <w:r w:rsidRPr="00502E00">
        <w:rPr>
          <w:rFonts w:ascii="Times New Roman" w:hAnsi="Times New Roman"/>
          <w:b/>
          <w:sz w:val="24"/>
          <w:szCs w:val="16"/>
        </w:rPr>
        <w:t>efforts to identify duplication. Show specifically why any similar information already available cannot be used or modified for use for the purposes described in Item 2 above.</w:t>
      </w:r>
    </w:p>
    <w:p w:rsidR="002A7F76" w:rsidRPr="00502E00" w:rsidRDefault="002A7F76" w:rsidP="00934422">
      <w:pPr>
        <w:pStyle w:val="ListParagraph"/>
        <w:spacing w:after="0" w:line="240" w:lineRule="auto"/>
        <w:rPr>
          <w:rFonts w:ascii="Times New Roman" w:hAnsi="Times New Roman"/>
          <w:sz w:val="24"/>
        </w:rPr>
      </w:pPr>
      <w:r w:rsidRPr="00502E00">
        <w:rPr>
          <w:rFonts w:ascii="Times New Roman" w:hAnsi="Times New Roman"/>
          <w:sz w:val="24"/>
        </w:rPr>
        <w:t xml:space="preserve">As mentioned above, the field of financial education lacks core financial competencies. Given that core financial competencies to be tested are new, there is no duplication of existing materials. </w:t>
      </w:r>
    </w:p>
    <w:p w:rsidR="002A7F76" w:rsidRPr="00502E00" w:rsidRDefault="002A7F76" w:rsidP="00934422">
      <w:pPr>
        <w:pStyle w:val="ListParagraph"/>
        <w:spacing w:after="0" w:line="240" w:lineRule="auto"/>
        <w:rPr>
          <w:rFonts w:ascii="Times New Roman" w:hAnsi="Times New Roman"/>
          <w:sz w:val="24"/>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IF </w:t>
      </w:r>
      <w:r w:rsidRPr="00502E00">
        <w:rPr>
          <w:rFonts w:ascii="Times New Roman" w:hAnsi="Times New Roman"/>
          <w:b/>
          <w:sz w:val="24"/>
          <w:szCs w:val="16"/>
        </w:rPr>
        <w:t>the collection of information impacts small businesses or other small entities (Item 5 of OMB Form 83-I), describe any methods used to minimize burden.</w:t>
      </w:r>
    </w:p>
    <w:p w:rsidR="002A7F76" w:rsidRPr="00502E00" w:rsidRDefault="002A7F76" w:rsidP="00934422">
      <w:pPr>
        <w:pStyle w:val="ListParagraph"/>
        <w:spacing w:after="0" w:line="240" w:lineRule="auto"/>
        <w:ind w:left="360" w:firstLine="360"/>
        <w:rPr>
          <w:rFonts w:ascii="Times New Roman" w:hAnsi="Times New Roman"/>
          <w:sz w:val="24"/>
        </w:rPr>
      </w:pPr>
      <w:r w:rsidRPr="00502E00">
        <w:rPr>
          <w:rFonts w:ascii="Times New Roman" w:hAnsi="Times New Roman"/>
          <w:sz w:val="24"/>
        </w:rPr>
        <w:t xml:space="preserve">The information collection does not impact small businesses. </w:t>
      </w:r>
    </w:p>
    <w:p w:rsidR="002A7F76" w:rsidRPr="00502E00" w:rsidRDefault="002A7F76" w:rsidP="00934422">
      <w:pPr>
        <w:pStyle w:val="ListParagraph"/>
        <w:spacing w:after="0" w:line="240" w:lineRule="auto"/>
        <w:rPr>
          <w:rFonts w:ascii="Times New Roman" w:hAnsi="Times New Roman"/>
          <w:sz w:val="24"/>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Describe </w:t>
      </w:r>
      <w:r w:rsidRPr="00502E00">
        <w:rPr>
          <w:rFonts w:ascii="Times New Roman" w:hAnsi="Times New Roman"/>
          <w:b/>
          <w:sz w:val="24"/>
          <w:szCs w:val="16"/>
        </w:rPr>
        <w:t>the consequence to Federal program or policy activities if the collection is not conducted or is conducted less frequently, as well as any technical or legal obstacles to reducing burden.</w:t>
      </w:r>
    </w:p>
    <w:p w:rsidR="002A7F76" w:rsidRPr="00502E00" w:rsidRDefault="002A7F76" w:rsidP="00934422">
      <w:pPr>
        <w:pStyle w:val="ListParagraph"/>
        <w:spacing w:after="0" w:line="240" w:lineRule="auto"/>
        <w:rPr>
          <w:rFonts w:ascii="Times New Roman" w:hAnsi="Times New Roman"/>
        </w:rPr>
      </w:pPr>
      <w:r w:rsidRPr="00502E00">
        <w:rPr>
          <w:rFonts w:ascii="Times New Roman" w:hAnsi="Times New Roman"/>
        </w:rPr>
        <w:t xml:space="preserve">The contractor might select a suboptimal or less effective concept to deliver/communicate the core competency messages if we make incorrect assumptions about how different audiences will react.  </w:t>
      </w:r>
    </w:p>
    <w:p w:rsidR="002A7F76" w:rsidRPr="00502E00" w:rsidRDefault="002A7F76" w:rsidP="00934422">
      <w:pPr>
        <w:pStyle w:val="ListParagraph"/>
        <w:spacing w:after="0" w:line="240" w:lineRule="auto"/>
        <w:ind w:left="405"/>
        <w:rPr>
          <w:rFonts w:ascii="Times New Roman" w:hAnsi="Times New Roman"/>
          <w:b/>
          <w:sz w:val="24"/>
        </w:rPr>
      </w:pPr>
    </w:p>
    <w:p w:rsidR="002A7F76" w:rsidRPr="00502E00" w:rsidRDefault="002A7F76" w:rsidP="00B33277">
      <w:pPr>
        <w:pStyle w:val="Default"/>
        <w:numPr>
          <w:ilvl w:val="0"/>
          <w:numId w:val="5"/>
        </w:numPr>
        <w:rPr>
          <w:rFonts w:ascii="Times New Roman" w:hAnsi="Times New Roman"/>
          <w:b/>
          <w:sz w:val="16"/>
          <w:szCs w:val="16"/>
        </w:rPr>
      </w:pPr>
      <w:r w:rsidRPr="001C2923">
        <w:rPr>
          <w:rFonts w:ascii="Times New Roman Bold" w:hAnsi="Times New Roman Bold"/>
          <w:b/>
        </w:rPr>
        <w:t>Explain any special circumstances that would cause an information collection to be conducted in a manner:</w:t>
      </w:r>
      <w:r w:rsidRPr="00502E00">
        <w:rPr>
          <w:rFonts w:ascii="Times New Roman" w:hAnsi="Times New Roman"/>
          <w:b/>
        </w:rPr>
        <w:t xml:space="preserve"> </w:t>
      </w:r>
      <w:r w:rsidRPr="00502E00">
        <w:rPr>
          <w:rFonts w:ascii="Times New Roman" w:hAnsi="Times New Roman"/>
          <w:b/>
          <w:sz w:val="16"/>
        </w:rPr>
        <w:t xml:space="preserve">*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 requiring respondents to retain records, other than health, medical, government contract, grant-in-aid, or tax records, for more than three years; * in connection with a statistical survey, that is not designed to produce valid and reliable results that can be generalized to the universe of study; requiring the use of a statistical data classification that has not been reviewed and approved by OMB; *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502E00">
        <w:rPr>
          <w:rFonts w:ascii="Times New Roman" w:hAnsi="Times New Roman"/>
          <w:b/>
          <w:sz w:val="16"/>
          <w:szCs w:val="16"/>
        </w:rPr>
        <w:t>* requiring respondents to submit proprietary trade secrets, or other confidential information unless the agency can demonstrate that it has instituted procedures to protect the information's confidentiality to the extent permitted by law.</w:t>
      </w:r>
    </w:p>
    <w:p w:rsidR="002A7F76" w:rsidRPr="00502E00" w:rsidRDefault="002A7F76" w:rsidP="00B33277">
      <w:pPr>
        <w:pStyle w:val="ListParagraph"/>
        <w:spacing w:after="0" w:line="240" w:lineRule="auto"/>
        <w:rPr>
          <w:rFonts w:ascii="Times New Roman" w:hAnsi="Times New Roman"/>
          <w:sz w:val="24"/>
        </w:rPr>
      </w:pPr>
      <w:r w:rsidRPr="00502E00">
        <w:rPr>
          <w:rFonts w:ascii="Times New Roman" w:hAnsi="Times New Roman"/>
          <w:sz w:val="24"/>
        </w:rPr>
        <w:t xml:space="preserve">We will not require respondents to meet any of the listed special circumstances. </w:t>
      </w:r>
    </w:p>
    <w:p w:rsidR="002A7F76" w:rsidRPr="00502E00" w:rsidRDefault="002A7F76" w:rsidP="00934422">
      <w:pPr>
        <w:pStyle w:val="ListParagraph"/>
        <w:spacing w:after="0" w:line="240" w:lineRule="auto"/>
        <w:rPr>
          <w:rFonts w:ascii="Times New Roman" w:hAnsi="Times New Roman"/>
          <w:sz w:val="24"/>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lastRenderedPageBreak/>
        <w:t xml:space="preserve">If </w:t>
      </w:r>
      <w:r w:rsidRPr="00502E00">
        <w:rPr>
          <w:rFonts w:ascii="Times New Roman" w:hAnsi="Times New Roman"/>
          <w:b/>
          <w:sz w:val="24"/>
          <w:szCs w:val="16"/>
        </w:rPr>
        <w:t>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8084E" w:rsidRDefault="00C8084E" w:rsidP="00B33277">
      <w:pPr>
        <w:spacing w:after="0" w:line="240" w:lineRule="auto"/>
        <w:ind w:left="720"/>
        <w:rPr>
          <w:rFonts w:ascii="Times New Roman" w:hAnsi="Times New Roman"/>
          <w:sz w:val="24"/>
        </w:rPr>
      </w:pPr>
    </w:p>
    <w:p w:rsidR="00C8084E" w:rsidRPr="00C8084E" w:rsidRDefault="00C8084E" w:rsidP="00C8084E">
      <w:pPr>
        <w:spacing w:after="0" w:line="240" w:lineRule="auto"/>
        <w:ind w:left="720"/>
        <w:rPr>
          <w:rFonts w:ascii="Times New Roman" w:hAnsi="Times New Roman"/>
          <w:sz w:val="24"/>
          <w:szCs w:val="24"/>
        </w:rPr>
      </w:pPr>
      <w:r w:rsidRPr="00C8084E">
        <w:rPr>
          <w:rFonts w:ascii="Times New Roman" w:hAnsi="Times New Roman"/>
          <w:sz w:val="24"/>
          <w:szCs w:val="24"/>
        </w:rPr>
        <w:t xml:space="preserve">The draft core competencies document was submitted for public comment on August 26, 2010 via Federal Register notice by the Department of the Treasury.  As stated in the Federal Register, the comment period closed on Sunday, September 12, 2010.  All comments received through approximately noon on Monday, September 13, 2010 were accepted.  In total, approximately 230 comments were received.  </w:t>
      </w:r>
    </w:p>
    <w:p w:rsidR="00C8084E" w:rsidRPr="00C8084E" w:rsidRDefault="00C8084E" w:rsidP="00C8084E">
      <w:pPr>
        <w:spacing w:after="0" w:line="240" w:lineRule="auto"/>
        <w:ind w:firstLine="720"/>
        <w:rPr>
          <w:rFonts w:ascii="Times New Roman" w:hAnsi="Times New Roman"/>
          <w:sz w:val="24"/>
          <w:szCs w:val="24"/>
        </w:rPr>
      </w:pPr>
    </w:p>
    <w:p w:rsidR="00C8084E" w:rsidRPr="00C8084E" w:rsidRDefault="00C8084E" w:rsidP="00C8084E">
      <w:pPr>
        <w:spacing w:after="0" w:line="240" w:lineRule="auto"/>
        <w:ind w:left="720"/>
        <w:rPr>
          <w:rFonts w:ascii="Times New Roman" w:hAnsi="Times New Roman"/>
          <w:sz w:val="24"/>
          <w:szCs w:val="24"/>
        </w:rPr>
      </w:pPr>
      <w:r w:rsidRPr="00C8084E">
        <w:rPr>
          <w:rFonts w:ascii="Times New Roman" w:hAnsi="Times New Roman"/>
          <w:sz w:val="24"/>
          <w:szCs w:val="24"/>
        </w:rPr>
        <w:t xml:space="preserve">The comments were distributed to each of the members of the Financial Literacy and Education Commission’s Core Competencies Working Group (Treasury, HHS, OPM, FDIC and USDA). Members of the working group reviewed the comments in detail.  The Commission was established by Title V of the Fair and Accurate Transactions Act of 2003 and is composed of 22 entities. </w:t>
      </w:r>
    </w:p>
    <w:p w:rsidR="00C8084E" w:rsidRPr="00C8084E" w:rsidRDefault="00C8084E" w:rsidP="00C8084E">
      <w:pPr>
        <w:spacing w:after="0" w:line="240" w:lineRule="auto"/>
        <w:ind w:firstLine="720"/>
        <w:rPr>
          <w:rFonts w:ascii="Times New Roman" w:hAnsi="Times New Roman"/>
          <w:sz w:val="24"/>
          <w:szCs w:val="24"/>
        </w:rPr>
      </w:pPr>
    </w:p>
    <w:p w:rsidR="00C8084E" w:rsidRPr="00C8084E" w:rsidRDefault="00C8084E" w:rsidP="00C8084E">
      <w:pPr>
        <w:spacing w:after="0" w:line="240" w:lineRule="auto"/>
        <w:ind w:left="720"/>
        <w:rPr>
          <w:rFonts w:ascii="Times New Roman" w:hAnsi="Times New Roman"/>
          <w:sz w:val="24"/>
          <w:szCs w:val="24"/>
        </w:rPr>
      </w:pPr>
      <w:r w:rsidRPr="00C8084E">
        <w:rPr>
          <w:rFonts w:ascii="Times New Roman" w:hAnsi="Times New Roman"/>
          <w:sz w:val="24"/>
          <w:szCs w:val="24"/>
        </w:rPr>
        <w:t xml:space="preserve">The Work Group met on Friday, September 24, 2010, to discuss the comments and consider edits to the document.  A guiding principle of the work was that the document needed to reflect the fundamental concepts that all consumers should know, and be at the “mile-high” level.  An attempt was also made to ensure that the core competencies were clearly and precisely worded, and that the knowledge and action/behavior sections were consistent.  </w:t>
      </w:r>
    </w:p>
    <w:p w:rsidR="00C8084E" w:rsidRPr="00C8084E" w:rsidRDefault="00C8084E" w:rsidP="00C8084E">
      <w:pPr>
        <w:spacing w:after="0" w:line="240" w:lineRule="auto"/>
        <w:ind w:firstLine="720"/>
        <w:rPr>
          <w:rFonts w:ascii="Times New Roman" w:hAnsi="Times New Roman"/>
          <w:sz w:val="24"/>
          <w:szCs w:val="24"/>
        </w:rPr>
      </w:pPr>
    </w:p>
    <w:p w:rsidR="00C8084E" w:rsidRPr="00C8084E" w:rsidRDefault="00C8084E" w:rsidP="00C8084E">
      <w:pPr>
        <w:spacing w:after="0" w:line="240" w:lineRule="auto"/>
        <w:ind w:left="720"/>
        <w:rPr>
          <w:rFonts w:ascii="Times New Roman" w:hAnsi="Times New Roman"/>
          <w:sz w:val="24"/>
          <w:szCs w:val="24"/>
        </w:rPr>
      </w:pPr>
      <w:r w:rsidRPr="00C8084E">
        <w:rPr>
          <w:rFonts w:ascii="Times New Roman" w:hAnsi="Times New Roman"/>
          <w:sz w:val="24"/>
          <w:szCs w:val="24"/>
        </w:rPr>
        <w:t xml:space="preserve">The Work Group noted that the comments were generally highly supportive of the effort.  Some comments suggested more micro-level edits to include very specific knowledge or skills that had been captured at the mile-high-level, and others pointed out opportunities for us to clarify and enhance certain elements, such as references to investment.  </w:t>
      </w:r>
    </w:p>
    <w:p w:rsidR="00C8084E" w:rsidRPr="00C8084E" w:rsidRDefault="00C8084E" w:rsidP="00C8084E">
      <w:pPr>
        <w:spacing w:after="0" w:line="240" w:lineRule="auto"/>
        <w:ind w:firstLine="720"/>
        <w:rPr>
          <w:rFonts w:ascii="Times New Roman" w:hAnsi="Times New Roman"/>
          <w:sz w:val="24"/>
          <w:szCs w:val="24"/>
        </w:rPr>
      </w:pPr>
    </w:p>
    <w:p w:rsidR="002A7F76" w:rsidRPr="00C8084E" w:rsidRDefault="00C8084E" w:rsidP="00C8084E">
      <w:pPr>
        <w:spacing w:after="0" w:line="240" w:lineRule="auto"/>
        <w:ind w:left="720"/>
        <w:rPr>
          <w:rFonts w:ascii="Times New Roman" w:hAnsi="Times New Roman"/>
          <w:sz w:val="24"/>
          <w:szCs w:val="24"/>
        </w:rPr>
      </w:pPr>
      <w:r w:rsidRPr="00C8084E">
        <w:rPr>
          <w:rFonts w:ascii="Times New Roman" w:hAnsi="Times New Roman"/>
          <w:sz w:val="24"/>
          <w:szCs w:val="24"/>
        </w:rPr>
        <w:t>The work group made at least 20 edits to the core competencies document based on the public comments.  The edits are reflected in version attached to this form</w:t>
      </w:r>
      <w:r w:rsidR="002A7F76" w:rsidRPr="00C8084E">
        <w:rPr>
          <w:rFonts w:ascii="Times New Roman" w:hAnsi="Times New Roman"/>
          <w:sz w:val="24"/>
          <w:szCs w:val="24"/>
        </w:rPr>
        <w:t xml:space="preserve"> (Exhibit 1).  </w:t>
      </w:r>
    </w:p>
    <w:p w:rsidR="002A7F76" w:rsidRPr="00502E00" w:rsidRDefault="002A7F76" w:rsidP="00934422">
      <w:pPr>
        <w:pStyle w:val="Default"/>
        <w:rPr>
          <w:rFonts w:ascii="Times New Roman" w:hAnsi="Times New Roman"/>
          <w:szCs w:val="16"/>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Explain </w:t>
      </w:r>
      <w:r w:rsidRPr="00502E00">
        <w:rPr>
          <w:rFonts w:ascii="Times New Roman" w:hAnsi="Times New Roman"/>
          <w:b/>
          <w:sz w:val="24"/>
          <w:szCs w:val="16"/>
        </w:rPr>
        <w:t xml:space="preserve">any decision to provide any payment or gift to respondents, other than </w:t>
      </w:r>
      <w:r w:rsidR="00293D3A" w:rsidRPr="00502E00">
        <w:rPr>
          <w:rFonts w:ascii="Times New Roman" w:hAnsi="Times New Roman"/>
          <w:b/>
          <w:sz w:val="24"/>
          <w:szCs w:val="16"/>
        </w:rPr>
        <w:t>remuneration</w:t>
      </w:r>
      <w:r w:rsidRPr="00502E00">
        <w:rPr>
          <w:rFonts w:ascii="Times New Roman" w:hAnsi="Times New Roman"/>
          <w:b/>
          <w:sz w:val="24"/>
          <w:szCs w:val="16"/>
        </w:rPr>
        <w:t xml:space="preserve"> of contractors or grantees.</w:t>
      </w:r>
    </w:p>
    <w:p w:rsidR="002A7F76" w:rsidRPr="00502E00" w:rsidRDefault="002A7F76" w:rsidP="00B33277">
      <w:pPr>
        <w:pStyle w:val="ListParagraph"/>
        <w:spacing w:after="0" w:line="240" w:lineRule="auto"/>
        <w:rPr>
          <w:rFonts w:ascii="Times New Roman" w:hAnsi="Times New Roman"/>
          <w:sz w:val="24"/>
        </w:rPr>
      </w:pPr>
      <w:r w:rsidRPr="00502E00">
        <w:rPr>
          <w:rFonts w:ascii="Times New Roman" w:hAnsi="Times New Roman"/>
          <w:sz w:val="24"/>
        </w:rPr>
        <w:t>The contractor will provide respondents with a financial incentive to participate in the focus groups (approximately $</w:t>
      </w:r>
      <w:r w:rsidR="00C819AA">
        <w:rPr>
          <w:rFonts w:ascii="Times New Roman" w:hAnsi="Times New Roman"/>
          <w:sz w:val="24"/>
        </w:rPr>
        <w:t>75</w:t>
      </w:r>
      <w:r w:rsidRPr="00502E00">
        <w:rPr>
          <w:rFonts w:ascii="Times New Roman" w:hAnsi="Times New Roman"/>
          <w:sz w:val="24"/>
        </w:rPr>
        <w:t xml:space="preserve">). </w:t>
      </w:r>
    </w:p>
    <w:p w:rsidR="002A7F76" w:rsidRPr="00502E00" w:rsidRDefault="002A7F76" w:rsidP="00934422">
      <w:pPr>
        <w:pStyle w:val="ListParagraph"/>
        <w:spacing w:after="0" w:line="240" w:lineRule="auto"/>
        <w:rPr>
          <w:rFonts w:ascii="Times New Roman" w:hAnsi="Times New Roman"/>
          <w:sz w:val="24"/>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Describe </w:t>
      </w:r>
      <w:r w:rsidRPr="00502E00">
        <w:rPr>
          <w:rFonts w:ascii="Times New Roman" w:hAnsi="Times New Roman"/>
          <w:b/>
          <w:sz w:val="24"/>
          <w:szCs w:val="16"/>
        </w:rPr>
        <w:t>any assurance of confidentiality provided to respondents and the basis for the assurance in statute, regulation, or agency policy.</w:t>
      </w:r>
    </w:p>
    <w:p w:rsidR="002A7F76" w:rsidRPr="00502E00" w:rsidRDefault="00BB6B8B" w:rsidP="00B33277">
      <w:pPr>
        <w:pStyle w:val="ListParagraph"/>
        <w:spacing w:after="0" w:line="240" w:lineRule="auto"/>
        <w:rPr>
          <w:rFonts w:ascii="Times New Roman" w:hAnsi="Times New Roman"/>
          <w:sz w:val="24"/>
        </w:rPr>
      </w:pPr>
      <w:r>
        <w:rPr>
          <w:rFonts w:ascii="Times New Roman" w:hAnsi="Times New Roman"/>
          <w:sz w:val="24"/>
        </w:rPr>
        <w:t>Respondent information will be kept confidential as allowed and required by law.</w:t>
      </w:r>
    </w:p>
    <w:p w:rsidR="002A7F76" w:rsidRPr="00502E00" w:rsidRDefault="002A7F76" w:rsidP="00934422">
      <w:pPr>
        <w:pStyle w:val="Default"/>
        <w:rPr>
          <w:rFonts w:ascii="Times New Roman" w:hAnsi="Times New Roman"/>
          <w:szCs w:val="16"/>
        </w:rPr>
      </w:pPr>
    </w:p>
    <w:p w:rsidR="002A7F76" w:rsidRPr="00A7539D" w:rsidRDefault="002A7F76" w:rsidP="00934422">
      <w:pPr>
        <w:pStyle w:val="ListParagraph"/>
        <w:numPr>
          <w:ilvl w:val="0"/>
          <w:numId w:val="5"/>
        </w:numPr>
        <w:spacing w:after="0" w:line="240" w:lineRule="auto"/>
        <w:rPr>
          <w:rFonts w:ascii="Times New Roman" w:hAnsi="Times New Roman"/>
          <w:b/>
          <w:sz w:val="24"/>
        </w:rPr>
      </w:pPr>
      <w:r w:rsidRPr="00A7539D">
        <w:rPr>
          <w:rFonts w:ascii="Times New Roman" w:hAnsi="Times New Roman"/>
          <w:b/>
          <w:sz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w:t>
      </w:r>
      <w:r w:rsidRPr="00A7539D">
        <w:rPr>
          <w:rFonts w:ascii="Times New Roman" w:eastAsia="MS Mincho" w:hAnsi="Times New Roman" w:cs="PMODMN+ArialNarrow"/>
          <w:b/>
          <w:color w:val="000000"/>
          <w:sz w:val="24"/>
          <w:lang w:eastAsia="ja-JP"/>
        </w:rPr>
        <w:t xml:space="preserve">is requested, and any steps to be taken to obtain their consent. </w:t>
      </w:r>
    </w:p>
    <w:p w:rsidR="002A7F76" w:rsidRPr="00502E00" w:rsidRDefault="002A7F76" w:rsidP="00934422">
      <w:pPr>
        <w:pStyle w:val="ListParagraph"/>
        <w:spacing w:after="0" w:line="240" w:lineRule="auto"/>
        <w:rPr>
          <w:rFonts w:ascii="Times New Roman" w:hAnsi="Times New Roman"/>
          <w:sz w:val="24"/>
        </w:rPr>
      </w:pPr>
    </w:p>
    <w:p w:rsidR="00293D3A" w:rsidRDefault="00293D3A" w:rsidP="00293D3A">
      <w:pPr>
        <w:pStyle w:val="ListParagraph"/>
        <w:spacing w:after="0" w:line="240" w:lineRule="auto"/>
        <w:rPr>
          <w:rFonts w:ascii="Times New Roman" w:hAnsi="Times New Roman"/>
          <w:sz w:val="24"/>
          <w:szCs w:val="24"/>
        </w:rPr>
      </w:pPr>
      <w:r>
        <w:rPr>
          <w:rFonts w:ascii="Times New Roman" w:hAnsi="Times New Roman"/>
          <w:sz w:val="24"/>
          <w:szCs w:val="24"/>
        </w:rPr>
        <w:t xml:space="preserve">The subcontractor will ask questions on previous financial knowledge and planning to determine how to prioritize the different financial core competencies (Exhibit 4).  The description informs potential respondents about the discussion content. The consent form requires a signature prior to data collection (Exhibit 2). </w:t>
      </w:r>
    </w:p>
    <w:p w:rsidR="002A7F76" w:rsidRDefault="002A7F76" w:rsidP="002078AC">
      <w:pPr>
        <w:pStyle w:val="ListParagraph"/>
        <w:spacing w:after="0" w:line="240" w:lineRule="auto"/>
        <w:ind w:left="0"/>
        <w:rPr>
          <w:rFonts w:ascii="Times New Roman" w:hAnsi="Times New Roman"/>
          <w:sz w:val="24"/>
        </w:rPr>
      </w:pPr>
    </w:p>
    <w:p w:rsidR="002078AC" w:rsidRPr="00502E00" w:rsidRDefault="002078AC" w:rsidP="00934422">
      <w:pPr>
        <w:pStyle w:val="ListParagraph"/>
        <w:spacing w:after="0" w:line="240" w:lineRule="auto"/>
        <w:ind w:left="360"/>
        <w:rPr>
          <w:rFonts w:ascii="Times New Roman" w:hAnsi="Times New Roman"/>
          <w:sz w:val="24"/>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Provide </w:t>
      </w:r>
      <w:r w:rsidRPr="00502E00">
        <w:rPr>
          <w:rFonts w:ascii="Times New Roman" w:eastAsia="MS Mincho" w:hAnsi="Times New Roman" w:cs="PMODMN+ArialNarrow"/>
          <w:b/>
          <w:color w:val="000000"/>
          <w:sz w:val="24"/>
          <w:szCs w:val="16"/>
          <w:lang w:eastAsia="ja-JP"/>
        </w:rPr>
        <w:t>estimates of the hour burden of the collection of information.</w:t>
      </w:r>
    </w:p>
    <w:p w:rsidR="002A7F76" w:rsidRPr="00502E00" w:rsidRDefault="002A7F76" w:rsidP="00820AA3">
      <w:pPr>
        <w:ind w:left="720"/>
        <w:rPr>
          <w:rFonts w:ascii="Times New Roman" w:hAnsi="Times New Roman"/>
          <w:sz w:val="24"/>
        </w:rPr>
      </w:pPr>
      <w:r w:rsidRPr="00502E00">
        <w:rPr>
          <w:rFonts w:ascii="Times New Roman" w:hAnsi="Times New Roman"/>
        </w:rPr>
        <w:t xml:space="preserve">We expect </w:t>
      </w:r>
      <w:r w:rsidR="00B3617C">
        <w:rPr>
          <w:rFonts w:ascii="Times New Roman" w:hAnsi="Times New Roman"/>
        </w:rPr>
        <w:t>252</w:t>
      </w:r>
      <w:r w:rsidRPr="00502E00">
        <w:rPr>
          <w:rFonts w:ascii="Times New Roman" w:hAnsi="Times New Roman"/>
        </w:rPr>
        <w:t xml:space="preserve"> hours will be allocated for data collection. 120 respondents (12 respondents in 10 focus groups) will participate in </w:t>
      </w:r>
      <w:r w:rsidR="00B3617C">
        <w:rPr>
          <w:rFonts w:ascii="Times New Roman" w:hAnsi="Times New Roman"/>
        </w:rPr>
        <w:t>one, two</w:t>
      </w:r>
      <w:r w:rsidRPr="00502E00">
        <w:rPr>
          <w:rFonts w:ascii="Times New Roman" w:hAnsi="Times New Roman"/>
        </w:rPr>
        <w:t xml:space="preserve"> hour session, totaling </w:t>
      </w:r>
      <w:r w:rsidR="00C819AA">
        <w:rPr>
          <w:rFonts w:ascii="Times New Roman" w:hAnsi="Times New Roman"/>
        </w:rPr>
        <w:t>240</w:t>
      </w:r>
      <w:r w:rsidRPr="00502E00">
        <w:rPr>
          <w:rFonts w:ascii="Times New Roman" w:hAnsi="Times New Roman"/>
        </w:rPr>
        <w:t xml:space="preserve"> hours.  We need 10 groups to reflect the different demographic (age, gender), socio-economic (unbanked, banked low income, banked middle income), and geography groups (west coast, mid west, east coast, and south). Twelve additional hours will be added to capture travel time for a total of </w:t>
      </w:r>
      <w:r w:rsidR="00B3617C">
        <w:rPr>
          <w:rFonts w:ascii="Times New Roman" w:hAnsi="Times New Roman"/>
        </w:rPr>
        <w:t>252</w:t>
      </w:r>
      <w:r w:rsidRPr="00502E00">
        <w:rPr>
          <w:rFonts w:ascii="Times New Roman" w:hAnsi="Times New Roman"/>
        </w:rPr>
        <w:t xml:space="preserve"> hours. </w:t>
      </w: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Provide </w:t>
      </w:r>
      <w:r w:rsidRPr="00502E00">
        <w:rPr>
          <w:rFonts w:ascii="Times New Roman" w:eastAsia="MS Mincho" w:hAnsi="Times New Roman" w:cs="PMODMN+ArialNarrow"/>
          <w:b/>
          <w:color w:val="000000"/>
          <w:sz w:val="24"/>
          <w:szCs w:val="16"/>
          <w:lang w:eastAsia="ja-JP"/>
        </w:rPr>
        <w:t xml:space="preserve">an estimate for the total annual cost burden to respondents or </w:t>
      </w:r>
    </w:p>
    <w:p w:rsidR="002A7F76" w:rsidRPr="00502E00" w:rsidRDefault="001340A5" w:rsidP="00B33277">
      <w:pPr>
        <w:pStyle w:val="ListParagraph"/>
        <w:spacing w:after="0" w:line="240" w:lineRule="auto"/>
        <w:rPr>
          <w:rFonts w:ascii="Times New Roman" w:hAnsi="Times New Roman"/>
          <w:b/>
          <w:sz w:val="24"/>
        </w:rPr>
      </w:pPr>
      <w:r w:rsidRPr="00502E00">
        <w:rPr>
          <w:rFonts w:ascii="Times New Roman" w:eastAsia="MS Mincho" w:hAnsi="Times New Roman" w:cs="PMODMN+ArialNarrow"/>
          <w:b/>
          <w:color w:val="000000"/>
          <w:sz w:val="24"/>
          <w:szCs w:val="16"/>
          <w:lang w:eastAsia="ja-JP"/>
        </w:rPr>
        <w:t>R</w:t>
      </w:r>
      <w:r w:rsidR="002A7F76" w:rsidRPr="00502E00">
        <w:rPr>
          <w:rFonts w:ascii="Times New Roman" w:eastAsia="MS Mincho" w:hAnsi="Times New Roman" w:cs="PMODMN+ArialNarrow"/>
          <w:b/>
          <w:color w:val="000000"/>
          <w:sz w:val="24"/>
          <w:szCs w:val="16"/>
          <w:lang w:eastAsia="ja-JP"/>
        </w:rPr>
        <w:t>ecord</w:t>
      </w:r>
      <w:r>
        <w:rPr>
          <w:rFonts w:ascii="Times New Roman" w:eastAsia="MS Mincho" w:hAnsi="Times New Roman" w:cs="PMODMN+ArialNarrow"/>
          <w:b/>
          <w:color w:val="000000"/>
          <w:sz w:val="24"/>
          <w:szCs w:val="16"/>
          <w:lang w:eastAsia="ja-JP"/>
        </w:rPr>
        <w:t>-</w:t>
      </w:r>
      <w:r w:rsidR="002A7F76" w:rsidRPr="00502E00">
        <w:rPr>
          <w:rFonts w:ascii="Times New Roman" w:eastAsia="MS Mincho" w:hAnsi="Times New Roman" w:cs="PMODMN+ArialNarrow"/>
          <w:b/>
          <w:color w:val="000000"/>
          <w:sz w:val="24"/>
          <w:szCs w:val="16"/>
          <w:lang w:eastAsia="ja-JP"/>
        </w:rPr>
        <w:t>keepers resulting from the collection of information. (Do not include the cost of any hour burden shown in Items 12 and 14).</w:t>
      </w:r>
    </w:p>
    <w:p w:rsidR="002A7F76" w:rsidRPr="00502E00" w:rsidRDefault="002A7F76" w:rsidP="0018364C">
      <w:pPr>
        <w:ind w:left="720"/>
        <w:rPr>
          <w:rFonts w:ascii="Times New Roman" w:hAnsi="Times New Roman"/>
        </w:rPr>
      </w:pPr>
      <w:r w:rsidRPr="00502E00">
        <w:rPr>
          <w:rFonts w:ascii="Times New Roman" w:hAnsi="Times New Roman"/>
        </w:rPr>
        <w:t xml:space="preserve">It is generally accepted as a standard industry practice to offer an incentive to individuals who participate in focus groups.  Since participants are giving their personal time and have to commute to and from the facility, providing them with an incentive is a way to compensate them for their time and participation.  In addition, offering an incentive increases participation rates and in turn reduces recruiting costs.  </w:t>
      </w:r>
    </w:p>
    <w:p w:rsidR="002A7F76" w:rsidRPr="00502E00" w:rsidRDefault="002A7F76" w:rsidP="00B33277">
      <w:pPr>
        <w:pStyle w:val="ListParagraph"/>
        <w:spacing w:after="0" w:line="240" w:lineRule="auto"/>
        <w:rPr>
          <w:rFonts w:ascii="Times New Roman" w:hAnsi="Times New Roman"/>
          <w:sz w:val="24"/>
        </w:rPr>
      </w:pPr>
      <w:r w:rsidRPr="00502E00">
        <w:rPr>
          <w:rFonts w:ascii="Times New Roman" w:hAnsi="Times New Roman"/>
          <w:sz w:val="24"/>
        </w:rPr>
        <w:t xml:space="preserve">The contractor expects to pay </w:t>
      </w:r>
      <w:r w:rsidR="00293D3A">
        <w:rPr>
          <w:rFonts w:ascii="Times New Roman" w:hAnsi="Times New Roman"/>
          <w:sz w:val="24"/>
        </w:rPr>
        <w:t>about</w:t>
      </w:r>
      <w:r w:rsidRPr="00502E00">
        <w:rPr>
          <w:rFonts w:ascii="Times New Roman" w:hAnsi="Times New Roman"/>
          <w:sz w:val="24"/>
        </w:rPr>
        <w:t xml:space="preserve"> $1,200 to the respondents ($100/respondent x 120 respondents). </w:t>
      </w:r>
    </w:p>
    <w:p w:rsidR="002A7F76" w:rsidRPr="00502E00" w:rsidRDefault="002A7F76" w:rsidP="00934422">
      <w:pPr>
        <w:pStyle w:val="ListParagraph"/>
        <w:spacing w:after="0" w:line="240" w:lineRule="auto"/>
        <w:ind w:left="360"/>
        <w:rPr>
          <w:rFonts w:ascii="Times New Roman" w:hAnsi="Times New Roman"/>
          <w:sz w:val="24"/>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Provide </w:t>
      </w:r>
      <w:r w:rsidRPr="00502E00">
        <w:rPr>
          <w:rFonts w:ascii="Times New Roman" w:eastAsia="MS Mincho" w:hAnsi="Times New Roman"/>
          <w:b/>
          <w:sz w:val="24"/>
          <w:lang w:eastAsia="ja-JP"/>
        </w:rPr>
        <w:t xml:space="preserve">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2A7F76" w:rsidRPr="00502E00" w:rsidRDefault="002A7F76" w:rsidP="00D47719">
      <w:pPr>
        <w:pStyle w:val="ListParagraph"/>
        <w:spacing w:after="0" w:line="240" w:lineRule="auto"/>
        <w:rPr>
          <w:rFonts w:ascii="Times New Roman" w:hAnsi="Times New Roman"/>
          <w:sz w:val="24"/>
        </w:rPr>
      </w:pPr>
      <w:r w:rsidRPr="00502E00">
        <w:rPr>
          <w:rFonts w:ascii="Times New Roman" w:hAnsi="Times New Roman"/>
          <w:sz w:val="24"/>
        </w:rPr>
        <w:t xml:space="preserve">Please see Exhibit </w:t>
      </w:r>
      <w:r>
        <w:rPr>
          <w:rFonts w:ascii="Times New Roman" w:hAnsi="Times New Roman"/>
          <w:sz w:val="24"/>
        </w:rPr>
        <w:t>3</w:t>
      </w:r>
      <w:r w:rsidRPr="00502E00">
        <w:rPr>
          <w:rFonts w:ascii="Times New Roman" w:hAnsi="Times New Roman"/>
          <w:sz w:val="24"/>
        </w:rPr>
        <w:t xml:space="preserve">. </w:t>
      </w:r>
    </w:p>
    <w:p w:rsidR="002A7F76" w:rsidRPr="00502E00" w:rsidRDefault="002A7F76" w:rsidP="00B33277">
      <w:pPr>
        <w:pStyle w:val="ListParagraph"/>
        <w:spacing w:after="0" w:line="240" w:lineRule="auto"/>
        <w:ind w:left="360"/>
        <w:rPr>
          <w:rFonts w:ascii="Times New Roman" w:hAnsi="Times New Roman"/>
          <w:b/>
          <w:sz w:val="24"/>
        </w:rPr>
      </w:pPr>
    </w:p>
    <w:p w:rsidR="00140A20" w:rsidRPr="00140A20" w:rsidRDefault="002A7F76" w:rsidP="00140A20">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lastRenderedPageBreak/>
        <w:t xml:space="preserve">Explain </w:t>
      </w:r>
      <w:r w:rsidRPr="00502E00">
        <w:rPr>
          <w:rFonts w:ascii="Times New Roman" w:eastAsia="MS Mincho" w:hAnsi="Times New Roman"/>
          <w:b/>
          <w:sz w:val="24"/>
          <w:lang w:eastAsia="ja-JP"/>
        </w:rPr>
        <w:t>the reasons for any program changes or adjustments reported in Items 13 or 14 of the OMB Form 83-I.</w:t>
      </w:r>
    </w:p>
    <w:p w:rsidR="00140A20" w:rsidRDefault="00140A20" w:rsidP="00140A20">
      <w:pPr>
        <w:pStyle w:val="ListParagraph"/>
        <w:spacing w:after="0" w:line="240" w:lineRule="auto"/>
        <w:rPr>
          <w:rFonts w:ascii="Times New Roman" w:hAnsi="Times New Roman"/>
          <w:sz w:val="24"/>
        </w:rPr>
      </w:pPr>
      <w:r w:rsidRPr="00140A20">
        <w:rPr>
          <w:rFonts w:ascii="Times New Roman" w:hAnsi="Times New Roman"/>
          <w:sz w:val="24"/>
        </w:rPr>
        <w:t>N/A</w:t>
      </w:r>
    </w:p>
    <w:p w:rsidR="00140A20" w:rsidRPr="00140A20" w:rsidRDefault="00140A20" w:rsidP="00140A20">
      <w:pPr>
        <w:pStyle w:val="ListParagraph"/>
        <w:spacing w:after="0" w:line="240" w:lineRule="auto"/>
        <w:rPr>
          <w:rFonts w:ascii="Times New Roman" w:hAnsi="Times New Roman"/>
          <w:sz w:val="24"/>
        </w:rPr>
      </w:pPr>
    </w:p>
    <w:p w:rsidR="00140A20" w:rsidRPr="00140A20" w:rsidRDefault="002A7F76" w:rsidP="00140A20">
      <w:pPr>
        <w:pStyle w:val="ListParagraph"/>
        <w:numPr>
          <w:ilvl w:val="0"/>
          <w:numId w:val="5"/>
        </w:numPr>
        <w:spacing w:after="0" w:line="240" w:lineRule="auto"/>
        <w:rPr>
          <w:rFonts w:ascii="Times New Roman" w:hAnsi="Times New Roman"/>
          <w:b/>
          <w:sz w:val="24"/>
        </w:rPr>
      </w:pPr>
      <w:r w:rsidRPr="00140A20">
        <w:rPr>
          <w:rFonts w:ascii="Times New Roman" w:hAnsi="Times New Roman"/>
          <w:b/>
          <w:sz w:val="24"/>
        </w:rPr>
        <w:t xml:space="preserve">For </w:t>
      </w:r>
      <w:r w:rsidRPr="00140A20">
        <w:rPr>
          <w:rFonts w:ascii="Times New Roman" w:eastAsia="MS Mincho" w:hAnsi="Times New Roman" w:cs="PMODMN+ArialNarrow"/>
          <w:b/>
          <w:color w:val="000000"/>
          <w:sz w:val="24"/>
          <w:szCs w:val="16"/>
          <w:lang w:eastAsia="ja-JP"/>
        </w:rPr>
        <w:t>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40A20" w:rsidRDefault="00140A20" w:rsidP="00140A20">
      <w:pPr>
        <w:pStyle w:val="ListParagraph"/>
        <w:spacing w:after="0" w:line="240" w:lineRule="auto"/>
        <w:rPr>
          <w:rFonts w:ascii="Times New Roman" w:hAnsi="Times New Roman"/>
          <w:b/>
          <w:sz w:val="24"/>
        </w:rPr>
      </w:pPr>
      <w:r w:rsidRPr="00502E00">
        <w:rPr>
          <w:rFonts w:ascii="Times New Roman" w:hAnsi="Times New Roman"/>
          <w:sz w:val="24"/>
        </w:rPr>
        <w:t xml:space="preserve">Please see Exhibit </w:t>
      </w:r>
      <w:r>
        <w:rPr>
          <w:rFonts w:ascii="Times New Roman" w:hAnsi="Times New Roman"/>
          <w:sz w:val="24"/>
        </w:rPr>
        <w:t>3</w:t>
      </w:r>
      <w:r w:rsidRPr="00502E00">
        <w:rPr>
          <w:rFonts w:ascii="Times New Roman" w:hAnsi="Times New Roman"/>
          <w:sz w:val="24"/>
        </w:rPr>
        <w:t xml:space="preserve"> for a list of activities and time table of deliverables.</w:t>
      </w:r>
    </w:p>
    <w:p w:rsidR="00140A20" w:rsidRPr="00140A20" w:rsidRDefault="00140A20" w:rsidP="00140A20">
      <w:pPr>
        <w:pStyle w:val="ListParagraph"/>
        <w:spacing w:after="0" w:line="240" w:lineRule="auto"/>
        <w:rPr>
          <w:rFonts w:ascii="Times New Roman" w:hAnsi="Times New Roman"/>
          <w:b/>
          <w:sz w:val="24"/>
        </w:rPr>
      </w:pPr>
    </w:p>
    <w:p w:rsidR="002A7F76" w:rsidRPr="00140A20" w:rsidRDefault="002A7F76" w:rsidP="00140A20">
      <w:pPr>
        <w:pStyle w:val="ListParagraph"/>
        <w:numPr>
          <w:ilvl w:val="0"/>
          <w:numId w:val="5"/>
        </w:numPr>
        <w:spacing w:after="0" w:line="240" w:lineRule="auto"/>
        <w:rPr>
          <w:rFonts w:ascii="Times New Roman" w:hAnsi="Times New Roman"/>
          <w:b/>
          <w:sz w:val="24"/>
        </w:rPr>
      </w:pPr>
      <w:r w:rsidRPr="00140A20">
        <w:rPr>
          <w:rFonts w:ascii="Times New Roman" w:hAnsi="Times New Roman"/>
          <w:b/>
          <w:sz w:val="24"/>
        </w:rPr>
        <w:t xml:space="preserve">If </w:t>
      </w:r>
      <w:r w:rsidRPr="00140A20">
        <w:rPr>
          <w:rFonts w:ascii="Times New Roman" w:eastAsia="MS Mincho" w:hAnsi="Times New Roman"/>
          <w:b/>
          <w:sz w:val="24"/>
          <w:lang w:eastAsia="ja-JP"/>
        </w:rPr>
        <w:t>seeking approval to not display the expiration date for OMB approval of the information collection, explain the reasons that display would be inappropriate.</w:t>
      </w:r>
    </w:p>
    <w:p w:rsidR="002A7F76" w:rsidRDefault="002A7F76" w:rsidP="001C2923">
      <w:pPr>
        <w:pStyle w:val="ListParagraph"/>
        <w:spacing w:after="0" w:line="240" w:lineRule="auto"/>
        <w:rPr>
          <w:rFonts w:ascii="Times New Roman" w:hAnsi="Times New Roman"/>
          <w:sz w:val="24"/>
        </w:rPr>
      </w:pPr>
      <w:r w:rsidRPr="00140A20">
        <w:rPr>
          <w:rFonts w:ascii="Times New Roman" w:hAnsi="Times New Roman"/>
          <w:sz w:val="24"/>
        </w:rPr>
        <w:t>N/A</w:t>
      </w:r>
    </w:p>
    <w:p w:rsidR="00140A20" w:rsidRPr="00140A20" w:rsidRDefault="00140A20" w:rsidP="001C2923">
      <w:pPr>
        <w:pStyle w:val="ListParagraph"/>
        <w:spacing w:after="0" w:line="240" w:lineRule="auto"/>
        <w:rPr>
          <w:rFonts w:ascii="Times New Roman" w:hAnsi="Times New Roman"/>
          <w:sz w:val="24"/>
        </w:rPr>
      </w:pPr>
    </w:p>
    <w:p w:rsidR="002A7F76" w:rsidRPr="00502E00" w:rsidRDefault="002A7F76" w:rsidP="00934422">
      <w:pPr>
        <w:pStyle w:val="ListParagraph"/>
        <w:numPr>
          <w:ilvl w:val="0"/>
          <w:numId w:val="5"/>
        </w:numPr>
        <w:spacing w:after="0" w:line="240" w:lineRule="auto"/>
        <w:rPr>
          <w:rFonts w:ascii="Times New Roman" w:hAnsi="Times New Roman"/>
          <w:b/>
          <w:sz w:val="24"/>
        </w:rPr>
      </w:pPr>
      <w:r w:rsidRPr="00502E00">
        <w:rPr>
          <w:rFonts w:ascii="Times New Roman" w:hAnsi="Times New Roman"/>
          <w:b/>
          <w:sz w:val="24"/>
        </w:rPr>
        <w:t xml:space="preserve">Explain </w:t>
      </w:r>
      <w:r w:rsidRPr="00502E00">
        <w:rPr>
          <w:rFonts w:ascii="Times New Roman" w:eastAsia="MS Mincho" w:hAnsi="Times New Roman" w:cs="PMODMN+ArialNarrow"/>
          <w:b/>
          <w:color w:val="000000"/>
          <w:sz w:val="24"/>
          <w:szCs w:val="16"/>
          <w:lang w:eastAsia="ja-JP"/>
        </w:rPr>
        <w:t>each exception to the certification statement identified in Item 19, "Certification for Paperwork Reduction Act Submissions," of OMB Form 83-I.</w:t>
      </w:r>
    </w:p>
    <w:p w:rsidR="002A7F76" w:rsidRPr="00140A20" w:rsidRDefault="002A7F76" w:rsidP="00D47719">
      <w:pPr>
        <w:pStyle w:val="ListParagraph"/>
        <w:spacing w:after="0" w:line="240" w:lineRule="auto"/>
        <w:rPr>
          <w:rFonts w:ascii="Times New Roman" w:hAnsi="Times New Roman"/>
          <w:sz w:val="24"/>
        </w:rPr>
      </w:pPr>
      <w:r w:rsidRPr="00140A20">
        <w:rPr>
          <w:rFonts w:ascii="Times New Roman" w:hAnsi="Times New Roman"/>
          <w:sz w:val="24"/>
        </w:rPr>
        <w:t>N/A</w:t>
      </w:r>
    </w:p>
    <w:p w:rsidR="002A7F76" w:rsidRDefault="002A7F76" w:rsidP="00934422">
      <w:pPr>
        <w:pStyle w:val="ListParagraph"/>
        <w:spacing w:after="0" w:line="240" w:lineRule="auto"/>
        <w:ind w:left="360"/>
        <w:rPr>
          <w:rFonts w:ascii="Times New Roman" w:hAnsi="Times New Roman"/>
          <w:b/>
          <w:sz w:val="24"/>
        </w:rPr>
      </w:pPr>
    </w:p>
    <w:p w:rsidR="002A7F76" w:rsidRPr="00502E00" w:rsidRDefault="002A7F76" w:rsidP="00934422">
      <w:pPr>
        <w:pStyle w:val="ListParagraph"/>
        <w:spacing w:after="0" w:line="240" w:lineRule="auto"/>
        <w:ind w:left="360"/>
        <w:rPr>
          <w:rFonts w:ascii="Times New Roman" w:hAnsi="Times New Roman"/>
          <w:b/>
          <w:sz w:val="24"/>
        </w:rPr>
      </w:pPr>
    </w:p>
    <w:p w:rsidR="002A7F76" w:rsidRPr="00502E00" w:rsidRDefault="002A7F76" w:rsidP="001A1D37">
      <w:pPr>
        <w:spacing w:after="0" w:line="240" w:lineRule="auto"/>
        <w:rPr>
          <w:rFonts w:ascii="Times New Roman" w:hAnsi="Times New Roman"/>
          <w:b/>
          <w:sz w:val="24"/>
        </w:rPr>
      </w:pPr>
    </w:p>
    <w:p w:rsidR="002A7F76" w:rsidRDefault="002A7F76" w:rsidP="00E17D50">
      <w:pPr>
        <w:spacing w:after="0" w:line="240" w:lineRule="auto"/>
        <w:jc w:val="center"/>
        <w:rPr>
          <w:rFonts w:ascii="Times New Roman" w:hAnsi="Times New Roman"/>
          <w:b/>
          <w:sz w:val="24"/>
        </w:rPr>
      </w:pPr>
    </w:p>
    <w:p w:rsidR="002A7F76" w:rsidRDefault="002A7F76" w:rsidP="00E17D50">
      <w:pPr>
        <w:spacing w:after="0" w:line="240" w:lineRule="auto"/>
        <w:jc w:val="center"/>
        <w:rPr>
          <w:rFonts w:ascii="Times New Roman" w:hAnsi="Times New Roman"/>
          <w:b/>
          <w:sz w:val="24"/>
        </w:rPr>
      </w:pPr>
    </w:p>
    <w:p w:rsidR="002A7F76" w:rsidRDefault="002A7F76" w:rsidP="00E17D50">
      <w:pPr>
        <w:spacing w:after="0" w:line="240" w:lineRule="auto"/>
        <w:jc w:val="center"/>
        <w:rPr>
          <w:rFonts w:ascii="Times New Roman" w:hAnsi="Times New Roman"/>
          <w:b/>
          <w:sz w:val="24"/>
        </w:rPr>
      </w:pPr>
    </w:p>
    <w:p w:rsidR="002A7F76" w:rsidRPr="00356F8E" w:rsidRDefault="002A7F76" w:rsidP="00356F8E">
      <w:pPr>
        <w:spacing w:after="0" w:line="240" w:lineRule="auto"/>
      </w:pPr>
    </w:p>
    <w:sectPr w:rsidR="002A7F76" w:rsidRPr="00356F8E" w:rsidSect="004C17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8AC" w:rsidRDefault="00A378AC">
      <w:r>
        <w:separator/>
      </w:r>
    </w:p>
  </w:endnote>
  <w:endnote w:type="continuationSeparator" w:id="0">
    <w:p w:rsidR="00A378AC" w:rsidRDefault="00A37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ODMN+ArialNarrow">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MODMN+ArialNarrow">
    <w:altName w:val="Arial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8AC" w:rsidRDefault="00A378AC">
      <w:r>
        <w:separator/>
      </w:r>
    </w:p>
  </w:footnote>
  <w:footnote w:type="continuationSeparator" w:id="0">
    <w:p w:rsidR="00A378AC" w:rsidRDefault="00A37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D3E80"/>
    <w:multiLevelType w:val="hybridMultilevel"/>
    <w:tmpl w:val="5992B3F6"/>
    <w:lvl w:ilvl="0" w:tplc="04090015">
      <w:start w:val="1"/>
      <w:numFmt w:val="upperLetter"/>
      <w:lvlText w:val="%1."/>
      <w:lvlJc w:val="left"/>
      <w:pPr>
        <w:tabs>
          <w:tab w:val="num" w:pos="720"/>
        </w:tabs>
        <w:ind w:left="720" w:hanging="360"/>
      </w:pPr>
      <w:rPr>
        <w:rFonts w:cs="Times New Roman"/>
      </w:rPr>
    </w:lvl>
    <w:lvl w:ilvl="1" w:tplc="73B8E88E">
      <w:start w:val="7"/>
      <w:numFmt w:val="bullet"/>
      <w:lvlText w:val=""/>
      <w:lvlJc w:val="left"/>
      <w:pPr>
        <w:tabs>
          <w:tab w:val="num" w:pos="1440"/>
        </w:tabs>
        <w:ind w:left="1440" w:hanging="360"/>
      </w:pPr>
      <w:rPr>
        <w:rFonts w:ascii="Symbol" w:eastAsia="MS Mincho"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02D1F5B"/>
    <w:multiLevelType w:val="hybridMultilevel"/>
    <w:tmpl w:val="2CA2D21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5B30826"/>
    <w:multiLevelType w:val="hybridMultilevel"/>
    <w:tmpl w:val="232822CE"/>
    <w:lvl w:ilvl="0" w:tplc="32CAFB6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BB56975"/>
    <w:multiLevelType w:val="hybridMultilevel"/>
    <w:tmpl w:val="62A6FC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D32E4E"/>
    <w:multiLevelType w:val="hybridMultilevel"/>
    <w:tmpl w:val="3B8E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CE1CA8"/>
    <w:multiLevelType w:val="hybridMultilevel"/>
    <w:tmpl w:val="BF768A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6F78DC"/>
    <w:multiLevelType w:val="hybridMultilevel"/>
    <w:tmpl w:val="7152D296"/>
    <w:lvl w:ilvl="0" w:tplc="B1A829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DB1D8C"/>
    <w:multiLevelType w:val="hybridMultilevel"/>
    <w:tmpl w:val="FD762C26"/>
    <w:lvl w:ilvl="0" w:tplc="04090015">
      <w:start w:val="1"/>
      <w:numFmt w:val="upperLetter"/>
      <w:lvlText w:val="%1."/>
      <w:lvlJc w:val="left"/>
      <w:pPr>
        <w:ind w:left="720" w:hanging="360"/>
      </w:pPr>
      <w:rPr>
        <w:rFonts w:cs="Times New Roman" w:hint="default"/>
      </w:rPr>
    </w:lvl>
    <w:lvl w:ilvl="1" w:tplc="06A2C480">
      <w:start w:val="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7F5569B"/>
    <w:multiLevelType w:val="hybridMultilevel"/>
    <w:tmpl w:val="289EA0D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7"/>
  </w:num>
  <w:num w:numId="4">
    <w:abstractNumId w:val="0"/>
  </w:num>
  <w:num w:numId="5">
    <w:abstractNumId w:val="1"/>
  </w:num>
  <w:num w:numId="6">
    <w:abstractNumId w:val="8"/>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7C98"/>
    <w:rsid w:val="00000AA8"/>
    <w:rsid w:val="00003AAC"/>
    <w:rsid w:val="00011401"/>
    <w:rsid w:val="000137AB"/>
    <w:rsid w:val="000377AE"/>
    <w:rsid w:val="00047967"/>
    <w:rsid w:val="000529B2"/>
    <w:rsid w:val="00057B80"/>
    <w:rsid w:val="000B1CA5"/>
    <w:rsid w:val="000C151A"/>
    <w:rsid w:val="000D3053"/>
    <w:rsid w:val="000D7267"/>
    <w:rsid w:val="00106CDE"/>
    <w:rsid w:val="001217C8"/>
    <w:rsid w:val="001340A5"/>
    <w:rsid w:val="00140A20"/>
    <w:rsid w:val="0018364C"/>
    <w:rsid w:val="001A1D37"/>
    <w:rsid w:val="001C2923"/>
    <w:rsid w:val="001C5202"/>
    <w:rsid w:val="001C57EF"/>
    <w:rsid w:val="001D3FF9"/>
    <w:rsid w:val="001D68AC"/>
    <w:rsid w:val="001E2F82"/>
    <w:rsid w:val="001E61E4"/>
    <w:rsid w:val="002078AC"/>
    <w:rsid w:val="002128BC"/>
    <w:rsid w:val="00215FEE"/>
    <w:rsid w:val="0022555B"/>
    <w:rsid w:val="00251886"/>
    <w:rsid w:val="0027340A"/>
    <w:rsid w:val="00274CCF"/>
    <w:rsid w:val="00293D3A"/>
    <w:rsid w:val="0029707F"/>
    <w:rsid w:val="002A0307"/>
    <w:rsid w:val="002A7F76"/>
    <w:rsid w:val="002D44E9"/>
    <w:rsid w:val="002E26BE"/>
    <w:rsid w:val="002E605C"/>
    <w:rsid w:val="003024CB"/>
    <w:rsid w:val="0031038D"/>
    <w:rsid w:val="00310652"/>
    <w:rsid w:val="0032296E"/>
    <w:rsid w:val="00333F1C"/>
    <w:rsid w:val="00356F8E"/>
    <w:rsid w:val="00376ED2"/>
    <w:rsid w:val="00387292"/>
    <w:rsid w:val="003A4763"/>
    <w:rsid w:val="003B14C8"/>
    <w:rsid w:val="003C09FE"/>
    <w:rsid w:val="003D7C98"/>
    <w:rsid w:val="003F3968"/>
    <w:rsid w:val="00415C00"/>
    <w:rsid w:val="00427BB8"/>
    <w:rsid w:val="00440BAE"/>
    <w:rsid w:val="00465AB0"/>
    <w:rsid w:val="00467434"/>
    <w:rsid w:val="00490AAF"/>
    <w:rsid w:val="004B103A"/>
    <w:rsid w:val="004C1745"/>
    <w:rsid w:val="004D794E"/>
    <w:rsid w:val="004E3895"/>
    <w:rsid w:val="004E5734"/>
    <w:rsid w:val="00502E00"/>
    <w:rsid w:val="0051685F"/>
    <w:rsid w:val="00522475"/>
    <w:rsid w:val="00542933"/>
    <w:rsid w:val="00557678"/>
    <w:rsid w:val="00561E88"/>
    <w:rsid w:val="005624B8"/>
    <w:rsid w:val="005662EC"/>
    <w:rsid w:val="005768B6"/>
    <w:rsid w:val="0058270F"/>
    <w:rsid w:val="005828A0"/>
    <w:rsid w:val="005858B7"/>
    <w:rsid w:val="005D3A37"/>
    <w:rsid w:val="005D4F33"/>
    <w:rsid w:val="005F170C"/>
    <w:rsid w:val="006002A6"/>
    <w:rsid w:val="0060365B"/>
    <w:rsid w:val="006047CC"/>
    <w:rsid w:val="00607303"/>
    <w:rsid w:val="00625E55"/>
    <w:rsid w:val="0065075C"/>
    <w:rsid w:val="0066216D"/>
    <w:rsid w:val="00685B84"/>
    <w:rsid w:val="006A005E"/>
    <w:rsid w:val="006A4466"/>
    <w:rsid w:val="006A711B"/>
    <w:rsid w:val="006C3BA2"/>
    <w:rsid w:val="00700080"/>
    <w:rsid w:val="007118EB"/>
    <w:rsid w:val="00720B69"/>
    <w:rsid w:val="00764B41"/>
    <w:rsid w:val="0077135F"/>
    <w:rsid w:val="007870F7"/>
    <w:rsid w:val="00793809"/>
    <w:rsid w:val="007A0E79"/>
    <w:rsid w:val="007C31A2"/>
    <w:rsid w:val="007C3A8A"/>
    <w:rsid w:val="007D1767"/>
    <w:rsid w:val="007D6C05"/>
    <w:rsid w:val="008046AA"/>
    <w:rsid w:val="00806B1A"/>
    <w:rsid w:val="00810256"/>
    <w:rsid w:val="0081047A"/>
    <w:rsid w:val="00820AA3"/>
    <w:rsid w:val="00827C88"/>
    <w:rsid w:val="00840CE8"/>
    <w:rsid w:val="00856067"/>
    <w:rsid w:val="008619F6"/>
    <w:rsid w:val="00873DB3"/>
    <w:rsid w:val="008852C1"/>
    <w:rsid w:val="008A4288"/>
    <w:rsid w:val="008B241D"/>
    <w:rsid w:val="008B629B"/>
    <w:rsid w:val="008C1881"/>
    <w:rsid w:val="008D4BBD"/>
    <w:rsid w:val="008F51EC"/>
    <w:rsid w:val="00921C82"/>
    <w:rsid w:val="00934422"/>
    <w:rsid w:val="00934C34"/>
    <w:rsid w:val="00936974"/>
    <w:rsid w:val="00945D31"/>
    <w:rsid w:val="00951672"/>
    <w:rsid w:val="009673D3"/>
    <w:rsid w:val="00980D5E"/>
    <w:rsid w:val="009835AF"/>
    <w:rsid w:val="00990D18"/>
    <w:rsid w:val="00991F3B"/>
    <w:rsid w:val="009A2448"/>
    <w:rsid w:val="009A4098"/>
    <w:rsid w:val="009A7250"/>
    <w:rsid w:val="009D2611"/>
    <w:rsid w:val="00A2473D"/>
    <w:rsid w:val="00A24DDB"/>
    <w:rsid w:val="00A267C8"/>
    <w:rsid w:val="00A378AC"/>
    <w:rsid w:val="00A66EAE"/>
    <w:rsid w:val="00A67B62"/>
    <w:rsid w:val="00A67FE4"/>
    <w:rsid w:val="00A7539D"/>
    <w:rsid w:val="00A82BFE"/>
    <w:rsid w:val="00A86996"/>
    <w:rsid w:val="00AA636B"/>
    <w:rsid w:val="00AB14B7"/>
    <w:rsid w:val="00AB5505"/>
    <w:rsid w:val="00AC3A66"/>
    <w:rsid w:val="00AF1DDC"/>
    <w:rsid w:val="00B10D8F"/>
    <w:rsid w:val="00B23DA9"/>
    <w:rsid w:val="00B31119"/>
    <w:rsid w:val="00B33277"/>
    <w:rsid w:val="00B3617C"/>
    <w:rsid w:val="00B40135"/>
    <w:rsid w:val="00B50814"/>
    <w:rsid w:val="00B76A89"/>
    <w:rsid w:val="00B93EA5"/>
    <w:rsid w:val="00BA0344"/>
    <w:rsid w:val="00BA14B6"/>
    <w:rsid w:val="00BA6DE6"/>
    <w:rsid w:val="00BB48A7"/>
    <w:rsid w:val="00BB6B8B"/>
    <w:rsid w:val="00BC7CD4"/>
    <w:rsid w:val="00BD793D"/>
    <w:rsid w:val="00BF66C2"/>
    <w:rsid w:val="00BF6959"/>
    <w:rsid w:val="00C132CD"/>
    <w:rsid w:val="00C2141B"/>
    <w:rsid w:val="00C227E8"/>
    <w:rsid w:val="00C357A8"/>
    <w:rsid w:val="00C60120"/>
    <w:rsid w:val="00C64578"/>
    <w:rsid w:val="00C679E4"/>
    <w:rsid w:val="00C72436"/>
    <w:rsid w:val="00C8084E"/>
    <w:rsid w:val="00C819AA"/>
    <w:rsid w:val="00C94194"/>
    <w:rsid w:val="00D00FC0"/>
    <w:rsid w:val="00D1710E"/>
    <w:rsid w:val="00D2066C"/>
    <w:rsid w:val="00D3635A"/>
    <w:rsid w:val="00D47493"/>
    <w:rsid w:val="00D47719"/>
    <w:rsid w:val="00D53B6A"/>
    <w:rsid w:val="00D633E4"/>
    <w:rsid w:val="00D72E3D"/>
    <w:rsid w:val="00DA3413"/>
    <w:rsid w:val="00DD7C2E"/>
    <w:rsid w:val="00DF14DC"/>
    <w:rsid w:val="00DF5433"/>
    <w:rsid w:val="00DF7076"/>
    <w:rsid w:val="00E049D0"/>
    <w:rsid w:val="00E1064C"/>
    <w:rsid w:val="00E17D50"/>
    <w:rsid w:val="00E23BFD"/>
    <w:rsid w:val="00E252C7"/>
    <w:rsid w:val="00E31092"/>
    <w:rsid w:val="00E33C00"/>
    <w:rsid w:val="00E34387"/>
    <w:rsid w:val="00E3615F"/>
    <w:rsid w:val="00E55A9A"/>
    <w:rsid w:val="00E607D8"/>
    <w:rsid w:val="00E72888"/>
    <w:rsid w:val="00E76E8F"/>
    <w:rsid w:val="00E87DF8"/>
    <w:rsid w:val="00E95072"/>
    <w:rsid w:val="00EB6632"/>
    <w:rsid w:val="00EC4186"/>
    <w:rsid w:val="00EC5548"/>
    <w:rsid w:val="00ED4FFE"/>
    <w:rsid w:val="00F072FA"/>
    <w:rsid w:val="00F07F44"/>
    <w:rsid w:val="00F11E3A"/>
    <w:rsid w:val="00F1418C"/>
    <w:rsid w:val="00F30561"/>
    <w:rsid w:val="00F31651"/>
    <w:rsid w:val="00F84335"/>
    <w:rsid w:val="00FA60D9"/>
    <w:rsid w:val="00FC0EB4"/>
    <w:rsid w:val="00FD69CC"/>
    <w:rsid w:val="00FF1EB7"/>
    <w:rsid w:val="00FF7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B14B7"/>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E95072"/>
    <w:rPr>
      <w:rFonts w:ascii="Times New Roman" w:hAnsi="Times New Roman" w:cs="Times New Roman"/>
      <w:sz w:val="2"/>
    </w:rPr>
  </w:style>
  <w:style w:type="paragraph" w:styleId="ListParagraph">
    <w:name w:val="List Paragraph"/>
    <w:basedOn w:val="Normal"/>
    <w:uiPriority w:val="99"/>
    <w:qFormat/>
    <w:rsid w:val="003D7C98"/>
    <w:pPr>
      <w:ind w:left="720"/>
      <w:contextualSpacing/>
    </w:pPr>
  </w:style>
  <w:style w:type="table" w:styleId="TableGrid">
    <w:name w:val="Table Grid"/>
    <w:basedOn w:val="TableNormal"/>
    <w:rsid w:val="003D7C9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31651"/>
    <w:rPr>
      <w:rFonts w:cs="Times New Roman"/>
      <w:color w:val="0000FF"/>
      <w:u w:val="single"/>
    </w:rPr>
  </w:style>
  <w:style w:type="paragraph" w:customStyle="1" w:styleId="Default">
    <w:name w:val="Default"/>
    <w:uiPriority w:val="99"/>
    <w:rsid w:val="00542933"/>
    <w:pPr>
      <w:autoSpaceDE w:val="0"/>
      <w:autoSpaceDN w:val="0"/>
      <w:adjustRightInd w:val="0"/>
    </w:pPr>
    <w:rPr>
      <w:rFonts w:ascii="PMODMN+ArialNarrow" w:eastAsia="MS Mincho" w:hAnsi="PMODMN+ArialNarrow" w:cs="PMODMN+ArialNarrow"/>
      <w:color w:val="000000"/>
      <w:sz w:val="24"/>
      <w:szCs w:val="24"/>
      <w:lang w:eastAsia="ja-JP"/>
    </w:rPr>
  </w:style>
  <w:style w:type="paragraph" w:customStyle="1" w:styleId="CM2">
    <w:name w:val="CM2"/>
    <w:basedOn w:val="Default"/>
    <w:next w:val="Default"/>
    <w:uiPriority w:val="99"/>
    <w:rsid w:val="004B103A"/>
    <w:pPr>
      <w:spacing w:line="211" w:lineRule="atLeast"/>
    </w:pPr>
    <w:rPr>
      <w:rFonts w:cs="Times New Roman"/>
      <w:color w:val="auto"/>
    </w:rPr>
  </w:style>
  <w:style w:type="paragraph" w:styleId="FootnoteText">
    <w:name w:val="footnote text"/>
    <w:basedOn w:val="Normal"/>
    <w:link w:val="FootnoteTextChar"/>
    <w:uiPriority w:val="99"/>
    <w:semiHidden/>
    <w:rsid w:val="00991F3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215FEE"/>
    <w:rPr>
      <w:rFonts w:cs="Times New Roman"/>
      <w:sz w:val="20"/>
      <w:szCs w:val="20"/>
    </w:rPr>
  </w:style>
  <w:style w:type="character" w:styleId="FootnoteReference">
    <w:name w:val="footnote reference"/>
    <w:basedOn w:val="DefaultParagraphFont"/>
    <w:uiPriority w:val="99"/>
    <w:semiHidden/>
    <w:rsid w:val="00991F3B"/>
    <w:rPr>
      <w:rFonts w:cs="Times New Roman"/>
      <w:vertAlign w:val="superscript"/>
    </w:rPr>
  </w:style>
  <w:style w:type="paragraph" w:styleId="PlainText">
    <w:name w:val="Plain Text"/>
    <w:basedOn w:val="Normal"/>
    <w:link w:val="PlainTextChar"/>
    <w:uiPriority w:val="99"/>
    <w:semiHidden/>
    <w:unhideWhenUsed/>
    <w:rsid w:val="00990D18"/>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990D18"/>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223909864">
      <w:bodyDiv w:val="1"/>
      <w:marLeft w:val="0"/>
      <w:marRight w:val="0"/>
      <w:marTop w:val="0"/>
      <w:marBottom w:val="0"/>
      <w:divBdr>
        <w:top w:val="none" w:sz="0" w:space="0" w:color="auto"/>
        <w:left w:val="none" w:sz="0" w:space="0" w:color="auto"/>
        <w:bottom w:val="none" w:sz="0" w:space="0" w:color="auto"/>
        <w:right w:val="none" w:sz="0" w:space="0" w:color="auto"/>
      </w:divBdr>
    </w:div>
    <w:div w:id="19805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C356-9D79-4541-99B1-2E393DDB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vt:lpstr>
    </vt:vector>
  </TitlesOfParts>
  <Company>The Tuck School at Dartmouth</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The Tuck School</dc:creator>
  <cp:lastModifiedBy>Reference</cp:lastModifiedBy>
  <cp:revision>2</cp:revision>
  <cp:lastPrinted>2011-07-05T15:47:00Z</cp:lastPrinted>
  <dcterms:created xsi:type="dcterms:W3CDTF">2011-07-05T18:05:00Z</dcterms:created>
  <dcterms:modified xsi:type="dcterms:W3CDTF">2011-07-05T18:05:00Z</dcterms:modified>
</cp:coreProperties>
</file>