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D2E78">
        <w:rPr>
          <w:sz w:val="28"/>
        </w:rPr>
        <w:t>1880-0542</w:t>
      </w:r>
      <w:r>
        <w:rPr>
          <w:sz w:val="28"/>
        </w:rPr>
        <w:t>)</w:t>
      </w:r>
    </w:p>
    <w:p w:rsidR="00E50293" w:rsidRPr="009239AA" w:rsidRDefault="00ED66B9"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7703E">
        <w:t xml:space="preserve">The 2012 Annual State Directors’ (ASDM) Meeting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A7703E" w:rsidRDefault="00A7703E" w:rsidP="00A7703E">
      <w:r>
        <w:t>The requested customer satisfaction survey is an event evaluation. The responses</w:t>
      </w:r>
      <w:r w:rsidRPr="006D5FCB">
        <w:rPr>
          <w:bCs/>
        </w:rPr>
        <w:t xml:space="preserve"> will be compiled and descriptive statistics reported </w:t>
      </w:r>
      <w:r>
        <w:rPr>
          <w:bCs/>
        </w:rPr>
        <w:t xml:space="preserve">to project and program staff </w:t>
      </w:r>
      <w:r w:rsidRPr="006D5FCB">
        <w:rPr>
          <w:bCs/>
        </w:rPr>
        <w:t>for program improvement.</w:t>
      </w:r>
      <w:r>
        <w:t xml:space="preserve"> Planning for future events relies on the feedback the Division receives on these evaluations about training needs and relevance of session content and skill of facilitators.</w:t>
      </w:r>
    </w:p>
    <w:p w:rsidR="001B0AAA" w:rsidRDefault="001B0AAA" w:rsidP="00434E33">
      <w:pPr>
        <w:pStyle w:val="Header"/>
        <w:tabs>
          <w:tab w:val="clear" w:pos="4320"/>
          <w:tab w:val="clear" w:pos="8640"/>
        </w:tabs>
        <w:rPr>
          <w:b/>
        </w:rPr>
      </w:pPr>
    </w:p>
    <w:p w:rsidR="00A7703E" w:rsidRDefault="00A7703E" w:rsidP="00A7703E">
      <w:r>
        <w:t xml:space="preserve">The 2012 ASDM event will be held April 3-5 at a hotel in Washington, DC. Events are annual in the spring with a booster-type two day event in the fall for new state directors. </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A7703E" w:rsidRDefault="00A7703E" w:rsidP="00A7703E">
      <w:r>
        <w:t>The Annual State Directors’ Meeting (ASDM) is a yearly training, technical assistance, and informational multi-day workshop sponsored by the Division of Adult Education and Literacy of the Office of Vocational and Adult Education for each state’s director of adult education and</w:t>
      </w:r>
      <w:r>
        <w:rPr>
          <w:color w:val="1F497D"/>
        </w:rPr>
        <w:t xml:space="preserve"> </w:t>
      </w:r>
      <w:r>
        <w:t>key</w:t>
      </w:r>
      <w:r>
        <w:rPr>
          <w:color w:val="1F497D"/>
        </w:rPr>
        <w:t xml:space="preserve"> </w:t>
      </w:r>
      <w:r>
        <w:t>state staff.  The meeting provides hands-on activities related to the administration of adult education State grants</w:t>
      </w:r>
      <w:r>
        <w:rPr>
          <w:color w:val="1F497D"/>
        </w:rPr>
        <w:t xml:space="preserve"> </w:t>
      </w:r>
      <w:r>
        <w:t>in regulatory, fiscal, and program improvement areas, and fosters collaboration among states working with adult education populations.</w:t>
      </w:r>
      <w:r w:rsidRPr="00F825B4">
        <w:t xml:space="preserve"> </w:t>
      </w:r>
      <w:r>
        <w:t>Attendees include primarily state’s director of adult education and</w:t>
      </w:r>
      <w:r>
        <w:rPr>
          <w:color w:val="1F497D"/>
        </w:rPr>
        <w:t xml:space="preserve"> </w:t>
      </w:r>
      <w:r>
        <w:t>key</w:t>
      </w:r>
      <w:r>
        <w:rPr>
          <w:color w:val="1F497D"/>
        </w:rPr>
        <w:t xml:space="preserve"> </w:t>
      </w:r>
      <w:r>
        <w:t>state staff, with smaller representation of local program providers, federal contractors managing OVAE projects, researchers, and other adult service providers or professional association members.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A7703E">
        <w:rPr>
          <w:bCs/>
          <w:sz w:val="24"/>
        </w:rPr>
        <w:sym w:font="Wingdings" w:char="F0FC"/>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A7703E" w:rsidP="009C13B9">
      <w:r>
        <w:t xml:space="preserve">Name: </w:t>
      </w:r>
      <w:r w:rsidRPr="006D5FCB">
        <w:t>Heidi Silver-Pacuilla</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A7703E">
        <w:sym w:font="Wingdings" w:char="F0FC"/>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A7703E">
        <w:sym w:font="Wingdings" w:char="F0FC"/>
      </w:r>
      <w:r w:rsidR="009239AA">
        <w:t xml:space="preserve"> ] No</w:t>
      </w:r>
      <w:r w:rsidR="00C86E91">
        <w:t xml:space="preserve">   </w:t>
      </w:r>
    </w:p>
    <w:p w:rsidR="00C86E91" w:rsidRDefault="00C86E91" w:rsidP="00C86E91">
      <w:pPr>
        <w:pStyle w:val="ListParagraph"/>
        <w:numPr>
          <w:ilvl w:val="0"/>
          <w:numId w:val="18"/>
        </w:numPr>
      </w:pPr>
      <w:r>
        <w:lastRenderedPageBreak/>
        <w:t>If Applicable, has a System or Records Notice been published?  [  ] Yes  [</w:t>
      </w:r>
      <w:r w:rsidR="00A7703E">
        <w:sym w:font="Wingdings" w:char="F0FC"/>
      </w:r>
      <w:r>
        <w:t xml:space="preserve">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A7703E">
        <w:sym w:font="Wingdings" w:char="F0FC"/>
      </w:r>
      <w:r>
        <w:t xml:space="preserve"> ] No  </w:t>
      </w:r>
    </w:p>
    <w:p w:rsidR="004D6E14" w:rsidRDefault="004D6E14">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A7703E" w:rsidTr="00EF2095">
        <w:trPr>
          <w:trHeight w:val="274"/>
        </w:trPr>
        <w:tc>
          <w:tcPr>
            <w:tcW w:w="5418" w:type="dxa"/>
          </w:tcPr>
          <w:p w:rsidR="00A7703E" w:rsidRDefault="00A7703E" w:rsidP="00A7703E">
            <w:pPr>
              <w:jc w:val="both"/>
            </w:pPr>
            <w:r>
              <w:t>2012 ASDM event participants</w:t>
            </w:r>
          </w:p>
        </w:tc>
        <w:tc>
          <w:tcPr>
            <w:tcW w:w="1530" w:type="dxa"/>
          </w:tcPr>
          <w:p w:rsidR="00A7703E" w:rsidRDefault="00A7703E" w:rsidP="00A7703E">
            <w:pPr>
              <w:jc w:val="both"/>
            </w:pPr>
            <w:r>
              <w:t>200</w:t>
            </w:r>
          </w:p>
        </w:tc>
        <w:tc>
          <w:tcPr>
            <w:tcW w:w="1710" w:type="dxa"/>
          </w:tcPr>
          <w:p w:rsidR="00A7703E" w:rsidRDefault="00A7703E" w:rsidP="00A7703E">
            <w:pPr>
              <w:jc w:val="both"/>
            </w:pPr>
            <w:r>
              <w:t>.08</w:t>
            </w:r>
          </w:p>
        </w:tc>
        <w:tc>
          <w:tcPr>
            <w:tcW w:w="1003" w:type="dxa"/>
          </w:tcPr>
          <w:p w:rsidR="00A7703E" w:rsidRDefault="00A7703E" w:rsidP="00A7703E">
            <w:pPr>
              <w:jc w:val="both"/>
            </w:pPr>
            <w:r>
              <w:t>16</w:t>
            </w:r>
          </w:p>
        </w:tc>
      </w:tr>
      <w:tr w:rsidR="00A7703E" w:rsidTr="00EF2095">
        <w:trPr>
          <w:trHeight w:val="274"/>
        </w:trPr>
        <w:tc>
          <w:tcPr>
            <w:tcW w:w="5418" w:type="dxa"/>
          </w:tcPr>
          <w:p w:rsidR="00A7703E" w:rsidRDefault="00A7703E" w:rsidP="00A7703E">
            <w:pPr>
              <w:jc w:val="both"/>
            </w:pPr>
            <w:r>
              <w:t>2012 booster-event participants</w:t>
            </w:r>
          </w:p>
        </w:tc>
        <w:tc>
          <w:tcPr>
            <w:tcW w:w="1530" w:type="dxa"/>
          </w:tcPr>
          <w:p w:rsidR="00A7703E" w:rsidRDefault="00A7703E" w:rsidP="00A7703E">
            <w:pPr>
              <w:jc w:val="both"/>
            </w:pPr>
            <w:r>
              <w:t xml:space="preserve"> 75</w:t>
            </w:r>
          </w:p>
        </w:tc>
        <w:tc>
          <w:tcPr>
            <w:tcW w:w="1710" w:type="dxa"/>
          </w:tcPr>
          <w:p w:rsidR="00A7703E" w:rsidRDefault="00A7703E" w:rsidP="00A7703E">
            <w:pPr>
              <w:jc w:val="both"/>
            </w:pPr>
            <w:r>
              <w:t>.08</w:t>
            </w:r>
          </w:p>
        </w:tc>
        <w:tc>
          <w:tcPr>
            <w:tcW w:w="1003" w:type="dxa"/>
          </w:tcPr>
          <w:p w:rsidR="00A7703E" w:rsidRDefault="00A7703E" w:rsidP="00A7703E">
            <w:pPr>
              <w:jc w:val="both"/>
            </w:pPr>
            <w:r>
              <w:t>6</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8C7FF3" w:rsidP="00843796">
            <w:pPr>
              <w:rPr>
                <w:b/>
              </w:rPr>
            </w:pPr>
            <w:r>
              <w:rPr>
                <w:b/>
              </w:rPr>
              <w:t>22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w:t>
      </w:r>
      <w:r w:rsidR="008C7FF3">
        <w:t xml:space="preserve">eral government </w:t>
      </w:r>
      <w:proofErr w:type="gramStart"/>
      <w:r w:rsidR="008C7FF3">
        <w:t>is  $</w:t>
      </w:r>
      <w:proofErr w:type="gramEnd"/>
      <w:r w:rsidR="008C7FF3">
        <w:t>0</w:t>
      </w:r>
      <w:bookmarkStart w:id="0" w:name="_GoBack"/>
      <w:bookmarkEnd w:id="0"/>
    </w:p>
    <w:p w:rsidR="00ED6492" w:rsidRDefault="00ED6492">
      <w:pPr>
        <w:rPr>
          <w:b/>
          <w:bCs/>
          <w:u w:val="single"/>
        </w:rPr>
      </w:pPr>
    </w:p>
    <w:p w:rsidR="0069403B" w:rsidRDefault="00ED6492" w:rsidP="00F06866">
      <w:pPr>
        <w:rPr>
          <w:b/>
          <w:bCs/>
          <w:u w:val="single"/>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A7703E" w:rsidRDefault="00A7703E" w:rsidP="00F06866">
      <w:pPr>
        <w:rPr>
          <w:b/>
          <w:bCs/>
          <w:u w:val="single"/>
        </w:rPr>
      </w:pPr>
    </w:p>
    <w:p w:rsidR="00A7703E" w:rsidRPr="00A7703E" w:rsidRDefault="00A7703E" w:rsidP="00F06866">
      <w:pPr>
        <w:rPr>
          <w:b/>
        </w:rPr>
      </w:pPr>
      <w:r w:rsidRPr="00A7703E">
        <w:rPr>
          <w:b/>
          <w:bCs/>
        </w:rPr>
        <w:t>N/A</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4D6E14" w:rsidRDefault="004D6E14" w:rsidP="00A403BB">
      <w:pPr>
        <w:rPr>
          <w:b/>
        </w:rPr>
      </w:pPr>
    </w:p>
    <w:p w:rsidR="00A7703E" w:rsidRDefault="00A7703E" w:rsidP="00A403BB">
      <w:pPr>
        <w:rPr>
          <w:b/>
        </w:rPr>
      </w:pPr>
    </w:p>
    <w:p w:rsidR="00A7703E" w:rsidRDefault="00A7703E" w:rsidP="00A403BB">
      <w:pPr>
        <w:rPr>
          <w:b/>
        </w:rPr>
      </w:pPr>
    </w:p>
    <w:p w:rsidR="00A7703E" w:rsidRDefault="00A7703E" w:rsidP="00A403BB">
      <w:pPr>
        <w:rPr>
          <w:b/>
        </w:rPr>
      </w:pPr>
    </w:p>
    <w:p w:rsidR="00A7703E" w:rsidRDefault="00A7703E" w:rsidP="00A403BB">
      <w:pPr>
        <w:rPr>
          <w:b/>
        </w:rPr>
      </w:pPr>
    </w:p>
    <w:p w:rsidR="00A7703E" w:rsidRDefault="00A7703E" w:rsidP="00A403BB">
      <w:pPr>
        <w:rPr>
          <w:b/>
        </w:rPr>
      </w:pPr>
    </w:p>
    <w:p w:rsidR="00A7703E" w:rsidRDefault="00A7703E" w:rsidP="00A403BB">
      <w:pPr>
        <w:rPr>
          <w:b/>
        </w:rPr>
      </w:pPr>
    </w:p>
    <w:p w:rsidR="00A7703E" w:rsidRDefault="00A7703E"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A7703E">
        <w:sym w:font="Wingdings" w:char="F0FC"/>
      </w:r>
      <w:r w:rsidR="00A7703E">
        <w:t>]</w:t>
      </w:r>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A7703E" w:rsidRDefault="00A7703E" w:rsidP="00A7703E"/>
    <w:p w:rsidR="00A7703E" w:rsidRDefault="00A7703E" w:rsidP="00A7703E">
      <w:r>
        <w:t xml:space="preserve">The paper evaluations will be distributed with the participants’ binders upon registration and time at the end of each session and end of each day will be provided for participants to record their responses. Completed forms will be collected at the end of each day.  </w:t>
      </w:r>
    </w:p>
    <w:p w:rsidR="00A7703E" w:rsidRDefault="00A7703E" w:rsidP="001B0AAA">
      <w:pPr>
        <w:ind w:left="720"/>
      </w:pPr>
    </w:p>
    <w:p w:rsidR="00A7703E" w:rsidRDefault="00A7703E" w:rsidP="001B0AAA">
      <w:pPr>
        <w:ind w:left="720"/>
      </w:pPr>
    </w:p>
    <w:p w:rsidR="00F24CFC" w:rsidRDefault="00F24CFC" w:rsidP="00F24CFC">
      <w:pPr>
        <w:pStyle w:val="ListParagraph"/>
        <w:numPr>
          <w:ilvl w:val="0"/>
          <w:numId w:val="17"/>
        </w:numPr>
      </w:pPr>
      <w:r>
        <w:t xml:space="preserve">Will interviewers or facilitators be used?  [  ] Yes [ </w:t>
      </w:r>
      <w:r w:rsidR="00A7703E">
        <w:sym w:font="Wingdings" w:char="F0FC"/>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03E" w:rsidRDefault="00A7703E">
      <w:r>
        <w:separator/>
      </w:r>
    </w:p>
  </w:endnote>
  <w:endnote w:type="continuationSeparator" w:id="0">
    <w:p w:rsidR="00A7703E" w:rsidRDefault="00A7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3E" w:rsidRDefault="00A7703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C7FF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03E" w:rsidRDefault="00A7703E">
      <w:r>
        <w:separator/>
      </w:r>
    </w:p>
  </w:footnote>
  <w:footnote w:type="continuationSeparator" w:id="0">
    <w:p w:rsidR="00A7703E" w:rsidRDefault="00A77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3E" w:rsidRDefault="00A77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67329"/>
    <w:rsid w:val="000B2838"/>
    <w:rsid w:val="000C3C86"/>
    <w:rsid w:val="000D44CA"/>
    <w:rsid w:val="000E200B"/>
    <w:rsid w:val="000F68BE"/>
    <w:rsid w:val="001927A4"/>
    <w:rsid w:val="00194AC6"/>
    <w:rsid w:val="001A23B0"/>
    <w:rsid w:val="001A25CC"/>
    <w:rsid w:val="001B0AAA"/>
    <w:rsid w:val="001C39F7"/>
    <w:rsid w:val="0020786E"/>
    <w:rsid w:val="00221809"/>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05892"/>
    <w:rsid w:val="00514298"/>
    <w:rsid w:val="005A1006"/>
    <w:rsid w:val="005E714A"/>
    <w:rsid w:val="006140A0"/>
    <w:rsid w:val="00636621"/>
    <w:rsid w:val="00642B49"/>
    <w:rsid w:val="006832D9"/>
    <w:rsid w:val="006859E7"/>
    <w:rsid w:val="0069403B"/>
    <w:rsid w:val="006F3DDE"/>
    <w:rsid w:val="00704678"/>
    <w:rsid w:val="007425E7"/>
    <w:rsid w:val="00802607"/>
    <w:rsid w:val="008101A5"/>
    <w:rsid w:val="00822664"/>
    <w:rsid w:val="00843796"/>
    <w:rsid w:val="00895229"/>
    <w:rsid w:val="008C7FF3"/>
    <w:rsid w:val="008F0203"/>
    <w:rsid w:val="008F50D4"/>
    <w:rsid w:val="009239AA"/>
    <w:rsid w:val="00935ADA"/>
    <w:rsid w:val="00946B6C"/>
    <w:rsid w:val="00955A71"/>
    <w:rsid w:val="009607A9"/>
    <w:rsid w:val="0096108F"/>
    <w:rsid w:val="009C13B9"/>
    <w:rsid w:val="009D01A2"/>
    <w:rsid w:val="009D2E78"/>
    <w:rsid w:val="009F5923"/>
    <w:rsid w:val="00A403BB"/>
    <w:rsid w:val="00A674DF"/>
    <w:rsid w:val="00A7703E"/>
    <w:rsid w:val="00A83AA6"/>
    <w:rsid w:val="00AE1809"/>
    <w:rsid w:val="00B040A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6CC6"/>
    <w:rsid w:val="00EB56B3"/>
    <w:rsid w:val="00ED6492"/>
    <w:rsid w:val="00ED66B9"/>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717</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3</cp:revision>
  <cp:lastPrinted>2010-10-04T16:59:00Z</cp:lastPrinted>
  <dcterms:created xsi:type="dcterms:W3CDTF">2012-03-26T19:58:00Z</dcterms:created>
  <dcterms:modified xsi:type="dcterms:W3CDTF">2012-03-26T20:11:00Z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