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9239AA" w:rsidRDefault="008809AE"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5E714A"/>
    <w:p w:rsidR="001B0AAA" w:rsidRDefault="00F15956">
      <w:r>
        <w:rPr>
          <w:b/>
        </w:rPr>
        <w:t>PURPOSE</w:t>
      </w:r>
      <w:r w:rsidRPr="009239AA">
        <w:rPr>
          <w:b/>
        </w:rPr>
        <w:t>:</w:t>
      </w:r>
      <w:r w:rsidR="00C14CC4" w:rsidRPr="009239AA">
        <w:rPr>
          <w:b/>
        </w:rPr>
        <w:t xml:space="preserve">  </w:t>
      </w:r>
    </w:p>
    <w:p w:rsidR="0045096E" w:rsidRDefault="0045096E" w:rsidP="0045096E">
      <w:r>
        <w:t xml:space="preserve">The U.S. Department of Education (ED) has as one of its many policy goals expanding the number high-quality public school choice options.  Specifically, according to Part B section 5201 of the Elementary and Secondary Education Act, two of the established purposes of the Charter School Program (CSP) office are: evaluating the effects of such schools, including the effects on students, student academic achievement, staff and parents, and expanding the number of high-quality charter schools available to students across the nation. </w:t>
      </w:r>
    </w:p>
    <w:p w:rsidR="0045096E" w:rsidRDefault="0045096E" w:rsidP="0045096E"/>
    <w:p w:rsidR="0045096E" w:rsidRDefault="0045096E" w:rsidP="0045096E">
      <w:pPr>
        <w:rPr>
          <w:color w:val="000000"/>
        </w:rPr>
      </w:pPr>
      <w:r>
        <w:t>The</w:t>
      </w:r>
      <w:r w:rsidRPr="00975604">
        <w:t xml:space="preserve"> Charter School Program’s Resource Center is </w:t>
      </w:r>
      <w:r>
        <w:t>partnering with the National Association of Charter School Authorizers (NACSA) to develop a program for individuals new to the charter authorizing field.  The program incorporates and builds on best practices in the authorizing field, and will be delivered to the cohort in two separate sessions.  Each in-person session is designed to be two days in length; this survey is designed for the second session.</w:t>
      </w:r>
    </w:p>
    <w:p w:rsidR="0045096E" w:rsidRDefault="0045096E" w:rsidP="0045096E">
      <w:pPr>
        <w:pStyle w:val="Default"/>
        <w:rPr>
          <w:bCs/>
        </w:rPr>
      </w:pPr>
    </w:p>
    <w:p w:rsidR="00C8488C" w:rsidRDefault="0045096E" w:rsidP="0045096E">
      <w:pPr>
        <w:pStyle w:val="Default"/>
        <w:rPr>
          <w:b/>
        </w:rPr>
      </w:pPr>
      <w:r>
        <w:rPr>
          <w:bCs/>
        </w:rPr>
        <w:t xml:space="preserve">Surveys will measure satisfaction with the training, and </w:t>
      </w:r>
      <w:r w:rsidRPr="000E16CA">
        <w:rPr>
          <w:bCs/>
        </w:rPr>
        <w:t xml:space="preserve">will be conducted electronically after the end of the first session.    </w:t>
      </w:r>
    </w:p>
    <w:p w:rsidR="0045096E" w:rsidRDefault="0045096E"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bookmarkStart w:id="0" w:name="_GoBack"/>
      <w:bookmarkEnd w:id="0"/>
      <w:r w:rsidRPr="00434E33">
        <w:rPr>
          <w:b/>
        </w:rPr>
        <w:t>DESCRIPTION OF RESPONDENTS</w:t>
      </w:r>
      <w:r>
        <w:t xml:space="preserve">: </w:t>
      </w:r>
    </w:p>
    <w:p w:rsidR="00F15956" w:rsidRDefault="00F15956"/>
    <w:p w:rsidR="0045096E" w:rsidRPr="004A3ADB" w:rsidRDefault="0045096E" w:rsidP="0045096E">
      <w:pPr>
        <w:pStyle w:val="Default"/>
        <w:rPr>
          <w:bCs/>
        </w:rPr>
      </w:pPr>
      <w:r w:rsidRPr="000E16CA">
        <w:rPr>
          <w:bCs/>
        </w:rPr>
        <w:t>Respondents will be pa</w:t>
      </w:r>
      <w:r>
        <w:rPr>
          <w:bCs/>
        </w:rPr>
        <w:t>rticipants in the institute, and will be individuals working with, or leading, charter school authorizer offices.</w:t>
      </w:r>
    </w:p>
    <w:p w:rsidR="0045096E" w:rsidRDefault="0045096E" w:rsidP="0045096E">
      <w:pPr>
        <w:pStyle w:val="Header"/>
        <w:tabs>
          <w:tab w:val="clear" w:pos="4320"/>
          <w:tab w:val="clear" w:pos="8640"/>
        </w:tabs>
        <w:jc w:val="both"/>
        <w:rPr>
          <w:rFonts w:ascii="Arial Narrow" w:hAnsi="Arial Narrow"/>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5096E">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45096E">
        <w:t xml:space="preserve"> Erin Pfeltz, 202.205.3525 OII, Charter Schools Program</w:t>
      </w:r>
    </w:p>
    <w:p w:rsidR="009C13B9" w:rsidRDefault="009C13B9" w:rsidP="009C13B9">
      <w:pPr>
        <w:pStyle w:val="ListParagraph"/>
        <w:ind w:left="360"/>
      </w:pPr>
    </w:p>
    <w:p w:rsidR="0045096E" w:rsidRDefault="0045096E" w:rsidP="009C13B9"/>
    <w:p w:rsidR="0045096E" w:rsidRDefault="0045096E" w:rsidP="009C13B9"/>
    <w:p w:rsidR="0045096E" w:rsidRDefault="0045096E" w:rsidP="009C13B9"/>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5096E">
        <w:sym w:font="Wingdings" w:char="F0FC"/>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45096E">
        <w:sym w:font="Wingdings" w:char="F0FC"/>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45096E">
        <w:sym w:font="Wingdings" w:char="F0FC"/>
      </w:r>
      <w:r>
        <w:t>]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45096E">
        <w:sym w:font="Wingdings" w:char="F0FC"/>
      </w:r>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6832D9" w:rsidP="00843796"/>
        </w:tc>
        <w:tc>
          <w:tcPr>
            <w:tcW w:w="1530" w:type="dxa"/>
          </w:tcPr>
          <w:p w:rsidR="006832D9" w:rsidRDefault="0045096E" w:rsidP="00843796">
            <w:r>
              <w:t>80</w:t>
            </w:r>
          </w:p>
        </w:tc>
        <w:tc>
          <w:tcPr>
            <w:tcW w:w="1710" w:type="dxa"/>
          </w:tcPr>
          <w:p w:rsidR="006832D9" w:rsidRDefault="0045096E" w:rsidP="00843796">
            <w:r>
              <w:t>15 Minutes</w:t>
            </w:r>
          </w:p>
        </w:tc>
        <w:tc>
          <w:tcPr>
            <w:tcW w:w="1003" w:type="dxa"/>
          </w:tcPr>
          <w:p w:rsidR="006832D9" w:rsidRDefault="0045096E" w:rsidP="00843796">
            <w:r>
              <w:t xml:space="preserve">80 </w:t>
            </w:r>
            <w:proofErr w:type="spellStart"/>
            <w:r>
              <w:t>Hrs</w:t>
            </w:r>
            <w:proofErr w:type="spellEnd"/>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45096E" w:rsidP="00843796">
            <w:pPr>
              <w:rPr>
                <w:b/>
              </w:rPr>
            </w:pPr>
            <w:r>
              <w:rPr>
                <w:b/>
              </w:rPr>
              <w:t>80</w:t>
            </w:r>
          </w:p>
        </w:tc>
        <w:tc>
          <w:tcPr>
            <w:tcW w:w="1710" w:type="dxa"/>
          </w:tcPr>
          <w:p w:rsidR="006832D9" w:rsidRDefault="0045096E" w:rsidP="00843796">
            <w:r>
              <w:t>15 Minutes</w:t>
            </w:r>
          </w:p>
        </w:tc>
        <w:tc>
          <w:tcPr>
            <w:tcW w:w="1003" w:type="dxa"/>
          </w:tcPr>
          <w:p w:rsidR="006832D9" w:rsidRPr="00F6240A" w:rsidRDefault="0045096E" w:rsidP="00843796">
            <w:pPr>
              <w:rPr>
                <w:b/>
              </w:rPr>
            </w:pPr>
            <w:r>
              <w:rPr>
                <w:b/>
              </w:rPr>
              <w:t xml:space="preserve">80 </w:t>
            </w:r>
            <w:proofErr w:type="spellStart"/>
            <w:r>
              <w:rPr>
                <w:b/>
              </w:rPr>
              <w:t>Hrs</w:t>
            </w:r>
            <w:proofErr w:type="spellEnd"/>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w:t>
      </w:r>
      <w:r w:rsidR="0045096E">
        <w:t xml:space="preserve">eral government </w:t>
      </w:r>
      <w:proofErr w:type="gramStart"/>
      <w:r w:rsidR="0045096E">
        <w:t>is  $</w:t>
      </w:r>
      <w:proofErr w:type="gramEnd"/>
      <w:r w:rsidR="0045096E">
        <w:t>700.00 Rate of $35.00 X 20 Hours</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45096E">
        <w:sym w:font="Wingdings" w:char="F0FC"/>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45096E">
        <w:sym w:font="Wingdings" w:char="F0FC"/>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45096E">
        <w:sym w:font="Wingdings" w:char="F0FC"/>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CE7805" w:rsidRDefault="00CE7805">
      <w:pPr>
        <w:rPr>
          <w:b/>
          <w:bCs/>
          <w:sz w:val="28"/>
        </w:rPr>
      </w:pPr>
    </w:p>
    <w:sectPr w:rsidR="00CE7805"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809" w:rsidRDefault="00221809">
      <w:r>
        <w:separator/>
      </w:r>
    </w:p>
  </w:endnote>
  <w:endnote w:type="continuationSeparator" w:id="0">
    <w:p w:rsidR="00221809" w:rsidRDefault="0022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5096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809" w:rsidRDefault="00221809">
      <w:r>
        <w:separator/>
      </w:r>
    </w:p>
  </w:footnote>
  <w:footnote w:type="continuationSeparator" w:id="0">
    <w:p w:rsidR="00221809" w:rsidRDefault="00221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B2838"/>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D5BBE"/>
    <w:rsid w:val="003E3C61"/>
    <w:rsid w:val="003F1C5B"/>
    <w:rsid w:val="00434E33"/>
    <w:rsid w:val="00441434"/>
    <w:rsid w:val="0045096E"/>
    <w:rsid w:val="0045264C"/>
    <w:rsid w:val="004876EC"/>
    <w:rsid w:val="004D6E14"/>
    <w:rsid w:val="005009B0"/>
    <w:rsid w:val="00505892"/>
    <w:rsid w:val="00514298"/>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809AE"/>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7805"/>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1,Letterhead Heading"/>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45096E"/>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1,Letterhead Heading"/>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45096E"/>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658</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3</cp:revision>
  <cp:lastPrinted>2010-10-04T16:59:00Z</cp:lastPrinted>
  <dcterms:created xsi:type="dcterms:W3CDTF">2013-07-01T19:51:00Z</dcterms:created>
  <dcterms:modified xsi:type="dcterms:W3CDTF">2013-07-01T19:59:00Z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