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D4" w:rsidRPr="00A94FEB" w:rsidRDefault="00A94FEB" w:rsidP="00A94FEB">
      <w:pPr>
        <w:jc w:val="center"/>
        <w:rPr>
          <w:b/>
        </w:rPr>
      </w:pPr>
      <w:r w:rsidRPr="00A94FEB">
        <w:rPr>
          <w:b/>
        </w:rPr>
        <w:t>Justification for Non-material Change to ICR 2090-0028</w:t>
      </w:r>
    </w:p>
    <w:p w:rsidR="00A94FEB" w:rsidRDefault="00A94FEB" w:rsidP="00A94FEB">
      <w:pPr>
        <w:jc w:val="center"/>
      </w:pPr>
    </w:p>
    <w:p w:rsidR="00A94FEB" w:rsidRDefault="00A94FEB" w:rsidP="00A94FEB">
      <w:pPr>
        <w:ind w:firstLine="360"/>
      </w:pPr>
      <w:r>
        <w:t>EPA requests that the burden currently approved under generic ICR 2090-0028 (</w:t>
      </w:r>
      <w:r w:rsidRPr="00A94FEB">
        <w:t xml:space="preserve">Focus Groups As Used By EPA </w:t>
      </w:r>
      <w:r>
        <w:t xml:space="preserve">For Economics Projects) be changed from 786 hours to 2,358 hours. This </w:t>
      </w:r>
      <w:r w:rsidR="00DB1AB1">
        <w:t xml:space="preserve">is a non-material change as it </w:t>
      </w:r>
      <w:r>
        <w:t xml:space="preserve">would </w:t>
      </w:r>
      <w:r w:rsidR="00DB1AB1">
        <w:t>merely correct</w:t>
      </w:r>
      <w:r>
        <w:t xml:space="preserve"> </w:t>
      </w:r>
      <w:r w:rsidR="00DB1AB1">
        <w:t xml:space="preserve">an earlier error that resulted in the approved burden being only one-third of </w:t>
      </w:r>
      <w:r>
        <w:t xml:space="preserve">that </w:t>
      </w:r>
      <w:r w:rsidR="00DB1AB1">
        <w:t xml:space="preserve">which </w:t>
      </w:r>
      <w:r>
        <w:t>was requested in the supporting statement for the last renewal of this ICR in 2009.</w:t>
      </w:r>
    </w:p>
    <w:p w:rsidR="00A94FEB" w:rsidRDefault="00A94FEB" w:rsidP="00A94FEB">
      <w:pPr>
        <w:ind w:firstLine="360"/>
      </w:pPr>
      <w:r>
        <w:t xml:space="preserve">The agency recently discovered that </w:t>
      </w:r>
      <w:r w:rsidR="00DB1AB1">
        <w:t xml:space="preserve">at the time of </w:t>
      </w:r>
      <w:r>
        <w:t xml:space="preserve">the last renewal it erroneously entered into ROCIS only the annual average, rather than the 3-year total burden </w:t>
      </w:r>
      <w:r w:rsidR="00DB1AB1">
        <w:t xml:space="preserve">for this ICR, </w:t>
      </w:r>
      <w:r>
        <w:t>thus the burden ceiling to date has technically been only a third of what it was intended to be. This has resulted in a situation where currently pending requests cannot be submitted to OMB as they would cause the agency to exceed the amount approved in the system.</w:t>
      </w:r>
    </w:p>
    <w:p w:rsidR="00A94FEB" w:rsidRPr="00A94FEB" w:rsidRDefault="00A94FEB" w:rsidP="00A94FEB">
      <w:pPr>
        <w:ind w:firstLine="360"/>
      </w:pPr>
      <w:r>
        <w:t xml:space="preserve">For reference, the burden table from the </w:t>
      </w:r>
      <w:r w:rsidR="007B1139">
        <w:t>last renewal is copied below, showing the amount that was originally requested.</w:t>
      </w:r>
    </w:p>
    <w:p w:rsidR="00A94FEB" w:rsidRDefault="00A94FEB" w:rsidP="009B109F"/>
    <w:p w:rsidR="00A94FEB" w:rsidRDefault="00A94FEB" w:rsidP="00A94FEB">
      <w:pPr>
        <w:pStyle w:val="BodyTextIndent"/>
        <w:jc w:val="center"/>
      </w:pPr>
      <w:r>
        <w:t xml:space="preserve">TABLE 1. – </w:t>
      </w:r>
      <w:r w:rsidRPr="009A632E">
        <w:rPr>
          <w:b/>
        </w:rPr>
        <w:t>Average Annual Respondent Burden and Costs</w:t>
      </w:r>
      <w:r w:rsidRPr="009A632E">
        <w:rPr>
          <w:sz w:val="16"/>
          <w:szCs w:val="16"/>
          <w:vertAlign w:val="superscript"/>
        </w:rPr>
        <w:t>1</w:t>
      </w:r>
    </w:p>
    <w:p w:rsidR="00A94FEB" w:rsidRDefault="00A94FEB" w:rsidP="00A94FEB">
      <w:pPr>
        <w:pStyle w:val="BodyTextIndent"/>
        <w:jc w:val="center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90"/>
        <w:gridCol w:w="1170"/>
        <w:gridCol w:w="1260"/>
        <w:gridCol w:w="1170"/>
        <w:gridCol w:w="1080"/>
        <w:gridCol w:w="1170"/>
        <w:gridCol w:w="1170"/>
      </w:tblGrid>
      <w:tr w:rsidR="00A94FEB" w:rsidTr="000912E2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Center</w:t>
            </w:r>
          </w:p>
        </w:tc>
        <w:tc>
          <w:tcPr>
            <w:tcW w:w="189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Subject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Approximate Number of Studies</w:t>
            </w:r>
          </w:p>
        </w:tc>
        <w:tc>
          <w:tcPr>
            <w:tcW w:w="126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Average Number  of Focus Groups per Study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Average Number of Participants per Group</w:t>
            </w:r>
          </w:p>
        </w:tc>
        <w:tc>
          <w:tcPr>
            <w:tcW w:w="108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Average Hours of Duration for Each Group (includes screening)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Total Estimated “Respondent” Hours 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Over next 3 years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Total Estimated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Burden per Year ($)</w:t>
            </w:r>
          </w:p>
        </w:tc>
      </w:tr>
      <w:tr w:rsidR="00A94FEB" w:rsidTr="000912E2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Office of Policy, Economics and Innovation</w:t>
            </w:r>
          </w:p>
        </w:tc>
        <w:tc>
          <w:tcPr>
            <w:tcW w:w="1890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Various (e.g, coastal water valuation, children’s health valuation, ecosystem valuation, air toxics)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6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10.5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8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1,134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$10,765</w:t>
            </w:r>
          </w:p>
        </w:tc>
      </w:tr>
      <w:tr w:rsidR="00A94FEB" w:rsidTr="000912E2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Office of Pollution Prevention and Toxics</w:t>
            </w:r>
          </w:p>
        </w:tc>
        <w:tc>
          <w:tcPr>
            <w:tcW w:w="1890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Various (e.g.,implications of chemical substitutes, consumer chemical use)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6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12.5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$8,544</w:t>
            </w:r>
          </w:p>
        </w:tc>
      </w:tr>
      <w:tr w:rsidR="00A94FEB" w:rsidTr="000912E2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Office of Water</w:t>
            </w:r>
          </w:p>
        </w:tc>
        <w:tc>
          <w:tcPr>
            <w:tcW w:w="1890" w:type="dxa"/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Various (e.g.,value of information on beach closures and fish advisories)</w:t>
            </w: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6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8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2.25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$3,076</w:t>
            </w:r>
          </w:p>
        </w:tc>
      </w:tr>
      <w:tr w:rsidR="00A94FEB" w:rsidTr="000912E2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right w:val="nil"/>
            </w:tcBorders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2,358</w:t>
            </w: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</w:tc>
        <w:tc>
          <w:tcPr>
            <w:tcW w:w="1170" w:type="dxa"/>
          </w:tcPr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</w:p>
          <w:p w:rsidR="00A94FEB" w:rsidRDefault="00A94FEB" w:rsidP="000912E2">
            <w:pPr>
              <w:pStyle w:val="BodyTextInden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$22,385</w:t>
            </w:r>
          </w:p>
        </w:tc>
      </w:tr>
    </w:tbl>
    <w:p w:rsidR="00A94FEB" w:rsidRPr="001A3387" w:rsidRDefault="00A94FEB" w:rsidP="00A94FEB">
      <w:pPr>
        <w:pStyle w:val="BodyTextIndent"/>
        <w:rPr>
          <w:sz w:val="16"/>
          <w:szCs w:val="16"/>
        </w:rPr>
      </w:pPr>
      <w:r w:rsidRPr="009A632E">
        <w:rPr>
          <w:sz w:val="16"/>
          <w:szCs w:val="16"/>
          <w:vertAlign w:val="superscript"/>
        </w:rPr>
        <w:t>1</w:t>
      </w:r>
      <w:r>
        <w:rPr>
          <w:sz w:val="16"/>
        </w:rPr>
        <w:t xml:space="preserve">  </w:t>
      </w:r>
      <w:r w:rsidRPr="00C66DC2">
        <w:rPr>
          <w:sz w:val="16"/>
          <w:szCs w:val="16"/>
        </w:rPr>
        <w:t>There are no capital costs o</w:t>
      </w:r>
      <w:r>
        <w:rPr>
          <w:sz w:val="16"/>
          <w:szCs w:val="16"/>
        </w:rPr>
        <w:t>r</w:t>
      </w:r>
      <w:r w:rsidRPr="00C66DC2">
        <w:rPr>
          <w:sz w:val="16"/>
          <w:szCs w:val="16"/>
        </w:rPr>
        <w:t xml:space="preserve"> operating and maintenance costs ass</w:t>
      </w:r>
      <w:r>
        <w:rPr>
          <w:sz w:val="16"/>
          <w:szCs w:val="16"/>
        </w:rPr>
        <w:t>ociated with this collection of</w:t>
      </w:r>
      <w:r w:rsidRPr="00C66DC2">
        <w:rPr>
          <w:sz w:val="16"/>
          <w:szCs w:val="16"/>
        </w:rPr>
        <w:t xml:space="preserve"> information.</w:t>
      </w:r>
      <w:r w:rsidRPr="001A3387">
        <w:rPr>
          <w:sz w:val="16"/>
          <w:szCs w:val="16"/>
        </w:rPr>
        <w:tab/>
      </w:r>
    </w:p>
    <w:p w:rsidR="00A94FEB" w:rsidRPr="001A3387" w:rsidRDefault="00A94FEB" w:rsidP="00A94FEB">
      <w:pPr>
        <w:pStyle w:val="HTMLPreformatted"/>
        <w:ind w:left="540" w:hanging="180"/>
        <w:rPr>
          <w:sz w:val="16"/>
          <w:szCs w:val="16"/>
        </w:rPr>
      </w:pPr>
      <w:r w:rsidRPr="001A3387">
        <w:rPr>
          <w:sz w:val="16"/>
          <w:szCs w:val="16"/>
          <w:vertAlign w:val="superscript"/>
        </w:rPr>
        <w:t xml:space="preserve">2  </w:t>
      </w:r>
      <w:r w:rsidRPr="001A3387">
        <w:rPr>
          <w:rFonts w:ascii="Tahoma" w:hAnsi="Tahoma" w:cs="Tahoma"/>
          <w:sz w:val="16"/>
          <w:szCs w:val="16"/>
        </w:rPr>
        <w:t xml:space="preserve">Hourly rate ($28.48) from “Total Employer costs per hour worked for employee compensation </w:t>
      </w:r>
      <w:r>
        <w:rPr>
          <w:rFonts w:ascii="Tahoma" w:hAnsi="Tahoma" w:cs="Tahoma"/>
          <w:sz w:val="16"/>
          <w:szCs w:val="16"/>
        </w:rPr>
        <w:t xml:space="preserve">and costs as a percent of total </w:t>
      </w:r>
      <w:r w:rsidRPr="001A3387">
        <w:rPr>
          <w:rFonts w:ascii="Tahoma" w:hAnsi="Tahoma" w:cs="Tahoma"/>
          <w:sz w:val="16"/>
          <w:szCs w:val="16"/>
        </w:rPr>
        <w:t>compensation: Civilian workers, by major occupational and industry group, June 2008</w:t>
      </w:r>
      <w:r>
        <w:t xml:space="preserve">. </w:t>
      </w:r>
      <w:smartTag w:uri="urn:schemas-microsoft-com:office:smarttags" w:element="place">
        <w:smartTag w:uri="urn:schemas-microsoft-com:office:smarttags" w:element="country-region">
          <w:r w:rsidRPr="001A3387">
            <w:rPr>
              <w:rFonts w:ascii="Tahoma" w:hAnsi="Tahoma" w:cs="Tahoma"/>
              <w:sz w:val="16"/>
              <w:szCs w:val="16"/>
            </w:rPr>
            <w:t>U.S.</w:t>
          </w:r>
        </w:smartTag>
      </w:smartTag>
      <w:r w:rsidRPr="001A3387">
        <w:rPr>
          <w:rFonts w:ascii="Tahoma" w:hAnsi="Tahoma" w:cs="Tahoma"/>
          <w:sz w:val="16"/>
          <w:szCs w:val="16"/>
        </w:rPr>
        <w:t xml:space="preserve"> Department of Labor, Bureau of Labor Statistics.</w:t>
      </w:r>
    </w:p>
    <w:p w:rsidR="00A94FEB" w:rsidRPr="009B109F" w:rsidRDefault="00A94FEB" w:rsidP="009B109F"/>
    <w:sectPr w:rsidR="00A94FEB" w:rsidRPr="009B109F" w:rsidSect="007A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4FEB"/>
    <w:rsid w:val="00110A92"/>
    <w:rsid w:val="007A5AD4"/>
    <w:rsid w:val="007B1139"/>
    <w:rsid w:val="009B109F"/>
    <w:rsid w:val="00A94FEB"/>
    <w:rsid w:val="00DB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4FEB"/>
    <w:pPr>
      <w:ind w:left="360"/>
    </w:pPr>
    <w:rPr>
      <w:rFonts w:ascii="Tahoma" w:hAnsi="Tahoma"/>
    </w:rPr>
  </w:style>
  <w:style w:type="character" w:customStyle="1" w:styleId="BodyTextIndentChar">
    <w:name w:val="Body Text Indent Char"/>
    <w:basedOn w:val="DefaultParagraphFont"/>
    <w:link w:val="BodyTextIndent"/>
    <w:rsid w:val="00A94FEB"/>
    <w:rPr>
      <w:rFonts w:ascii="Tahoma" w:eastAsia="Times New Roman" w:hAnsi="Tahoma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94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4FEB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 W. Clark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W. Clark</dc:creator>
  <cp:keywords/>
  <dc:description/>
  <cp:lastModifiedBy>Spencer W. Clark</cp:lastModifiedBy>
  <cp:revision>2</cp:revision>
  <dcterms:created xsi:type="dcterms:W3CDTF">2011-07-25T18:13:00Z</dcterms:created>
  <dcterms:modified xsi:type="dcterms:W3CDTF">2011-07-25T18:29:00Z</dcterms:modified>
</cp:coreProperties>
</file>