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4C" w:rsidRDefault="00721C4C">
      <w:pPr>
        <w:tabs>
          <w:tab w:val="left" w:pos="480"/>
          <w:tab w:val="right" w:pos="8640"/>
        </w:tabs>
        <w:ind w:right="684"/>
        <w:jc w:val="center"/>
        <w:rPr>
          <w:sz w:val="24"/>
        </w:rPr>
      </w:pPr>
      <w:r>
        <w:rPr>
          <w:sz w:val="24"/>
        </w:rPr>
        <w:t>Supporting Statement for VA Form 21-4176</w:t>
      </w:r>
    </w:p>
    <w:p w:rsidR="002442FB" w:rsidRDefault="00721C4C" w:rsidP="002442FB">
      <w:pPr>
        <w:tabs>
          <w:tab w:val="left" w:pos="480"/>
          <w:tab w:val="right" w:pos="8640"/>
        </w:tabs>
        <w:ind w:right="684"/>
        <w:jc w:val="center"/>
        <w:rPr>
          <w:sz w:val="24"/>
        </w:rPr>
      </w:pPr>
      <w:r>
        <w:rPr>
          <w:sz w:val="24"/>
        </w:rPr>
        <w:t>Report of Accidental Injury In Support of Claim for Compensation or Pension</w:t>
      </w:r>
      <w:r w:rsidR="002442FB">
        <w:rPr>
          <w:sz w:val="24"/>
        </w:rPr>
        <w:t>/Statement of Witness to Accident</w:t>
      </w:r>
    </w:p>
    <w:p w:rsidR="00721C4C" w:rsidRDefault="00721C4C">
      <w:pPr>
        <w:tabs>
          <w:tab w:val="left" w:pos="480"/>
          <w:tab w:val="right" w:pos="8640"/>
        </w:tabs>
        <w:ind w:right="684"/>
        <w:jc w:val="center"/>
        <w:rPr>
          <w:sz w:val="24"/>
        </w:rPr>
      </w:pPr>
      <w:r>
        <w:rPr>
          <w:sz w:val="24"/>
        </w:rPr>
        <w:t>(2900-0104)</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 xml:space="preserve">A.  </w:t>
      </w:r>
      <w:r>
        <w:rPr>
          <w:sz w:val="24"/>
          <w:u w:val="single"/>
        </w:rPr>
        <w:t>Justification</w:t>
      </w:r>
    </w:p>
    <w:p w:rsidR="00721C4C" w:rsidRDefault="00721C4C">
      <w:pPr>
        <w:tabs>
          <w:tab w:val="left" w:pos="480"/>
          <w:tab w:val="right" w:pos="8640"/>
        </w:tabs>
        <w:ind w:right="684"/>
        <w:rPr>
          <w:sz w:val="24"/>
        </w:rPr>
      </w:pPr>
    </w:p>
    <w:p w:rsidR="00721C4C" w:rsidRDefault="00721C4C">
      <w:pPr>
        <w:ind w:right="540"/>
        <w:rPr>
          <w:sz w:val="24"/>
        </w:rPr>
      </w:pPr>
      <w:r>
        <w:rPr>
          <w:sz w:val="24"/>
        </w:rPr>
        <w:t>1.  The Department of Veterans Affairs (VA) through its Veterans Benefits Administration (VBA</w:t>
      </w:r>
      <w:r w:rsidR="002442FB">
        <w:rPr>
          <w:sz w:val="24"/>
        </w:rPr>
        <w:t>)</w:t>
      </w:r>
      <w:r>
        <w:rPr>
          <w:sz w:val="24"/>
        </w:rPr>
        <w:t xml:space="preserve"> administers an integrated program of benefits and services, established by law, for veterans, service personnel and their survivors.  38 U.S.C. 105, 1110, 1131, and 1521a state that compensation or pension shall not be paid for disabilities that are the r</w:t>
      </w:r>
      <w:r w:rsidR="002442FB">
        <w:rPr>
          <w:sz w:val="24"/>
        </w:rPr>
        <w:t xml:space="preserve">esult of a </w:t>
      </w:r>
      <w:r>
        <w:rPr>
          <w:sz w:val="24"/>
        </w:rPr>
        <w:t>veteran's own willful misconduct.  Benefits may be paid if a disability is incurred in line of duty and is not the result of the veteran’s own willful misconduct under 38 C.F.R. 3.301.</w:t>
      </w:r>
    </w:p>
    <w:p w:rsidR="00721C4C" w:rsidRDefault="00721C4C">
      <w:pPr>
        <w:ind w:right="540"/>
        <w:rPr>
          <w:sz w:val="24"/>
        </w:rPr>
      </w:pPr>
    </w:p>
    <w:p w:rsidR="00721C4C" w:rsidRDefault="00721C4C">
      <w:pPr>
        <w:tabs>
          <w:tab w:val="left" w:pos="480"/>
          <w:tab w:val="right" w:pos="8640"/>
        </w:tabs>
        <w:ind w:right="684"/>
        <w:rPr>
          <w:sz w:val="24"/>
        </w:rPr>
      </w:pPr>
      <w:r>
        <w:rPr>
          <w:sz w:val="24"/>
        </w:rPr>
        <w:t>2.  VA Form 21-4176 is used in support of claims for disability benefits based on disability which is the result of an accident.  The information given by the veteran is used as a source to gather specific data regarding the accident and to afford the veteran an opportunity to provide information from his or her own knowledge regarding the accident.</w:t>
      </w:r>
    </w:p>
    <w:p w:rsidR="00721C4C" w:rsidRDefault="00721C4C">
      <w:pPr>
        <w:ind w:right="540"/>
        <w:rPr>
          <w:sz w:val="24"/>
        </w:rPr>
      </w:pPr>
    </w:p>
    <w:p w:rsidR="00721C4C" w:rsidRDefault="00721C4C">
      <w:pPr>
        <w:pStyle w:val="BodyText2"/>
        <w:rPr>
          <w:rFonts w:ascii="Times New Roman" w:hAnsi="Times New Roman"/>
          <w:sz w:val="24"/>
        </w:rPr>
      </w:pPr>
      <w:r>
        <w:rPr>
          <w:rFonts w:ascii="Times New Roman" w:hAnsi="Times New Roman"/>
          <w:sz w:val="24"/>
        </w:rPr>
        <w:t xml:space="preserve">3.  VA Form 21-4176 is available on the One-VA web site in a </w:t>
      </w:r>
      <w:proofErr w:type="spellStart"/>
      <w:r>
        <w:rPr>
          <w:rFonts w:ascii="Times New Roman" w:hAnsi="Times New Roman"/>
          <w:sz w:val="24"/>
        </w:rPr>
        <w:t>fillable</w:t>
      </w:r>
      <w:proofErr w:type="spellEnd"/>
      <w:r>
        <w:rPr>
          <w:rFonts w:ascii="Times New Roman" w:hAnsi="Times New Roman"/>
          <w:sz w:val="24"/>
        </w:rPr>
        <w:t xml:space="preserv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forms to be incorporated with an existing centralized legacy database.   Veterans Online Applications (VONAPP) allows applicants to view, print, and </w:t>
      </w:r>
      <w:proofErr w:type="gramStart"/>
      <w:r>
        <w:rPr>
          <w:rFonts w:ascii="Times New Roman" w:hAnsi="Times New Roman"/>
          <w:sz w:val="24"/>
        </w:rPr>
        <w:t>submit</w:t>
      </w:r>
      <w:proofErr w:type="gramEnd"/>
      <w:r>
        <w:rPr>
          <w:rFonts w:ascii="Times New Roman" w:hAnsi="Times New Roman"/>
          <w:sz w:val="24"/>
        </w:rPr>
        <w:t xml:space="preserve"> applications electronically to VBA.  However, VA Form 21-4176 is not one of the forms to be added to VONAPP because estimated total usage of this form is minimal.  The Department will reconsider adding this form to VONAPP when the resources become available or if usage of this form becomes greater.</w:t>
      </w:r>
    </w:p>
    <w:p w:rsidR="00721C4C" w:rsidRDefault="00721C4C">
      <w:pPr>
        <w:pStyle w:val="BodyText2"/>
        <w:rPr>
          <w:rFonts w:ascii="Times New Roman" w:hAnsi="Times New Roman"/>
          <w:sz w:val="24"/>
        </w:rPr>
      </w:pPr>
    </w:p>
    <w:p w:rsidR="00721C4C" w:rsidRDefault="00721C4C">
      <w:pPr>
        <w:tabs>
          <w:tab w:val="left" w:pos="480"/>
          <w:tab w:val="right" w:pos="8640"/>
        </w:tabs>
        <w:ind w:right="684"/>
        <w:rPr>
          <w:sz w:val="24"/>
        </w:rPr>
      </w:pPr>
      <w:r>
        <w:rPr>
          <w:sz w:val="24"/>
        </w:rPr>
        <w:t>4.  Program reviews were conducted to identify potential areas of duplication; however, none were found to exist.  There is no known Department or Agency which maintains the necessary information, nor is it available from other sources within our Department.</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5.  The collection of information does not involve small businesses or entities.</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 xml:space="preserve">6.  Benefits are not payable where injury is the result of willful misconduct.  Without the information provided on this form, it would not be possible to obtain the information needed to make a determination of whether or not the injury was the result of willful misconduct.  </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7.  There is no special circumstance requiring collection in a manner inconsistent with 5 CFR 1320.6 guidelines.</w:t>
      </w:r>
    </w:p>
    <w:p w:rsidR="00721C4C" w:rsidRDefault="00721C4C">
      <w:pPr>
        <w:tabs>
          <w:tab w:val="left" w:pos="480"/>
          <w:tab w:val="right" w:pos="8640"/>
        </w:tabs>
        <w:ind w:right="684"/>
        <w:rPr>
          <w:sz w:val="24"/>
        </w:rPr>
      </w:pPr>
    </w:p>
    <w:p w:rsidR="00467EE1" w:rsidRDefault="00721C4C" w:rsidP="00467EE1">
      <w:pPr>
        <w:pStyle w:val="BodyText"/>
        <w:rPr>
          <w:rFonts w:ascii="Times New Roman" w:hAnsi="Times New Roman"/>
          <w:sz w:val="24"/>
        </w:rPr>
      </w:pPr>
      <w:r>
        <w:rPr>
          <w:sz w:val="24"/>
        </w:rPr>
        <w:t xml:space="preserve">8.  </w:t>
      </w:r>
      <w:r w:rsidR="00467EE1">
        <w:rPr>
          <w:rFonts w:ascii="Times New Roman" w:hAnsi="Times New Roman"/>
          <w:sz w:val="24"/>
        </w:rPr>
        <w:t xml:space="preserve">The Department notice was published in the Federal Register on </w:t>
      </w:r>
      <w:r w:rsidR="00B06A7B">
        <w:rPr>
          <w:rFonts w:ascii="Times New Roman" w:hAnsi="Times New Roman"/>
          <w:sz w:val="24"/>
        </w:rPr>
        <w:t>September 21, 2011</w:t>
      </w:r>
      <w:r w:rsidR="00467EE1">
        <w:rPr>
          <w:rFonts w:ascii="Times New Roman" w:hAnsi="Times New Roman"/>
          <w:sz w:val="24"/>
        </w:rPr>
        <w:t>, page</w:t>
      </w:r>
      <w:r w:rsidR="00B06A7B">
        <w:rPr>
          <w:rFonts w:ascii="Times New Roman" w:hAnsi="Times New Roman"/>
          <w:sz w:val="24"/>
        </w:rPr>
        <w:t>s</w:t>
      </w:r>
      <w:r w:rsidR="00467EE1">
        <w:rPr>
          <w:rFonts w:ascii="Times New Roman" w:hAnsi="Times New Roman"/>
          <w:sz w:val="24"/>
        </w:rPr>
        <w:t xml:space="preserve"> </w:t>
      </w:r>
      <w:r w:rsidR="00B06A7B">
        <w:rPr>
          <w:rFonts w:ascii="Times New Roman" w:hAnsi="Times New Roman"/>
          <w:sz w:val="24"/>
        </w:rPr>
        <w:t>58566-58567</w:t>
      </w:r>
      <w:r w:rsidR="00467EE1">
        <w:rPr>
          <w:rFonts w:ascii="Times New Roman" w:hAnsi="Times New Roman"/>
          <w:sz w:val="24"/>
        </w:rPr>
        <w:t>.  No comments were received</w:t>
      </w:r>
      <w:r w:rsidR="00B06A7B">
        <w:rPr>
          <w:rFonts w:ascii="Times New Roman" w:hAnsi="Times New Roman"/>
          <w:sz w:val="24"/>
        </w:rPr>
        <w:t xml:space="preserve"> in response to this notice</w:t>
      </w:r>
      <w:r w:rsidR="00467EE1">
        <w:rPr>
          <w:rFonts w:ascii="Times New Roman" w:hAnsi="Times New Roman"/>
          <w:sz w:val="24"/>
        </w:rPr>
        <w:t>.</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9.  No payments or gifts to respondents have been made under this collection of information.</w:t>
      </w:r>
    </w:p>
    <w:p w:rsidR="00721C4C" w:rsidRDefault="00721C4C">
      <w:pPr>
        <w:tabs>
          <w:tab w:val="left" w:pos="480"/>
          <w:tab w:val="right" w:pos="8640"/>
        </w:tabs>
        <w:ind w:right="684"/>
        <w:rPr>
          <w:sz w:val="24"/>
        </w:rPr>
      </w:pPr>
    </w:p>
    <w:p w:rsidR="00467EE1" w:rsidRPr="00924B82" w:rsidRDefault="00721C4C" w:rsidP="00467EE1">
      <w:pPr>
        <w:rPr>
          <w:sz w:val="24"/>
          <w:szCs w:val="24"/>
        </w:rPr>
      </w:pPr>
      <w:r>
        <w:rPr>
          <w:sz w:val="24"/>
        </w:rPr>
        <w:t xml:space="preserve">10.  </w:t>
      </w:r>
      <w:r w:rsidR="00467EE1" w:rsidRPr="00924B82">
        <w:rPr>
          <w:sz w:val="24"/>
          <w:szCs w:val="24"/>
        </w:rPr>
        <w:t>The records are maintained in the appropriate Privacy Act System of Records identified as 58VA21/22/28,</w:t>
      </w:r>
      <w:r w:rsidR="00467EE1">
        <w:rPr>
          <w:sz w:val="24"/>
          <w:szCs w:val="24"/>
        </w:rPr>
        <w:t xml:space="preserve"> </w:t>
      </w:r>
      <w:r w:rsidR="00467EE1" w:rsidRPr="00924B82">
        <w:rPr>
          <w:sz w:val="24"/>
          <w:szCs w:val="24"/>
        </w:rPr>
        <w:t>‘‘Compensation, Pension, Education, and Rehabilitation Records—VA ’’as set forth in Privacy Act Issuances, 1993 compilation found in 74 Fed. Reg. 117 (June 19, 2009).</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11.  There are no questions of a sensitive nature.</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12.  Estimate of Information Collection Burden.</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proofErr w:type="gramStart"/>
      <w:r>
        <w:rPr>
          <w:sz w:val="24"/>
        </w:rPr>
        <w:t>a.  Number</w:t>
      </w:r>
      <w:proofErr w:type="gramEnd"/>
      <w:r>
        <w:rPr>
          <w:sz w:val="24"/>
        </w:rPr>
        <w:t xml:space="preserve"> of Respondents is estimated at 4,400 per year.</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proofErr w:type="gramStart"/>
      <w:r>
        <w:rPr>
          <w:sz w:val="24"/>
        </w:rPr>
        <w:t>b.  Frequency</w:t>
      </w:r>
      <w:proofErr w:type="gramEnd"/>
      <w:r>
        <w:rPr>
          <w:sz w:val="24"/>
        </w:rPr>
        <w:t xml:space="preserve"> of Response is one time for most beneficiaries.  </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proofErr w:type="gramStart"/>
      <w:r>
        <w:rPr>
          <w:sz w:val="24"/>
        </w:rPr>
        <w:t>c.  Annual</w:t>
      </w:r>
      <w:proofErr w:type="gramEnd"/>
      <w:r>
        <w:rPr>
          <w:sz w:val="24"/>
        </w:rPr>
        <w:t xml:space="preserve"> burden is 2,200 hours.</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proofErr w:type="gramStart"/>
      <w:r>
        <w:rPr>
          <w:sz w:val="24"/>
        </w:rPr>
        <w:t>d.  The</w:t>
      </w:r>
      <w:proofErr w:type="gramEnd"/>
      <w:r>
        <w:rPr>
          <w:sz w:val="24"/>
        </w:rPr>
        <w:t xml:space="preserve"> estimated completion time of 30 minutes is based on review by staff personnel and previous usage of this form.</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proofErr w:type="gramStart"/>
      <w:r>
        <w:rPr>
          <w:sz w:val="24"/>
        </w:rPr>
        <w:t>e.  The</w:t>
      </w:r>
      <w:proofErr w:type="gramEnd"/>
      <w:r>
        <w:rPr>
          <w:sz w:val="24"/>
        </w:rPr>
        <w:t xml:space="preserve"> total estimated cost to respondents is $33,000 (2,200 hours x $15 per hour).</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13.  This submission does not involve any recordkeeping costs.</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14.  Estimated Costs to the Federal Government:</w:t>
      </w:r>
    </w:p>
    <w:p w:rsidR="00721C4C" w:rsidRDefault="00721C4C">
      <w:pPr>
        <w:tabs>
          <w:tab w:val="left" w:pos="480"/>
          <w:tab w:val="right" w:pos="8640"/>
        </w:tabs>
        <w:ind w:right="684"/>
        <w:rPr>
          <w:sz w:val="24"/>
        </w:rPr>
      </w:pPr>
    </w:p>
    <w:p w:rsidR="00721C4C" w:rsidRDefault="00721C4C">
      <w:pPr>
        <w:tabs>
          <w:tab w:val="left" w:pos="480"/>
          <w:tab w:val="right" w:pos="4680"/>
          <w:tab w:val="right" w:pos="8640"/>
        </w:tabs>
        <w:ind w:right="684"/>
        <w:rPr>
          <w:sz w:val="24"/>
        </w:rPr>
      </w:pPr>
      <w:proofErr w:type="gramStart"/>
      <w:r>
        <w:rPr>
          <w:sz w:val="24"/>
        </w:rPr>
        <w:t>a.  Processing</w:t>
      </w:r>
      <w:proofErr w:type="gramEnd"/>
      <w:r>
        <w:rPr>
          <w:sz w:val="24"/>
        </w:rPr>
        <w:t>/Analyzing costs</w:t>
      </w:r>
      <w:r>
        <w:rPr>
          <w:sz w:val="24"/>
        </w:rPr>
        <w:tab/>
      </w:r>
      <w:r>
        <w:rPr>
          <w:sz w:val="24"/>
        </w:rPr>
        <w:tab/>
        <w:t>$</w:t>
      </w:r>
      <w:r w:rsidR="00E3220F">
        <w:rPr>
          <w:sz w:val="24"/>
        </w:rPr>
        <w:t>104,401</w:t>
      </w:r>
    </w:p>
    <w:p w:rsidR="00721C4C" w:rsidRDefault="00721C4C">
      <w:pPr>
        <w:tabs>
          <w:tab w:val="left" w:pos="480"/>
          <w:tab w:val="right" w:pos="4680"/>
          <w:tab w:val="right" w:pos="8640"/>
        </w:tabs>
        <w:ind w:right="684"/>
        <w:rPr>
          <w:sz w:val="24"/>
        </w:rPr>
      </w:pPr>
      <w:r>
        <w:rPr>
          <w:sz w:val="24"/>
        </w:rPr>
        <w:tab/>
      </w:r>
      <w:r>
        <w:rPr>
          <w:sz w:val="24"/>
        </w:rPr>
        <w:tab/>
        <w:t>(GS-11/5 @ $</w:t>
      </w:r>
      <w:r w:rsidR="00E3220F">
        <w:rPr>
          <w:sz w:val="24"/>
        </w:rPr>
        <w:t>33.92</w:t>
      </w:r>
      <w:r>
        <w:rPr>
          <w:sz w:val="24"/>
        </w:rPr>
        <w:t xml:space="preserve"> x 4,400 x 15/60 minutes =    $ 3</w:t>
      </w:r>
      <w:r w:rsidR="00E3220F">
        <w:rPr>
          <w:sz w:val="24"/>
        </w:rPr>
        <w:t>7</w:t>
      </w:r>
      <w:r>
        <w:rPr>
          <w:sz w:val="24"/>
        </w:rPr>
        <w:t>,</w:t>
      </w:r>
      <w:r w:rsidR="00E3220F">
        <w:rPr>
          <w:sz w:val="24"/>
        </w:rPr>
        <w:t>312</w:t>
      </w:r>
      <w:r>
        <w:rPr>
          <w:sz w:val="24"/>
        </w:rPr>
        <w:t>)</w:t>
      </w:r>
    </w:p>
    <w:p w:rsidR="00721C4C" w:rsidRDefault="00721C4C">
      <w:pPr>
        <w:tabs>
          <w:tab w:val="left" w:pos="480"/>
          <w:tab w:val="right" w:pos="4680"/>
          <w:tab w:val="right" w:pos="8640"/>
        </w:tabs>
        <w:ind w:right="684"/>
        <w:rPr>
          <w:sz w:val="24"/>
        </w:rPr>
      </w:pPr>
      <w:r>
        <w:rPr>
          <w:sz w:val="24"/>
        </w:rPr>
        <w:tab/>
      </w:r>
      <w:r>
        <w:rPr>
          <w:sz w:val="24"/>
        </w:rPr>
        <w:tab/>
        <w:t>(GS-9/5 @ $</w:t>
      </w:r>
      <w:r w:rsidR="00E3220F">
        <w:rPr>
          <w:sz w:val="24"/>
        </w:rPr>
        <w:t>28.04</w:t>
      </w:r>
      <w:r>
        <w:rPr>
          <w:sz w:val="24"/>
        </w:rPr>
        <w:t xml:space="preserve"> x 4,400 x 30/60 minutes =      $</w:t>
      </w:r>
      <w:r w:rsidR="00E3220F">
        <w:rPr>
          <w:sz w:val="24"/>
        </w:rPr>
        <w:t>61,688</w:t>
      </w:r>
      <w:r>
        <w:rPr>
          <w:sz w:val="24"/>
        </w:rPr>
        <w:t>)</w:t>
      </w:r>
    </w:p>
    <w:p w:rsidR="00721C4C" w:rsidRDefault="00721C4C">
      <w:pPr>
        <w:tabs>
          <w:tab w:val="left" w:pos="480"/>
          <w:tab w:val="right" w:pos="4680"/>
          <w:tab w:val="right" w:pos="8640"/>
        </w:tabs>
        <w:ind w:right="684"/>
        <w:rPr>
          <w:sz w:val="24"/>
        </w:rPr>
      </w:pPr>
      <w:r>
        <w:rPr>
          <w:sz w:val="24"/>
        </w:rPr>
        <w:tab/>
      </w:r>
      <w:r>
        <w:rPr>
          <w:sz w:val="24"/>
        </w:rPr>
        <w:tab/>
        <w:t>(GS-3/5 @ $1</w:t>
      </w:r>
      <w:r w:rsidR="00E3220F">
        <w:rPr>
          <w:sz w:val="24"/>
        </w:rPr>
        <w:t>4</w:t>
      </w:r>
      <w:r>
        <w:rPr>
          <w:sz w:val="24"/>
        </w:rPr>
        <w:t xml:space="preserve">.73 x 4,400 x 5/60 minutes =        </w:t>
      </w:r>
      <w:proofErr w:type="gramStart"/>
      <w:r>
        <w:rPr>
          <w:sz w:val="24"/>
        </w:rPr>
        <w:t>$  5,</w:t>
      </w:r>
      <w:r w:rsidR="00E3220F">
        <w:rPr>
          <w:sz w:val="24"/>
        </w:rPr>
        <w:t>401</w:t>
      </w:r>
      <w:proofErr w:type="gramEnd"/>
      <w:r>
        <w:rPr>
          <w:sz w:val="24"/>
        </w:rPr>
        <w:t>)</w:t>
      </w:r>
    </w:p>
    <w:p w:rsidR="00721C4C" w:rsidRDefault="00721C4C">
      <w:pPr>
        <w:tabs>
          <w:tab w:val="left" w:pos="480"/>
          <w:tab w:val="right" w:pos="4680"/>
          <w:tab w:val="right" w:pos="8640"/>
        </w:tabs>
        <w:ind w:right="684"/>
        <w:rPr>
          <w:sz w:val="24"/>
        </w:rPr>
      </w:pPr>
    </w:p>
    <w:p w:rsidR="00721C4C" w:rsidRDefault="00721C4C">
      <w:pPr>
        <w:tabs>
          <w:tab w:val="left" w:pos="480"/>
          <w:tab w:val="right" w:pos="6120"/>
          <w:tab w:val="right" w:pos="8640"/>
        </w:tabs>
        <w:ind w:right="684"/>
        <w:rPr>
          <w:sz w:val="24"/>
        </w:rPr>
      </w:pPr>
      <w:proofErr w:type="gramStart"/>
      <w:r>
        <w:rPr>
          <w:sz w:val="24"/>
        </w:rPr>
        <w:t>b.  Printing</w:t>
      </w:r>
      <w:proofErr w:type="gramEnd"/>
      <w:r>
        <w:rPr>
          <w:sz w:val="24"/>
        </w:rPr>
        <w:t xml:space="preserve"> and production cost</w:t>
      </w:r>
      <w:r>
        <w:rPr>
          <w:sz w:val="24"/>
        </w:rPr>
        <w:tab/>
      </w:r>
      <w:r>
        <w:rPr>
          <w:sz w:val="24"/>
        </w:rPr>
        <w:tab/>
        <w:t>$165</w:t>
      </w:r>
    </w:p>
    <w:p w:rsidR="00721C4C" w:rsidRDefault="00721C4C">
      <w:pPr>
        <w:tabs>
          <w:tab w:val="left" w:pos="480"/>
          <w:tab w:val="right" w:pos="6120"/>
          <w:tab w:val="right" w:pos="8640"/>
        </w:tabs>
        <w:ind w:right="684"/>
        <w:rPr>
          <w:sz w:val="24"/>
        </w:rPr>
      </w:pPr>
    </w:p>
    <w:p w:rsidR="00721C4C" w:rsidRDefault="00721C4C">
      <w:pPr>
        <w:tabs>
          <w:tab w:val="left" w:pos="480"/>
          <w:tab w:val="right" w:pos="4680"/>
          <w:tab w:val="right" w:pos="8640"/>
        </w:tabs>
        <w:ind w:right="684"/>
        <w:rPr>
          <w:sz w:val="24"/>
        </w:rPr>
      </w:pPr>
      <w:proofErr w:type="gramStart"/>
      <w:r>
        <w:rPr>
          <w:sz w:val="24"/>
        </w:rPr>
        <w:t>c.  Total</w:t>
      </w:r>
      <w:proofErr w:type="gramEnd"/>
      <w:r>
        <w:rPr>
          <w:sz w:val="24"/>
        </w:rPr>
        <w:t xml:space="preserve"> cost to government</w:t>
      </w:r>
      <w:r>
        <w:rPr>
          <w:sz w:val="24"/>
        </w:rPr>
        <w:tab/>
      </w:r>
      <w:r>
        <w:rPr>
          <w:sz w:val="24"/>
        </w:rPr>
        <w:tab/>
        <w:t xml:space="preserve">$ </w:t>
      </w:r>
      <w:r w:rsidR="00E3220F">
        <w:rPr>
          <w:sz w:val="24"/>
        </w:rPr>
        <w:t>104,566</w:t>
      </w:r>
    </w:p>
    <w:p w:rsidR="00721C4C" w:rsidRDefault="00721C4C">
      <w:pPr>
        <w:tabs>
          <w:tab w:val="left" w:pos="480"/>
          <w:tab w:val="right" w:pos="8640"/>
        </w:tabs>
        <w:ind w:right="684"/>
        <w:rPr>
          <w:sz w:val="24"/>
        </w:rPr>
      </w:pPr>
    </w:p>
    <w:p w:rsidR="00721C4C" w:rsidRDefault="00721C4C">
      <w:pPr>
        <w:pStyle w:val="BodyText2"/>
        <w:rPr>
          <w:rFonts w:ascii="Times New Roman" w:hAnsi="Times New Roman"/>
          <w:sz w:val="24"/>
        </w:rPr>
      </w:pPr>
      <w:r w:rsidRPr="00B06A7B">
        <w:rPr>
          <w:rFonts w:ascii="Times New Roman" w:hAnsi="Times New Roman"/>
          <w:sz w:val="24"/>
        </w:rPr>
        <w:t>15</w:t>
      </w:r>
      <w:r>
        <w:rPr>
          <w:sz w:val="24"/>
        </w:rPr>
        <w:t xml:space="preserve">.  </w:t>
      </w:r>
      <w:r>
        <w:rPr>
          <w:rFonts w:ascii="Times New Roman" w:hAnsi="Times New Roman"/>
          <w:sz w:val="24"/>
        </w:rPr>
        <w:t>The reporting burden has not changed.</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16.  The information collection is not for publication or tabulation use.</w:t>
      </w:r>
    </w:p>
    <w:p w:rsidR="00721C4C" w:rsidRDefault="00721C4C">
      <w:pPr>
        <w:tabs>
          <w:tab w:val="left" w:pos="480"/>
          <w:tab w:val="right" w:pos="8640"/>
        </w:tabs>
        <w:ind w:right="684"/>
        <w:rPr>
          <w:sz w:val="24"/>
        </w:rPr>
      </w:pPr>
    </w:p>
    <w:p w:rsidR="00721C4C" w:rsidRDefault="00721C4C">
      <w:pPr>
        <w:tabs>
          <w:tab w:val="left" w:pos="480"/>
          <w:tab w:val="right" w:pos="8640"/>
        </w:tabs>
        <w:ind w:right="504"/>
        <w:rPr>
          <w:sz w:val="24"/>
        </w:rPr>
      </w:pPr>
      <w:r>
        <w:rPr>
          <w:sz w:val="24"/>
        </w:rPr>
        <w:t xml:space="preserve">17.  The collection instrument, VA Form 21-4176, may be reproduced and/or stocked by the respondents and veterans service organizations.  This VA form does not display an expiration date, and if required to do so would result in unnecessary waste of existing </w:t>
      </w:r>
      <w:r>
        <w:rPr>
          <w:sz w:val="24"/>
        </w:rPr>
        <w:lastRenderedPageBreak/>
        <w:t>stocks of this form.  This form is submitted to OMB every 3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VA Form 21-4176.</w:t>
      </w:r>
    </w:p>
    <w:p w:rsidR="00721C4C" w:rsidRDefault="00721C4C">
      <w:pPr>
        <w:tabs>
          <w:tab w:val="left" w:pos="480"/>
          <w:tab w:val="right" w:pos="8640"/>
        </w:tabs>
        <w:ind w:right="684"/>
        <w:rPr>
          <w:sz w:val="24"/>
        </w:rPr>
      </w:pPr>
    </w:p>
    <w:p w:rsidR="00721C4C" w:rsidRDefault="00721C4C">
      <w:pPr>
        <w:tabs>
          <w:tab w:val="left" w:pos="480"/>
          <w:tab w:val="right" w:pos="8640"/>
        </w:tabs>
        <w:ind w:right="684"/>
        <w:rPr>
          <w:sz w:val="24"/>
        </w:rPr>
      </w:pPr>
      <w:r>
        <w:rPr>
          <w:sz w:val="24"/>
        </w:rPr>
        <w:t>18.  This submission does not contain any exceptions to the certification statement.</w:t>
      </w:r>
    </w:p>
    <w:p w:rsidR="00721C4C" w:rsidRDefault="00721C4C">
      <w:pPr>
        <w:rPr>
          <w:sz w:val="24"/>
        </w:rPr>
      </w:pPr>
    </w:p>
    <w:p w:rsidR="00721C4C" w:rsidRDefault="00721C4C">
      <w:pPr>
        <w:autoSpaceDE w:val="0"/>
        <w:autoSpaceDN w:val="0"/>
        <w:adjustRightInd w:val="0"/>
        <w:jc w:val="both"/>
        <w:rPr>
          <w:sz w:val="24"/>
          <w:szCs w:val="24"/>
        </w:rPr>
      </w:pPr>
      <w:r>
        <w:rPr>
          <w:sz w:val="24"/>
          <w:szCs w:val="24"/>
        </w:rPr>
        <w:t xml:space="preserve">B.  </w:t>
      </w:r>
      <w:r>
        <w:rPr>
          <w:sz w:val="24"/>
          <w:szCs w:val="24"/>
          <w:u w:val="single"/>
        </w:rPr>
        <w:t>Collection of Information Employing Statistical Methods</w:t>
      </w:r>
    </w:p>
    <w:p w:rsidR="00721C4C" w:rsidRDefault="00721C4C">
      <w:pPr>
        <w:autoSpaceDE w:val="0"/>
        <w:autoSpaceDN w:val="0"/>
        <w:adjustRightInd w:val="0"/>
        <w:jc w:val="both"/>
        <w:rPr>
          <w:sz w:val="24"/>
          <w:szCs w:val="24"/>
        </w:rPr>
      </w:pPr>
    </w:p>
    <w:p w:rsidR="00721C4C" w:rsidRDefault="00721C4C">
      <w:pPr>
        <w:autoSpaceDE w:val="0"/>
        <w:autoSpaceDN w:val="0"/>
        <w:adjustRightInd w:val="0"/>
        <w:jc w:val="both"/>
        <w:rPr>
          <w:sz w:val="24"/>
        </w:rPr>
      </w:pPr>
      <w:r>
        <w:rPr>
          <w:sz w:val="24"/>
          <w:szCs w:val="24"/>
        </w:rPr>
        <w:t xml:space="preserve">The </w:t>
      </w:r>
      <w:r w:rsidR="00B06A7B">
        <w:rPr>
          <w:sz w:val="24"/>
          <w:szCs w:val="24"/>
        </w:rPr>
        <w:t>data collection</w:t>
      </w:r>
      <w:r>
        <w:rPr>
          <w:sz w:val="24"/>
          <w:szCs w:val="24"/>
        </w:rPr>
        <w:t xml:space="preserve"> does not </w:t>
      </w:r>
      <w:r w:rsidR="00B06A7B">
        <w:rPr>
          <w:sz w:val="24"/>
          <w:szCs w:val="24"/>
        </w:rPr>
        <w:t>employ</w:t>
      </w:r>
      <w:r>
        <w:rPr>
          <w:sz w:val="24"/>
          <w:szCs w:val="24"/>
        </w:rPr>
        <w:t xml:space="preserve"> statistical methods.</w:t>
      </w:r>
    </w:p>
    <w:p w:rsidR="00721C4C" w:rsidRDefault="00721C4C">
      <w:pPr>
        <w:rPr>
          <w:sz w:val="24"/>
        </w:rPr>
      </w:pPr>
    </w:p>
    <w:sectPr w:rsidR="00721C4C" w:rsidSect="00533380">
      <w:pgSz w:w="12240" w:h="15840"/>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467EE1"/>
    <w:rsid w:val="002442FB"/>
    <w:rsid w:val="00467EE1"/>
    <w:rsid w:val="00533380"/>
    <w:rsid w:val="00721C4C"/>
    <w:rsid w:val="00B06A7B"/>
    <w:rsid w:val="00E322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80"/>
  </w:style>
  <w:style w:type="paragraph" w:styleId="Heading1">
    <w:name w:val="heading 1"/>
    <w:basedOn w:val="Normal"/>
    <w:next w:val="Normal"/>
    <w:qFormat/>
    <w:rsid w:val="00533380"/>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533380"/>
    <w:rPr>
      <w:color w:val="0000FF"/>
      <w:u w:val="single"/>
    </w:rPr>
  </w:style>
  <w:style w:type="paragraph" w:styleId="BodyText">
    <w:name w:val="Body Text"/>
    <w:basedOn w:val="Normal"/>
    <w:semiHidden/>
    <w:rsid w:val="00533380"/>
    <w:rPr>
      <w:rFonts w:ascii="Arial" w:hAnsi="Arial"/>
      <w:sz w:val="22"/>
    </w:rPr>
  </w:style>
  <w:style w:type="paragraph" w:customStyle="1" w:styleId="Preformatted">
    <w:name w:val="Preformatted"/>
    <w:basedOn w:val="Normal"/>
    <w:rsid w:val="0053338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sid w:val="00533380"/>
    <w:rPr>
      <w:b/>
    </w:rPr>
  </w:style>
  <w:style w:type="paragraph" w:styleId="BodyText2">
    <w:name w:val="Body Text 2"/>
    <w:basedOn w:val="Normal"/>
    <w:semiHidden/>
    <w:rsid w:val="00533380"/>
    <w:pPr>
      <w:tabs>
        <w:tab w:val="left" w:pos="480"/>
        <w:tab w:val="right" w:pos="8640"/>
      </w:tabs>
      <w:ind w:right="684"/>
    </w:pPr>
    <w:rPr>
      <w:rFonts w:ascii="Arial" w:hAnsi="Arial"/>
      <w:sz w:val="22"/>
    </w:rPr>
  </w:style>
  <w:style w:type="character" w:styleId="FollowedHyperlink">
    <w:name w:val="FollowedHyperlink"/>
    <w:basedOn w:val="DefaultParagraphFont"/>
    <w:semiHidden/>
    <w:rsid w:val="0053338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838</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Supporting Statement for VA Form 21-4502</vt:lpstr>
    </vt:vector>
  </TitlesOfParts>
  <Company>Dept. of Veterans Affairs</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21-4502</dc:title>
  <dc:subject/>
  <dc:creator>VBA</dc:creator>
  <cp:keywords/>
  <dc:description/>
  <cp:lastModifiedBy>vacomclamd</cp:lastModifiedBy>
  <cp:revision>3</cp:revision>
  <cp:lastPrinted>2001-05-29T15:20:00Z</cp:lastPrinted>
  <dcterms:created xsi:type="dcterms:W3CDTF">2011-12-09T18:19:00Z</dcterms:created>
  <dcterms:modified xsi:type="dcterms:W3CDTF">2011-12-09T18:32:00Z</dcterms:modified>
</cp:coreProperties>
</file>