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rsidP="00A41593">
      <w:pPr>
        <w:suppressAutoHyphens/>
        <w:jc w:val="center"/>
        <w:rPr>
          <w:rFonts w:ascii="Times New Roman" w:hAnsi="Times New Roman"/>
        </w:rPr>
      </w:pPr>
      <w:r>
        <w:rPr>
          <w:rFonts w:ascii="Times New Roman" w:hAnsi="Times New Roman"/>
        </w:rPr>
        <w:t>SUPPORTING STATEMENT FOR NEW AND REVISED INFORMATION COLLECTIONS</w:t>
      </w:r>
    </w:p>
    <w:p w:rsidR="00A41593" w:rsidRDefault="00A41593" w:rsidP="00A41593">
      <w:pPr>
        <w:suppressAutoHyphens/>
        <w:jc w:val="center"/>
        <w:rPr>
          <w:rFonts w:ascii="Times New Roman" w:hAnsi="Times New Roman"/>
        </w:rPr>
      </w:pPr>
    </w:p>
    <w:p w:rsidR="00A41593" w:rsidRDefault="00A41593" w:rsidP="00A41593">
      <w:pPr>
        <w:suppressAutoHyphens/>
        <w:jc w:val="center"/>
        <w:rPr>
          <w:rFonts w:ascii="Times New Roman" w:hAnsi="Times New Roman"/>
          <w:u w:val="single"/>
        </w:rPr>
      </w:pPr>
      <w:r>
        <w:rPr>
          <w:rFonts w:ascii="Times New Roman" w:hAnsi="Times New Roman"/>
          <w:u w:val="single"/>
        </w:rPr>
        <w:t>Privacy of Consumer Financial Information</w:t>
      </w:r>
    </w:p>
    <w:p w:rsidR="00A41593" w:rsidRDefault="00A41593" w:rsidP="00A41593">
      <w:pPr>
        <w:suppressAutoHyphens/>
        <w:jc w:val="center"/>
        <w:rPr>
          <w:rFonts w:ascii="Times New Roman" w:hAnsi="Times New Roman"/>
        </w:rPr>
      </w:pPr>
    </w:p>
    <w:p w:rsidR="002D133A" w:rsidRDefault="00A41593">
      <w:pPr>
        <w:tabs>
          <w:tab w:val="center" w:pos="4680"/>
        </w:tabs>
        <w:suppressAutoHyphens/>
        <w:rPr>
          <w:rFonts w:ascii="Times New Roman" w:hAnsi="Times New Roman"/>
        </w:rPr>
      </w:pPr>
      <w:r>
        <w:rPr>
          <w:rFonts w:ascii="Times New Roman" w:hAnsi="Times New Roman"/>
        </w:rPr>
        <w:tab/>
        <w:t>OMB CONTROL NUMBER -</w:t>
      </w:r>
      <w:r w:rsidR="002D133A">
        <w:rPr>
          <w:rFonts w:ascii="Times New Roman" w:hAnsi="Times New Roman"/>
        </w:rPr>
        <w:t>3038</w:t>
      </w:r>
      <w:r>
        <w:rPr>
          <w:rFonts w:ascii="Times New Roman" w:hAnsi="Times New Roman"/>
        </w:rPr>
        <w:t xml:space="preserve"> </w:t>
      </w:r>
      <w:r w:rsidR="002D133A">
        <w:rPr>
          <w:rFonts w:ascii="Times New Roman" w:hAnsi="Times New Roman"/>
        </w:rPr>
        <w:t>-</w:t>
      </w:r>
      <w:r>
        <w:rPr>
          <w:rFonts w:ascii="Times New Roman" w:hAnsi="Times New Roman"/>
        </w:rPr>
        <w:t>00</w:t>
      </w:r>
      <w:r w:rsidR="004C2994">
        <w:rPr>
          <w:rFonts w:ascii="Times New Roman" w:hAnsi="Times New Roman"/>
        </w:rPr>
        <w:t>55</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D133A" w:rsidRDefault="002D133A">
      <w:pPr>
        <w:tabs>
          <w:tab w:val="left" w:pos="-720"/>
        </w:tabs>
        <w:suppressAutoHyphens/>
        <w:rPr>
          <w:rFonts w:ascii="Times New Roman" w:hAnsi="Times New Roman"/>
        </w:rPr>
      </w:pPr>
    </w:p>
    <w:p w:rsidR="004C2994" w:rsidRDefault="004C2994">
      <w:pPr>
        <w:tabs>
          <w:tab w:val="left" w:pos="-720"/>
        </w:tabs>
        <w:suppressAutoHyphens/>
        <w:rPr>
          <w:rFonts w:ascii="Times New Roman" w:hAnsi="Times New Roman"/>
        </w:rPr>
      </w:pPr>
      <w:r>
        <w:rPr>
          <w:rFonts w:ascii="Times New Roman" w:hAnsi="Times New Roman"/>
        </w:rPr>
        <w:tab/>
        <w:t>Section 124 of the Commodity Futures Modernization Act of 2000 (“CFMA”) amended the Commodity Exchange Act (the “Act”) and added a new Section 5g to the Act to make the Commission a Federal functional regulator for purposes of applying the provisions of Title V, Subtitle A of the Gramm-Leach-Bliley Act (</w:t>
      </w:r>
      <w:r w:rsidR="001E7F5A">
        <w:rPr>
          <w:rFonts w:ascii="Times New Roman" w:hAnsi="Times New Roman"/>
        </w:rPr>
        <w:t>“GLB Act”) addressing consumer privacy to futures commission merchant (“FCM”), commodity trading advisor (“CTA”), commodity pool operator (“CPO”) or introducing broker (“IB”) that is subject to the Commission’s jurisdiction with respect to any financial activity.  In general, Title V requires financial institutions to provide notice to consumers about the institution’s privacy policies and practices, to restrict the ability of a financial institution to share nonpublic personal information about consumers to nonaffiliated third parties, and to permit consumers to prevent the institution from disclosing nonpublic personal information about them to certain non-affiliated third parties by “opting out” of that disclosure.  Part 160 of the Commission’s regulations implement the mandates of Section 124 and Title V of the GLB Act.</w:t>
      </w:r>
    </w:p>
    <w:p w:rsidR="005E62EF" w:rsidRDefault="005E62EF">
      <w:pPr>
        <w:tabs>
          <w:tab w:val="left" w:pos="-720"/>
        </w:tabs>
        <w:suppressAutoHyphens/>
        <w:rPr>
          <w:rFonts w:ascii="Times New Roman" w:hAnsi="Times New Roman"/>
        </w:rPr>
      </w:pPr>
    </w:p>
    <w:p w:rsidR="00934362" w:rsidRDefault="005E62EF">
      <w:pPr>
        <w:tabs>
          <w:tab w:val="left" w:pos="-720"/>
        </w:tabs>
        <w:suppressAutoHyphens/>
        <w:rPr>
          <w:rFonts w:ascii="Times New Roman" w:hAnsi="Times New Roman"/>
        </w:rPr>
      </w:pPr>
      <w:r>
        <w:rPr>
          <w:rFonts w:ascii="Times New Roman" w:hAnsi="Times New Roman"/>
        </w:rPr>
        <w:tab/>
      </w:r>
      <w:proofErr w:type="gramStart"/>
      <w:r>
        <w:rPr>
          <w:rFonts w:ascii="Times New Roman" w:hAnsi="Times New Roman"/>
        </w:rPr>
        <w:t>The passage of the Dodd-Frank Wall Street Reform and Consumer Protection Act (“Dodd-Frank Act”), Pub.</w:t>
      </w:r>
      <w:proofErr w:type="gramEnd"/>
      <w:r>
        <w:rPr>
          <w:rFonts w:ascii="Times New Roman" w:hAnsi="Times New Roman"/>
        </w:rPr>
        <w:t xml:space="preserve"> L. No. 111-203, 124 Stat. 1376 (2010),</w:t>
      </w:r>
      <w:r w:rsidR="00493088">
        <w:rPr>
          <w:rFonts w:ascii="Times New Roman" w:hAnsi="Times New Roman"/>
        </w:rPr>
        <w:t xml:space="preserve"> broadened the Commission’s regulatory authority under the GLB Act</w:t>
      </w:r>
      <w:r w:rsidR="00E1260A">
        <w:rPr>
          <w:rFonts w:ascii="Times New Roman" w:hAnsi="Times New Roman"/>
        </w:rPr>
        <w:t xml:space="preserve"> to cover two new entities:</w:t>
      </w:r>
      <w:r w:rsidR="00E1260A" w:rsidRPr="00E1260A">
        <w:rPr>
          <w:rFonts w:ascii="Times New Roman" w:hAnsi="Times New Roman"/>
        </w:rPr>
        <w:t xml:space="preserve"> </w:t>
      </w:r>
      <w:r w:rsidR="00E1260A">
        <w:rPr>
          <w:rFonts w:ascii="Times New Roman" w:hAnsi="Times New Roman"/>
        </w:rPr>
        <w:t xml:space="preserve">swap dealers and major swap participants.  </w:t>
      </w:r>
      <w:r w:rsidR="000376FB">
        <w:rPr>
          <w:rFonts w:ascii="Times New Roman" w:hAnsi="Times New Roman"/>
        </w:rPr>
        <w:t xml:space="preserve">Specifically, amendments to the GLB Act found in </w:t>
      </w:r>
      <w:r w:rsidR="00E1260A">
        <w:rPr>
          <w:rFonts w:ascii="Times New Roman" w:hAnsi="Times New Roman"/>
        </w:rPr>
        <w:t>section 1093 of the Dodd-Frank Act, reaffirmed the Commission’s authority to promulgate regulations to require entities that are subject to the Commission’s jurisdiction to provide certain privacy protections for consumer financial information</w:t>
      </w:r>
      <w:r w:rsidR="00493088">
        <w:rPr>
          <w:rFonts w:ascii="Times New Roman" w:hAnsi="Times New Roman"/>
        </w:rPr>
        <w:t xml:space="preserve">. </w:t>
      </w:r>
      <w:r w:rsidR="00934362">
        <w:rPr>
          <w:rFonts w:ascii="Times New Roman" w:hAnsi="Times New Roman"/>
        </w:rPr>
        <w:t xml:space="preserve"> </w:t>
      </w:r>
    </w:p>
    <w:p w:rsidR="00934362" w:rsidRDefault="00934362">
      <w:pPr>
        <w:tabs>
          <w:tab w:val="left" w:pos="-720"/>
        </w:tabs>
        <w:suppressAutoHyphens/>
        <w:rPr>
          <w:rFonts w:ascii="Times New Roman" w:hAnsi="Times New Roman"/>
        </w:rPr>
      </w:pPr>
    </w:p>
    <w:p w:rsidR="002D133A" w:rsidRDefault="00934362">
      <w:pPr>
        <w:tabs>
          <w:tab w:val="left" w:pos="-720"/>
        </w:tabs>
        <w:suppressAutoHyphens/>
        <w:rPr>
          <w:rFonts w:ascii="Times New Roman" w:hAnsi="Times New Roman"/>
        </w:rPr>
      </w:pPr>
      <w:r>
        <w:rPr>
          <w:rFonts w:ascii="Times New Roman" w:hAnsi="Times New Roman"/>
        </w:rPr>
        <w:tab/>
        <w:t>The Commission’s privacy</w:t>
      </w:r>
      <w:r w:rsidR="000376FB">
        <w:rPr>
          <w:rFonts w:ascii="Times New Roman" w:hAnsi="Times New Roman"/>
        </w:rPr>
        <w:t xml:space="preserve"> rules—Part 160—require </w:t>
      </w:r>
      <w:r>
        <w:rPr>
          <w:rFonts w:ascii="Times New Roman" w:hAnsi="Times New Roman"/>
        </w:rPr>
        <w:t xml:space="preserve">those subject to the regulations to adopt appropriate policies and procedures to safeguard customer records and information, </w:t>
      </w:r>
      <w:r w:rsidR="000376FB">
        <w:rPr>
          <w:rFonts w:ascii="Times New Roman" w:hAnsi="Times New Roman"/>
        </w:rPr>
        <w:t xml:space="preserve">by </w:t>
      </w:r>
      <w:r>
        <w:rPr>
          <w:rFonts w:ascii="Times New Roman" w:hAnsi="Times New Roman"/>
        </w:rPr>
        <w:t xml:space="preserve">providing initial and annual privacy notices to customers, and </w:t>
      </w:r>
      <w:r w:rsidR="000376FB">
        <w:rPr>
          <w:rFonts w:ascii="Times New Roman" w:hAnsi="Times New Roman"/>
        </w:rPr>
        <w:t xml:space="preserve">by </w:t>
      </w:r>
      <w:r>
        <w:rPr>
          <w:rFonts w:ascii="Times New Roman" w:hAnsi="Times New Roman"/>
        </w:rPr>
        <w:t>providing opt-out provisions to the extent that those subject to the regulations wish to share such records and information with non-affiliates.</w:t>
      </w:r>
      <w:r w:rsidR="000376FB">
        <w:rPr>
          <w:rFonts w:ascii="Times New Roman" w:hAnsi="Times New Roman"/>
        </w:rPr>
        <w:t xml:space="preserve">  Accordingly, in compliance with the Dodd-Frank Act’s mandate to </w:t>
      </w:r>
      <w:r w:rsidR="003233A6">
        <w:rPr>
          <w:rFonts w:ascii="Times New Roman" w:hAnsi="Times New Roman"/>
        </w:rPr>
        <w:t>add</w:t>
      </w:r>
      <w:r w:rsidR="000376FB">
        <w:rPr>
          <w:rFonts w:ascii="Times New Roman" w:hAnsi="Times New Roman"/>
        </w:rPr>
        <w:t xml:space="preserve"> swap dealers and major swap participants </w:t>
      </w:r>
      <w:r w:rsidR="003233A6">
        <w:rPr>
          <w:rFonts w:ascii="Times New Roman" w:hAnsi="Times New Roman"/>
        </w:rPr>
        <w:t>to</w:t>
      </w:r>
      <w:r w:rsidR="000376FB">
        <w:rPr>
          <w:rFonts w:ascii="Times New Roman" w:hAnsi="Times New Roman"/>
        </w:rPr>
        <w:t xml:space="preserve"> the Commission’s regulatory </w:t>
      </w:r>
      <w:proofErr w:type="gramStart"/>
      <w:r w:rsidR="000376FB">
        <w:rPr>
          <w:rFonts w:ascii="Times New Roman" w:hAnsi="Times New Roman"/>
        </w:rPr>
        <w:t>authority,</w:t>
      </w:r>
      <w:proofErr w:type="gramEnd"/>
      <w:r w:rsidR="000376FB">
        <w:rPr>
          <w:rFonts w:ascii="Times New Roman" w:hAnsi="Times New Roman"/>
        </w:rPr>
        <w:t xml:space="preserve"> this collection has been amended to reflect the registration of these entities.  Adding these entities will increase the burden hours accordingly.</w:t>
      </w:r>
    </w:p>
    <w:p w:rsidR="00E1260A" w:rsidRDefault="00E1260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lastRenderedPageBreak/>
        <w:t>2.</w:t>
      </w:r>
      <w:r>
        <w:rPr>
          <w:rFonts w:ascii="Times New Roman" w:hAnsi="Times New Roman"/>
        </w:rPr>
        <w:tab/>
      </w:r>
      <w:r>
        <w:rPr>
          <w:rFonts w:ascii="Times New Roman" w:hAnsi="Times New Roman"/>
          <w:u w:val="single"/>
        </w:rPr>
        <w:t>Indicate how, by whom, and for what purpose the date would be used.  Except for a new collection, indicate the actual use the agency has made of the information received from the current collection</w:t>
      </w:r>
      <w:r>
        <w:rPr>
          <w:rFonts w:ascii="Times New Roman" w:hAnsi="Times New Roman"/>
        </w:rPr>
        <w:t>.</w:t>
      </w:r>
      <w:bookmarkStart w:id="0" w:name="_GoBack"/>
      <w:bookmarkEnd w:id="0"/>
    </w:p>
    <w:p w:rsidR="00C0648F" w:rsidRDefault="00C0648F">
      <w:pPr>
        <w:tabs>
          <w:tab w:val="left" w:pos="-720"/>
        </w:tabs>
        <w:suppressAutoHyphens/>
        <w:ind w:left="720" w:hanging="720"/>
        <w:rPr>
          <w:rFonts w:ascii="Times New Roman" w:hAnsi="Times New Roman"/>
        </w:rPr>
      </w:pPr>
    </w:p>
    <w:p w:rsidR="002D133A" w:rsidRDefault="002D133A" w:rsidP="003233A6">
      <w:pPr>
        <w:tabs>
          <w:tab w:val="left" w:pos="-720"/>
        </w:tabs>
        <w:suppressAutoHyphens/>
        <w:rPr>
          <w:rFonts w:ascii="Times New Roman" w:hAnsi="Times New Roman"/>
        </w:rPr>
      </w:pPr>
      <w:r>
        <w:rPr>
          <w:rFonts w:ascii="Times New Roman" w:hAnsi="Times New Roman"/>
        </w:rPr>
        <w:tab/>
      </w:r>
      <w:r w:rsidR="003233A6">
        <w:rPr>
          <w:rFonts w:ascii="Times New Roman" w:hAnsi="Times New Roman"/>
        </w:rPr>
        <w:t>The financial institutions covered by these regulations must prepare and provide the initial privacy notice to all current and all new customers at the time of establishing a customer relationship.  Subsequently, an annual notice must be provided to all cu</w:t>
      </w:r>
      <w:r w:rsidR="00B64B15">
        <w:rPr>
          <w:rFonts w:ascii="Times New Roman" w:hAnsi="Times New Roman"/>
        </w:rPr>
        <w:t>stomers at least once during a 12</w:t>
      </w:r>
      <w:r w:rsidR="003233A6">
        <w:rPr>
          <w:rFonts w:ascii="Times New Roman" w:hAnsi="Times New Roman"/>
        </w:rPr>
        <w:t>–month period during the continuation of the customer relationship.  The initial notice and opt out notice must be provided to a consumer prior to disclosing nonpublic personal information to certain nonaffiliated third parties.</w:t>
      </w:r>
    </w:p>
    <w:p w:rsidR="003233A6" w:rsidRDefault="003233A6" w:rsidP="003233A6">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33A6" w:rsidRDefault="003233A6">
      <w:pPr>
        <w:tabs>
          <w:tab w:val="left" w:pos="-720"/>
          <w:tab w:val="left" w:pos="0"/>
        </w:tabs>
        <w:suppressAutoHyphens/>
        <w:ind w:left="720" w:hanging="720"/>
        <w:rPr>
          <w:rFonts w:ascii="Times New Roman" w:hAnsi="Times New Roman"/>
        </w:rPr>
      </w:pPr>
    </w:p>
    <w:p w:rsidR="003233A6" w:rsidRDefault="008B790B" w:rsidP="00B64B15">
      <w:pPr>
        <w:tabs>
          <w:tab w:val="left" w:pos="-720"/>
          <w:tab w:val="left" w:pos="0"/>
        </w:tabs>
        <w:suppressAutoHyphens/>
        <w:rPr>
          <w:rFonts w:ascii="Times New Roman" w:hAnsi="Times New Roman"/>
        </w:rPr>
      </w:pPr>
      <w:r>
        <w:rPr>
          <w:rFonts w:ascii="Times New Roman" w:hAnsi="Times New Roman"/>
        </w:rPr>
        <w:tab/>
      </w:r>
      <w:r w:rsidR="003233A6">
        <w:rPr>
          <w:rFonts w:ascii="Times New Roman" w:hAnsi="Times New Roman"/>
        </w:rPr>
        <w:t xml:space="preserve">The required privacy notices may be distributed to consumers electronically </w:t>
      </w:r>
      <w:r>
        <w:rPr>
          <w:rFonts w:ascii="Times New Roman" w:hAnsi="Times New Roman"/>
        </w:rPr>
        <w:t>upon the consumer’s consent.  Therefore, a financial institution may reasonably expect that a customer who uses the institution’s website to obtain financial products and services will receive actual notice of the annual privacy notice if the customer has agreed to accept notices at the institution’s website and the institution continuously posts a current notice of its privacy policies and practices in a clear and conspicuous manner on the website.  In addition, the regulations provide that an institution may provide an electronic mail address as a reasonable means for the consumer to opt out of the institutions’ information sharing practices with non-affiliated third parties.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2D133A" w:rsidRDefault="002D133A">
      <w:pPr>
        <w:tabs>
          <w:tab w:val="left" w:pos="-720"/>
        </w:tabs>
        <w:suppressAutoHyphens/>
        <w:rPr>
          <w:rFonts w:ascii="Times New Roman" w:hAnsi="Times New Roman"/>
        </w:rPr>
      </w:pPr>
    </w:p>
    <w:p w:rsidR="008B790B" w:rsidRDefault="008B790B">
      <w:pPr>
        <w:tabs>
          <w:tab w:val="left" w:pos="-720"/>
        </w:tabs>
        <w:suppressAutoHyphens/>
        <w:rPr>
          <w:rFonts w:ascii="Times New Roman" w:hAnsi="Times New Roman"/>
        </w:rPr>
      </w:pPr>
      <w:r>
        <w:rPr>
          <w:rFonts w:ascii="Times New Roman" w:hAnsi="Times New Roman"/>
        </w:rPr>
        <w:tab/>
        <w:t>The type of information required to be collected under the regulation is not currently collected nor is the information available for public disclosure through any other source.</w:t>
      </w:r>
    </w:p>
    <w:p w:rsidR="008B790B" w:rsidRDefault="008B790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8B790B" w:rsidRDefault="008B790B">
      <w:pPr>
        <w:tabs>
          <w:tab w:val="left" w:pos="-720"/>
          <w:tab w:val="left" w:pos="0"/>
        </w:tabs>
        <w:suppressAutoHyphens/>
        <w:ind w:left="720" w:hanging="720"/>
        <w:rPr>
          <w:rFonts w:ascii="Times New Roman" w:hAnsi="Times New Roman"/>
        </w:rPr>
      </w:pPr>
    </w:p>
    <w:p w:rsidR="008B790B" w:rsidRDefault="008B790B" w:rsidP="00B64B15">
      <w:pPr>
        <w:tabs>
          <w:tab w:val="left" w:pos="-720"/>
          <w:tab w:val="left" w:pos="0"/>
        </w:tabs>
        <w:suppressAutoHyphens/>
        <w:rPr>
          <w:rFonts w:ascii="Times New Roman" w:hAnsi="Times New Roman"/>
        </w:rPr>
      </w:pPr>
      <w:r>
        <w:rPr>
          <w:rFonts w:ascii="Times New Roman" w:hAnsi="Times New Roman"/>
        </w:rPr>
        <w:tab/>
        <w:t>The requirements of these regulations are mandated by the GLB Act and the CFMA and, therefore, the Commission does not grant any exceptions to small entities from the requirements at this time.  The regulations provide substantial flexibility, however, that financial institutions may tailor their practices to their individual needs</w:t>
      </w:r>
      <w:r w:rsidR="00F23052">
        <w:rPr>
          <w:rFonts w:ascii="Times New Roman" w:hAnsi="Times New Roman"/>
        </w:rPr>
        <w:t>, such as financial institutions providing joint notices if the notice applies to all institutions covered by the notice.</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F23052" w:rsidRDefault="00F23052">
      <w:pPr>
        <w:tabs>
          <w:tab w:val="left" w:pos="-720"/>
          <w:tab w:val="left" w:pos="0"/>
        </w:tabs>
        <w:suppressAutoHyphens/>
        <w:ind w:left="720" w:hanging="720"/>
        <w:rPr>
          <w:rFonts w:ascii="Times New Roman" w:hAnsi="Times New Roman"/>
        </w:rPr>
      </w:pPr>
    </w:p>
    <w:p w:rsidR="00F23052" w:rsidRDefault="00E3558D" w:rsidP="00E3558D">
      <w:pPr>
        <w:tabs>
          <w:tab w:val="left" w:pos="-720"/>
          <w:tab w:val="left" w:pos="0"/>
        </w:tabs>
        <w:suppressAutoHyphens/>
        <w:rPr>
          <w:rFonts w:ascii="Times New Roman" w:hAnsi="Times New Roman"/>
        </w:rPr>
      </w:pPr>
      <w:r>
        <w:rPr>
          <w:rFonts w:ascii="Times New Roman" w:hAnsi="Times New Roman"/>
        </w:rPr>
        <w:tab/>
      </w:r>
      <w:r w:rsidR="00F23052">
        <w:rPr>
          <w:rFonts w:ascii="Times New Roman" w:hAnsi="Times New Roman"/>
        </w:rPr>
        <w:t xml:space="preserve">The GLB Act mandates that </w:t>
      </w:r>
      <w:r w:rsidR="00A679CE">
        <w:rPr>
          <w:rFonts w:ascii="Times New Roman" w:hAnsi="Times New Roman"/>
        </w:rPr>
        <w:t xml:space="preserve">initial and </w:t>
      </w:r>
      <w:r w:rsidR="00F23052">
        <w:rPr>
          <w:rFonts w:ascii="Times New Roman" w:hAnsi="Times New Roman"/>
        </w:rPr>
        <w:t>annual privacy notices must be provided by financial</w:t>
      </w:r>
      <w:r>
        <w:rPr>
          <w:rFonts w:ascii="Times New Roman" w:hAnsi="Times New Roman"/>
        </w:rPr>
        <w:t xml:space="preserve"> </w:t>
      </w:r>
      <w:r w:rsidR="00F23052">
        <w:rPr>
          <w:rFonts w:ascii="Times New Roman" w:hAnsi="Times New Roman"/>
        </w:rPr>
        <w:t>institutions to consumers with whom the financial institution has a customer relationship.</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2D133A" w:rsidRDefault="002D133A">
      <w:pPr>
        <w:tabs>
          <w:tab w:val="left" w:pos="-720"/>
        </w:tabs>
        <w:suppressAutoHyphens/>
        <w:rPr>
          <w:rFonts w:ascii="Times New Roman" w:hAnsi="Times New Roman"/>
        </w:rPr>
      </w:pPr>
    </w:p>
    <w:p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 xml:space="preserve">Notices required by these </w:t>
      </w:r>
      <w:r>
        <w:rPr>
          <w:rFonts w:ascii="Times New Roman" w:hAnsi="Times New Roman"/>
        </w:rPr>
        <w:t xml:space="preserve">proposed </w:t>
      </w:r>
      <w:r w:rsidR="00F23052">
        <w:rPr>
          <w:rFonts w:ascii="Times New Roman" w:hAnsi="Times New Roman"/>
        </w:rPr>
        <w:t>regulations are not required to be submitted to the Commission.</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F23052" w:rsidRDefault="00F23052">
      <w:pPr>
        <w:tabs>
          <w:tab w:val="left" w:pos="-720"/>
          <w:tab w:val="left" w:pos="0"/>
          <w:tab w:val="left" w:pos="720"/>
        </w:tabs>
        <w:suppressAutoHyphens/>
        <w:ind w:left="1440" w:hanging="1440"/>
        <w:rPr>
          <w:rFonts w:ascii="Times New Roman" w:hAnsi="Times New Roman"/>
          <w:u w:val="single"/>
        </w:rPr>
      </w:pPr>
    </w:p>
    <w:p w:rsidR="00F23052" w:rsidRPr="00F23052" w:rsidRDefault="002607C6">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F23052" w:rsidRPr="00F23052">
        <w:rPr>
          <w:rFonts w:ascii="Times New Roman" w:hAnsi="Times New Roman"/>
        </w:rPr>
        <w:t>This does not apply.</w:t>
      </w:r>
    </w:p>
    <w:p w:rsidR="002D133A" w:rsidRPr="00F23052"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This does not apply.</w:t>
      </w:r>
    </w:p>
    <w:p w:rsidR="002607C6" w:rsidRDefault="002607C6">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Financial institutions are required to retain information regarding a consumer’s decision to opt out after the financial institution’s customer relationship with the financial institution terminates.</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 xml:space="preserve">The </w:t>
      </w:r>
      <w:r>
        <w:rPr>
          <w:rFonts w:ascii="Times New Roman" w:hAnsi="Times New Roman"/>
        </w:rPr>
        <w:t xml:space="preserve">proposed </w:t>
      </w:r>
      <w:r w:rsidR="00F23052">
        <w:rPr>
          <w:rFonts w:ascii="Times New Roman" w:hAnsi="Times New Roman"/>
        </w:rPr>
        <w:t>regulations do not involve a statistical survey.</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 xml:space="preserve">The </w:t>
      </w:r>
      <w:r>
        <w:rPr>
          <w:rFonts w:ascii="Times New Roman" w:hAnsi="Times New Roman"/>
        </w:rPr>
        <w:t xml:space="preserve">proposed </w:t>
      </w:r>
      <w:r w:rsidR="00F23052">
        <w:rPr>
          <w:rFonts w:ascii="Times New Roman" w:hAnsi="Times New Roman"/>
        </w:rPr>
        <w:t>regulation</w:t>
      </w:r>
      <w:r>
        <w:rPr>
          <w:rFonts w:ascii="Times New Roman" w:hAnsi="Times New Roman"/>
        </w:rPr>
        <w:t>s</w:t>
      </w:r>
      <w:r w:rsidR="00F23052">
        <w:rPr>
          <w:rFonts w:ascii="Times New Roman" w:hAnsi="Times New Roman"/>
        </w:rPr>
        <w:t xml:space="preserve"> do not involve the use of statistical data.</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F23052" w:rsidRDefault="002607C6">
      <w:pPr>
        <w:tabs>
          <w:tab w:val="left" w:pos="-720"/>
        </w:tabs>
        <w:suppressAutoHyphens/>
        <w:rPr>
          <w:rFonts w:ascii="Times New Roman" w:hAnsi="Times New Roman"/>
        </w:rPr>
      </w:pPr>
      <w:r>
        <w:rPr>
          <w:rFonts w:ascii="Times New Roman" w:hAnsi="Times New Roman"/>
        </w:rPr>
        <w:lastRenderedPageBreak/>
        <w:tab/>
      </w:r>
      <w:r w:rsidR="00F23052">
        <w:rPr>
          <w:rFonts w:ascii="Times New Roman" w:hAnsi="Times New Roman"/>
        </w:rPr>
        <w:t>This does not apply.</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0F3F59">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This does not apply.</w:t>
      </w:r>
    </w:p>
    <w:p w:rsidR="000F3F59" w:rsidRDefault="000F3F5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t>A copy of the proposed rule has been submitted to the Federal Register for publication and public comment.</w:t>
      </w:r>
      <w:r w:rsidR="000F3F59">
        <w:rPr>
          <w:rFonts w:ascii="Times New Roman" w:hAnsi="Times New Roman"/>
        </w:rPr>
        <w:t xml:space="preserve">  The proposed rule was published </w:t>
      </w:r>
      <w:r w:rsidR="00A54851">
        <w:rPr>
          <w:rFonts w:ascii="Times New Roman" w:hAnsi="Times New Roman"/>
        </w:rPr>
        <w:t xml:space="preserve">in the </w:t>
      </w:r>
      <w:r w:rsidR="00516162" w:rsidRPr="00A54851">
        <w:rPr>
          <w:rFonts w:ascii="Times New Roman" w:hAnsi="Times New Roman"/>
        </w:rPr>
        <w:t xml:space="preserve">Federal Register </w:t>
      </w:r>
      <w:r w:rsidR="00A54851">
        <w:rPr>
          <w:rFonts w:ascii="Times New Roman" w:hAnsi="Times New Roman"/>
        </w:rPr>
        <w:t xml:space="preserve">on </w:t>
      </w:r>
      <w:r w:rsidR="00A54851" w:rsidRPr="000F7F5C">
        <w:rPr>
          <w:rFonts w:ascii="Times New Roman" w:hAnsi="Times New Roman"/>
          <w:highlight w:val="yellow"/>
        </w:rPr>
        <w:t xml:space="preserve">October 27, 2010 </w:t>
      </w:r>
      <w:r w:rsidR="00A54851" w:rsidRPr="000F7F5C">
        <w:rPr>
          <w:rFonts w:ascii="Times New Roman" w:hAnsi="Times New Roman"/>
          <w:highlight w:val="yellow"/>
        </w:rPr>
        <w:noBreakHyphen/>
      </w:r>
      <w:r w:rsidR="00A54851" w:rsidRPr="000F7F5C">
        <w:rPr>
          <w:rFonts w:ascii="Times New Roman" w:hAnsi="Times New Roman"/>
          <w:highlight w:val="yellow"/>
        </w:rPr>
        <w:noBreakHyphen/>
        <w:t xml:space="preserve"> 75 FR 66014.</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133A" w:rsidRDefault="002D133A">
      <w:pPr>
        <w:tabs>
          <w:tab w:val="left" w:pos="-720"/>
        </w:tabs>
        <w:suppressAutoHyphens/>
        <w:rPr>
          <w:rFonts w:ascii="Times New Roman" w:hAnsi="Times New Roman"/>
          <w:u w:val="single"/>
        </w:rPr>
      </w:pPr>
    </w:p>
    <w:p w:rsidR="00A3539D" w:rsidRDefault="00A3539D">
      <w:pPr>
        <w:tabs>
          <w:tab w:val="left" w:pos="-720"/>
        </w:tabs>
        <w:suppressAutoHyphens/>
        <w:rPr>
          <w:rFonts w:ascii="Times New Roman" w:hAnsi="Times New Roman"/>
        </w:rPr>
      </w:pPr>
      <w:r w:rsidRPr="00A3539D">
        <w:rPr>
          <w:rFonts w:ascii="Times New Roman" w:hAnsi="Times New Roman"/>
        </w:rPr>
        <w:tab/>
        <w:t>The Commission consulted the National Futures Association when the Part 160 regulations were initially published to determine the availability of data, frequency of collection and the clarity of instructions and recordkeeping disclosure and on the data elements to be recorded, disclosed, or reported.</w:t>
      </w:r>
    </w:p>
    <w:p w:rsidR="00025F28" w:rsidRDefault="00025F28">
      <w:pPr>
        <w:tabs>
          <w:tab w:val="left" w:pos="-720"/>
        </w:tabs>
        <w:suppressAutoHyphens/>
        <w:rPr>
          <w:rFonts w:ascii="Times New Roman" w:hAnsi="Times New Roman"/>
        </w:rPr>
      </w:pPr>
    </w:p>
    <w:p w:rsidR="00025F28" w:rsidRDefault="00025F28">
      <w:pPr>
        <w:tabs>
          <w:tab w:val="left" w:pos="-720"/>
        </w:tabs>
        <w:suppressAutoHyphens/>
        <w:rPr>
          <w:rFonts w:ascii="Times New Roman" w:hAnsi="Times New Roman"/>
        </w:rPr>
      </w:pPr>
      <w:r>
        <w:rPr>
          <w:rFonts w:ascii="Times New Roman" w:hAnsi="Times New Roman"/>
        </w:rPr>
        <w:tab/>
        <w:t>In response to the Commission’s request in the notice of proposed rulemaking for comments on any potential paperwork burden associated with this regulation, only one commenter provided a substantive comment addressing the merits of the Commission’s proposed PRA calculations.  In particular, SIFMA proposed that the burden estimate should be refined to reflect anticipated additional burden hours associated with monitoring the privacy and opt-out notice process, addressing consumer issues, and adjusting records to comport with consumer requests.</w:t>
      </w:r>
    </w:p>
    <w:p w:rsidR="00025F28" w:rsidRDefault="00025F28">
      <w:pPr>
        <w:tabs>
          <w:tab w:val="left" w:pos="-720"/>
        </w:tabs>
        <w:suppressAutoHyphens/>
        <w:rPr>
          <w:rFonts w:ascii="Times New Roman" w:hAnsi="Times New Roman"/>
        </w:rPr>
      </w:pPr>
    </w:p>
    <w:p w:rsidR="00025F28" w:rsidRPr="00A3539D" w:rsidRDefault="00025F28">
      <w:pPr>
        <w:tabs>
          <w:tab w:val="left" w:pos="-720"/>
        </w:tabs>
        <w:suppressAutoHyphens/>
        <w:rPr>
          <w:rFonts w:ascii="Times New Roman" w:hAnsi="Times New Roman"/>
        </w:rPr>
      </w:pPr>
      <w:r>
        <w:rPr>
          <w:rFonts w:ascii="Times New Roman" w:hAnsi="Times New Roman"/>
        </w:rPr>
        <w:tab/>
        <w:t>Based on this comment, the Commission estimates that the approximately 300 SDs and MSPs may incur additional burden hours.  Consequently, it is anticipated the 300</w:t>
      </w:r>
      <w:r w:rsidRPr="00025F28">
        <w:rPr>
          <w:rFonts w:ascii="Times New Roman" w:hAnsi="Times New Roman"/>
        </w:rPr>
        <w:t xml:space="preserve"> </w:t>
      </w:r>
      <w:r>
        <w:rPr>
          <w:rFonts w:ascii="Times New Roman" w:hAnsi="Times New Roman"/>
        </w:rPr>
        <w:t xml:space="preserve">SDs and MSPs may incur an additional aggregate of 1440 burden hours than what was stated in the Proposal, monitoring an average of 20 notices per year, with an average monitoring time of .24 hours per notice. </w:t>
      </w:r>
    </w:p>
    <w:p w:rsidR="00A3539D" w:rsidRDefault="00A3539D">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 xml:space="preserve">Consultation with representatives of those from whom information is to be obtained or those who must compile records should occur at least once every three years—even if the collection of information activity is the same as in prior periods.  There may be </w:t>
      </w:r>
      <w:r>
        <w:rPr>
          <w:rFonts w:ascii="Times New Roman" w:hAnsi="Times New Roman"/>
          <w:u w:val="single"/>
        </w:rPr>
        <w:lastRenderedPageBreak/>
        <w:t>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t>This question does not apply.</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A3539D" w:rsidRDefault="00A3539D">
      <w:pPr>
        <w:tabs>
          <w:tab w:val="left" w:pos="-720"/>
        </w:tabs>
        <w:suppressAutoHyphens/>
        <w:rPr>
          <w:rFonts w:ascii="Times New Roman" w:hAnsi="Times New Roman"/>
        </w:rPr>
      </w:pPr>
      <w:r>
        <w:rPr>
          <w:rFonts w:ascii="Times New Roman" w:hAnsi="Times New Roman"/>
        </w:rPr>
        <w:tab/>
      </w:r>
    </w:p>
    <w:p w:rsidR="002D133A" w:rsidRDefault="00A3539D">
      <w:pPr>
        <w:tabs>
          <w:tab w:val="left" w:pos="-720"/>
        </w:tabs>
        <w:suppressAutoHyphens/>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r>
        <w:rPr>
          <w:rFonts w:ascii="Times New Roman" w:hAnsi="Times New Roman"/>
        </w:rPr>
        <w:t xml:space="preserve">  </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r>
    </w:p>
    <w:p w:rsidR="00A3539D" w:rsidRDefault="00A3539D">
      <w:pPr>
        <w:tabs>
          <w:tab w:val="left" w:pos="-720"/>
        </w:tabs>
        <w:suppressAutoHyphens/>
        <w:rPr>
          <w:rFonts w:ascii="Times New Roman" w:hAnsi="Times New Roman"/>
        </w:rPr>
      </w:pPr>
      <w:r>
        <w:rPr>
          <w:rFonts w:ascii="Times New Roman" w:hAnsi="Times New Roman"/>
        </w:rPr>
        <w:tab/>
      </w:r>
      <w:r w:rsidR="000F3F59">
        <w:rPr>
          <w:rFonts w:ascii="Times New Roman" w:hAnsi="Times New Roman"/>
        </w:rPr>
        <w:t>In general, t</w:t>
      </w:r>
      <w:r>
        <w:rPr>
          <w:rFonts w:ascii="Times New Roman" w:hAnsi="Times New Roman"/>
        </w:rPr>
        <w:t xml:space="preserve">he Commission provides assurances of confidentiality as provided by the </w:t>
      </w:r>
      <w:r w:rsidR="000F3F59">
        <w:rPr>
          <w:rFonts w:ascii="Times New Roman" w:hAnsi="Times New Roman"/>
        </w:rPr>
        <w:t>Commission’s</w:t>
      </w:r>
      <w:r>
        <w:rPr>
          <w:rFonts w:ascii="Times New Roman" w:hAnsi="Times New Roman"/>
        </w:rPr>
        <w:t xml:space="preserve"> Freedom of Information Act regulations found at 17 CFR Part 145.</w:t>
      </w:r>
      <w:r w:rsidR="000F3F59">
        <w:rPr>
          <w:rFonts w:ascii="Times New Roman" w:hAnsi="Times New Roman"/>
        </w:rPr>
        <w:t xml:space="preserve">  The Commission has not, however, provided assurances to respondents with respect to the proposed regulations.</w:t>
      </w:r>
    </w:p>
    <w:p w:rsidR="00A3539D" w:rsidRDefault="00A3539D">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t>The proposed regulation</w:t>
      </w:r>
      <w:r w:rsidR="000F3F59">
        <w:rPr>
          <w:rFonts w:ascii="Times New Roman" w:hAnsi="Times New Roman"/>
        </w:rPr>
        <w:t>s</w:t>
      </w:r>
      <w:r>
        <w:rPr>
          <w:rFonts w:ascii="Times New Roman" w:hAnsi="Times New Roman"/>
        </w:rPr>
        <w:t xml:space="preserve"> do not require the giving of sensitive information, as that term is used in Question 11.</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proofErr w:type="spellStart"/>
      <w:r>
        <w:rPr>
          <w:rFonts w:ascii="Times New Roman" w:hAnsi="Times New Roman"/>
        </w:rPr>
        <w:t>our</w:t>
      </w:r>
      <w:proofErr w:type="spellEnd"/>
      <w:r>
        <w:rPr>
          <w:rFonts w:ascii="Times New Roman" w:hAnsi="Times New Roman"/>
        </w:rPr>
        <w:t xml:space="preserve"> or paying outside parties for information collection activities should not be included here.  Instead, this cost should be included in Item 13.</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t>See Attachment A.</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w:t>
      </w:r>
      <w:r w:rsidR="000F3F59">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0F3F59">
        <w:rPr>
          <w:rFonts w:ascii="Times New Roman" w:hAnsi="Times New Roman"/>
        </w:rPr>
        <w:t>government</w:t>
      </w:r>
      <w:r>
        <w:rPr>
          <w:rFonts w:ascii="Times New Roman" w:hAnsi="Times New Roman"/>
        </w:rPr>
        <w:t xml:space="preserve"> or (4) as part of customary and usual business or private practices.</w:t>
      </w:r>
    </w:p>
    <w:p w:rsidR="002D133A" w:rsidRDefault="002D133A">
      <w:pPr>
        <w:tabs>
          <w:tab w:val="left" w:pos="-720"/>
        </w:tabs>
        <w:suppressAutoHyphens/>
        <w:rPr>
          <w:rFonts w:ascii="Times New Roman" w:hAnsi="Times New Roman"/>
        </w:rPr>
      </w:pPr>
    </w:p>
    <w:p w:rsidR="00A17B53" w:rsidRDefault="00AB5AFD">
      <w:pPr>
        <w:tabs>
          <w:tab w:val="left" w:pos="-720"/>
        </w:tabs>
        <w:suppressAutoHyphens/>
        <w:rPr>
          <w:rFonts w:ascii="Times New Roman" w:hAnsi="Times New Roman"/>
        </w:rPr>
      </w:pPr>
      <w:r>
        <w:rPr>
          <w:rFonts w:ascii="Times New Roman" w:hAnsi="Times New Roman"/>
        </w:rPr>
        <w:tab/>
        <w:t>The proposed regulations covered by this collection require no new start-up or operations and maintenance costs.</w:t>
      </w:r>
    </w:p>
    <w:p w:rsidR="00AB5AFD" w:rsidRDefault="00AB5AFD">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Pr>
          <w:rFonts w:ascii="Times New Roman" w:hAnsi="Times New Roman"/>
          <w:u w:val="single"/>
        </w:rPr>
        <w:lastRenderedPageBreak/>
        <w:t>information.  Agencies may also aggregate cost estimates from Items 12, 13, and 14 in a single table.</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t>Financial institutions are not required to provide copies of privacy notices to the Commission, and the Commission is not required to review each institution’s privacy policies.  Consequently, the annualized cost to the Commission should be minimal, except in cases where the Commission initiates an enforcement proceeding against an institution for non-compliance with the rule.</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r>
      <w:proofErr w:type="gramStart"/>
      <w:r>
        <w:rPr>
          <w:rFonts w:ascii="Times New Roman" w:hAnsi="Times New Roman"/>
        </w:rPr>
        <w:t>The passage of the Dodd-Frank Wall Street Reform and Consumer Protection Act (“Dodd-Frank Act”), Pub.</w:t>
      </w:r>
      <w:proofErr w:type="gramEnd"/>
      <w:r>
        <w:rPr>
          <w:rFonts w:ascii="Times New Roman" w:hAnsi="Times New Roman"/>
        </w:rPr>
        <w:t xml:space="preserve"> L. No. 111-203, 124 Stat. 1376 (2010), broadened the Commission’s regulatory authority under the GLB Act to cover two new entities:</w:t>
      </w:r>
      <w:r w:rsidRPr="00E1260A">
        <w:rPr>
          <w:rFonts w:ascii="Times New Roman" w:hAnsi="Times New Roman"/>
        </w:rPr>
        <w:t xml:space="preserve"> </w:t>
      </w:r>
      <w:r>
        <w:rPr>
          <w:rFonts w:ascii="Times New Roman" w:hAnsi="Times New Roman"/>
        </w:rPr>
        <w:t xml:space="preserve">swap dealers and major swap participants.  Specifically, amendments to the GLB Act found in section 1093 of the Dodd-Frank Act, reaffirmed the Commission’s authority to promulgate regulations to require entities that are subject to the Commission’s jurisdiction to provide certain privacy protections for consumer financial information.  </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t>This question does not apply.</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A17B53" w:rsidRDefault="00A17B53">
      <w:pPr>
        <w:tabs>
          <w:tab w:val="left" w:pos="-720"/>
        </w:tabs>
        <w:suppressAutoHyphens/>
        <w:rPr>
          <w:rFonts w:ascii="Times New Roman" w:hAnsi="Times New Roman"/>
        </w:rPr>
      </w:pPr>
      <w:r>
        <w:rPr>
          <w:rFonts w:ascii="Times New Roman" w:hAnsi="Times New Roman"/>
        </w:rPr>
        <w:tab/>
      </w:r>
    </w:p>
    <w:p w:rsidR="002D133A" w:rsidRDefault="00A17B53">
      <w:pPr>
        <w:tabs>
          <w:tab w:val="left" w:pos="-720"/>
        </w:tabs>
        <w:suppressAutoHyphens/>
        <w:rPr>
          <w:rFonts w:ascii="Times New Roman" w:hAnsi="Times New Roman"/>
        </w:rPr>
      </w:pPr>
      <w:r>
        <w:rPr>
          <w:rFonts w:ascii="Times New Roman" w:hAnsi="Times New Roman"/>
        </w:rPr>
        <w:tab/>
        <w:t>This question does not apply.</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A17B53">
      <w:pPr>
        <w:tabs>
          <w:tab w:val="left" w:pos="-720"/>
        </w:tabs>
        <w:suppressAutoHyphens/>
        <w:rPr>
          <w:rFonts w:ascii="Times New Roman" w:hAnsi="Times New Roman"/>
        </w:rPr>
      </w:pPr>
      <w:r>
        <w:rPr>
          <w:rFonts w:ascii="Times New Roman" w:hAnsi="Times New Roman"/>
        </w:rPr>
        <w:tab/>
        <w:t>This question does not apply.</w:t>
      </w:r>
      <w:r w:rsidR="002D133A">
        <w:rPr>
          <w:rFonts w:ascii="Times New Roman" w:hAnsi="Times New Roman"/>
        </w:rPr>
        <w:tab/>
      </w:r>
    </w:p>
    <w:p w:rsidR="005600D1" w:rsidRDefault="005600D1">
      <w:pPr>
        <w:rPr>
          <w:rFonts w:ascii="Times New Roman" w:hAnsi="Times New Roman"/>
        </w:rPr>
      </w:pPr>
      <w:r>
        <w:rPr>
          <w:rFonts w:ascii="Times New Roman" w:hAnsi="Times New Roman"/>
        </w:rPr>
        <w:br w:type="page"/>
      </w:r>
    </w:p>
    <w:p w:rsidR="005600D1" w:rsidRDefault="005600D1" w:rsidP="005600D1">
      <w:pPr>
        <w:pStyle w:val="BodyTextIndent"/>
        <w:jc w:val="center"/>
      </w:pPr>
      <w:r>
        <w:lastRenderedPageBreak/>
        <w:t>Attachment A</w:t>
      </w:r>
    </w:p>
    <w:p w:rsidR="005600D1" w:rsidRDefault="005600D1" w:rsidP="005600D1">
      <w:pPr>
        <w:pStyle w:val="BodyTextIndent"/>
        <w:jc w:val="both"/>
      </w:pPr>
    </w:p>
    <w:p w:rsidR="005600D1" w:rsidRDefault="005600D1" w:rsidP="005600D1">
      <w:pPr>
        <w:pStyle w:val="BodyTextIndent"/>
        <w:jc w:val="both"/>
      </w:pPr>
    </w:p>
    <w:p w:rsidR="005600D1" w:rsidRDefault="005600D1" w:rsidP="005600D1">
      <w:pPr>
        <w:pStyle w:val="BodyTextIndent"/>
        <w:jc w:val="both"/>
      </w:pPr>
    </w:p>
    <w:p w:rsidR="005600D1" w:rsidRDefault="005600D1" w:rsidP="005600D1">
      <w:pPr>
        <w:pStyle w:val="BodyTextIndent"/>
        <w:jc w:val="center"/>
      </w:pPr>
      <w:r>
        <w:t>Part 160</w:t>
      </w:r>
    </w:p>
    <w:p w:rsidR="005600D1" w:rsidRDefault="005600D1" w:rsidP="005600D1">
      <w:pPr>
        <w:pStyle w:val="BodyTextIndent"/>
        <w:jc w:val="center"/>
      </w:pPr>
      <w:r>
        <w:t>Privacy of Consumer Financial Information</w:t>
      </w:r>
    </w:p>
    <w:p w:rsidR="005600D1" w:rsidRDefault="005600D1" w:rsidP="005600D1">
      <w:pPr>
        <w:pStyle w:val="BodyTextIndent"/>
        <w:jc w:val="center"/>
      </w:pPr>
    </w:p>
    <w:p w:rsidR="005600D1" w:rsidRDefault="005600D1" w:rsidP="005600D1">
      <w:pPr>
        <w:pStyle w:val="BodyTextIndent"/>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00"/>
        <w:gridCol w:w="1479"/>
        <w:gridCol w:w="1761"/>
        <w:gridCol w:w="1390"/>
        <w:gridCol w:w="1605"/>
      </w:tblGrid>
      <w:tr w:rsidR="005600D1" w:rsidTr="005600D1">
        <w:tc>
          <w:tcPr>
            <w:tcW w:w="1800" w:type="dxa"/>
          </w:tcPr>
          <w:p w:rsidR="005600D1" w:rsidRDefault="005600D1" w:rsidP="00C40C9C">
            <w:pPr>
              <w:pStyle w:val="BodyTextIndent"/>
              <w:ind w:left="0" w:firstLine="0"/>
            </w:pPr>
            <w:r>
              <w:t xml:space="preserve">Estimated # of </w:t>
            </w:r>
            <w:r w:rsidR="00C40C9C">
              <w:t>Responses</w:t>
            </w:r>
            <w:r>
              <w:t xml:space="preserve"> to be  </w:t>
            </w:r>
            <w:r w:rsidR="00D779E4">
              <w:t>Provided</w:t>
            </w:r>
          </w:p>
        </w:tc>
        <w:tc>
          <w:tcPr>
            <w:tcW w:w="1479" w:type="dxa"/>
          </w:tcPr>
          <w:p w:rsidR="005600D1" w:rsidRDefault="005600D1" w:rsidP="005600D1">
            <w:pPr>
              <w:pStyle w:val="BodyTextIndent"/>
              <w:ind w:left="0" w:firstLine="0"/>
              <w:jc w:val="center"/>
            </w:pPr>
            <w:r>
              <w:t>Reports Annually by Each Respondent</w:t>
            </w:r>
          </w:p>
        </w:tc>
        <w:tc>
          <w:tcPr>
            <w:tcW w:w="1761" w:type="dxa"/>
          </w:tcPr>
          <w:p w:rsidR="005600D1" w:rsidRDefault="005600D1" w:rsidP="005600D1">
            <w:pPr>
              <w:pStyle w:val="BodyTextIndent"/>
              <w:ind w:left="0" w:firstLine="0"/>
              <w:jc w:val="center"/>
            </w:pPr>
            <w:r>
              <w:t xml:space="preserve">Total Annual Responses </w:t>
            </w:r>
          </w:p>
        </w:tc>
        <w:tc>
          <w:tcPr>
            <w:tcW w:w="1390" w:type="dxa"/>
          </w:tcPr>
          <w:p w:rsidR="005600D1" w:rsidRDefault="005600D1" w:rsidP="005600D1">
            <w:pPr>
              <w:pStyle w:val="BodyTextIndent"/>
              <w:ind w:left="0" w:firstLine="0"/>
              <w:jc w:val="center"/>
            </w:pPr>
            <w:r>
              <w:t>Estimated Average Number of Hours Per Response</w:t>
            </w:r>
          </w:p>
        </w:tc>
        <w:tc>
          <w:tcPr>
            <w:tcW w:w="1605" w:type="dxa"/>
          </w:tcPr>
          <w:p w:rsidR="005600D1" w:rsidRDefault="005600D1" w:rsidP="005600D1">
            <w:pPr>
              <w:pStyle w:val="BodyTextIndent"/>
              <w:ind w:left="0" w:firstLine="0"/>
              <w:jc w:val="center"/>
            </w:pPr>
            <w:r>
              <w:t>Estimated Total Number of Hours of Annual Burden in a Fiscal Year</w:t>
            </w:r>
          </w:p>
        </w:tc>
      </w:tr>
      <w:tr w:rsidR="005600D1" w:rsidTr="005600D1">
        <w:tc>
          <w:tcPr>
            <w:tcW w:w="1800" w:type="dxa"/>
          </w:tcPr>
          <w:p w:rsidR="005600D1" w:rsidRDefault="00C561BF" w:rsidP="00C561BF">
            <w:pPr>
              <w:pStyle w:val="BodyTextIndent"/>
              <w:ind w:left="0" w:firstLine="0"/>
              <w:jc w:val="center"/>
            </w:pPr>
            <w:r>
              <w:t>3</w:t>
            </w:r>
            <w:r w:rsidR="006F3707">
              <w:t>00</w:t>
            </w:r>
            <w:r w:rsidR="005600D1">
              <w:t xml:space="preserve"> (</w:t>
            </w:r>
            <w:r>
              <w:t>annually</w:t>
            </w:r>
            <w:r w:rsidR="005600D1">
              <w:t>)</w:t>
            </w:r>
          </w:p>
        </w:tc>
        <w:tc>
          <w:tcPr>
            <w:tcW w:w="1479" w:type="dxa"/>
          </w:tcPr>
          <w:p w:rsidR="005600D1" w:rsidRDefault="00C561BF" w:rsidP="005600D1">
            <w:pPr>
              <w:pStyle w:val="BodyTextIndent"/>
              <w:ind w:left="0" w:firstLine="0"/>
              <w:jc w:val="center"/>
            </w:pPr>
            <w:r>
              <w:t>20</w:t>
            </w:r>
          </w:p>
        </w:tc>
        <w:tc>
          <w:tcPr>
            <w:tcW w:w="1761" w:type="dxa"/>
          </w:tcPr>
          <w:p w:rsidR="005600D1" w:rsidRDefault="005600D1" w:rsidP="006F3707">
            <w:pPr>
              <w:pStyle w:val="BodyTextIndent"/>
              <w:ind w:left="0" w:firstLine="0"/>
              <w:jc w:val="center"/>
            </w:pPr>
            <w:r>
              <w:t xml:space="preserve">     </w:t>
            </w:r>
            <w:r w:rsidR="006F3707">
              <w:t>6,000</w:t>
            </w:r>
          </w:p>
        </w:tc>
        <w:tc>
          <w:tcPr>
            <w:tcW w:w="1390" w:type="dxa"/>
          </w:tcPr>
          <w:p w:rsidR="005600D1" w:rsidRDefault="005600D1" w:rsidP="000E4542">
            <w:pPr>
              <w:pStyle w:val="BodyTextIndent"/>
              <w:ind w:left="0" w:firstLine="0"/>
              <w:jc w:val="center"/>
            </w:pPr>
            <w:r>
              <w:t>.2</w:t>
            </w:r>
            <w:r w:rsidR="000E4542">
              <w:t>4</w:t>
            </w:r>
            <w:r>
              <w:t xml:space="preserve">  </w:t>
            </w:r>
          </w:p>
        </w:tc>
        <w:tc>
          <w:tcPr>
            <w:tcW w:w="1605" w:type="dxa"/>
          </w:tcPr>
          <w:p w:rsidR="005600D1" w:rsidRDefault="000E4542" w:rsidP="005600D1">
            <w:pPr>
              <w:pStyle w:val="BodyTextIndent"/>
              <w:ind w:left="0" w:firstLine="0"/>
              <w:jc w:val="center"/>
            </w:pPr>
            <w:r>
              <w:t>1,440</w:t>
            </w:r>
          </w:p>
        </w:tc>
      </w:tr>
      <w:tr w:rsidR="005600D1" w:rsidTr="005600D1">
        <w:tc>
          <w:tcPr>
            <w:tcW w:w="1800" w:type="dxa"/>
          </w:tcPr>
          <w:p w:rsidR="005600D1" w:rsidRDefault="005600D1" w:rsidP="006F3707">
            <w:pPr>
              <w:pStyle w:val="BodyTextIndent"/>
              <w:ind w:left="0" w:firstLine="0"/>
              <w:jc w:val="center"/>
            </w:pPr>
          </w:p>
        </w:tc>
        <w:tc>
          <w:tcPr>
            <w:tcW w:w="1479" w:type="dxa"/>
          </w:tcPr>
          <w:p w:rsidR="005600D1" w:rsidRDefault="005600D1" w:rsidP="006F3707">
            <w:pPr>
              <w:pStyle w:val="BodyTextIndent"/>
              <w:ind w:left="0" w:firstLine="0"/>
              <w:jc w:val="center"/>
            </w:pPr>
          </w:p>
        </w:tc>
        <w:tc>
          <w:tcPr>
            <w:tcW w:w="1761" w:type="dxa"/>
          </w:tcPr>
          <w:p w:rsidR="005600D1" w:rsidRDefault="00C561BF" w:rsidP="000E4542">
            <w:pPr>
              <w:pStyle w:val="BodyTextIndent"/>
              <w:ind w:left="0" w:firstLine="0"/>
              <w:jc w:val="center"/>
            </w:pPr>
            <w:r>
              <w:t>364,135</w:t>
            </w:r>
            <w:r w:rsidR="00C00DD4">
              <w:t>*</w:t>
            </w:r>
          </w:p>
        </w:tc>
        <w:tc>
          <w:tcPr>
            <w:tcW w:w="1390" w:type="dxa"/>
          </w:tcPr>
          <w:p w:rsidR="005600D1" w:rsidRDefault="005600D1" w:rsidP="005600D1">
            <w:pPr>
              <w:pStyle w:val="BodyTextIndent"/>
              <w:ind w:left="0" w:firstLine="0"/>
              <w:jc w:val="center"/>
            </w:pPr>
          </w:p>
        </w:tc>
        <w:tc>
          <w:tcPr>
            <w:tcW w:w="1605" w:type="dxa"/>
          </w:tcPr>
          <w:p w:rsidR="005600D1" w:rsidRDefault="005600D1" w:rsidP="005600D1">
            <w:pPr>
              <w:pStyle w:val="BodyTextIndent"/>
              <w:ind w:left="0" w:firstLine="0"/>
              <w:jc w:val="center"/>
            </w:pPr>
          </w:p>
        </w:tc>
      </w:tr>
      <w:tr w:rsidR="005600D1" w:rsidTr="005600D1">
        <w:tc>
          <w:tcPr>
            <w:tcW w:w="1800" w:type="dxa"/>
          </w:tcPr>
          <w:p w:rsidR="005600D1" w:rsidRDefault="005600D1" w:rsidP="00C561BF">
            <w:pPr>
              <w:pStyle w:val="BodyTextIndent"/>
              <w:ind w:left="0" w:firstLine="0"/>
              <w:jc w:val="center"/>
            </w:pPr>
            <w:r>
              <w:t xml:space="preserve">Total: </w:t>
            </w:r>
            <w:r w:rsidR="00C561BF">
              <w:t>3</w:t>
            </w:r>
            <w:r w:rsidR="006F3707">
              <w:t>00</w:t>
            </w:r>
          </w:p>
        </w:tc>
        <w:tc>
          <w:tcPr>
            <w:tcW w:w="1479" w:type="dxa"/>
          </w:tcPr>
          <w:p w:rsidR="005600D1" w:rsidRDefault="006F3707" w:rsidP="006F3707">
            <w:pPr>
              <w:pStyle w:val="BodyTextIndent"/>
              <w:ind w:left="0" w:firstLine="0"/>
              <w:jc w:val="center"/>
            </w:pPr>
            <w:r>
              <w:t>20</w:t>
            </w:r>
          </w:p>
        </w:tc>
        <w:tc>
          <w:tcPr>
            <w:tcW w:w="1761" w:type="dxa"/>
          </w:tcPr>
          <w:p w:rsidR="005600D1" w:rsidRDefault="00C561BF" w:rsidP="00C561BF">
            <w:pPr>
              <w:pStyle w:val="BodyTextIndent"/>
              <w:ind w:left="0" w:firstLine="0"/>
              <w:jc w:val="center"/>
            </w:pPr>
            <w:r>
              <w:t>370,135</w:t>
            </w:r>
          </w:p>
        </w:tc>
        <w:tc>
          <w:tcPr>
            <w:tcW w:w="1390" w:type="dxa"/>
          </w:tcPr>
          <w:p w:rsidR="005600D1" w:rsidRDefault="005600D1" w:rsidP="005600D1">
            <w:pPr>
              <w:pStyle w:val="BodyTextIndent"/>
              <w:ind w:left="0" w:firstLine="0"/>
              <w:jc w:val="center"/>
            </w:pPr>
          </w:p>
        </w:tc>
        <w:tc>
          <w:tcPr>
            <w:tcW w:w="1605" w:type="dxa"/>
          </w:tcPr>
          <w:p w:rsidR="005600D1" w:rsidRDefault="00C00DD4" w:rsidP="00C561BF">
            <w:pPr>
              <w:pStyle w:val="BodyTextIndent"/>
              <w:ind w:left="0" w:firstLine="0"/>
              <w:jc w:val="center"/>
            </w:pPr>
            <w:r>
              <w:t>1,440</w:t>
            </w:r>
            <w:r w:rsidR="00025F28">
              <w:t>**</w:t>
            </w:r>
          </w:p>
        </w:tc>
      </w:tr>
    </w:tbl>
    <w:p w:rsidR="005600D1" w:rsidRDefault="005600D1" w:rsidP="005600D1">
      <w:pPr>
        <w:pStyle w:val="BodyTextIndent"/>
      </w:pPr>
    </w:p>
    <w:p w:rsidR="005600D1" w:rsidRDefault="005600D1" w:rsidP="005600D1">
      <w:pPr>
        <w:pStyle w:val="BodyTextIndent"/>
        <w:jc w:val="center"/>
      </w:pPr>
    </w:p>
    <w:p w:rsidR="005600D1" w:rsidRDefault="005600D1" w:rsidP="005600D1">
      <w:pPr>
        <w:pStyle w:val="BodyTextIndent"/>
        <w:jc w:val="center"/>
      </w:pPr>
    </w:p>
    <w:p w:rsidR="005600D1" w:rsidRDefault="005600D1" w:rsidP="005600D1">
      <w:pPr>
        <w:pStyle w:val="BodyTextIndent"/>
      </w:pPr>
      <w:r>
        <w:tab/>
        <w:t xml:space="preserve">* This number reflects </w:t>
      </w:r>
      <w:r w:rsidR="00C00DD4">
        <w:t>the previously approved</w:t>
      </w:r>
      <w:r>
        <w:t xml:space="preserve"> number of </w:t>
      </w:r>
      <w:r w:rsidR="00C00DD4">
        <w:t xml:space="preserve">responses for the collection approved by OMB.  With the addition of approximately 300 swap dealers and major swap participants who would be required to provide notices under Part 160 on an initial and then on an annual basis, this number will increase to approximately 370,135.  However, </w:t>
      </w:r>
      <w:r w:rsidR="00D16860">
        <w:t xml:space="preserve">the </w:t>
      </w:r>
      <w:r w:rsidR="00C00DD4">
        <w:t>total responses</w:t>
      </w:r>
      <w:r w:rsidR="00D16860">
        <w:t xml:space="preserve"> will likely </w:t>
      </w:r>
      <w:r w:rsidR="00C00DD4">
        <w:t>change once</w:t>
      </w:r>
      <w:r w:rsidR="00D16860">
        <w:t xml:space="preserve"> additional data is received regarding the </w:t>
      </w:r>
      <w:r w:rsidR="00C00DD4">
        <w:t xml:space="preserve">actual </w:t>
      </w:r>
      <w:r w:rsidR="00D16860">
        <w:t>number of accounts associated with swap dealers and major swap participants.</w:t>
      </w:r>
    </w:p>
    <w:p w:rsidR="005600D1" w:rsidRDefault="005600D1" w:rsidP="005600D1">
      <w:pPr>
        <w:pStyle w:val="BodyTextIndent"/>
      </w:pPr>
    </w:p>
    <w:p w:rsidR="005600D1" w:rsidRDefault="005600D1" w:rsidP="005600D1">
      <w:pPr>
        <w:pStyle w:val="BodyTextIndent"/>
      </w:pPr>
    </w:p>
    <w:p w:rsidR="005600D1" w:rsidRDefault="005600D1" w:rsidP="00250E6C">
      <w:pPr>
        <w:pStyle w:val="BodyTextIndent"/>
      </w:pPr>
      <w:r>
        <w:tab/>
      </w:r>
      <w:r w:rsidR="00025F28">
        <w:t>**As a result of public comments to the Proposal, this number should be increased by an additional aggregate of 1440 burden hours to reflect monitoring an average of 20 notices per year by the 300 SDs and MSPs, with an average monitoring time of .24 hours per notice.</w:t>
      </w:r>
    </w:p>
    <w:p w:rsidR="005600D1" w:rsidRDefault="005600D1">
      <w:pPr>
        <w:tabs>
          <w:tab w:val="left" w:pos="-720"/>
        </w:tabs>
        <w:suppressAutoHyphens/>
      </w:pPr>
    </w:p>
    <w:sectPr w:rsidR="005600D1" w:rsidSect="00C57E7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E2" w:rsidRDefault="006521E2">
      <w:pPr>
        <w:spacing w:line="20" w:lineRule="exact"/>
      </w:pPr>
    </w:p>
  </w:endnote>
  <w:endnote w:type="continuationSeparator" w:id="0">
    <w:p w:rsidR="006521E2" w:rsidRDefault="006521E2">
      <w:r>
        <w:t xml:space="preserve"> </w:t>
      </w:r>
    </w:p>
  </w:endnote>
  <w:endnote w:type="continuationNotice" w:id="1">
    <w:p w:rsidR="006521E2" w:rsidRDefault="006521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E2" w:rsidRDefault="006521E2">
      <w:r>
        <w:separator/>
      </w:r>
    </w:p>
  </w:footnote>
  <w:footnote w:type="continuationSeparator" w:id="0">
    <w:p w:rsidR="006521E2" w:rsidRDefault="006521E2">
      <w:r>
        <w:t>(..</w:t>
      </w:r>
      <w:proofErr w:type="gramStart"/>
      <w:r>
        <w:t>continued</w:t>
      </w:r>
      <w:proofErr w:type="gram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6AC2"/>
    <w:rsid w:val="00025F28"/>
    <w:rsid w:val="000376FB"/>
    <w:rsid w:val="000554C1"/>
    <w:rsid w:val="000E4542"/>
    <w:rsid w:val="000F3F59"/>
    <w:rsid w:val="000F7F5C"/>
    <w:rsid w:val="00132D9A"/>
    <w:rsid w:val="001E7F5A"/>
    <w:rsid w:val="00223B2A"/>
    <w:rsid w:val="00250E6C"/>
    <w:rsid w:val="002607C6"/>
    <w:rsid w:val="002D133A"/>
    <w:rsid w:val="00306B0B"/>
    <w:rsid w:val="003233A6"/>
    <w:rsid w:val="00337A7D"/>
    <w:rsid w:val="00344B90"/>
    <w:rsid w:val="00491E7C"/>
    <w:rsid w:val="00493088"/>
    <w:rsid w:val="004C2994"/>
    <w:rsid w:val="00510EEE"/>
    <w:rsid w:val="00516162"/>
    <w:rsid w:val="005600D1"/>
    <w:rsid w:val="005E62EF"/>
    <w:rsid w:val="006521E2"/>
    <w:rsid w:val="006C053F"/>
    <w:rsid w:val="006F3707"/>
    <w:rsid w:val="007E65FB"/>
    <w:rsid w:val="00890657"/>
    <w:rsid w:val="00895106"/>
    <w:rsid w:val="008B790B"/>
    <w:rsid w:val="00934362"/>
    <w:rsid w:val="0096426C"/>
    <w:rsid w:val="00A17B53"/>
    <w:rsid w:val="00A3539D"/>
    <w:rsid w:val="00A41593"/>
    <w:rsid w:val="00A54851"/>
    <w:rsid w:val="00A679CE"/>
    <w:rsid w:val="00A76C81"/>
    <w:rsid w:val="00AB5AFD"/>
    <w:rsid w:val="00B30958"/>
    <w:rsid w:val="00B64B15"/>
    <w:rsid w:val="00C00DD4"/>
    <w:rsid w:val="00C0648F"/>
    <w:rsid w:val="00C40C9C"/>
    <w:rsid w:val="00C561BF"/>
    <w:rsid w:val="00C57E76"/>
    <w:rsid w:val="00D16860"/>
    <w:rsid w:val="00D779E4"/>
    <w:rsid w:val="00E1260A"/>
    <w:rsid w:val="00E3558D"/>
    <w:rsid w:val="00ED6C64"/>
    <w:rsid w:val="00F2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7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7E76"/>
  </w:style>
  <w:style w:type="character" w:styleId="EndnoteReference">
    <w:name w:val="endnote reference"/>
    <w:basedOn w:val="DefaultParagraphFont"/>
    <w:semiHidden/>
    <w:rsid w:val="00C57E76"/>
    <w:rPr>
      <w:vertAlign w:val="superscript"/>
    </w:rPr>
  </w:style>
  <w:style w:type="paragraph" w:styleId="FootnoteText">
    <w:name w:val="footnote text"/>
    <w:basedOn w:val="Normal"/>
    <w:semiHidden/>
    <w:rsid w:val="00C57E76"/>
  </w:style>
  <w:style w:type="character" w:styleId="FootnoteReference">
    <w:name w:val="footnote reference"/>
    <w:basedOn w:val="DefaultParagraphFont"/>
    <w:semiHidden/>
    <w:rsid w:val="00C57E76"/>
    <w:rPr>
      <w:vertAlign w:val="superscript"/>
    </w:rPr>
  </w:style>
  <w:style w:type="character" w:customStyle="1" w:styleId="Document8">
    <w:name w:val="Document 8"/>
    <w:basedOn w:val="DefaultParagraphFont"/>
    <w:rsid w:val="00C57E76"/>
  </w:style>
  <w:style w:type="character" w:customStyle="1" w:styleId="Document4">
    <w:name w:val="Document 4"/>
    <w:basedOn w:val="DefaultParagraphFont"/>
    <w:rsid w:val="00C57E76"/>
    <w:rPr>
      <w:b/>
      <w:i/>
      <w:sz w:val="24"/>
    </w:rPr>
  </w:style>
  <w:style w:type="character" w:customStyle="1" w:styleId="Document6">
    <w:name w:val="Document 6"/>
    <w:basedOn w:val="DefaultParagraphFont"/>
    <w:rsid w:val="00C57E76"/>
  </w:style>
  <w:style w:type="character" w:customStyle="1" w:styleId="Document5">
    <w:name w:val="Document 5"/>
    <w:basedOn w:val="DefaultParagraphFont"/>
    <w:rsid w:val="00C57E76"/>
  </w:style>
  <w:style w:type="character" w:customStyle="1" w:styleId="Document2">
    <w:name w:val="Document 2"/>
    <w:basedOn w:val="DefaultParagraphFont"/>
    <w:rsid w:val="00C57E76"/>
    <w:rPr>
      <w:rFonts w:ascii="Courier" w:hAnsi="Courier"/>
      <w:noProof w:val="0"/>
      <w:sz w:val="24"/>
      <w:lang w:val="en-US"/>
    </w:rPr>
  </w:style>
  <w:style w:type="character" w:customStyle="1" w:styleId="Document7">
    <w:name w:val="Document 7"/>
    <w:basedOn w:val="DefaultParagraphFont"/>
    <w:rsid w:val="00C57E76"/>
  </w:style>
  <w:style w:type="character" w:customStyle="1" w:styleId="Bibliogrphy">
    <w:name w:val="Bibliogrphy"/>
    <w:basedOn w:val="DefaultParagraphFont"/>
    <w:rsid w:val="00C57E76"/>
  </w:style>
  <w:style w:type="paragraph" w:customStyle="1" w:styleId="RightPar1">
    <w:name w:val="Right Par 1"/>
    <w:rsid w:val="00C57E76"/>
    <w:pPr>
      <w:tabs>
        <w:tab w:val="left" w:pos="-720"/>
        <w:tab w:val="left" w:pos="0"/>
        <w:tab w:val="decimal" w:pos="720"/>
      </w:tabs>
      <w:suppressAutoHyphens/>
      <w:ind w:left="720"/>
    </w:pPr>
    <w:rPr>
      <w:rFonts w:ascii="Courier" w:hAnsi="Courier"/>
      <w:sz w:val="24"/>
    </w:rPr>
  </w:style>
  <w:style w:type="paragraph" w:customStyle="1" w:styleId="RightPar2">
    <w:name w:val="Right Par 2"/>
    <w:rsid w:val="00C57E76"/>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C57E76"/>
    <w:rPr>
      <w:rFonts w:ascii="Courier" w:hAnsi="Courier"/>
      <w:noProof w:val="0"/>
      <w:sz w:val="24"/>
      <w:lang w:val="en-US"/>
    </w:rPr>
  </w:style>
  <w:style w:type="paragraph" w:customStyle="1" w:styleId="RightPar3">
    <w:name w:val="Right Par 3"/>
    <w:rsid w:val="00C57E76"/>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C57E76"/>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C57E76"/>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C57E7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C57E76"/>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C57E7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C57E76"/>
    <w:pPr>
      <w:keepNext/>
      <w:keepLines/>
      <w:tabs>
        <w:tab w:val="left" w:pos="-720"/>
      </w:tabs>
      <w:suppressAutoHyphens/>
    </w:pPr>
    <w:rPr>
      <w:rFonts w:ascii="Courier" w:hAnsi="Courier"/>
      <w:sz w:val="24"/>
    </w:rPr>
  </w:style>
  <w:style w:type="character" w:customStyle="1" w:styleId="DocInit">
    <w:name w:val="Doc Init"/>
    <w:basedOn w:val="DefaultParagraphFont"/>
    <w:rsid w:val="00C57E76"/>
  </w:style>
  <w:style w:type="character" w:customStyle="1" w:styleId="TechInit">
    <w:name w:val="Tech Init"/>
    <w:basedOn w:val="DefaultParagraphFont"/>
    <w:rsid w:val="00C57E76"/>
    <w:rPr>
      <w:rFonts w:ascii="Courier" w:hAnsi="Courier"/>
      <w:noProof w:val="0"/>
      <w:sz w:val="24"/>
      <w:lang w:val="en-US"/>
    </w:rPr>
  </w:style>
  <w:style w:type="paragraph" w:customStyle="1" w:styleId="Technical5">
    <w:name w:val="Technical 5"/>
    <w:rsid w:val="00C57E76"/>
    <w:pPr>
      <w:tabs>
        <w:tab w:val="left" w:pos="-720"/>
      </w:tabs>
      <w:suppressAutoHyphens/>
      <w:ind w:firstLine="720"/>
    </w:pPr>
    <w:rPr>
      <w:rFonts w:ascii="Courier" w:hAnsi="Courier"/>
      <w:b/>
      <w:sz w:val="24"/>
    </w:rPr>
  </w:style>
  <w:style w:type="paragraph" w:customStyle="1" w:styleId="Technical6">
    <w:name w:val="Technical 6"/>
    <w:rsid w:val="00C57E76"/>
    <w:pPr>
      <w:tabs>
        <w:tab w:val="left" w:pos="-720"/>
      </w:tabs>
      <w:suppressAutoHyphens/>
      <w:ind w:firstLine="720"/>
    </w:pPr>
    <w:rPr>
      <w:rFonts w:ascii="Courier" w:hAnsi="Courier"/>
      <w:b/>
      <w:sz w:val="24"/>
    </w:rPr>
  </w:style>
  <w:style w:type="character" w:customStyle="1" w:styleId="Technical2">
    <w:name w:val="Technical 2"/>
    <w:basedOn w:val="DefaultParagraphFont"/>
    <w:rsid w:val="00C57E76"/>
    <w:rPr>
      <w:rFonts w:ascii="Courier" w:hAnsi="Courier"/>
      <w:noProof w:val="0"/>
      <w:sz w:val="24"/>
      <w:lang w:val="en-US"/>
    </w:rPr>
  </w:style>
  <w:style w:type="character" w:customStyle="1" w:styleId="Technical3">
    <w:name w:val="Technical 3"/>
    <w:basedOn w:val="DefaultParagraphFont"/>
    <w:rsid w:val="00C57E76"/>
    <w:rPr>
      <w:rFonts w:ascii="Courier" w:hAnsi="Courier"/>
      <w:noProof w:val="0"/>
      <w:sz w:val="24"/>
      <w:lang w:val="en-US"/>
    </w:rPr>
  </w:style>
  <w:style w:type="paragraph" w:customStyle="1" w:styleId="Technical4">
    <w:name w:val="Technical 4"/>
    <w:rsid w:val="00C57E76"/>
    <w:pPr>
      <w:tabs>
        <w:tab w:val="left" w:pos="-720"/>
      </w:tabs>
      <w:suppressAutoHyphens/>
    </w:pPr>
    <w:rPr>
      <w:rFonts w:ascii="Courier" w:hAnsi="Courier"/>
      <w:b/>
      <w:sz w:val="24"/>
    </w:rPr>
  </w:style>
  <w:style w:type="character" w:customStyle="1" w:styleId="Technical1">
    <w:name w:val="Technical 1"/>
    <w:basedOn w:val="DefaultParagraphFont"/>
    <w:rsid w:val="00C57E76"/>
    <w:rPr>
      <w:rFonts w:ascii="Courier" w:hAnsi="Courier"/>
      <w:noProof w:val="0"/>
      <w:sz w:val="24"/>
      <w:lang w:val="en-US"/>
    </w:rPr>
  </w:style>
  <w:style w:type="paragraph" w:customStyle="1" w:styleId="Technical7">
    <w:name w:val="Technical 7"/>
    <w:rsid w:val="00C57E76"/>
    <w:pPr>
      <w:tabs>
        <w:tab w:val="left" w:pos="-720"/>
      </w:tabs>
      <w:suppressAutoHyphens/>
      <w:ind w:firstLine="720"/>
    </w:pPr>
    <w:rPr>
      <w:rFonts w:ascii="Courier" w:hAnsi="Courier"/>
      <w:b/>
      <w:sz w:val="24"/>
    </w:rPr>
  </w:style>
  <w:style w:type="paragraph" w:customStyle="1" w:styleId="Technical8">
    <w:name w:val="Technical 8"/>
    <w:rsid w:val="00C57E76"/>
    <w:pPr>
      <w:tabs>
        <w:tab w:val="left" w:pos="-720"/>
      </w:tabs>
      <w:suppressAutoHyphens/>
      <w:ind w:firstLine="720"/>
    </w:pPr>
    <w:rPr>
      <w:rFonts w:ascii="Courier" w:hAnsi="Courier"/>
      <w:b/>
      <w:sz w:val="24"/>
    </w:rPr>
  </w:style>
  <w:style w:type="paragraph" w:styleId="TOC1">
    <w:name w:val="toc 1"/>
    <w:basedOn w:val="Normal"/>
    <w:next w:val="Normal"/>
    <w:semiHidden/>
    <w:rsid w:val="00C57E76"/>
    <w:pPr>
      <w:tabs>
        <w:tab w:val="right" w:leader="dot" w:pos="9360"/>
      </w:tabs>
      <w:suppressAutoHyphens/>
      <w:spacing w:before="480"/>
      <w:ind w:left="720" w:right="720" w:hanging="720"/>
    </w:pPr>
  </w:style>
  <w:style w:type="paragraph" w:styleId="TOC2">
    <w:name w:val="toc 2"/>
    <w:basedOn w:val="Normal"/>
    <w:next w:val="Normal"/>
    <w:semiHidden/>
    <w:rsid w:val="00C57E76"/>
    <w:pPr>
      <w:tabs>
        <w:tab w:val="right" w:leader="dot" w:pos="9360"/>
      </w:tabs>
      <w:suppressAutoHyphens/>
      <w:ind w:left="1440" w:right="720" w:hanging="720"/>
    </w:pPr>
  </w:style>
  <w:style w:type="paragraph" w:styleId="TOC3">
    <w:name w:val="toc 3"/>
    <w:basedOn w:val="Normal"/>
    <w:next w:val="Normal"/>
    <w:semiHidden/>
    <w:rsid w:val="00C57E76"/>
    <w:pPr>
      <w:tabs>
        <w:tab w:val="right" w:leader="dot" w:pos="9360"/>
      </w:tabs>
      <w:suppressAutoHyphens/>
      <w:ind w:left="2160" w:right="720" w:hanging="720"/>
    </w:pPr>
  </w:style>
  <w:style w:type="paragraph" w:styleId="TOC4">
    <w:name w:val="toc 4"/>
    <w:basedOn w:val="Normal"/>
    <w:next w:val="Normal"/>
    <w:semiHidden/>
    <w:rsid w:val="00C57E76"/>
    <w:pPr>
      <w:tabs>
        <w:tab w:val="right" w:leader="dot" w:pos="9360"/>
      </w:tabs>
      <w:suppressAutoHyphens/>
      <w:ind w:left="2880" w:right="720" w:hanging="720"/>
    </w:pPr>
  </w:style>
  <w:style w:type="paragraph" w:styleId="TOC5">
    <w:name w:val="toc 5"/>
    <w:basedOn w:val="Normal"/>
    <w:next w:val="Normal"/>
    <w:semiHidden/>
    <w:rsid w:val="00C57E76"/>
    <w:pPr>
      <w:tabs>
        <w:tab w:val="right" w:leader="dot" w:pos="9360"/>
      </w:tabs>
      <w:suppressAutoHyphens/>
      <w:ind w:left="3600" w:right="720" w:hanging="720"/>
    </w:pPr>
  </w:style>
  <w:style w:type="paragraph" w:styleId="TOC6">
    <w:name w:val="toc 6"/>
    <w:basedOn w:val="Normal"/>
    <w:next w:val="Normal"/>
    <w:semiHidden/>
    <w:rsid w:val="00C57E76"/>
    <w:pPr>
      <w:tabs>
        <w:tab w:val="right" w:pos="9360"/>
      </w:tabs>
      <w:suppressAutoHyphens/>
      <w:ind w:left="720" w:hanging="720"/>
    </w:pPr>
  </w:style>
  <w:style w:type="paragraph" w:styleId="TOC7">
    <w:name w:val="toc 7"/>
    <w:basedOn w:val="Normal"/>
    <w:next w:val="Normal"/>
    <w:semiHidden/>
    <w:rsid w:val="00C57E76"/>
    <w:pPr>
      <w:suppressAutoHyphens/>
      <w:ind w:left="720" w:hanging="720"/>
    </w:pPr>
  </w:style>
  <w:style w:type="paragraph" w:styleId="TOC8">
    <w:name w:val="toc 8"/>
    <w:basedOn w:val="Normal"/>
    <w:next w:val="Normal"/>
    <w:semiHidden/>
    <w:rsid w:val="00C57E76"/>
    <w:pPr>
      <w:tabs>
        <w:tab w:val="right" w:pos="9360"/>
      </w:tabs>
      <w:suppressAutoHyphens/>
      <w:ind w:left="720" w:hanging="720"/>
    </w:pPr>
  </w:style>
  <w:style w:type="paragraph" w:styleId="TOC9">
    <w:name w:val="toc 9"/>
    <w:basedOn w:val="Normal"/>
    <w:next w:val="Normal"/>
    <w:semiHidden/>
    <w:rsid w:val="00C57E76"/>
    <w:pPr>
      <w:tabs>
        <w:tab w:val="right" w:leader="dot" w:pos="9360"/>
      </w:tabs>
      <w:suppressAutoHyphens/>
      <w:ind w:left="720" w:hanging="720"/>
    </w:pPr>
  </w:style>
  <w:style w:type="paragraph" w:styleId="Index1">
    <w:name w:val="index 1"/>
    <w:basedOn w:val="Normal"/>
    <w:next w:val="Normal"/>
    <w:semiHidden/>
    <w:rsid w:val="00C57E76"/>
    <w:pPr>
      <w:tabs>
        <w:tab w:val="right" w:leader="dot" w:pos="9360"/>
      </w:tabs>
      <w:suppressAutoHyphens/>
      <w:ind w:left="1440" w:right="720" w:hanging="1440"/>
    </w:pPr>
  </w:style>
  <w:style w:type="paragraph" w:styleId="Index2">
    <w:name w:val="index 2"/>
    <w:basedOn w:val="Normal"/>
    <w:next w:val="Normal"/>
    <w:semiHidden/>
    <w:rsid w:val="00C57E76"/>
    <w:pPr>
      <w:tabs>
        <w:tab w:val="right" w:leader="dot" w:pos="9360"/>
      </w:tabs>
      <w:suppressAutoHyphens/>
      <w:ind w:left="1440" w:right="720" w:hanging="720"/>
    </w:pPr>
  </w:style>
  <w:style w:type="paragraph" w:styleId="TOAHeading">
    <w:name w:val="toa heading"/>
    <w:basedOn w:val="Normal"/>
    <w:next w:val="Normal"/>
    <w:semiHidden/>
    <w:rsid w:val="00C57E76"/>
    <w:pPr>
      <w:tabs>
        <w:tab w:val="right" w:pos="9360"/>
      </w:tabs>
      <w:suppressAutoHyphens/>
    </w:pPr>
  </w:style>
  <w:style w:type="paragraph" w:styleId="Caption">
    <w:name w:val="caption"/>
    <w:basedOn w:val="Normal"/>
    <w:next w:val="Normal"/>
    <w:qFormat/>
    <w:rsid w:val="00C57E76"/>
  </w:style>
  <w:style w:type="character" w:customStyle="1" w:styleId="EquationCaption">
    <w:name w:val="_Equation Caption"/>
    <w:rsid w:val="00C57E76"/>
  </w:style>
  <w:style w:type="paragraph" w:styleId="BodyTextIndent">
    <w:name w:val="Body Text Indent"/>
    <w:basedOn w:val="Normal"/>
    <w:link w:val="BodyTextIndentChar"/>
    <w:rsid w:val="005600D1"/>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5600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7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7E76"/>
  </w:style>
  <w:style w:type="character" w:styleId="EndnoteReference">
    <w:name w:val="endnote reference"/>
    <w:basedOn w:val="DefaultParagraphFont"/>
    <w:semiHidden/>
    <w:rsid w:val="00C57E76"/>
    <w:rPr>
      <w:vertAlign w:val="superscript"/>
    </w:rPr>
  </w:style>
  <w:style w:type="paragraph" w:styleId="FootnoteText">
    <w:name w:val="footnote text"/>
    <w:basedOn w:val="Normal"/>
    <w:semiHidden/>
    <w:rsid w:val="00C57E76"/>
  </w:style>
  <w:style w:type="character" w:styleId="FootnoteReference">
    <w:name w:val="footnote reference"/>
    <w:basedOn w:val="DefaultParagraphFont"/>
    <w:semiHidden/>
    <w:rsid w:val="00C57E76"/>
    <w:rPr>
      <w:vertAlign w:val="superscript"/>
    </w:rPr>
  </w:style>
  <w:style w:type="character" w:customStyle="1" w:styleId="Document8">
    <w:name w:val="Document 8"/>
    <w:basedOn w:val="DefaultParagraphFont"/>
    <w:rsid w:val="00C57E76"/>
  </w:style>
  <w:style w:type="character" w:customStyle="1" w:styleId="Document4">
    <w:name w:val="Document 4"/>
    <w:basedOn w:val="DefaultParagraphFont"/>
    <w:rsid w:val="00C57E76"/>
    <w:rPr>
      <w:b/>
      <w:i/>
      <w:sz w:val="24"/>
    </w:rPr>
  </w:style>
  <w:style w:type="character" w:customStyle="1" w:styleId="Document6">
    <w:name w:val="Document 6"/>
    <w:basedOn w:val="DefaultParagraphFont"/>
    <w:rsid w:val="00C57E76"/>
  </w:style>
  <w:style w:type="character" w:customStyle="1" w:styleId="Document5">
    <w:name w:val="Document 5"/>
    <w:basedOn w:val="DefaultParagraphFont"/>
    <w:rsid w:val="00C57E76"/>
  </w:style>
  <w:style w:type="character" w:customStyle="1" w:styleId="Document2">
    <w:name w:val="Document 2"/>
    <w:basedOn w:val="DefaultParagraphFont"/>
    <w:rsid w:val="00C57E76"/>
    <w:rPr>
      <w:rFonts w:ascii="Courier" w:hAnsi="Courier"/>
      <w:noProof w:val="0"/>
      <w:sz w:val="24"/>
      <w:lang w:val="en-US"/>
    </w:rPr>
  </w:style>
  <w:style w:type="character" w:customStyle="1" w:styleId="Document7">
    <w:name w:val="Document 7"/>
    <w:basedOn w:val="DefaultParagraphFont"/>
    <w:rsid w:val="00C57E76"/>
  </w:style>
  <w:style w:type="character" w:customStyle="1" w:styleId="Bibliogrphy">
    <w:name w:val="Bibliogrphy"/>
    <w:basedOn w:val="DefaultParagraphFont"/>
    <w:rsid w:val="00C57E76"/>
  </w:style>
  <w:style w:type="paragraph" w:customStyle="1" w:styleId="RightPar1">
    <w:name w:val="Right Par 1"/>
    <w:rsid w:val="00C57E76"/>
    <w:pPr>
      <w:tabs>
        <w:tab w:val="left" w:pos="-720"/>
        <w:tab w:val="left" w:pos="0"/>
        <w:tab w:val="decimal" w:pos="720"/>
      </w:tabs>
      <w:suppressAutoHyphens/>
      <w:ind w:left="720"/>
    </w:pPr>
    <w:rPr>
      <w:rFonts w:ascii="Courier" w:hAnsi="Courier"/>
      <w:sz w:val="24"/>
    </w:rPr>
  </w:style>
  <w:style w:type="paragraph" w:customStyle="1" w:styleId="RightPar2">
    <w:name w:val="Right Par 2"/>
    <w:rsid w:val="00C57E76"/>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C57E76"/>
    <w:rPr>
      <w:rFonts w:ascii="Courier" w:hAnsi="Courier"/>
      <w:noProof w:val="0"/>
      <w:sz w:val="24"/>
      <w:lang w:val="en-US"/>
    </w:rPr>
  </w:style>
  <w:style w:type="paragraph" w:customStyle="1" w:styleId="RightPar3">
    <w:name w:val="Right Par 3"/>
    <w:rsid w:val="00C57E76"/>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C57E76"/>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C57E76"/>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C57E7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C57E76"/>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C57E7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C57E76"/>
    <w:pPr>
      <w:keepNext/>
      <w:keepLines/>
      <w:tabs>
        <w:tab w:val="left" w:pos="-720"/>
      </w:tabs>
      <w:suppressAutoHyphens/>
    </w:pPr>
    <w:rPr>
      <w:rFonts w:ascii="Courier" w:hAnsi="Courier"/>
      <w:sz w:val="24"/>
    </w:rPr>
  </w:style>
  <w:style w:type="character" w:customStyle="1" w:styleId="DocInit">
    <w:name w:val="Doc Init"/>
    <w:basedOn w:val="DefaultParagraphFont"/>
    <w:rsid w:val="00C57E76"/>
  </w:style>
  <w:style w:type="character" w:customStyle="1" w:styleId="TechInit">
    <w:name w:val="Tech Init"/>
    <w:basedOn w:val="DefaultParagraphFont"/>
    <w:rsid w:val="00C57E76"/>
    <w:rPr>
      <w:rFonts w:ascii="Courier" w:hAnsi="Courier"/>
      <w:noProof w:val="0"/>
      <w:sz w:val="24"/>
      <w:lang w:val="en-US"/>
    </w:rPr>
  </w:style>
  <w:style w:type="paragraph" w:customStyle="1" w:styleId="Technical5">
    <w:name w:val="Technical 5"/>
    <w:rsid w:val="00C57E76"/>
    <w:pPr>
      <w:tabs>
        <w:tab w:val="left" w:pos="-720"/>
      </w:tabs>
      <w:suppressAutoHyphens/>
      <w:ind w:firstLine="720"/>
    </w:pPr>
    <w:rPr>
      <w:rFonts w:ascii="Courier" w:hAnsi="Courier"/>
      <w:b/>
      <w:sz w:val="24"/>
    </w:rPr>
  </w:style>
  <w:style w:type="paragraph" w:customStyle="1" w:styleId="Technical6">
    <w:name w:val="Technical 6"/>
    <w:rsid w:val="00C57E76"/>
    <w:pPr>
      <w:tabs>
        <w:tab w:val="left" w:pos="-720"/>
      </w:tabs>
      <w:suppressAutoHyphens/>
      <w:ind w:firstLine="720"/>
    </w:pPr>
    <w:rPr>
      <w:rFonts w:ascii="Courier" w:hAnsi="Courier"/>
      <w:b/>
      <w:sz w:val="24"/>
    </w:rPr>
  </w:style>
  <w:style w:type="character" w:customStyle="1" w:styleId="Technical2">
    <w:name w:val="Technical 2"/>
    <w:basedOn w:val="DefaultParagraphFont"/>
    <w:rsid w:val="00C57E76"/>
    <w:rPr>
      <w:rFonts w:ascii="Courier" w:hAnsi="Courier"/>
      <w:noProof w:val="0"/>
      <w:sz w:val="24"/>
      <w:lang w:val="en-US"/>
    </w:rPr>
  </w:style>
  <w:style w:type="character" w:customStyle="1" w:styleId="Technical3">
    <w:name w:val="Technical 3"/>
    <w:basedOn w:val="DefaultParagraphFont"/>
    <w:rsid w:val="00C57E76"/>
    <w:rPr>
      <w:rFonts w:ascii="Courier" w:hAnsi="Courier"/>
      <w:noProof w:val="0"/>
      <w:sz w:val="24"/>
      <w:lang w:val="en-US"/>
    </w:rPr>
  </w:style>
  <w:style w:type="paragraph" w:customStyle="1" w:styleId="Technical4">
    <w:name w:val="Technical 4"/>
    <w:rsid w:val="00C57E76"/>
    <w:pPr>
      <w:tabs>
        <w:tab w:val="left" w:pos="-720"/>
      </w:tabs>
      <w:suppressAutoHyphens/>
    </w:pPr>
    <w:rPr>
      <w:rFonts w:ascii="Courier" w:hAnsi="Courier"/>
      <w:b/>
      <w:sz w:val="24"/>
    </w:rPr>
  </w:style>
  <w:style w:type="character" w:customStyle="1" w:styleId="Technical1">
    <w:name w:val="Technical 1"/>
    <w:basedOn w:val="DefaultParagraphFont"/>
    <w:rsid w:val="00C57E76"/>
    <w:rPr>
      <w:rFonts w:ascii="Courier" w:hAnsi="Courier"/>
      <w:noProof w:val="0"/>
      <w:sz w:val="24"/>
      <w:lang w:val="en-US"/>
    </w:rPr>
  </w:style>
  <w:style w:type="paragraph" w:customStyle="1" w:styleId="Technical7">
    <w:name w:val="Technical 7"/>
    <w:rsid w:val="00C57E76"/>
    <w:pPr>
      <w:tabs>
        <w:tab w:val="left" w:pos="-720"/>
      </w:tabs>
      <w:suppressAutoHyphens/>
      <w:ind w:firstLine="720"/>
    </w:pPr>
    <w:rPr>
      <w:rFonts w:ascii="Courier" w:hAnsi="Courier"/>
      <w:b/>
      <w:sz w:val="24"/>
    </w:rPr>
  </w:style>
  <w:style w:type="paragraph" w:customStyle="1" w:styleId="Technical8">
    <w:name w:val="Technical 8"/>
    <w:rsid w:val="00C57E76"/>
    <w:pPr>
      <w:tabs>
        <w:tab w:val="left" w:pos="-720"/>
      </w:tabs>
      <w:suppressAutoHyphens/>
      <w:ind w:firstLine="720"/>
    </w:pPr>
    <w:rPr>
      <w:rFonts w:ascii="Courier" w:hAnsi="Courier"/>
      <w:b/>
      <w:sz w:val="24"/>
    </w:rPr>
  </w:style>
  <w:style w:type="paragraph" w:styleId="TOC1">
    <w:name w:val="toc 1"/>
    <w:basedOn w:val="Normal"/>
    <w:next w:val="Normal"/>
    <w:semiHidden/>
    <w:rsid w:val="00C57E76"/>
    <w:pPr>
      <w:tabs>
        <w:tab w:val="right" w:leader="dot" w:pos="9360"/>
      </w:tabs>
      <w:suppressAutoHyphens/>
      <w:spacing w:before="480"/>
      <w:ind w:left="720" w:right="720" w:hanging="720"/>
    </w:pPr>
  </w:style>
  <w:style w:type="paragraph" w:styleId="TOC2">
    <w:name w:val="toc 2"/>
    <w:basedOn w:val="Normal"/>
    <w:next w:val="Normal"/>
    <w:semiHidden/>
    <w:rsid w:val="00C57E76"/>
    <w:pPr>
      <w:tabs>
        <w:tab w:val="right" w:leader="dot" w:pos="9360"/>
      </w:tabs>
      <w:suppressAutoHyphens/>
      <w:ind w:left="1440" w:right="720" w:hanging="720"/>
    </w:pPr>
  </w:style>
  <w:style w:type="paragraph" w:styleId="TOC3">
    <w:name w:val="toc 3"/>
    <w:basedOn w:val="Normal"/>
    <w:next w:val="Normal"/>
    <w:semiHidden/>
    <w:rsid w:val="00C57E76"/>
    <w:pPr>
      <w:tabs>
        <w:tab w:val="right" w:leader="dot" w:pos="9360"/>
      </w:tabs>
      <w:suppressAutoHyphens/>
      <w:ind w:left="2160" w:right="720" w:hanging="720"/>
    </w:pPr>
  </w:style>
  <w:style w:type="paragraph" w:styleId="TOC4">
    <w:name w:val="toc 4"/>
    <w:basedOn w:val="Normal"/>
    <w:next w:val="Normal"/>
    <w:semiHidden/>
    <w:rsid w:val="00C57E76"/>
    <w:pPr>
      <w:tabs>
        <w:tab w:val="right" w:leader="dot" w:pos="9360"/>
      </w:tabs>
      <w:suppressAutoHyphens/>
      <w:ind w:left="2880" w:right="720" w:hanging="720"/>
    </w:pPr>
  </w:style>
  <w:style w:type="paragraph" w:styleId="TOC5">
    <w:name w:val="toc 5"/>
    <w:basedOn w:val="Normal"/>
    <w:next w:val="Normal"/>
    <w:semiHidden/>
    <w:rsid w:val="00C57E76"/>
    <w:pPr>
      <w:tabs>
        <w:tab w:val="right" w:leader="dot" w:pos="9360"/>
      </w:tabs>
      <w:suppressAutoHyphens/>
      <w:ind w:left="3600" w:right="720" w:hanging="720"/>
    </w:pPr>
  </w:style>
  <w:style w:type="paragraph" w:styleId="TOC6">
    <w:name w:val="toc 6"/>
    <w:basedOn w:val="Normal"/>
    <w:next w:val="Normal"/>
    <w:semiHidden/>
    <w:rsid w:val="00C57E76"/>
    <w:pPr>
      <w:tabs>
        <w:tab w:val="right" w:pos="9360"/>
      </w:tabs>
      <w:suppressAutoHyphens/>
      <w:ind w:left="720" w:hanging="720"/>
    </w:pPr>
  </w:style>
  <w:style w:type="paragraph" w:styleId="TOC7">
    <w:name w:val="toc 7"/>
    <w:basedOn w:val="Normal"/>
    <w:next w:val="Normal"/>
    <w:semiHidden/>
    <w:rsid w:val="00C57E76"/>
    <w:pPr>
      <w:suppressAutoHyphens/>
      <w:ind w:left="720" w:hanging="720"/>
    </w:pPr>
  </w:style>
  <w:style w:type="paragraph" w:styleId="TOC8">
    <w:name w:val="toc 8"/>
    <w:basedOn w:val="Normal"/>
    <w:next w:val="Normal"/>
    <w:semiHidden/>
    <w:rsid w:val="00C57E76"/>
    <w:pPr>
      <w:tabs>
        <w:tab w:val="right" w:pos="9360"/>
      </w:tabs>
      <w:suppressAutoHyphens/>
      <w:ind w:left="720" w:hanging="720"/>
    </w:pPr>
  </w:style>
  <w:style w:type="paragraph" w:styleId="TOC9">
    <w:name w:val="toc 9"/>
    <w:basedOn w:val="Normal"/>
    <w:next w:val="Normal"/>
    <w:semiHidden/>
    <w:rsid w:val="00C57E76"/>
    <w:pPr>
      <w:tabs>
        <w:tab w:val="right" w:leader="dot" w:pos="9360"/>
      </w:tabs>
      <w:suppressAutoHyphens/>
      <w:ind w:left="720" w:hanging="720"/>
    </w:pPr>
  </w:style>
  <w:style w:type="paragraph" w:styleId="Index1">
    <w:name w:val="index 1"/>
    <w:basedOn w:val="Normal"/>
    <w:next w:val="Normal"/>
    <w:semiHidden/>
    <w:rsid w:val="00C57E76"/>
    <w:pPr>
      <w:tabs>
        <w:tab w:val="right" w:leader="dot" w:pos="9360"/>
      </w:tabs>
      <w:suppressAutoHyphens/>
      <w:ind w:left="1440" w:right="720" w:hanging="1440"/>
    </w:pPr>
  </w:style>
  <w:style w:type="paragraph" w:styleId="Index2">
    <w:name w:val="index 2"/>
    <w:basedOn w:val="Normal"/>
    <w:next w:val="Normal"/>
    <w:semiHidden/>
    <w:rsid w:val="00C57E76"/>
    <w:pPr>
      <w:tabs>
        <w:tab w:val="right" w:leader="dot" w:pos="9360"/>
      </w:tabs>
      <w:suppressAutoHyphens/>
      <w:ind w:left="1440" w:right="720" w:hanging="720"/>
    </w:pPr>
  </w:style>
  <w:style w:type="paragraph" w:styleId="TOAHeading">
    <w:name w:val="toa heading"/>
    <w:basedOn w:val="Normal"/>
    <w:next w:val="Normal"/>
    <w:semiHidden/>
    <w:rsid w:val="00C57E76"/>
    <w:pPr>
      <w:tabs>
        <w:tab w:val="right" w:pos="9360"/>
      </w:tabs>
      <w:suppressAutoHyphens/>
    </w:pPr>
  </w:style>
  <w:style w:type="paragraph" w:styleId="Caption">
    <w:name w:val="caption"/>
    <w:basedOn w:val="Normal"/>
    <w:next w:val="Normal"/>
    <w:qFormat/>
    <w:rsid w:val="00C57E76"/>
  </w:style>
  <w:style w:type="character" w:customStyle="1" w:styleId="EquationCaption">
    <w:name w:val="_Equation Caption"/>
    <w:rsid w:val="00C57E76"/>
  </w:style>
  <w:style w:type="paragraph" w:styleId="BodyTextIndent">
    <w:name w:val="Body Text Indent"/>
    <w:basedOn w:val="Normal"/>
    <w:link w:val="BodyTextIndentChar"/>
    <w:rsid w:val="005600D1"/>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5600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2775</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VHill</cp:lastModifiedBy>
  <cp:revision>2</cp:revision>
  <cp:lastPrinted>2001-07-05T13:43:00Z</cp:lastPrinted>
  <dcterms:created xsi:type="dcterms:W3CDTF">2011-12-08T00:34:00Z</dcterms:created>
  <dcterms:modified xsi:type="dcterms:W3CDTF">2011-12-08T00:34:00Z</dcterms:modified>
</cp:coreProperties>
</file>