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133A" w:rsidRDefault="002D133A">
      <w:pPr>
        <w:suppressAutoHyphens/>
        <w:rPr>
          <w:rFonts w:ascii="Times New Roman" w:hAnsi="Times New Roman"/>
        </w:rPr>
      </w:pPr>
      <w:r>
        <w:rPr>
          <w:rFonts w:ascii="Times New Roman" w:hAnsi="Times New Roman"/>
        </w:rPr>
        <w:t>SUPPORTING STATEMENT FOR NEW AND REVISED INFORMATION COLLECTIONS</w:t>
      </w:r>
      <w:r w:rsidR="00782370">
        <w:rPr>
          <w:rFonts w:ascii="Times New Roman" w:hAnsi="Times New Roman"/>
        </w:rPr>
        <w:fldChar w:fldCharType="begin"/>
      </w:r>
      <w:r>
        <w:rPr>
          <w:rFonts w:ascii="Times New Roman" w:hAnsi="Times New Roman"/>
        </w:rPr>
        <w:instrText xml:space="preserve">PRIVATE </w:instrText>
      </w:r>
      <w:r w:rsidR="00782370">
        <w:rPr>
          <w:rFonts w:ascii="Times New Roman" w:hAnsi="Times New Roman"/>
        </w:rPr>
        <w:fldChar w:fldCharType="end"/>
      </w:r>
    </w:p>
    <w:p w:rsidR="00CC166F" w:rsidRDefault="00CC166F">
      <w:pPr>
        <w:suppressAutoHyphens/>
        <w:rPr>
          <w:rFonts w:ascii="Times New Roman" w:hAnsi="Times New Roman"/>
        </w:rPr>
      </w:pPr>
    </w:p>
    <w:p w:rsidR="002D133A" w:rsidRDefault="002D133A">
      <w:pPr>
        <w:tabs>
          <w:tab w:val="center" w:pos="4680"/>
        </w:tabs>
        <w:suppressAutoHyphens/>
        <w:rPr>
          <w:rFonts w:ascii="Times New Roman" w:hAnsi="Times New Roman"/>
        </w:rPr>
      </w:pPr>
      <w:r>
        <w:rPr>
          <w:rFonts w:ascii="Times New Roman" w:hAnsi="Times New Roman"/>
        </w:rPr>
        <w:tab/>
        <w:t xml:space="preserve">OMB CONTROL </w:t>
      </w:r>
      <w:r w:rsidRPr="00F5556C">
        <w:rPr>
          <w:rFonts w:ascii="Times New Roman" w:hAnsi="Times New Roman"/>
        </w:rPr>
        <w:t xml:space="preserve">NUMBER </w:t>
      </w:r>
      <w:r w:rsidR="00F5556C" w:rsidRPr="00F5556C">
        <w:rPr>
          <w:rFonts w:ascii="Times New Roman" w:hAnsi="Times New Roman"/>
        </w:rPr>
        <w:t>3038-</w:t>
      </w:r>
      <w:r w:rsidR="00CC166F">
        <w:rPr>
          <w:rFonts w:ascii="Times New Roman" w:hAnsi="Times New Roman"/>
        </w:rPr>
        <w:t>0067</w:t>
      </w:r>
    </w:p>
    <w:p w:rsidR="00CC166F" w:rsidRDefault="00CC166F" w:rsidP="00CC166F">
      <w:pPr>
        <w:tabs>
          <w:tab w:val="center" w:pos="4680"/>
        </w:tabs>
        <w:suppressAutoHyphens/>
        <w:jc w:val="center"/>
        <w:rPr>
          <w:rFonts w:ascii="Times New Roman" w:hAnsi="Times New Roman"/>
        </w:rPr>
      </w:pPr>
    </w:p>
    <w:p w:rsidR="00CC166F" w:rsidRDefault="00CC166F" w:rsidP="00CC166F">
      <w:pPr>
        <w:tabs>
          <w:tab w:val="center" w:pos="4680"/>
        </w:tabs>
        <w:suppressAutoHyphens/>
        <w:jc w:val="center"/>
        <w:rPr>
          <w:rFonts w:ascii="Times New Roman" w:hAnsi="Times New Roman"/>
          <w:b/>
        </w:rPr>
      </w:pPr>
      <w:r>
        <w:rPr>
          <w:rFonts w:ascii="Times New Roman" w:hAnsi="Times New Roman"/>
          <w:b/>
        </w:rPr>
        <w:t>Part 162 – Protection of Consumer Information under the Fair Credit Reporting Act</w:t>
      </w:r>
    </w:p>
    <w:p w:rsidR="00CC166F" w:rsidRPr="00CC166F" w:rsidRDefault="00CC166F" w:rsidP="00CC166F">
      <w:pPr>
        <w:tabs>
          <w:tab w:val="center" w:pos="4680"/>
        </w:tabs>
        <w:suppressAutoHyphens/>
        <w:jc w:val="center"/>
        <w:rPr>
          <w:rFonts w:ascii="Times New Roman" w:hAnsi="Times New Roman"/>
          <w:b/>
        </w:rPr>
      </w:pPr>
      <w:r>
        <w:rPr>
          <w:rFonts w:ascii="Times New Roman" w:hAnsi="Times New Roman"/>
          <w:b/>
        </w:rPr>
        <w:t>(Business Affiliate Marketing and Disposal of Consumer Information Rules)</w:t>
      </w:r>
    </w:p>
    <w:p w:rsidR="002D133A" w:rsidRDefault="002D133A">
      <w:pPr>
        <w:tabs>
          <w:tab w:val="left" w:pos="-720"/>
        </w:tabs>
        <w:suppressAutoHyphens/>
        <w:rPr>
          <w:rFonts w:ascii="Times New Roman" w:hAnsi="Times New Roman"/>
        </w:rPr>
      </w:pPr>
    </w:p>
    <w:p w:rsidR="002D133A" w:rsidRDefault="002D133A">
      <w:pPr>
        <w:tabs>
          <w:tab w:val="left" w:pos="-720"/>
        </w:tabs>
        <w:suppressAutoHyphens/>
        <w:rPr>
          <w:rFonts w:ascii="Times New Roman" w:hAnsi="Times New Roman"/>
        </w:rPr>
      </w:pPr>
      <w:r>
        <w:rPr>
          <w:rFonts w:ascii="Times New Roman" w:hAnsi="Times New Roman"/>
          <w:u w:val="single"/>
        </w:rPr>
        <w:t>Justification</w:t>
      </w:r>
    </w:p>
    <w:p w:rsidR="002D133A" w:rsidRDefault="002D133A">
      <w:pPr>
        <w:tabs>
          <w:tab w:val="left" w:pos="-720"/>
        </w:tabs>
        <w:suppressAutoHyphens/>
        <w:rPr>
          <w:rFonts w:ascii="Times New Roman" w:hAnsi="Times New Roman"/>
        </w:rPr>
      </w:pPr>
    </w:p>
    <w:p w:rsidR="002D133A" w:rsidRDefault="002D133A">
      <w:pPr>
        <w:tabs>
          <w:tab w:val="left" w:pos="-720"/>
          <w:tab w:val="left" w:pos="0"/>
        </w:tabs>
        <w:suppressAutoHyphens/>
        <w:ind w:left="720" w:hanging="720"/>
        <w:rPr>
          <w:rFonts w:ascii="Times New Roman" w:hAnsi="Times New Roman"/>
        </w:rPr>
      </w:pPr>
      <w:r>
        <w:rPr>
          <w:rFonts w:ascii="Times New Roman" w:hAnsi="Times New Roman"/>
        </w:rPr>
        <w:t>1.</w:t>
      </w:r>
      <w:r>
        <w:rPr>
          <w:rFonts w:ascii="Times New Roman" w:hAnsi="Times New Roman"/>
        </w:rPr>
        <w:tab/>
      </w:r>
      <w:r>
        <w:rPr>
          <w:rFonts w:ascii="Times New Roman" w:hAnsi="Times New Roman"/>
          <w:u w:val="single"/>
        </w:rPr>
        <w:t xml:space="preserve">Explain the circumstances that make the collection of information </w:t>
      </w:r>
      <w:proofErr w:type="gramStart"/>
      <w:r>
        <w:rPr>
          <w:rFonts w:ascii="Times New Roman" w:hAnsi="Times New Roman"/>
          <w:u w:val="single"/>
        </w:rPr>
        <w:t>necessary .</w:t>
      </w:r>
      <w:proofErr w:type="gramEnd"/>
      <w:r>
        <w:rPr>
          <w:rFonts w:ascii="Times New Roman" w:hAnsi="Times New Roman"/>
          <w:u w:val="single"/>
        </w:rPr>
        <w:t xml:space="preserve">  Identify any legal or administrative requirements that necessitate the collection.  </w:t>
      </w:r>
    </w:p>
    <w:p w:rsidR="002D133A" w:rsidRDefault="002D133A">
      <w:pPr>
        <w:tabs>
          <w:tab w:val="left" w:pos="-720"/>
        </w:tabs>
        <w:suppressAutoHyphens/>
        <w:rPr>
          <w:rFonts w:ascii="Times New Roman" w:hAnsi="Times New Roman"/>
        </w:rPr>
      </w:pPr>
    </w:p>
    <w:p w:rsidR="00EF1490" w:rsidRDefault="00EF1490" w:rsidP="00EF1490">
      <w:pPr>
        <w:tabs>
          <w:tab w:val="left" w:pos="-720"/>
        </w:tabs>
        <w:suppressAutoHyphens/>
        <w:rPr>
          <w:rFonts w:ascii="Times New Roman" w:hAnsi="Times New Roman"/>
        </w:rPr>
      </w:pPr>
      <w:r>
        <w:rPr>
          <w:rFonts w:ascii="Times New Roman" w:hAnsi="Times New Roman"/>
        </w:rPr>
        <w:tab/>
      </w:r>
      <w:r w:rsidRPr="00EF1490">
        <w:rPr>
          <w:rFonts w:ascii="Times New Roman" w:hAnsi="Times New Roman"/>
        </w:rPr>
        <w:t xml:space="preserve">Title X of the Dodd-Frank </w:t>
      </w:r>
      <w:r>
        <w:rPr>
          <w:rFonts w:ascii="Times New Roman" w:hAnsi="Times New Roman"/>
        </w:rPr>
        <w:t xml:space="preserve">Wall Street Reform and Consumer Protection </w:t>
      </w:r>
      <w:r w:rsidRPr="00EF1490">
        <w:rPr>
          <w:rFonts w:ascii="Times New Roman" w:hAnsi="Times New Roman"/>
        </w:rPr>
        <w:t>Act</w:t>
      </w:r>
      <w:r w:rsidR="00DF2502">
        <w:rPr>
          <w:rFonts w:ascii="Times New Roman" w:hAnsi="Times New Roman"/>
        </w:rPr>
        <w:t>, Pub. L. No. 111-203, 124 Stat. 1376 (2010)</w:t>
      </w:r>
      <w:r>
        <w:rPr>
          <w:rFonts w:ascii="Times New Roman" w:hAnsi="Times New Roman"/>
        </w:rPr>
        <w:t xml:space="preserve"> </w:t>
      </w:r>
      <w:r w:rsidR="00F864A0">
        <w:rPr>
          <w:rFonts w:ascii="Times New Roman" w:hAnsi="Times New Roman"/>
        </w:rPr>
        <w:t xml:space="preserve">(“Dodd-Frank Act”) </w:t>
      </w:r>
      <w:r w:rsidRPr="00EF1490">
        <w:rPr>
          <w:rFonts w:ascii="Times New Roman" w:hAnsi="Times New Roman"/>
        </w:rPr>
        <w:t>amends a number of federal consumer protection laws enacted prior to the Dodd-Frank Act including</w:t>
      </w:r>
      <w:r>
        <w:rPr>
          <w:rFonts w:ascii="Times New Roman" w:hAnsi="Times New Roman"/>
        </w:rPr>
        <w:t>,</w:t>
      </w:r>
      <w:r w:rsidRPr="00EF1490">
        <w:rPr>
          <w:rFonts w:ascii="Times New Roman" w:hAnsi="Times New Roman"/>
        </w:rPr>
        <w:t xml:space="preserve"> </w:t>
      </w:r>
      <w:r>
        <w:rPr>
          <w:rFonts w:ascii="Times New Roman" w:hAnsi="Times New Roman"/>
        </w:rPr>
        <w:t xml:space="preserve">in relevant part, </w:t>
      </w:r>
      <w:r w:rsidRPr="00EF1490">
        <w:rPr>
          <w:rFonts w:ascii="Times New Roman" w:hAnsi="Times New Roman"/>
        </w:rPr>
        <w:t>the Fair Credit Reporting Act</w:t>
      </w:r>
      <w:r w:rsidR="00DF2502">
        <w:rPr>
          <w:rFonts w:ascii="Times New Roman" w:hAnsi="Times New Roman"/>
        </w:rPr>
        <w:t>, 15 U.S.C. 1681-1681x</w:t>
      </w:r>
      <w:r w:rsidRPr="00EF1490">
        <w:rPr>
          <w:rFonts w:ascii="Times New Roman" w:hAnsi="Times New Roman"/>
        </w:rPr>
        <w:t xml:space="preserve"> (“FCRA”) </w:t>
      </w:r>
      <w:r>
        <w:rPr>
          <w:rFonts w:ascii="Times New Roman" w:hAnsi="Times New Roman"/>
        </w:rPr>
        <w:t>and</w:t>
      </w:r>
      <w:r w:rsidRPr="00EF1490">
        <w:rPr>
          <w:rFonts w:ascii="Times New Roman" w:hAnsi="Times New Roman"/>
        </w:rPr>
        <w:t xml:space="preserve"> the Fair and Accurate Credit Transac</w:t>
      </w:r>
      <w:r w:rsidR="00F864A0">
        <w:rPr>
          <w:rFonts w:ascii="Times New Roman" w:hAnsi="Times New Roman"/>
        </w:rPr>
        <w:t>tions Act of 2003</w:t>
      </w:r>
      <w:r w:rsidR="00DF2502">
        <w:rPr>
          <w:rFonts w:ascii="Times New Roman" w:hAnsi="Times New Roman"/>
        </w:rPr>
        <w:t xml:space="preserve">, </w:t>
      </w:r>
      <w:r w:rsidR="00DF2502" w:rsidRPr="00DF2502">
        <w:rPr>
          <w:rFonts w:ascii="Times New Roman" w:hAnsi="Times New Roman"/>
        </w:rPr>
        <w:t xml:space="preserve">Pub. </w:t>
      </w:r>
      <w:proofErr w:type="gramStart"/>
      <w:r w:rsidR="00DF2502" w:rsidRPr="00DF2502">
        <w:rPr>
          <w:rFonts w:ascii="Times New Roman" w:hAnsi="Times New Roman"/>
        </w:rPr>
        <w:t>L. No. 108-159, 117 Stat. 1952, 1980 (2003)</w:t>
      </w:r>
      <w:r w:rsidR="00F864A0">
        <w:rPr>
          <w:rFonts w:ascii="Times New Roman" w:hAnsi="Times New Roman"/>
        </w:rPr>
        <w:t xml:space="preserve"> (“FACT Act”)</w:t>
      </w:r>
      <w:r w:rsidRPr="00EF1490">
        <w:rPr>
          <w:rFonts w:ascii="Times New Roman" w:hAnsi="Times New Roman"/>
        </w:rPr>
        <w:t>.</w:t>
      </w:r>
      <w:proofErr w:type="gramEnd"/>
      <w:r w:rsidRPr="00EF1490">
        <w:rPr>
          <w:rFonts w:ascii="Times New Roman" w:hAnsi="Times New Roman"/>
        </w:rPr>
        <w:t xml:space="preserve">  </w:t>
      </w:r>
    </w:p>
    <w:p w:rsidR="00EF1490" w:rsidRPr="00EF1490" w:rsidRDefault="00EF1490" w:rsidP="00EF1490">
      <w:pPr>
        <w:tabs>
          <w:tab w:val="left" w:pos="-720"/>
        </w:tabs>
        <w:suppressAutoHyphens/>
        <w:rPr>
          <w:rFonts w:ascii="Times New Roman" w:hAnsi="Times New Roman"/>
        </w:rPr>
      </w:pPr>
    </w:p>
    <w:p w:rsidR="00E1260A" w:rsidRDefault="00EF1490" w:rsidP="00EF1490">
      <w:pPr>
        <w:tabs>
          <w:tab w:val="left" w:pos="-720"/>
        </w:tabs>
        <w:suppressAutoHyphens/>
        <w:rPr>
          <w:rFonts w:ascii="Times New Roman" w:hAnsi="Times New Roman"/>
        </w:rPr>
      </w:pPr>
      <w:r>
        <w:rPr>
          <w:rFonts w:ascii="Times New Roman" w:hAnsi="Times New Roman"/>
        </w:rPr>
        <w:tab/>
      </w:r>
      <w:r w:rsidRPr="00EF1490">
        <w:rPr>
          <w:rFonts w:ascii="Times New Roman" w:hAnsi="Times New Roman"/>
        </w:rPr>
        <w:t xml:space="preserve">Section 1088 of the </w:t>
      </w:r>
      <w:r>
        <w:rPr>
          <w:rFonts w:ascii="Times New Roman" w:hAnsi="Times New Roman"/>
        </w:rPr>
        <w:t>Dodd-Frank</w:t>
      </w:r>
      <w:r w:rsidRPr="00EF1490">
        <w:rPr>
          <w:rFonts w:ascii="Times New Roman" w:hAnsi="Times New Roman"/>
        </w:rPr>
        <w:t xml:space="preserve"> Act sets out two amendments to the FCRA and the FACT Act directing the Commission to promulgate regulations that are intended to provide privacy protections to certain consumer information held by </w:t>
      </w:r>
      <w:r w:rsidR="00326DB1">
        <w:rPr>
          <w:rFonts w:ascii="Times New Roman" w:hAnsi="Times New Roman"/>
        </w:rPr>
        <w:t>an entity</w:t>
      </w:r>
      <w:r w:rsidRPr="00EF1490">
        <w:rPr>
          <w:rFonts w:ascii="Times New Roman" w:hAnsi="Times New Roman"/>
        </w:rPr>
        <w:t xml:space="preserve"> that is subject to the jurisdiction of the Commission.  One provision of section 1088 amends section 214(b) of the FACT Act—which added section 624 to the FCRA in 2003—and directs the Commission to implement the provisions of section 624 of the FCRA with respect to persons that are subject to the </w:t>
      </w:r>
      <w:r w:rsidR="00326DB1">
        <w:rPr>
          <w:rFonts w:ascii="Times New Roman" w:hAnsi="Times New Roman"/>
        </w:rPr>
        <w:t>Commission’s</w:t>
      </w:r>
      <w:r w:rsidRPr="00EF1490">
        <w:rPr>
          <w:rFonts w:ascii="Times New Roman" w:hAnsi="Times New Roman"/>
        </w:rPr>
        <w:t xml:space="preserve"> enforcement jurisdiction.  Section 624 of the FCRA gives consumers the</w:t>
      </w:r>
      <w:r w:rsidR="00F864A0">
        <w:rPr>
          <w:rFonts w:ascii="Times New Roman" w:hAnsi="Times New Roman"/>
        </w:rPr>
        <w:t xml:space="preserve"> right to block affiliates of an entity subject to the Commission’s jurisdiction </w:t>
      </w:r>
      <w:r w:rsidRPr="00EF1490">
        <w:rPr>
          <w:rFonts w:ascii="Times New Roman" w:hAnsi="Times New Roman"/>
        </w:rPr>
        <w:t xml:space="preserve">from using certain information obtained from </w:t>
      </w:r>
      <w:r w:rsidR="00F864A0">
        <w:rPr>
          <w:rFonts w:ascii="Times New Roman" w:hAnsi="Times New Roman"/>
        </w:rPr>
        <w:t>such entity</w:t>
      </w:r>
      <w:r w:rsidRPr="00EF1490">
        <w:rPr>
          <w:rFonts w:ascii="Times New Roman" w:hAnsi="Times New Roman"/>
        </w:rPr>
        <w:t xml:space="preserve"> to make solicitations to that consumer (hereinafter referred to as the “affiliate marketing rules”).  The other provision in </w:t>
      </w:r>
      <w:r w:rsidR="00F864A0">
        <w:rPr>
          <w:rFonts w:ascii="Times New Roman" w:hAnsi="Times New Roman"/>
        </w:rPr>
        <w:t xml:space="preserve">section 1088 of </w:t>
      </w:r>
      <w:r w:rsidRPr="00EF1490">
        <w:rPr>
          <w:rFonts w:ascii="Times New Roman" w:hAnsi="Times New Roman"/>
        </w:rPr>
        <w:t xml:space="preserve">the </w:t>
      </w:r>
      <w:r w:rsidR="00F864A0">
        <w:rPr>
          <w:rFonts w:ascii="Times New Roman" w:hAnsi="Times New Roman"/>
        </w:rPr>
        <w:t>Dodd-Frank</w:t>
      </w:r>
      <w:r w:rsidRPr="00EF1490">
        <w:rPr>
          <w:rFonts w:ascii="Times New Roman" w:hAnsi="Times New Roman"/>
        </w:rPr>
        <w:t xml:space="preserve"> Act amends section 628 of the FCRA and mandates that the Commission implement regulations requiring persons subject to the </w:t>
      </w:r>
      <w:r w:rsidR="00F864A0">
        <w:rPr>
          <w:rFonts w:ascii="Times New Roman" w:hAnsi="Times New Roman"/>
        </w:rPr>
        <w:t>Commission’s</w:t>
      </w:r>
      <w:r w:rsidRPr="00EF1490">
        <w:rPr>
          <w:rFonts w:ascii="Times New Roman" w:hAnsi="Times New Roman"/>
        </w:rPr>
        <w:t xml:space="preserve"> jurisdiction who possess or maintain consumer report information in connection with their business activities to properly dispose of that information (hereinafter referred to as the “disposal rules”).   </w:t>
      </w:r>
    </w:p>
    <w:p w:rsidR="00EF1490" w:rsidRDefault="00EF1490" w:rsidP="00EF1490">
      <w:pPr>
        <w:tabs>
          <w:tab w:val="left" w:pos="-720"/>
        </w:tabs>
        <w:suppressAutoHyphens/>
        <w:rPr>
          <w:rFonts w:ascii="Times New Roman" w:hAnsi="Times New Roman"/>
        </w:rPr>
      </w:pPr>
    </w:p>
    <w:p w:rsidR="00EF1490" w:rsidRDefault="00EF1490" w:rsidP="00EF1490">
      <w:pPr>
        <w:tabs>
          <w:tab w:val="left" w:pos="-720"/>
        </w:tabs>
        <w:suppressAutoHyphens/>
        <w:rPr>
          <w:rFonts w:ascii="Times New Roman" w:hAnsi="Times New Roman"/>
        </w:rPr>
      </w:pPr>
      <w:r>
        <w:rPr>
          <w:rFonts w:ascii="Times New Roman" w:hAnsi="Times New Roman"/>
        </w:rPr>
        <w:tab/>
        <w:t xml:space="preserve">The </w:t>
      </w:r>
      <w:r w:rsidR="00F864A0">
        <w:rPr>
          <w:rFonts w:ascii="Times New Roman" w:hAnsi="Times New Roman"/>
        </w:rPr>
        <w:t xml:space="preserve">Commission proposes to apply the </w:t>
      </w:r>
      <w:r>
        <w:rPr>
          <w:rFonts w:ascii="Times New Roman" w:hAnsi="Times New Roman"/>
        </w:rPr>
        <w:t xml:space="preserve">affiliate marketing rules and </w:t>
      </w:r>
      <w:r w:rsidR="00F864A0">
        <w:rPr>
          <w:rFonts w:ascii="Times New Roman" w:hAnsi="Times New Roman"/>
        </w:rPr>
        <w:t xml:space="preserve">the </w:t>
      </w:r>
      <w:r>
        <w:rPr>
          <w:rFonts w:ascii="Times New Roman" w:hAnsi="Times New Roman"/>
        </w:rPr>
        <w:t>disposal rules to the following entities</w:t>
      </w:r>
      <w:r w:rsidR="00F864A0">
        <w:rPr>
          <w:rFonts w:ascii="Times New Roman" w:hAnsi="Times New Roman"/>
        </w:rPr>
        <w:t xml:space="preserve">, which are </w:t>
      </w:r>
      <w:r>
        <w:rPr>
          <w:rFonts w:ascii="Times New Roman" w:hAnsi="Times New Roman"/>
        </w:rPr>
        <w:t xml:space="preserve">subject to the Commission’s jurisdiction: </w:t>
      </w:r>
      <w:r w:rsidRPr="00EF1490">
        <w:rPr>
          <w:rFonts w:ascii="Times New Roman" w:hAnsi="Times New Roman"/>
        </w:rPr>
        <w:t>futures commission merchant</w:t>
      </w:r>
      <w:r>
        <w:rPr>
          <w:rFonts w:ascii="Times New Roman" w:hAnsi="Times New Roman"/>
        </w:rPr>
        <w:t>s</w:t>
      </w:r>
      <w:r w:rsidRPr="00EF1490">
        <w:rPr>
          <w:rFonts w:ascii="Times New Roman" w:hAnsi="Times New Roman"/>
        </w:rPr>
        <w:t>, retail foreign exchange dealer</w:t>
      </w:r>
      <w:r>
        <w:rPr>
          <w:rFonts w:ascii="Times New Roman" w:hAnsi="Times New Roman"/>
        </w:rPr>
        <w:t>s</w:t>
      </w:r>
      <w:r w:rsidRPr="00EF1490">
        <w:rPr>
          <w:rFonts w:ascii="Times New Roman" w:hAnsi="Times New Roman"/>
        </w:rPr>
        <w:t xml:space="preserve">, </w:t>
      </w:r>
      <w:proofErr w:type="gramStart"/>
      <w:r w:rsidRPr="00EF1490">
        <w:rPr>
          <w:rFonts w:ascii="Times New Roman" w:hAnsi="Times New Roman"/>
        </w:rPr>
        <w:t>commodity</w:t>
      </w:r>
      <w:proofErr w:type="gramEnd"/>
      <w:r w:rsidRPr="00EF1490">
        <w:rPr>
          <w:rFonts w:ascii="Times New Roman" w:hAnsi="Times New Roman"/>
        </w:rPr>
        <w:t xml:space="preserve"> trading advisor</w:t>
      </w:r>
      <w:r>
        <w:rPr>
          <w:rFonts w:ascii="Times New Roman" w:hAnsi="Times New Roman"/>
        </w:rPr>
        <w:t>s</w:t>
      </w:r>
      <w:r w:rsidRPr="00EF1490">
        <w:rPr>
          <w:rFonts w:ascii="Times New Roman" w:hAnsi="Times New Roman"/>
        </w:rPr>
        <w:t>, commodity pool operator</w:t>
      </w:r>
      <w:r>
        <w:rPr>
          <w:rFonts w:ascii="Times New Roman" w:hAnsi="Times New Roman"/>
        </w:rPr>
        <w:t>s</w:t>
      </w:r>
      <w:r w:rsidRPr="00EF1490">
        <w:rPr>
          <w:rFonts w:ascii="Times New Roman" w:hAnsi="Times New Roman"/>
        </w:rPr>
        <w:t>, introducing broker</w:t>
      </w:r>
      <w:r>
        <w:rPr>
          <w:rFonts w:ascii="Times New Roman" w:hAnsi="Times New Roman"/>
        </w:rPr>
        <w:t>s</w:t>
      </w:r>
      <w:r w:rsidRPr="00EF1490">
        <w:rPr>
          <w:rFonts w:ascii="Times New Roman" w:hAnsi="Times New Roman"/>
        </w:rPr>
        <w:t>, swap dealer</w:t>
      </w:r>
      <w:r>
        <w:rPr>
          <w:rFonts w:ascii="Times New Roman" w:hAnsi="Times New Roman"/>
        </w:rPr>
        <w:t>s</w:t>
      </w:r>
      <w:r w:rsidRPr="00EF1490">
        <w:rPr>
          <w:rFonts w:ascii="Times New Roman" w:hAnsi="Times New Roman"/>
        </w:rPr>
        <w:t xml:space="preserve"> </w:t>
      </w:r>
      <w:r>
        <w:rPr>
          <w:rFonts w:ascii="Times New Roman" w:hAnsi="Times New Roman"/>
        </w:rPr>
        <w:t xml:space="preserve">and </w:t>
      </w:r>
      <w:r w:rsidRPr="00EF1490">
        <w:rPr>
          <w:rFonts w:ascii="Times New Roman" w:hAnsi="Times New Roman"/>
        </w:rPr>
        <w:t>major swap participant</w:t>
      </w:r>
      <w:r>
        <w:rPr>
          <w:rFonts w:ascii="Times New Roman" w:hAnsi="Times New Roman"/>
        </w:rPr>
        <w:t>s</w:t>
      </w:r>
      <w:r w:rsidRPr="00EF1490">
        <w:rPr>
          <w:rFonts w:ascii="Times New Roman" w:hAnsi="Times New Roman"/>
        </w:rPr>
        <w:t xml:space="preserve">.  </w:t>
      </w:r>
    </w:p>
    <w:p w:rsidR="00F864A0" w:rsidRDefault="00F864A0" w:rsidP="00EF1490">
      <w:pPr>
        <w:tabs>
          <w:tab w:val="left" w:pos="-720"/>
        </w:tabs>
        <w:suppressAutoHyphens/>
        <w:rPr>
          <w:rFonts w:ascii="Times New Roman" w:hAnsi="Times New Roman"/>
        </w:rPr>
      </w:pPr>
    </w:p>
    <w:p w:rsidR="002D133A" w:rsidRDefault="002D133A">
      <w:pPr>
        <w:tabs>
          <w:tab w:val="left" w:pos="-720"/>
        </w:tabs>
        <w:suppressAutoHyphens/>
        <w:ind w:left="720" w:hanging="720"/>
        <w:rPr>
          <w:rFonts w:ascii="Times New Roman" w:hAnsi="Times New Roman"/>
        </w:rPr>
      </w:pPr>
      <w:r>
        <w:rPr>
          <w:rFonts w:ascii="Times New Roman" w:hAnsi="Times New Roman"/>
        </w:rPr>
        <w:t>2.</w:t>
      </w:r>
      <w:r>
        <w:rPr>
          <w:rFonts w:ascii="Times New Roman" w:hAnsi="Times New Roman"/>
        </w:rPr>
        <w:tab/>
      </w:r>
      <w:r>
        <w:rPr>
          <w:rFonts w:ascii="Times New Roman" w:hAnsi="Times New Roman"/>
          <w:u w:val="single"/>
        </w:rPr>
        <w:t>Indicate how, by whom, and for what purpose the dat</w:t>
      </w:r>
      <w:r w:rsidR="00F864A0">
        <w:rPr>
          <w:rFonts w:ascii="Times New Roman" w:hAnsi="Times New Roman"/>
          <w:u w:val="single"/>
        </w:rPr>
        <w:t>a</w:t>
      </w:r>
      <w:r>
        <w:rPr>
          <w:rFonts w:ascii="Times New Roman" w:hAnsi="Times New Roman"/>
          <w:u w:val="single"/>
        </w:rPr>
        <w:t xml:space="preserve"> would be used.  Except for a new collection, indicate the actual use the agency has made of the information received from the current collection</w:t>
      </w:r>
      <w:r>
        <w:rPr>
          <w:rFonts w:ascii="Times New Roman" w:hAnsi="Times New Roman"/>
        </w:rPr>
        <w:t>.</w:t>
      </w:r>
    </w:p>
    <w:p w:rsidR="00EF1490" w:rsidRDefault="00EF1490">
      <w:pPr>
        <w:tabs>
          <w:tab w:val="left" w:pos="-720"/>
        </w:tabs>
        <w:suppressAutoHyphens/>
        <w:ind w:left="720" w:hanging="720"/>
        <w:rPr>
          <w:rFonts w:ascii="Times New Roman" w:hAnsi="Times New Roman"/>
        </w:rPr>
      </w:pPr>
    </w:p>
    <w:p w:rsidR="002D133A" w:rsidRDefault="002D133A" w:rsidP="003233A6">
      <w:pPr>
        <w:tabs>
          <w:tab w:val="left" w:pos="-720"/>
        </w:tabs>
        <w:suppressAutoHyphens/>
        <w:rPr>
          <w:rFonts w:ascii="Times New Roman" w:hAnsi="Times New Roman"/>
        </w:rPr>
      </w:pPr>
      <w:r>
        <w:rPr>
          <w:rFonts w:ascii="Times New Roman" w:hAnsi="Times New Roman"/>
        </w:rPr>
        <w:lastRenderedPageBreak/>
        <w:tab/>
      </w:r>
      <w:r w:rsidR="005E4595">
        <w:rPr>
          <w:rFonts w:ascii="Times New Roman" w:hAnsi="Times New Roman"/>
        </w:rPr>
        <w:t>Under the affiliate marketing rules, t</w:t>
      </w:r>
      <w:r w:rsidR="003233A6">
        <w:rPr>
          <w:rFonts w:ascii="Times New Roman" w:hAnsi="Times New Roman"/>
        </w:rPr>
        <w:t xml:space="preserve">he </w:t>
      </w:r>
      <w:r w:rsidR="00F864A0">
        <w:rPr>
          <w:rFonts w:ascii="Times New Roman" w:hAnsi="Times New Roman"/>
        </w:rPr>
        <w:t>entities</w:t>
      </w:r>
      <w:r w:rsidR="003233A6">
        <w:rPr>
          <w:rFonts w:ascii="Times New Roman" w:hAnsi="Times New Roman"/>
        </w:rPr>
        <w:t xml:space="preserve"> covered by these </w:t>
      </w:r>
      <w:r w:rsidR="00F864A0">
        <w:rPr>
          <w:rFonts w:ascii="Times New Roman" w:hAnsi="Times New Roman"/>
        </w:rPr>
        <w:t xml:space="preserve">proposed </w:t>
      </w:r>
      <w:r w:rsidR="003233A6">
        <w:rPr>
          <w:rFonts w:ascii="Times New Roman" w:hAnsi="Times New Roman"/>
        </w:rPr>
        <w:t xml:space="preserve">regulations </w:t>
      </w:r>
      <w:r w:rsidR="00F864A0">
        <w:rPr>
          <w:rFonts w:ascii="Times New Roman" w:hAnsi="Times New Roman"/>
        </w:rPr>
        <w:t xml:space="preserve">will be expected to </w:t>
      </w:r>
      <w:r w:rsidR="003233A6">
        <w:rPr>
          <w:rFonts w:ascii="Times New Roman" w:hAnsi="Times New Roman"/>
        </w:rPr>
        <w:t xml:space="preserve">prepare and provide </w:t>
      </w:r>
      <w:r w:rsidR="005E4595">
        <w:rPr>
          <w:rFonts w:ascii="Times New Roman" w:hAnsi="Times New Roman"/>
        </w:rPr>
        <w:t xml:space="preserve">clear, conspicuous and concise </w:t>
      </w:r>
      <w:r w:rsidR="00F864A0">
        <w:rPr>
          <w:rFonts w:ascii="Times New Roman" w:hAnsi="Times New Roman"/>
        </w:rPr>
        <w:t xml:space="preserve">opt-out </w:t>
      </w:r>
      <w:r w:rsidR="003233A6">
        <w:rPr>
          <w:rFonts w:ascii="Times New Roman" w:hAnsi="Times New Roman"/>
        </w:rPr>
        <w:t>notice</w:t>
      </w:r>
      <w:r w:rsidR="00F864A0">
        <w:rPr>
          <w:rFonts w:ascii="Times New Roman" w:hAnsi="Times New Roman"/>
        </w:rPr>
        <w:t>s</w:t>
      </w:r>
      <w:r w:rsidR="003233A6">
        <w:rPr>
          <w:rFonts w:ascii="Times New Roman" w:hAnsi="Times New Roman"/>
        </w:rPr>
        <w:t xml:space="preserve"> to </w:t>
      </w:r>
      <w:r w:rsidR="00F864A0">
        <w:rPr>
          <w:rFonts w:ascii="Times New Roman" w:hAnsi="Times New Roman"/>
        </w:rPr>
        <w:t xml:space="preserve">any consumers with which such entities have a pre-existing business relationship. A covered entity only has to provide an opt-out notice to the extent that </w:t>
      </w:r>
      <w:r w:rsidR="005E4595">
        <w:rPr>
          <w:rFonts w:ascii="Times New Roman" w:hAnsi="Times New Roman"/>
        </w:rPr>
        <w:t xml:space="preserve">an </w:t>
      </w:r>
      <w:r w:rsidR="00F864A0">
        <w:rPr>
          <w:rFonts w:ascii="Times New Roman" w:hAnsi="Times New Roman"/>
        </w:rPr>
        <w:t xml:space="preserve">affiliate </w:t>
      </w:r>
      <w:r w:rsidR="005E4595">
        <w:rPr>
          <w:rFonts w:ascii="Times New Roman" w:hAnsi="Times New Roman"/>
        </w:rPr>
        <w:t>of the covered entity</w:t>
      </w:r>
      <w:r w:rsidR="00F864A0">
        <w:rPr>
          <w:rFonts w:ascii="Times New Roman" w:hAnsi="Times New Roman"/>
        </w:rPr>
        <w:t xml:space="preserve"> plan</w:t>
      </w:r>
      <w:r w:rsidR="005E4595">
        <w:rPr>
          <w:rFonts w:ascii="Times New Roman" w:hAnsi="Times New Roman"/>
        </w:rPr>
        <w:t>s</w:t>
      </w:r>
      <w:r w:rsidR="00F864A0">
        <w:rPr>
          <w:rFonts w:ascii="Times New Roman" w:hAnsi="Times New Roman"/>
        </w:rPr>
        <w:t xml:space="preserve"> to make a solicitation to any </w:t>
      </w:r>
      <w:r w:rsidR="005E4595">
        <w:rPr>
          <w:rFonts w:ascii="Times New Roman" w:hAnsi="Times New Roman"/>
        </w:rPr>
        <w:t xml:space="preserve">of the covered entity’s </w:t>
      </w:r>
      <w:r w:rsidR="00F864A0">
        <w:rPr>
          <w:rFonts w:ascii="Times New Roman" w:hAnsi="Times New Roman"/>
        </w:rPr>
        <w:t xml:space="preserve">consumers.  </w:t>
      </w:r>
      <w:r w:rsidR="005E4595">
        <w:rPr>
          <w:rFonts w:ascii="Times New Roman" w:hAnsi="Times New Roman"/>
        </w:rPr>
        <w:t xml:space="preserve">The purpose of the opt-out notice is to provide consumers with the ability to prohibit marketing solicitations from affiliate businesses that do not have a </w:t>
      </w:r>
      <w:r w:rsidR="00FF1221">
        <w:rPr>
          <w:rFonts w:ascii="Times New Roman" w:hAnsi="Times New Roman"/>
        </w:rPr>
        <w:t>pre-existing business</w:t>
      </w:r>
      <w:r w:rsidR="005E4595">
        <w:rPr>
          <w:rFonts w:ascii="Times New Roman" w:hAnsi="Times New Roman"/>
        </w:rPr>
        <w:t xml:space="preserve"> relationship with the consumers, but that do have access to such consumers’ nonpublic, personal information.  </w:t>
      </w:r>
      <w:r w:rsidR="00D31454">
        <w:rPr>
          <w:rFonts w:ascii="Times New Roman" w:hAnsi="Times New Roman"/>
        </w:rPr>
        <w:t>Under the proposal, a</w:t>
      </w:r>
      <w:r w:rsidR="005E4595">
        <w:rPr>
          <w:rFonts w:ascii="Times New Roman" w:hAnsi="Times New Roman"/>
        </w:rPr>
        <w:t xml:space="preserve"> covered entity </w:t>
      </w:r>
      <w:r w:rsidR="00D31454">
        <w:rPr>
          <w:rFonts w:ascii="Times New Roman" w:hAnsi="Times New Roman"/>
        </w:rPr>
        <w:t xml:space="preserve">is required to </w:t>
      </w:r>
      <w:r w:rsidR="005E4595">
        <w:rPr>
          <w:rFonts w:ascii="Times New Roman" w:hAnsi="Times New Roman"/>
        </w:rPr>
        <w:t xml:space="preserve">send opt-out notices at the maximum of once every five years. </w:t>
      </w:r>
    </w:p>
    <w:p w:rsidR="005E4595" w:rsidRDefault="005E4595" w:rsidP="003233A6">
      <w:pPr>
        <w:tabs>
          <w:tab w:val="left" w:pos="-720"/>
        </w:tabs>
        <w:suppressAutoHyphens/>
        <w:rPr>
          <w:rFonts w:ascii="Times New Roman" w:hAnsi="Times New Roman"/>
        </w:rPr>
      </w:pPr>
    </w:p>
    <w:p w:rsidR="005E4595" w:rsidRDefault="005E4595" w:rsidP="003233A6">
      <w:pPr>
        <w:tabs>
          <w:tab w:val="left" w:pos="-720"/>
        </w:tabs>
        <w:suppressAutoHyphens/>
        <w:rPr>
          <w:rFonts w:ascii="Times New Roman" w:hAnsi="Times New Roman"/>
        </w:rPr>
      </w:pPr>
      <w:r>
        <w:rPr>
          <w:rFonts w:ascii="Times New Roman" w:hAnsi="Times New Roman"/>
        </w:rPr>
        <w:tab/>
        <w:t xml:space="preserve">Under the disposal rules, the entities covered by these proposed regulations will be expected to develop and implement a written disposal plan with respect to any consumer information within such entities’ possession.  The proposed regulations provide that a covered entity develop a written disposal plan that is tailored to </w:t>
      </w:r>
      <w:r w:rsidR="001128C7">
        <w:rPr>
          <w:rFonts w:ascii="Times New Roman" w:hAnsi="Times New Roman"/>
        </w:rPr>
        <w:t xml:space="preserve">the </w:t>
      </w:r>
      <w:r>
        <w:rPr>
          <w:rFonts w:ascii="Times New Roman" w:hAnsi="Times New Roman"/>
        </w:rPr>
        <w:t xml:space="preserve">size and complexity of such entity’s business.  The purpose of </w:t>
      </w:r>
      <w:r w:rsidR="00FF1221">
        <w:rPr>
          <w:rFonts w:ascii="Times New Roman" w:hAnsi="Times New Roman"/>
        </w:rPr>
        <w:t>the</w:t>
      </w:r>
      <w:r>
        <w:rPr>
          <w:rFonts w:ascii="Times New Roman" w:hAnsi="Times New Roman"/>
        </w:rPr>
        <w:t xml:space="preserve"> written disposal plan is to establish a formal plan for the disposal of nonpublic, consumer information, which otherwise could be illegal</w:t>
      </w:r>
      <w:r w:rsidR="00FF1221">
        <w:rPr>
          <w:rFonts w:ascii="Times New Roman" w:hAnsi="Times New Roman"/>
        </w:rPr>
        <w:t>ly</w:t>
      </w:r>
      <w:r>
        <w:rPr>
          <w:rFonts w:ascii="Times New Roman" w:hAnsi="Times New Roman"/>
        </w:rPr>
        <w:t xml:space="preserve"> confiscated and used by unauthorized third parties.</w:t>
      </w:r>
      <w:r w:rsidR="00D31454">
        <w:rPr>
          <w:rFonts w:ascii="Times New Roman" w:hAnsi="Times New Roman"/>
        </w:rPr>
        <w:t xml:space="preserve">  Under the proposal, a covered entity is required to develop a written disposal plan only once, but may subsequently amend such plan from time to time.</w:t>
      </w:r>
    </w:p>
    <w:p w:rsidR="003233A6" w:rsidRDefault="003233A6" w:rsidP="003233A6">
      <w:pPr>
        <w:tabs>
          <w:tab w:val="left" w:pos="-720"/>
        </w:tabs>
        <w:suppressAutoHyphens/>
        <w:rPr>
          <w:rFonts w:ascii="Times New Roman" w:hAnsi="Times New Roman"/>
        </w:rPr>
      </w:pPr>
    </w:p>
    <w:p w:rsidR="002D133A" w:rsidRDefault="002D133A">
      <w:pPr>
        <w:tabs>
          <w:tab w:val="left" w:pos="-720"/>
          <w:tab w:val="left" w:pos="0"/>
        </w:tabs>
        <w:suppressAutoHyphens/>
        <w:ind w:left="720" w:hanging="720"/>
        <w:rPr>
          <w:rFonts w:ascii="Times New Roman" w:hAnsi="Times New Roman"/>
          <w:u w:val="single"/>
        </w:rPr>
      </w:pPr>
      <w:r>
        <w:rPr>
          <w:rFonts w:ascii="Times New Roman" w:hAnsi="Times New Roman"/>
        </w:rPr>
        <w:t>3.</w:t>
      </w:r>
      <w:r>
        <w:rPr>
          <w:rFonts w:ascii="Times New Roman" w:hAnsi="Times New Roman"/>
        </w:rPr>
        <w:tab/>
      </w:r>
      <w:r>
        <w:rPr>
          <w:rFonts w:ascii="Times New Roman" w:hAnsi="Times New Roman"/>
          <w:u w:val="single"/>
        </w:rPr>
        <w:t xml:space="preserve">Describe whether, and to what extent, the collection of information involves the use of automated, electronic, mechanical, or other technological collection techniques or other forms of information technology, </w:t>
      </w:r>
      <w:r w:rsidRPr="00FF1221">
        <w:rPr>
          <w:rFonts w:ascii="Times New Roman" w:hAnsi="Times New Roman"/>
          <w:i/>
          <w:u w:val="single"/>
        </w:rPr>
        <w:t>e.g.</w:t>
      </w:r>
      <w:r w:rsidR="00FF1221">
        <w:rPr>
          <w:rFonts w:ascii="Times New Roman" w:hAnsi="Times New Roman"/>
          <w:u w:val="single"/>
        </w:rPr>
        <w:t>,</w:t>
      </w:r>
      <w:r>
        <w:rPr>
          <w:rFonts w:ascii="Times New Roman" w:hAnsi="Times New Roman"/>
          <w:u w:val="single"/>
        </w:rPr>
        <w:t xml:space="preserve"> permitting electronic submission of responses, and the basis for the decision for adopting this means of collection.  Also describe any consideration of using information technology to reduce burden.</w:t>
      </w:r>
    </w:p>
    <w:p w:rsidR="003233A6" w:rsidRDefault="003233A6">
      <w:pPr>
        <w:tabs>
          <w:tab w:val="left" w:pos="-720"/>
          <w:tab w:val="left" w:pos="0"/>
        </w:tabs>
        <w:suppressAutoHyphens/>
        <w:ind w:left="720" w:hanging="720"/>
        <w:rPr>
          <w:rFonts w:ascii="Times New Roman" w:hAnsi="Times New Roman"/>
        </w:rPr>
      </w:pPr>
    </w:p>
    <w:p w:rsidR="00FF1221" w:rsidRDefault="00FF1221" w:rsidP="00FF1221">
      <w:pPr>
        <w:tabs>
          <w:tab w:val="left" w:pos="-720"/>
          <w:tab w:val="left" w:pos="0"/>
        </w:tabs>
        <w:suppressAutoHyphens/>
        <w:rPr>
          <w:rFonts w:ascii="Times New Roman" w:hAnsi="Times New Roman"/>
        </w:rPr>
      </w:pPr>
      <w:r>
        <w:rPr>
          <w:rFonts w:ascii="Times New Roman" w:hAnsi="Times New Roman"/>
        </w:rPr>
        <w:tab/>
        <w:t>Under the affiliate marketing rules, t</w:t>
      </w:r>
      <w:r w:rsidR="003233A6">
        <w:rPr>
          <w:rFonts w:ascii="Times New Roman" w:hAnsi="Times New Roman"/>
        </w:rPr>
        <w:t xml:space="preserve">he required </w:t>
      </w:r>
      <w:r>
        <w:rPr>
          <w:rFonts w:ascii="Times New Roman" w:hAnsi="Times New Roman"/>
        </w:rPr>
        <w:t xml:space="preserve">opt-out </w:t>
      </w:r>
      <w:r w:rsidR="003233A6">
        <w:rPr>
          <w:rFonts w:ascii="Times New Roman" w:hAnsi="Times New Roman"/>
        </w:rPr>
        <w:t xml:space="preserve">notices may be distributed to consumers electronically </w:t>
      </w:r>
      <w:r w:rsidR="008B790B">
        <w:rPr>
          <w:rFonts w:ascii="Times New Roman" w:hAnsi="Times New Roman"/>
        </w:rPr>
        <w:t>upon the co</w:t>
      </w:r>
      <w:r>
        <w:rPr>
          <w:rFonts w:ascii="Times New Roman" w:hAnsi="Times New Roman"/>
        </w:rPr>
        <w:t xml:space="preserve">nsumer’s consent.  A covered entity may distribute an electronic notice in two ways.  First, a covered entity </w:t>
      </w:r>
      <w:r w:rsidR="008B790B">
        <w:rPr>
          <w:rFonts w:ascii="Times New Roman" w:hAnsi="Times New Roman"/>
        </w:rPr>
        <w:t xml:space="preserve">may reasonably expect that a </w:t>
      </w:r>
      <w:r>
        <w:rPr>
          <w:rFonts w:ascii="Times New Roman" w:hAnsi="Times New Roman"/>
        </w:rPr>
        <w:t xml:space="preserve">consumer </w:t>
      </w:r>
      <w:r w:rsidR="008B790B">
        <w:rPr>
          <w:rFonts w:ascii="Times New Roman" w:hAnsi="Times New Roman"/>
        </w:rPr>
        <w:t xml:space="preserve">who uses the </w:t>
      </w:r>
      <w:r>
        <w:rPr>
          <w:rFonts w:ascii="Times New Roman" w:hAnsi="Times New Roman"/>
        </w:rPr>
        <w:t xml:space="preserve">entity’s Internet </w:t>
      </w:r>
      <w:r w:rsidR="008B790B">
        <w:rPr>
          <w:rFonts w:ascii="Times New Roman" w:hAnsi="Times New Roman"/>
        </w:rPr>
        <w:t>web</w:t>
      </w:r>
      <w:r>
        <w:rPr>
          <w:rFonts w:ascii="Times New Roman" w:hAnsi="Times New Roman"/>
        </w:rPr>
        <w:t xml:space="preserve"> site to purchase or utilize the covered entity or its affiliate’s </w:t>
      </w:r>
      <w:r w:rsidR="008B790B">
        <w:rPr>
          <w:rFonts w:ascii="Times New Roman" w:hAnsi="Times New Roman"/>
        </w:rPr>
        <w:t xml:space="preserve">financial products and services will receive </w:t>
      </w:r>
      <w:r>
        <w:rPr>
          <w:rFonts w:ascii="Times New Roman" w:hAnsi="Times New Roman"/>
        </w:rPr>
        <w:t>an electronic opt-out</w:t>
      </w:r>
      <w:r w:rsidR="008B790B">
        <w:rPr>
          <w:rFonts w:ascii="Times New Roman" w:hAnsi="Times New Roman"/>
        </w:rPr>
        <w:t xml:space="preserve"> notice </w:t>
      </w:r>
      <w:r>
        <w:rPr>
          <w:rFonts w:ascii="Times New Roman" w:hAnsi="Times New Roman"/>
        </w:rPr>
        <w:t xml:space="preserve">if such notice is </w:t>
      </w:r>
      <w:r w:rsidR="008B790B">
        <w:rPr>
          <w:rFonts w:ascii="Times New Roman" w:hAnsi="Times New Roman"/>
        </w:rPr>
        <w:t>clear</w:t>
      </w:r>
      <w:r>
        <w:rPr>
          <w:rFonts w:ascii="Times New Roman" w:hAnsi="Times New Roman"/>
        </w:rPr>
        <w:t>ly</w:t>
      </w:r>
      <w:r w:rsidR="008B790B">
        <w:rPr>
          <w:rFonts w:ascii="Times New Roman" w:hAnsi="Times New Roman"/>
        </w:rPr>
        <w:t xml:space="preserve"> and conspicuous</w:t>
      </w:r>
      <w:r>
        <w:rPr>
          <w:rFonts w:ascii="Times New Roman" w:hAnsi="Times New Roman"/>
        </w:rPr>
        <w:t>ly</w:t>
      </w:r>
      <w:r w:rsidR="008B790B">
        <w:rPr>
          <w:rFonts w:ascii="Times New Roman" w:hAnsi="Times New Roman"/>
        </w:rPr>
        <w:t xml:space="preserve"> </w:t>
      </w:r>
      <w:r>
        <w:rPr>
          <w:rFonts w:ascii="Times New Roman" w:hAnsi="Times New Roman"/>
        </w:rPr>
        <w:t xml:space="preserve">posted </w:t>
      </w:r>
      <w:r w:rsidR="008B790B">
        <w:rPr>
          <w:rFonts w:ascii="Times New Roman" w:hAnsi="Times New Roman"/>
        </w:rPr>
        <w:t xml:space="preserve">on the </w:t>
      </w:r>
      <w:r>
        <w:rPr>
          <w:rFonts w:ascii="Times New Roman" w:hAnsi="Times New Roman"/>
        </w:rPr>
        <w:t xml:space="preserve">covered entity or its affiliate’s Internet </w:t>
      </w:r>
      <w:r w:rsidR="008B790B">
        <w:rPr>
          <w:rFonts w:ascii="Times New Roman" w:hAnsi="Times New Roman"/>
        </w:rPr>
        <w:t>web</w:t>
      </w:r>
      <w:r>
        <w:rPr>
          <w:rFonts w:ascii="Times New Roman" w:hAnsi="Times New Roman"/>
        </w:rPr>
        <w:t xml:space="preserve"> </w:t>
      </w:r>
      <w:r w:rsidR="008B790B">
        <w:rPr>
          <w:rFonts w:ascii="Times New Roman" w:hAnsi="Times New Roman"/>
        </w:rPr>
        <w:t xml:space="preserve">site.  </w:t>
      </w:r>
      <w:r>
        <w:rPr>
          <w:rFonts w:ascii="Times New Roman" w:hAnsi="Times New Roman"/>
        </w:rPr>
        <w:t xml:space="preserve">Second, a covered entity could send an opt-out notice </w:t>
      </w:r>
      <w:r w:rsidRPr="00FF1221">
        <w:rPr>
          <w:rFonts w:ascii="Times New Roman" w:hAnsi="Times New Roman"/>
          <w:i/>
        </w:rPr>
        <w:t>via</w:t>
      </w:r>
      <w:r>
        <w:rPr>
          <w:rFonts w:ascii="Times New Roman" w:hAnsi="Times New Roman"/>
        </w:rPr>
        <w:t xml:space="preserve"> e-mail to a consumer. </w:t>
      </w:r>
    </w:p>
    <w:p w:rsidR="00FF1221" w:rsidRDefault="00FF1221" w:rsidP="00FF1221">
      <w:pPr>
        <w:tabs>
          <w:tab w:val="left" w:pos="-720"/>
          <w:tab w:val="left" w:pos="0"/>
        </w:tabs>
        <w:suppressAutoHyphens/>
        <w:rPr>
          <w:rFonts w:ascii="Times New Roman" w:hAnsi="Times New Roman"/>
        </w:rPr>
      </w:pPr>
    </w:p>
    <w:p w:rsidR="003233A6" w:rsidRDefault="00FF1221" w:rsidP="00FF1221">
      <w:pPr>
        <w:tabs>
          <w:tab w:val="left" w:pos="-720"/>
          <w:tab w:val="left" w:pos="0"/>
        </w:tabs>
        <w:suppressAutoHyphens/>
        <w:rPr>
          <w:rFonts w:ascii="Times New Roman" w:hAnsi="Times New Roman"/>
        </w:rPr>
      </w:pPr>
      <w:r>
        <w:rPr>
          <w:rFonts w:ascii="Times New Roman" w:hAnsi="Times New Roman"/>
        </w:rPr>
        <w:tab/>
        <w:t xml:space="preserve">The affiliate marketing rules also </w:t>
      </w:r>
      <w:r w:rsidR="008B790B">
        <w:rPr>
          <w:rFonts w:ascii="Times New Roman" w:hAnsi="Times New Roman"/>
        </w:rPr>
        <w:t>provide</w:t>
      </w:r>
      <w:r>
        <w:rPr>
          <w:rFonts w:ascii="Times New Roman" w:hAnsi="Times New Roman"/>
        </w:rPr>
        <w:t xml:space="preserve"> that a covered</w:t>
      </w:r>
      <w:r w:rsidR="008B790B">
        <w:rPr>
          <w:rFonts w:ascii="Times New Roman" w:hAnsi="Times New Roman"/>
        </w:rPr>
        <w:t xml:space="preserve"> </w:t>
      </w:r>
      <w:r>
        <w:rPr>
          <w:rFonts w:ascii="Times New Roman" w:hAnsi="Times New Roman"/>
        </w:rPr>
        <w:t>entity</w:t>
      </w:r>
      <w:r w:rsidR="008B790B">
        <w:rPr>
          <w:rFonts w:ascii="Times New Roman" w:hAnsi="Times New Roman"/>
        </w:rPr>
        <w:t xml:space="preserve"> may provide an </w:t>
      </w:r>
      <w:r>
        <w:rPr>
          <w:rFonts w:ascii="Times New Roman" w:hAnsi="Times New Roman"/>
        </w:rPr>
        <w:t>e-</w:t>
      </w:r>
      <w:r w:rsidR="008B790B">
        <w:rPr>
          <w:rFonts w:ascii="Times New Roman" w:hAnsi="Times New Roman"/>
        </w:rPr>
        <w:t xml:space="preserve">mail address </w:t>
      </w:r>
      <w:r>
        <w:rPr>
          <w:rFonts w:ascii="Times New Roman" w:hAnsi="Times New Roman"/>
        </w:rPr>
        <w:t xml:space="preserve">or access to other electronic media </w:t>
      </w:r>
      <w:r w:rsidR="008B790B">
        <w:rPr>
          <w:rFonts w:ascii="Times New Roman" w:hAnsi="Times New Roman"/>
        </w:rPr>
        <w:t>as a reasonable means for the consumer to opt</w:t>
      </w:r>
      <w:r>
        <w:rPr>
          <w:rFonts w:ascii="Times New Roman" w:hAnsi="Times New Roman"/>
        </w:rPr>
        <w:t xml:space="preserve">-out of an affiliate’s use of the consumer’s nonpublic, personal </w:t>
      </w:r>
      <w:r w:rsidR="008B790B">
        <w:rPr>
          <w:rFonts w:ascii="Times New Roman" w:hAnsi="Times New Roman"/>
        </w:rPr>
        <w:t>information</w:t>
      </w:r>
      <w:r>
        <w:rPr>
          <w:rFonts w:ascii="Times New Roman" w:hAnsi="Times New Roman"/>
        </w:rPr>
        <w:t xml:space="preserve"> for marketing purposes</w:t>
      </w:r>
      <w:r w:rsidR="008B790B">
        <w:rPr>
          <w:rFonts w:ascii="Times New Roman" w:hAnsi="Times New Roman"/>
        </w:rPr>
        <w:t>.</w:t>
      </w:r>
      <w:r>
        <w:rPr>
          <w:rFonts w:ascii="Times New Roman" w:hAnsi="Times New Roman"/>
        </w:rPr>
        <w:t xml:space="preserve">  This approach is only permissible under the proposal if it is reasonable and simple.</w:t>
      </w:r>
    </w:p>
    <w:p w:rsidR="00FF1221" w:rsidRDefault="00FF1221" w:rsidP="00FF1221">
      <w:pPr>
        <w:tabs>
          <w:tab w:val="left" w:pos="-720"/>
          <w:tab w:val="left" w:pos="0"/>
        </w:tabs>
        <w:suppressAutoHyphens/>
        <w:rPr>
          <w:rFonts w:ascii="Times New Roman" w:hAnsi="Times New Roman"/>
        </w:rPr>
      </w:pPr>
    </w:p>
    <w:p w:rsidR="00FF1221" w:rsidRDefault="00FF1221" w:rsidP="00FF1221">
      <w:pPr>
        <w:tabs>
          <w:tab w:val="left" w:pos="-720"/>
          <w:tab w:val="left" w:pos="0"/>
        </w:tabs>
        <w:suppressAutoHyphens/>
        <w:rPr>
          <w:rFonts w:ascii="Times New Roman" w:hAnsi="Times New Roman"/>
        </w:rPr>
      </w:pPr>
      <w:r>
        <w:rPr>
          <w:rFonts w:ascii="Times New Roman" w:hAnsi="Times New Roman"/>
        </w:rPr>
        <w:tab/>
        <w:t xml:space="preserve">Under the disposal rules, a covered entity may </w:t>
      </w:r>
      <w:r w:rsidR="008F3619">
        <w:rPr>
          <w:rFonts w:ascii="Times New Roman" w:hAnsi="Times New Roman"/>
        </w:rPr>
        <w:t xml:space="preserve">develop its written disposal plan on a computer.  There is no requirement that the disposal plan be printed on physical paper.  </w:t>
      </w:r>
    </w:p>
    <w:p w:rsidR="002D133A" w:rsidRDefault="002D133A">
      <w:pPr>
        <w:tabs>
          <w:tab w:val="left" w:pos="-720"/>
        </w:tabs>
        <w:suppressAutoHyphens/>
        <w:rPr>
          <w:rFonts w:ascii="Times New Roman" w:hAnsi="Times New Roman"/>
        </w:rPr>
      </w:pPr>
    </w:p>
    <w:p w:rsidR="002D133A" w:rsidRDefault="002D133A">
      <w:pPr>
        <w:tabs>
          <w:tab w:val="left" w:pos="-720"/>
          <w:tab w:val="left" w:pos="0"/>
        </w:tabs>
        <w:suppressAutoHyphens/>
        <w:ind w:left="720" w:hanging="720"/>
        <w:rPr>
          <w:rFonts w:ascii="Times New Roman" w:hAnsi="Times New Roman"/>
        </w:rPr>
      </w:pPr>
      <w:r>
        <w:rPr>
          <w:rFonts w:ascii="Times New Roman" w:hAnsi="Times New Roman"/>
        </w:rPr>
        <w:t>4.</w:t>
      </w:r>
      <w:r>
        <w:rPr>
          <w:rFonts w:ascii="Times New Roman" w:hAnsi="Times New Roman"/>
        </w:rPr>
        <w:tab/>
      </w:r>
      <w:r>
        <w:rPr>
          <w:rFonts w:ascii="Times New Roman" w:hAnsi="Times New Roman"/>
          <w:u w:val="single"/>
        </w:rPr>
        <w:t>Describe efforts to identify duplication.  Show specifically why any similar information already available cannot be used or modified for use for the purposes described in Item 2 above</w:t>
      </w:r>
      <w:r>
        <w:rPr>
          <w:rFonts w:ascii="Times New Roman" w:hAnsi="Times New Roman"/>
        </w:rPr>
        <w:t>.</w:t>
      </w:r>
    </w:p>
    <w:p w:rsidR="002D133A" w:rsidRDefault="002D133A">
      <w:pPr>
        <w:tabs>
          <w:tab w:val="left" w:pos="-720"/>
        </w:tabs>
        <w:suppressAutoHyphens/>
        <w:rPr>
          <w:rFonts w:ascii="Times New Roman" w:hAnsi="Times New Roman"/>
        </w:rPr>
      </w:pPr>
    </w:p>
    <w:p w:rsidR="008B790B" w:rsidRDefault="008B790B">
      <w:pPr>
        <w:tabs>
          <w:tab w:val="left" w:pos="-720"/>
        </w:tabs>
        <w:suppressAutoHyphens/>
        <w:rPr>
          <w:rFonts w:ascii="Times New Roman" w:hAnsi="Times New Roman"/>
        </w:rPr>
      </w:pPr>
      <w:r>
        <w:rPr>
          <w:rFonts w:ascii="Times New Roman" w:hAnsi="Times New Roman"/>
        </w:rPr>
        <w:tab/>
        <w:t xml:space="preserve">The type of information required to be collected under the </w:t>
      </w:r>
      <w:r w:rsidR="008F3619">
        <w:rPr>
          <w:rFonts w:ascii="Times New Roman" w:hAnsi="Times New Roman"/>
        </w:rPr>
        <w:t xml:space="preserve">proposed </w:t>
      </w:r>
      <w:r>
        <w:rPr>
          <w:rFonts w:ascii="Times New Roman" w:hAnsi="Times New Roman"/>
        </w:rPr>
        <w:t>regulation</w:t>
      </w:r>
      <w:r w:rsidR="008F3619">
        <w:rPr>
          <w:rFonts w:ascii="Times New Roman" w:hAnsi="Times New Roman"/>
        </w:rPr>
        <w:t>s</w:t>
      </w:r>
      <w:r>
        <w:rPr>
          <w:rFonts w:ascii="Times New Roman" w:hAnsi="Times New Roman"/>
        </w:rPr>
        <w:t xml:space="preserve"> is not currently collected</w:t>
      </w:r>
      <w:r w:rsidR="008F3619">
        <w:rPr>
          <w:rFonts w:ascii="Times New Roman" w:hAnsi="Times New Roman"/>
        </w:rPr>
        <w:t xml:space="preserve"> and </w:t>
      </w:r>
      <w:r>
        <w:rPr>
          <w:rFonts w:ascii="Times New Roman" w:hAnsi="Times New Roman"/>
        </w:rPr>
        <w:t xml:space="preserve">is </w:t>
      </w:r>
      <w:r w:rsidR="008F3619">
        <w:rPr>
          <w:rFonts w:ascii="Times New Roman" w:hAnsi="Times New Roman"/>
        </w:rPr>
        <w:t xml:space="preserve">not </w:t>
      </w:r>
      <w:r>
        <w:rPr>
          <w:rFonts w:ascii="Times New Roman" w:hAnsi="Times New Roman"/>
        </w:rPr>
        <w:t>available for public disclosure through any other source.</w:t>
      </w:r>
    </w:p>
    <w:p w:rsidR="008B790B" w:rsidRDefault="008B790B">
      <w:pPr>
        <w:tabs>
          <w:tab w:val="left" w:pos="-720"/>
        </w:tabs>
        <w:suppressAutoHyphens/>
        <w:rPr>
          <w:rFonts w:ascii="Times New Roman" w:hAnsi="Times New Roman"/>
        </w:rPr>
      </w:pPr>
    </w:p>
    <w:p w:rsidR="002D133A" w:rsidRDefault="002D133A">
      <w:pPr>
        <w:tabs>
          <w:tab w:val="left" w:pos="-720"/>
          <w:tab w:val="left" w:pos="0"/>
        </w:tabs>
        <w:suppressAutoHyphens/>
        <w:ind w:left="720" w:hanging="720"/>
        <w:rPr>
          <w:rFonts w:ascii="Times New Roman" w:hAnsi="Times New Roman"/>
        </w:rPr>
      </w:pPr>
      <w:r>
        <w:rPr>
          <w:rFonts w:ascii="Times New Roman" w:hAnsi="Times New Roman"/>
        </w:rPr>
        <w:t>5.</w:t>
      </w:r>
      <w:r>
        <w:rPr>
          <w:rFonts w:ascii="Times New Roman" w:hAnsi="Times New Roman"/>
        </w:rPr>
        <w:tab/>
      </w:r>
      <w:r>
        <w:rPr>
          <w:rFonts w:ascii="Times New Roman" w:hAnsi="Times New Roman"/>
          <w:u w:val="single"/>
        </w:rPr>
        <w:t>If the collection of information involves small business or other small entities (Item 5 of OMB From 83-I), describe the methods used to minimize burden</w:t>
      </w:r>
      <w:r>
        <w:rPr>
          <w:rFonts w:ascii="Times New Roman" w:hAnsi="Times New Roman"/>
        </w:rPr>
        <w:t>.</w:t>
      </w:r>
    </w:p>
    <w:p w:rsidR="008B790B" w:rsidRDefault="008B790B">
      <w:pPr>
        <w:tabs>
          <w:tab w:val="left" w:pos="-720"/>
          <w:tab w:val="left" w:pos="0"/>
        </w:tabs>
        <w:suppressAutoHyphens/>
        <w:ind w:left="720" w:hanging="720"/>
        <w:rPr>
          <w:rFonts w:ascii="Times New Roman" w:hAnsi="Times New Roman"/>
        </w:rPr>
      </w:pPr>
    </w:p>
    <w:p w:rsidR="008F3619" w:rsidRDefault="008F3619" w:rsidP="008F3619">
      <w:pPr>
        <w:tabs>
          <w:tab w:val="left" w:pos="-720"/>
          <w:tab w:val="left" w:pos="0"/>
        </w:tabs>
        <w:suppressAutoHyphens/>
        <w:rPr>
          <w:rFonts w:ascii="Times New Roman" w:hAnsi="Times New Roman"/>
        </w:rPr>
      </w:pPr>
      <w:r>
        <w:rPr>
          <w:rFonts w:ascii="Times New Roman" w:hAnsi="Times New Roman"/>
        </w:rPr>
        <w:tab/>
      </w:r>
      <w:r w:rsidR="008B790B">
        <w:rPr>
          <w:rFonts w:ascii="Times New Roman" w:hAnsi="Times New Roman"/>
        </w:rPr>
        <w:t xml:space="preserve">The requirements of these </w:t>
      </w:r>
      <w:r>
        <w:rPr>
          <w:rFonts w:ascii="Times New Roman" w:hAnsi="Times New Roman"/>
        </w:rPr>
        <w:t xml:space="preserve">proposed </w:t>
      </w:r>
      <w:r w:rsidR="008B790B">
        <w:rPr>
          <w:rFonts w:ascii="Times New Roman" w:hAnsi="Times New Roman"/>
        </w:rPr>
        <w:t xml:space="preserve">regulations are mandated by the </w:t>
      </w:r>
      <w:r>
        <w:rPr>
          <w:rFonts w:ascii="Times New Roman" w:hAnsi="Times New Roman"/>
        </w:rPr>
        <w:t xml:space="preserve">FCRA and FACT Act </w:t>
      </w:r>
      <w:r w:rsidRPr="008F3619">
        <w:rPr>
          <w:rFonts w:ascii="Times New Roman" w:hAnsi="Times New Roman"/>
          <w:i/>
        </w:rPr>
        <w:t>vis-à-vis</w:t>
      </w:r>
      <w:r>
        <w:rPr>
          <w:rFonts w:ascii="Times New Roman" w:hAnsi="Times New Roman"/>
        </w:rPr>
        <w:t xml:space="preserve"> the Dodd-Frank</w:t>
      </w:r>
      <w:r w:rsidR="008B790B">
        <w:rPr>
          <w:rFonts w:ascii="Times New Roman" w:hAnsi="Times New Roman"/>
        </w:rPr>
        <w:t xml:space="preserve"> Act and, therefore, the Commission does not grant any exceptions to small entities from the requirements at this time.  The </w:t>
      </w:r>
      <w:r>
        <w:rPr>
          <w:rFonts w:ascii="Times New Roman" w:hAnsi="Times New Roman"/>
        </w:rPr>
        <w:t xml:space="preserve">proposed </w:t>
      </w:r>
      <w:r w:rsidR="008B790B">
        <w:rPr>
          <w:rFonts w:ascii="Times New Roman" w:hAnsi="Times New Roman"/>
        </w:rPr>
        <w:t xml:space="preserve">regulations </w:t>
      </w:r>
      <w:r>
        <w:rPr>
          <w:rFonts w:ascii="Times New Roman" w:hAnsi="Times New Roman"/>
        </w:rPr>
        <w:t xml:space="preserve">do, however, </w:t>
      </w:r>
      <w:r w:rsidR="008B790B">
        <w:rPr>
          <w:rFonts w:ascii="Times New Roman" w:hAnsi="Times New Roman"/>
        </w:rPr>
        <w:t>provide substantial flexibility</w:t>
      </w:r>
      <w:r>
        <w:rPr>
          <w:rFonts w:ascii="Times New Roman" w:hAnsi="Times New Roman"/>
        </w:rPr>
        <w:t xml:space="preserve"> in several ways.  For example, under the affiliate marketing rules, covered entities </w:t>
      </w:r>
      <w:r w:rsidR="008B790B">
        <w:rPr>
          <w:rFonts w:ascii="Times New Roman" w:hAnsi="Times New Roman"/>
        </w:rPr>
        <w:t xml:space="preserve">may </w:t>
      </w:r>
      <w:r>
        <w:rPr>
          <w:rFonts w:ascii="Times New Roman" w:hAnsi="Times New Roman"/>
        </w:rPr>
        <w:t>consolidate their opt-out notices with other privacy notices required under other provisions of law (</w:t>
      </w:r>
      <w:r w:rsidRPr="00486A7D">
        <w:rPr>
          <w:rFonts w:ascii="Times New Roman" w:hAnsi="Times New Roman"/>
          <w:i/>
        </w:rPr>
        <w:t>e.g.</w:t>
      </w:r>
      <w:r>
        <w:rPr>
          <w:rFonts w:ascii="Times New Roman" w:hAnsi="Times New Roman"/>
        </w:rPr>
        <w:t xml:space="preserve">, initial, annual and opt-out notices under the Gramm-Leach-Bliley Act). </w:t>
      </w:r>
      <w:r w:rsidR="00486A7D">
        <w:rPr>
          <w:rFonts w:ascii="Times New Roman" w:hAnsi="Times New Roman"/>
        </w:rPr>
        <w:t xml:space="preserve"> </w:t>
      </w:r>
      <w:r>
        <w:rPr>
          <w:rFonts w:ascii="Times New Roman" w:hAnsi="Times New Roman"/>
        </w:rPr>
        <w:t xml:space="preserve">In addition, covered entities may extend the opt-out period in perpetuity so that such entities need not send opt-out notices every five years to consumers before an affiliate makes a solicitation.  </w:t>
      </w:r>
      <w:r w:rsidR="00DF2502">
        <w:rPr>
          <w:rFonts w:ascii="Times New Roman" w:hAnsi="Times New Roman"/>
        </w:rPr>
        <w:t>To further minimize the burden to small business</w:t>
      </w:r>
      <w:r w:rsidR="001128C7">
        <w:rPr>
          <w:rFonts w:ascii="Times New Roman" w:hAnsi="Times New Roman"/>
        </w:rPr>
        <w:t>es</w:t>
      </w:r>
      <w:r w:rsidR="00DF2502">
        <w:rPr>
          <w:rFonts w:ascii="Times New Roman" w:hAnsi="Times New Roman"/>
        </w:rPr>
        <w:t xml:space="preserve"> or other small entities, the Commission has provided a model notice in Appendix A to the proposal, which covered entities can use in complying with the proposal’s notice content requirements.</w:t>
      </w:r>
    </w:p>
    <w:p w:rsidR="008F3619" w:rsidRDefault="008F3619" w:rsidP="008F3619">
      <w:pPr>
        <w:tabs>
          <w:tab w:val="left" w:pos="-720"/>
          <w:tab w:val="left" w:pos="0"/>
        </w:tabs>
        <w:suppressAutoHyphens/>
        <w:rPr>
          <w:rFonts w:ascii="Times New Roman" w:hAnsi="Times New Roman"/>
        </w:rPr>
      </w:pPr>
    </w:p>
    <w:p w:rsidR="008B790B" w:rsidRDefault="008F3619" w:rsidP="008F3619">
      <w:pPr>
        <w:tabs>
          <w:tab w:val="left" w:pos="-720"/>
          <w:tab w:val="left" w:pos="0"/>
        </w:tabs>
        <w:suppressAutoHyphens/>
        <w:rPr>
          <w:rFonts w:ascii="Times New Roman" w:hAnsi="Times New Roman"/>
        </w:rPr>
      </w:pPr>
      <w:r>
        <w:rPr>
          <w:rFonts w:ascii="Times New Roman" w:hAnsi="Times New Roman"/>
        </w:rPr>
        <w:tab/>
      </w:r>
      <w:r w:rsidR="00DF2502">
        <w:rPr>
          <w:rFonts w:ascii="Times New Roman" w:hAnsi="Times New Roman"/>
        </w:rPr>
        <w:t>T</w:t>
      </w:r>
      <w:r>
        <w:rPr>
          <w:rFonts w:ascii="Times New Roman" w:hAnsi="Times New Roman"/>
        </w:rPr>
        <w:t>he disposal rules also provide flexibility for small businesses</w:t>
      </w:r>
      <w:r w:rsidR="00DF2502">
        <w:rPr>
          <w:rFonts w:ascii="Times New Roman" w:hAnsi="Times New Roman"/>
        </w:rPr>
        <w:t xml:space="preserve"> and other small entities</w:t>
      </w:r>
      <w:r>
        <w:rPr>
          <w:rFonts w:ascii="Times New Roman" w:hAnsi="Times New Roman"/>
        </w:rPr>
        <w:t xml:space="preserve">. In particular, under the proposal, </w:t>
      </w:r>
      <w:r w:rsidR="00486A7D">
        <w:rPr>
          <w:rFonts w:ascii="Times New Roman" w:hAnsi="Times New Roman"/>
        </w:rPr>
        <w:t>each covered entity</w:t>
      </w:r>
      <w:r>
        <w:rPr>
          <w:rFonts w:ascii="Times New Roman" w:hAnsi="Times New Roman"/>
        </w:rPr>
        <w:t xml:space="preserve"> ha</w:t>
      </w:r>
      <w:r w:rsidR="00486A7D">
        <w:rPr>
          <w:rFonts w:ascii="Times New Roman" w:hAnsi="Times New Roman"/>
        </w:rPr>
        <w:t>s</w:t>
      </w:r>
      <w:r>
        <w:rPr>
          <w:rFonts w:ascii="Times New Roman" w:hAnsi="Times New Roman"/>
        </w:rPr>
        <w:t xml:space="preserve"> the discretion to tailor </w:t>
      </w:r>
      <w:r w:rsidR="00486A7D">
        <w:rPr>
          <w:rFonts w:ascii="Times New Roman" w:hAnsi="Times New Roman"/>
        </w:rPr>
        <w:t xml:space="preserve">its </w:t>
      </w:r>
      <w:r>
        <w:rPr>
          <w:rFonts w:ascii="Times New Roman" w:hAnsi="Times New Roman"/>
        </w:rPr>
        <w:t xml:space="preserve">written disposal plan to fit the size </w:t>
      </w:r>
      <w:r w:rsidR="00486A7D">
        <w:rPr>
          <w:rFonts w:ascii="Times New Roman" w:hAnsi="Times New Roman"/>
        </w:rPr>
        <w:t>and complexity of such entity’s business</w:t>
      </w:r>
      <w:r>
        <w:rPr>
          <w:rFonts w:ascii="Times New Roman" w:hAnsi="Times New Roman"/>
        </w:rPr>
        <w:t xml:space="preserve">.  </w:t>
      </w:r>
    </w:p>
    <w:p w:rsidR="002D133A" w:rsidRDefault="002D133A">
      <w:pPr>
        <w:tabs>
          <w:tab w:val="left" w:pos="-720"/>
        </w:tabs>
        <w:suppressAutoHyphens/>
        <w:rPr>
          <w:rFonts w:ascii="Times New Roman" w:hAnsi="Times New Roman"/>
        </w:rPr>
      </w:pPr>
    </w:p>
    <w:p w:rsidR="002D133A" w:rsidRDefault="002D133A">
      <w:pPr>
        <w:tabs>
          <w:tab w:val="left" w:pos="-720"/>
          <w:tab w:val="left" w:pos="0"/>
        </w:tabs>
        <w:suppressAutoHyphens/>
        <w:ind w:left="720" w:hanging="720"/>
        <w:rPr>
          <w:rFonts w:ascii="Times New Roman" w:hAnsi="Times New Roman"/>
        </w:rPr>
      </w:pPr>
      <w:r>
        <w:rPr>
          <w:rFonts w:ascii="Times New Roman" w:hAnsi="Times New Roman"/>
        </w:rPr>
        <w:t>6.</w:t>
      </w:r>
      <w:r>
        <w:rPr>
          <w:rFonts w:ascii="Times New Roman" w:hAnsi="Times New Roman"/>
        </w:rPr>
        <w:tab/>
      </w:r>
      <w:r>
        <w:rPr>
          <w:rFonts w:ascii="Times New Roman" w:hAnsi="Times New Roman"/>
          <w:u w:val="single"/>
        </w:rPr>
        <w:t xml:space="preserve">Describe the consequence to the Federal Program or policy </w:t>
      </w:r>
      <w:r w:rsidRPr="00DF2502">
        <w:rPr>
          <w:rFonts w:ascii="Times New Roman" w:hAnsi="Times New Roman"/>
          <w:u w:val="single"/>
        </w:rPr>
        <w:tab/>
      </w:r>
      <w:r>
        <w:rPr>
          <w:rFonts w:ascii="Times New Roman" w:hAnsi="Times New Roman"/>
          <w:u w:val="single"/>
        </w:rPr>
        <w:t>activities if the collection were conducted less frequently as well as any technical or legal obstacles to reducing burden</w:t>
      </w:r>
      <w:r>
        <w:rPr>
          <w:rFonts w:ascii="Times New Roman" w:hAnsi="Times New Roman"/>
        </w:rPr>
        <w:t>.</w:t>
      </w:r>
    </w:p>
    <w:p w:rsidR="00F23052" w:rsidRDefault="00F23052">
      <w:pPr>
        <w:tabs>
          <w:tab w:val="left" w:pos="-720"/>
          <w:tab w:val="left" w:pos="0"/>
        </w:tabs>
        <w:suppressAutoHyphens/>
        <w:ind w:left="720" w:hanging="720"/>
        <w:rPr>
          <w:rFonts w:ascii="Times New Roman" w:hAnsi="Times New Roman"/>
        </w:rPr>
      </w:pPr>
    </w:p>
    <w:p w:rsidR="00F23052" w:rsidRDefault="00486A7D" w:rsidP="00486A7D">
      <w:pPr>
        <w:tabs>
          <w:tab w:val="left" w:pos="-720"/>
          <w:tab w:val="left" w:pos="0"/>
        </w:tabs>
        <w:suppressAutoHyphens/>
        <w:rPr>
          <w:rFonts w:ascii="Times New Roman" w:hAnsi="Times New Roman"/>
        </w:rPr>
      </w:pPr>
      <w:r>
        <w:rPr>
          <w:rFonts w:ascii="Times New Roman" w:hAnsi="Times New Roman"/>
        </w:rPr>
        <w:tab/>
      </w:r>
      <w:r w:rsidR="00F23052">
        <w:rPr>
          <w:rFonts w:ascii="Times New Roman" w:hAnsi="Times New Roman"/>
        </w:rPr>
        <w:t xml:space="preserve">The </w:t>
      </w:r>
      <w:r>
        <w:rPr>
          <w:rFonts w:ascii="Times New Roman" w:hAnsi="Times New Roman"/>
        </w:rPr>
        <w:t xml:space="preserve">FCRA and </w:t>
      </w:r>
      <w:r w:rsidR="00F5556C">
        <w:rPr>
          <w:rFonts w:ascii="Times New Roman" w:hAnsi="Times New Roman"/>
        </w:rPr>
        <w:t xml:space="preserve">the </w:t>
      </w:r>
      <w:r>
        <w:rPr>
          <w:rFonts w:ascii="Times New Roman" w:hAnsi="Times New Roman"/>
        </w:rPr>
        <w:t xml:space="preserve">FACT Act mandate, </w:t>
      </w:r>
      <w:r w:rsidRPr="00486A7D">
        <w:rPr>
          <w:rFonts w:ascii="Times New Roman" w:hAnsi="Times New Roman"/>
          <w:i/>
        </w:rPr>
        <w:t>vis-à-vis</w:t>
      </w:r>
      <w:r>
        <w:rPr>
          <w:rFonts w:ascii="Times New Roman" w:hAnsi="Times New Roman"/>
        </w:rPr>
        <w:t xml:space="preserve"> the Dodd-Frank Act, </w:t>
      </w:r>
      <w:r w:rsidR="00F23052">
        <w:rPr>
          <w:rFonts w:ascii="Times New Roman" w:hAnsi="Times New Roman"/>
        </w:rPr>
        <w:t>that</w:t>
      </w:r>
      <w:r>
        <w:rPr>
          <w:rFonts w:ascii="Times New Roman" w:hAnsi="Times New Roman"/>
        </w:rPr>
        <w:t xml:space="preserve">: (1) with respect to the affiliate marketing rules, entities </w:t>
      </w:r>
      <w:r w:rsidR="00DF2502">
        <w:rPr>
          <w:rFonts w:ascii="Times New Roman" w:hAnsi="Times New Roman"/>
        </w:rPr>
        <w:t xml:space="preserve">subject to the Commission’s jurisdiction </w:t>
      </w:r>
      <w:r>
        <w:rPr>
          <w:rFonts w:ascii="Times New Roman" w:hAnsi="Times New Roman"/>
        </w:rPr>
        <w:t>must provide opt-out</w:t>
      </w:r>
      <w:r w:rsidR="00F23052">
        <w:rPr>
          <w:rFonts w:ascii="Times New Roman" w:hAnsi="Times New Roman"/>
        </w:rPr>
        <w:t xml:space="preserve"> notices to consumers</w:t>
      </w:r>
      <w:r>
        <w:rPr>
          <w:rFonts w:ascii="Times New Roman" w:hAnsi="Times New Roman"/>
        </w:rPr>
        <w:t xml:space="preserve"> with whom such entity </w:t>
      </w:r>
      <w:r w:rsidR="00F23052">
        <w:rPr>
          <w:rFonts w:ascii="Times New Roman" w:hAnsi="Times New Roman"/>
        </w:rPr>
        <w:t xml:space="preserve">has a </w:t>
      </w:r>
      <w:r>
        <w:rPr>
          <w:rFonts w:ascii="Times New Roman" w:hAnsi="Times New Roman"/>
        </w:rPr>
        <w:t>pre-existing business relationship</w:t>
      </w:r>
      <w:r w:rsidR="00DF2502">
        <w:rPr>
          <w:rFonts w:ascii="Times New Roman" w:hAnsi="Times New Roman"/>
        </w:rPr>
        <w:t xml:space="preserve"> at most once every five years</w:t>
      </w:r>
      <w:r>
        <w:rPr>
          <w:rFonts w:ascii="Times New Roman" w:hAnsi="Times New Roman"/>
        </w:rPr>
        <w:t xml:space="preserve">; and (2) with respect to the disposal rules, entities </w:t>
      </w:r>
      <w:r w:rsidR="00DF2502">
        <w:rPr>
          <w:rFonts w:ascii="Times New Roman" w:hAnsi="Times New Roman"/>
        </w:rPr>
        <w:t xml:space="preserve">subject to the Commission’s jurisdiction </w:t>
      </w:r>
      <w:r>
        <w:rPr>
          <w:rFonts w:ascii="Times New Roman" w:hAnsi="Times New Roman"/>
        </w:rPr>
        <w:t>must develop and implement a written disposal plan</w:t>
      </w:r>
      <w:r w:rsidR="00DF2502">
        <w:rPr>
          <w:rFonts w:ascii="Times New Roman" w:hAnsi="Times New Roman"/>
        </w:rPr>
        <w:t xml:space="preserve"> only once (as such original plan may be amended from time to time)</w:t>
      </w:r>
      <w:r>
        <w:rPr>
          <w:rFonts w:ascii="Times New Roman" w:hAnsi="Times New Roman"/>
        </w:rPr>
        <w:t>.</w:t>
      </w:r>
      <w:r w:rsidR="00DF2502">
        <w:rPr>
          <w:rFonts w:ascii="Times New Roman" w:hAnsi="Times New Roman"/>
        </w:rPr>
        <w:t xml:space="preserve">  </w:t>
      </w:r>
      <w:r w:rsidR="00F5556C">
        <w:rPr>
          <w:rFonts w:ascii="Times New Roman" w:hAnsi="Times New Roman"/>
        </w:rPr>
        <w:t>As a result of this mandate</w:t>
      </w:r>
      <w:r w:rsidR="00DF2502">
        <w:rPr>
          <w:rFonts w:ascii="Times New Roman" w:hAnsi="Times New Roman"/>
        </w:rPr>
        <w:t xml:space="preserve">, these collections cannot be conducted any </w:t>
      </w:r>
      <w:r w:rsidR="00F5556C">
        <w:rPr>
          <w:rFonts w:ascii="Times New Roman" w:hAnsi="Times New Roman"/>
        </w:rPr>
        <w:t>less frequently than what is required by law.  The Commission is unaware of any technical or legal obstacles to reduce the burden to covered entities.</w:t>
      </w:r>
    </w:p>
    <w:p w:rsidR="002D133A" w:rsidRDefault="002D133A">
      <w:pPr>
        <w:tabs>
          <w:tab w:val="left" w:pos="-720"/>
        </w:tabs>
        <w:suppressAutoHyphens/>
        <w:rPr>
          <w:rFonts w:ascii="Times New Roman" w:hAnsi="Times New Roman"/>
        </w:rPr>
      </w:pPr>
    </w:p>
    <w:p w:rsidR="002D133A" w:rsidRDefault="002D133A" w:rsidP="00ED6C64">
      <w:pPr>
        <w:tabs>
          <w:tab w:val="left" w:pos="-720"/>
        </w:tabs>
        <w:suppressAutoHyphens/>
        <w:rPr>
          <w:rFonts w:ascii="Times New Roman" w:hAnsi="Times New Roman"/>
        </w:rPr>
      </w:pPr>
      <w:r>
        <w:rPr>
          <w:rFonts w:ascii="Times New Roman" w:hAnsi="Times New Roman"/>
        </w:rPr>
        <w:t xml:space="preserve"> 7.</w:t>
      </w:r>
      <w:r>
        <w:rPr>
          <w:rFonts w:ascii="Times New Roman" w:hAnsi="Times New Roman"/>
        </w:rPr>
        <w:tab/>
      </w:r>
      <w:r>
        <w:rPr>
          <w:rFonts w:ascii="Times New Roman" w:hAnsi="Times New Roman"/>
          <w:u w:val="single"/>
        </w:rPr>
        <w:t>Explain any special circumstances that require the collection to be conducted in a manner</w:t>
      </w:r>
      <w:r>
        <w:rPr>
          <w:rFonts w:ascii="Times New Roman" w:hAnsi="Times New Roman"/>
        </w:rPr>
        <w:t>:</w:t>
      </w:r>
    </w:p>
    <w:p w:rsidR="002D133A" w:rsidRDefault="002D133A">
      <w:pPr>
        <w:tabs>
          <w:tab w:val="left" w:pos="-720"/>
        </w:tabs>
        <w:suppressAutoHyphens/>
        <w:rPr>
          <w:rFonts w:ascii="Times New Roman" w:hAnsi="Times New Roman"/>
        </w:rPr>
      </w:pPr>
    </w:p>
    <w:p w:rsidR="002D133A" w:rsidRDefault="002D133A">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r>
      <w:proofErr w:type="gramStart"/>
      <w:r>
        <w:rPr>
          <w:rFonts w:ascii="Times New Roman" w:hAnsi="Times New Roman"/>
          <w:u w:val="single"/>
        </w:rPr>
        <w:t>requiring</w:t>
      </w:r>
      <w:proofErr w:type="gramEnd"/>
      <w:r>
        <w:rPr>
          <w:rFonts w:ascii="Times New Roman" w:hAnsi="Times New Roman"/>
          <w:u w:val="single"/>
        </w:rPr>
        <w:t xml:space="preserve"> respondents to report information to the agency more often than quarterly;</w:t>
      </w:r>
    </w:p>
    <w:p w:rsidR="002D133A" w:rsidRDefault="002D133A">
      <w:pPr>
        <w:tabs>
          <w:tab w:val="left" w:pos="-720"/>
        </w:tabs>
        <w:suppressAutoHyphens/>
        <w:rPr>
          <w:rFonts w:ascii="Times New Roman" w:hAnsi="Times New Roman"/>
        </w:rPr>
      </w:pPr>
    </w:p>
    <w:p w:rsidR="00F23052" w:rsidRDefault="00486A7D">
      <w:pPr>
        <w:tabs>
          <w:tab w:val="left" w:pos="-720"/>
        </w:tabs>
        <w:suppressAutoHyphens/>
        <w:rPr>
          <w:rFonts w:ascii="Times New Roman" w:hAnsi="Times New Roman"/>
        </w:rPr>
      </w:pPr>
      <w:r>
        <w:rPr>
          <w:rFonts w:ascii="Times New Roman" w:hAnsi="Times New Roman"/>
        </w:rPr>
        <w:lastRenderedPageBreak/>
        <w:tab/>
      </w:r>
      <w:r w:rsidR="00F23052">
        <w:rPr>
          <w:rFonts w:ascii="Times New Roman" w:hAnsi="Times New Roman"/>
        </w:rPr>
        <w:t xml:space="preserve">Notices </w:t>
      </w:r>
      <w:r>
        <w:rPr>
          <w:rFonts w:ascii="Times New Roman" w:hAnsi="Times New Roman"/>
        </w:rPr>
        <w:t xml:space="preserve">and written plans </w:t>
      </w:r>
      <w:r w:rsidR="00F23052">
        <w:rPr>
          <w:rFonts w:ascii="Times New Roman" w:hAnsi="Times New Roman"/>
        </w:rPr>
        <w:t>required by these regulations are not required to be submitted to the Commission.</w:t>
      </w:r>
    </w:p>
    <w:p w:rsidR="00F23052" w:rsidRDefault="00F23052">
      <w:pPr>
        <w:tabs>
          <w:tab w:val="left" w:pos="-720"/>
        </w:tabs>
        <w:suppressAutoHyphens/>
        <w:rPr>
          <w:rFonts w:ascii="Times New Roman" w:hAnsi="Times New Roman"/>
        </w:rPr>
      </w:pPr>
    </w:p>
    <w:p w:rsidR="002D133A" w:rsidRDefault="002D133A">
      <w:pPr>
        <w:tabs>
          <w:tab w:val="left" w:pos="-720"/>
          <w:tab w:val="left" w:pos="0"/>
          <w:tab w:val="left" w:pos="720"/>
        </w:tabs>
        <w:suppressAutoHyphens/>
        <w:ind w:left="1440" w:hanging="1440"/>
        <w:rPr>
          <w:rFonts w:ascii="Times New Roman" w:hAnsi="Times New Roman"/>
          <w:u w:val="single"/>
        </w:rPr>
      </w:pPr>
      <w:r>
        <w:rPr>
          <w:rFonts w:ascii="Times New Roman" w:hAnsi="Times New Roman"/>
        </w:rPr>
        <w:tab/>
        <w:t>-</w:t>
      </w:r>
      <w:r>
        <w:rPr>
          <w:rFonts w:ascii="Times New Roman" w:hAnsi="Times New Roman"/>
        </w:rPr>
        <w:tab/>
      </w:r>
      <w:r>
        <w:rPr>
          <w:rFonts w:ascii="Times New Roman" w:hAnsi="Times New Roman"/>
          <w:u w:val="single"/>
        </w:rPr>
        <w:t>requiring respondents to prepare a written response to a collection of information in fewer than 30 days after receipt of it:</w:t>
      </w:r>
    </w:p>
    <w:p w:rsidR="00F23052" w:rsidRDefault="00F23052">
      <w:pPr>
        <w:tabs>
          <w:tab w:val="left" w:pos="-720"/>
          <w:tab w:val="left" w:pos="0"/>
          <w:tab w:val="left" w:pos="720"/>
        </w:tabs>
        <w:suppressAutoHyphens/>
        <w:ind w:left="1440" w:hanging="1440"/>
        <w:rPr>
          <w:rFonts w:ascii="Times New Roman" w:hAnsi="Times New Roman"/>
          <w:u w:val="single"/>
        </w:rPr>
      </w:pPr>
    </w:p>
    <w:p w:rsidR="00F23052" w:rsidRPr="00F23052" w:rsidRDefault="00F23052">
      <w:pPr>
        <w:tabs>
          <w:tab w:val="left" w:pos="-720"/>
          <w:tab w:val="left" w:pos="0"/>
          <w:tab w:val="left" w:pos="720"/>
        </w:tabs>
        <w:suppressAutoHyphens/>
        <w:ind w:left="1440" w:hanging="1440"/>
        <w:rPr>
          <w:rFonts w:ascii="Times New Roman" w:hAnsi="Times New Roman"/>
        </w:rPr>
      </w:pPr>
      <w:r w:rsidRPr="00F23052">
        <w:rPr>
          <w:rFonts w:ascii="Times New Roman" w:hAnsi="Times New Roman"/>
        </w:rPr>
        <w:t>This does not apply.</w:t>
      </w:r>
    </w:p>
    <w:p w:rsidR="002D133A" w:rsidRPr="00F23052" w:rsidRDefault="002D133A">
      <w:pPr>
        <w:tabs>
          <w:tab w:val="left" w:pos="-720"/>
        </w:tabs>
        <w:suppressAutoHyphens/>
        <w:rPr>
          <w:rFonts w:ascii="Times New Roman" w:hAnsi="Times New Roman"/>
        </w:rPr>
      </w:pPr>
    </w:p>
    <w:p w:rsidR="002D133A" w:rsidRDefault="002D133A">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r>
      <w:r>
        <w:rPr>
          <w:rFonts w:ascii="Times New Roman" w:hAnsi="Times New Roman"/>
          <w:u w:val="single"/>
        </w:rPr>
        <w:t>requiring respondents to submit more that an original and two copies of any document</w:t>
      </w:r>
      <w:r>
        <w:rPr>
          <w:rFonts w:ascii="Times New Roman" w:hAnsi="Times New Roman"/>
        </w:rPr>
        <w:t>;</w:t>
      </w:r>
    </w:p>
    <w:p w:rsidR="002D133A" w:rsidRDefault="002D133A">
      <w:pPr>
        <w:tabs>
          <w:tab w:val="left" w:pos="-720"/>
        </w:tabs>
        <w:suppressAutoHyphens/>
        <w:rPr>
          <w:rFonts w:ascii="Times New Roman" w:hAnsi="Times New Roman"/>
        </w:rPr>
      </w:pPr>
    </w:p>
    <w:p w:rsidR="00F23052" w:rsidRDefault="00F23052">
      <w:pPr>
        <w:tabs>
          <w:tab w:val="left" w:pos="-720"/>
        </w:tabs>
        <w:suppressAutoHyphens/>
        <w:rPr>
          <w:rFonts w:ascii="Times New Roman" w:hAnsi="Times New Roman"/>
        </w:rPr>
      </w:pPr>
      <w:r>
        <w:rPr>
          <w:rFonts w:ascii="Times New Roman" w:hAnsi="Times New Roman"/>
        </w:rPr>
        <w:t>This does not apply.</w:t>
      </w:r>
    </w:p>
    <w:p w:rsidR="00486A7D" w:rsidRDefault="00486A7D">
      <w:pPr>
        <w:tabs>
          <w:tab w:val="left" w:pos="-720"/>
        </w:tabs>
        <w:suppressAutoHyphens/>
        <w:rPr>
          <w:rFonts w:ascii="Times New Roman" w:hAnsi="Times New Roman"/>
        </w:rPr>
      </w:pPr>
    </w:p>
    <w:p w:rsidR="002D133A" w:rsidRDefault="002D133A">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r>
      <w:r>
        <w:rPr>
          <w:rFonts w:ascii="Times New Roman" w:hAnsi="Times New Roman"/>
          <w:u w:val="single"/>
        </w:rPr>
        <w:t>requiring respondents to retain records other than health, medical, government contract, grant-in-aid, or tax records, for more than three years</w:t>
      </w:r>
      <w:r>
        <w:rPr>
          <w:rFonts w:ascii="Times New Roman" w:hAnsi="Times New Roman"/>
        </w:rPr>
        <w:t>;</w:t>
      </w:r>
    </w:p>
    <w:p w:rsidR="002D133A" w:rsidRDefault="002D133A">
      <w:pPr>
        <w:tabs>
          <w:tab w:val="left" w:pos="-720"/>
        </w:tabs>
        <w:suppressAutoHyphens/>
        <w:rPr>
          <w:rFonts w:ascii="Times New Roman" w:hAnsi="Times New Roman"/>
        </w:rPr>
      </w:pPr>
    </w:p>
    <w:p w:rsidR="00F23052" w:rsidRDefault="00486A7D">
      <w:pPr>
        <w:tabs>
          <w:tab w:val="left" w:pos="-720"/>
        </w:tabs>
        <w:suppressAutoHyphens/>
        <w:rPr>
          <w:rFonts w:ascii="Times New Roman" w:hAnsi="Times New Roman"/>
        </w:rPr>
      </w:pPr>
      <w:r>
        <w:rPr>
          <w:rFonts w:ascii="Times New Roman" w:hAnsi="Times New Roman"/>
        </w:rPr>
        <w:tab/>
        <w:t>Covered entities</w:t>
      </w:r>
      <w:r w:rsidR="00F23052">
        <w:rPr>
          <w:rFonts w:ascii="Times New Roman" w:hAnsi="Times New Roman"/>
        </w:rPr>
        <w:t xml:space="preserve"> are required to retain information regarding a consumer’s decision to opt out after </w:t>
      </w:r>
      <w:r>
        <w:rPr>
          <w:rFonts w:ascii="Times New Roman" w:hAnsi="Times New Roman"/>
        </w:rPr>
        <w:t xml:space="preserve">such consumer has opted out.  In addition, covered entities are required to develop and maintain a written disposal policy to the extent that such entities possess nonpublic, consumer information. </w:t>
      </w:r>
    </w:p>
    <w:p w:rsidR="00F23052" w:rsidRDefault="00F23052">
      <w:pPr>
        <w:tabs>
          <w:tab w:val="left" w:pos="-720"/>
        </w:tabs>
        <w:suppressAutoHyphens/>
        <w:rPr>
          <w:rFonts w:ascii="Times New Roman" w:hAnsi="Times New Roman"/>
        </w:rPr>
      </w:pPr>
    </w:p>
    <w:p w:rsidR="002D133A" w:rsidRDefault="002D133A">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r>
      <w:proofErr w:type="gramStart"/>
      <w:r>
        <w:rPr>
          <w:rFonts w:ascii="Times New Roman" w:hAnsi="Times New Roman"/>
          <w:u w:val="single"/>
        </w:rPr>
        <w:t>in</w:t>
      </w:r>
      <w:proofErr w:type="gramEnd"/>
      <w:r>
        <w:rPr>
          <w:rFonts w:ascii="Times New Roman" w:hAnsi="Times New Roman"/>
          <w:u w:val="single"/>
        </w:rPr>
        <w:t xml:space="preserve"> connection with a statistical survey, that is not designed to produce valid and reliable results that can be generalized to the universe of study</w:t>
      </w:r>
      <w:r>
        <w:rPr>
          <w:rFonts w:ascii="Times New Roman" w:hAnsi="Times New Roman"/>
        </w:rPr>
        <w:t xml:space="preserve">; </w:t>
      </w:r>
    </w:p>
    <w:p w:rsidR="002D133A" w:rsidRDefault="002D133A">
      <w:pPr>
        <w:tabs>
          <w:tab w:val="left" w:pos="-720"/>
        </w:tabs>
        <w:suppressAutoHyphens/>
        <w:rPr>
          <w:rFonts w:ascii="Times New Roman" w:hAnsi="Times New Roman"/>
        </w:rPr>
      </w:pPr>
    </w:p>
    <w:p w:rsidR="00F23052" w:rsidRDefault="00F23052">
      <w:pPr>
        <w:tabs>
          <w:tab w:val="left" w:pos="-720"/>
        </w:tabs>
        <w:suppressAutoHyphens/>
        <w:rPr>
          <w:rFonts w:ascii="Times New Roman" w:hAnsi="Times New Roman"/>
        </w:rPr>
      </w:pPr>
      <w:r>
        <w:rPr>
          <w:rFonts w:ascii="Times New Roman" w:hAnsi="Times New Roman"/>
        </w:rPr>
        <w:t xml:space="preserve">The </w:t>
      </w:r>
      <w:r w:rsidR="00486A7D">
        <w:rPr>
          <w:rFonts w:ascii="Times New Roman" w:hAnsi="Times New Roman"/>
        </w:rPr>
        <w:t xml:space="preserve">proposed </w:t>
      </w:r>
      <w:r>
        <w:rPr>
          <w:rFonts w:ascii="Times New Roman" w:hAnsi="Times New Roman"/>
        </w:rPr>
        <w:t>regulations do not involve a statistical survey.</w:t>
      </w:r>
    </w:p>
    <w:p w:rsidR="00F23052" w:rsidRDefault="00F23052">
      <w:pPr>
        <w:tabs>
          <w:tab w:val="left" w:pos="-720"/>
        </w:tabs>
        <w:suppressAutoHyphens/>
        <w:rPr>
          <w:rFonts w:ascii="Times New Roman" w:hAnsi="Times New Roman"/>
        </w:rPr>
      </w:pPr>
    </w:p>
    <w:p w:rsidR="002D133A" w:rsidRDefault="002D133A">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r>
      <w:r>
        <w:rPr>
          <w:rFonts w:ascii="Times New Roman" w:hAnsi="Times New Roman"/>
          <w:u w:val="single"/>
        </w:rPr>
        <w:t>requiring the use of a statistical data classification that has not been reviewed and approved by OMB</w:t>
      </w:r>
      <w:r>
        <w:rPr>
          <w:rFonts w:ascii="Times New Roman" w:hAnsi="Times New Roman"/>
        </w:rPr>
        <w:t>;</w:t>
      </w:r>
    </w:p>
    <w:p w:rsidR="002D133A" w:rsidRDefault="002D133A">
      <w:pPr>
        <w:tabs>
          <w:tab w:val="left" w:pos="-720"/>
        </w:tabs>
        <w:suppressAutoHyphens/>
        <w:rPr>
          <w:rFonts w:ascii="Times New Roman" w:hAnsi="Times New Roman"/>
        </w:rPr>
      </w:pPr>
    </w:p>
    <w:p w:rsidR="00F23052" w:rsidRDefault="00F23052">
      <w:pPr>
        <w:tabs>
          <w:tab w:val="left" w:pos="-720"/>
        </w:tabs>
        <w:suppressAutoHyphens/>
        <w:rPr>
          <w:rFonts w:ascii="Times New Roman" w:hAnsi="Times New Roman"/>
        </w:rPr>
      </w:pPr>
      <w:r>
        <w:rPr>
          <w:rFonts w:ascii="Times New Roman" w:hAnsi="Times New Roman"/>
        </w:rPr>
        <w:t xml:space="preserve">The </w:t>
      </w:r>
      <w:r w:rsidR="00486A7D">
        <w:rPr>
          <w:rFonts w:ascii="Times New Roman" w:hAnsi="Times New Roman"/>
        </w:rPr>
        <w:t xml:space="preserve">proposed </w:t>
      </w:r>
      <w:r>
        <w:rPr>
          <w:rFonts w:ascii="Times New Roman" w:hAnsi="Times New Roman"/>
        </w:rPr>
        <w:t>regulation</w:t>
      </w:r>
      <w:r w:rsidR="00486A7D">
        <w:rPr>
          <w:rFonts w:ascii="Times New Roman" w:hAnsi="Times New Roman"/>
        </w:rPr>
        <w:t>s</w:t>
      </w:r>
      <w:r>
        <w:rPr>
          <w:rFonts w:ascii="Times New Roman" w:hAnsi="Times New Roman"/>
        </w:rPr>
        <w:t xml:space="preserve"> do not involve the use of statistical data.</w:t>
      </w:r>
    </w:p>
    <w:p w:rsidR="00F23052" w:rsidRDefault="00F23052">
      <w:pPr>
        <w:tabs>
          <w:tab w:val="left" w:pos="-720"/>
        </w:tabs>
        <w:suppressAutoHyphens/>
        <w:rPr>
          <w:rFonts w:ascii="Times New Roman" w:hAnsi="Times New Roman"/>
        </w:rPr>
      </w:pPr>
    </w:p>
    <w:p w:rsidR="002D133A" w:rsidRDefault="002D133A">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r>
      <w:r>
        <w:rPr>
          <w:rFonts w:ascii="Times New Roman" w:hAnsi="Times New Roman"/>
          <w:u w:val="single"/>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002D133A" w:rsidRDefault="002D133A">
      <w:pPr>
        <w:tabs>
          <w:tab w:val="left" w:pos="-720"/>
        </w:tabs>
        <w:suppressAutoHyphens/>
        <w:rPr>
          <w:rFonts w:ascii="Times New Roman" w:hAnsi="Times New Roman"/>
        </w:rPr>
      </w:pPr>
    </w:p>
    <w:p w:rsidR="00F23052" w:rsidRDefault="00F23052">
      <w:pPr>
        <w:tabs>
          <w:tab w:val="left" w:pos="-720"/>
        </w:tabs>
        <w:suppressAutoHyphens/>
        <w:rPr>
          <w:rFonts w:ascii="Times New Roman" w:hAnsi="Times New Roman"/>
        </w:rPr>
      </w:pPr>
      <w:r>
        <w:rPr>
          <w:rFonts w:ascii="Times New Roman" w:hAnsi="Times New Roman"/>
        </w:rPr>
        <w:t>This does not apply.</w:t>
      </w:r>
    </w:p>
    <w:p w:rsidR="00F23052" w:rsidRDefault="00F23052">
      <w:pPr>
        <w:tabs>
          <w:tab w:val="left" w:pos="-720"/>
        </w:tabs>
        <w:suppressAutoHyphens/>
        <w:rPr>
          <w:rFonts w:ascii="Times New Roman" w:hAnsi="Times New Roman"/>
        </w:rPr>
      </w:pPr>
    </w:p>
    <w:p w:rsidR="002D133A" w:rsidRDefault="002D133A">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r>
      <w:r>
        <w:rPr>
          <w:rFonts w:ascii="Times New Roman" w:hAnsi="Times New Roman"/>
          <w:u w:val="single"/>
        </w:rPr>
        <w:t>requiring respondents to submit proprietary trade secrets, or other confidential information unless the agency can demonstrate that it has instituted procedures to protect the information's confidentiality to the extent permitted by law</w:t>
      </w:r>
      <w:r>
        <w:rPr>
          <w:rFonts w:ascii="Times New Roman" w:hAnsi="Times New Roman"/>
        </w:rPr>
        <w:t>.</w:t>
      </w:r>
    </w:p>
    <w:p w:rsidR="002D133A" w:rsidRDefault="002D133A">
      <w:pPr>
        <w:tabs>
          <w:tab w:val="left" w:pos="-720"/>
        </w:tabs>
        <w:suppressAutoHyphens/>
        <w:rPr>
          <w:rFonts w:ascii="Times New Roman" w:hAnsi="Times New Roman"/>
        </w:rPr>
      </w:pPr>
    </w:p>
    <w:p w:rsidR="00F23052" w:rsidRDefault="00F23052">
      <w:pPr>
        <w:tabs>
          <w:tab w:val="left" w:pos="-720"/>
        </w:tabs>
        <w:suppressAutoHyphens/>
        <w:rPr>
          <w:rFonts w:ascii="Times New Roman" w:hAnsi="Times New Roman"/>
        </w:rPr>
      </w:pPr>
      <w:r>
        <w:rPr>
          <w:rFonts w:ascii="Times New Roman" w:hAnsi="Times New Roman"/>
        </w:rPr>
        <w:t>This does not apply.</w:t>
      </w:r>
    </w:p>
    <w:p w:rsidR="00486A7D" w:rsidRDefault="00486A7D">
      <w:pPr>
        <w:tabs>
          <w:tab w:val="left" w:pos="-720"/>
        </w:tabs>
        <w:suppressAutoHyphens/>
        <w:rPr>
          <w:rFonts w:ascii="Times New Roman" w:hAnsi="Times New Roman"/>
        </w:rPr>
      </w:pPr>
    </w:p>
    <w:p w:rsidR="002D133A" w:rsidRDefault="002D133A">
      <w:pPr>
        <w:tabs>
          <w:tab w:val="left" w:pos="-720"/>
          <w:tab w:val="left" w:pos="0"/>
        </w:tabs>
        <w:suppressAutoHyphens/>
        <w:ind w:left="720" w:hanging="720"/>
        <w:rPr>
          <w:rFonts w:ascii="Times New Roman" w:hAnsi="Times New Roman"/>
        </w:rPr>
      </w:pPr>
      <w:r>
        <w:rPr>
          <w:rFonts w:ascii="Times New Roman" w:hAnsi="Times New Roman"/>
        </w:rPr>
        <w:lastRenderedPageBreak/>
        <w:t>8.</w:t>
      </w:r>
      <w:r>
        <w:rPr>
          <w:rFonts w:ascii="Times New Roman" w:hAnsi="Times New Roman"/>
        </w:rPr>
        <w:tab/>
      </w:r>
      <w:r>
        <w:rPr>
          <w:rFonts w:ascii="Times New Roman" w:hAnsi="Times New Roman"/>
          <w:u w:val="single"/>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2D133A" w:rsidRDefault="002D133A">
      <w:pPr>
        <w:tabs>
          <w:tab w:val="left" w:pos="-720"/>
        </w:tabs>
        <w:suppressAutoHyphens/>
        <w:rPr>
          <w:rFonts w:ascii="Times New Roman" w:hAnsi="Times New Roman"/>
        </w:rPr>
      </w:pPr>
    </w:p>
    <w:p w:rsidR="004105BE" w:rsidRDefault="004105BE" w:rsidP="004105BE">
      <w:pPr>
        <w:ind w:firstLine="720"/>
        <w:rPr>
          <w:rFonts w:ascii="Times New Roman" w:hAnsi="Times New Roman"/>
        </w:rPr>
      </w:pPr>
      <w:r>
        <w:rPr>
          <w:rFonts w:ascii="Times New Roman" w:hAnsi="Times New Roman"/>
        </w:rPr>
        <w:t xml:space="preserve">The proposed rule was published for a 60-day public comment period in the Federal </w:t>
      </w:r>
    </w:p>
    <w:p w:rsidR="004105BE" w:rsidRDefault="004105BE" w:rsidP="004105BE">
      <w:pPr>
        <w:ind w:firstLine="720"/>
        <w:rPr>
          <w:rFonts w:ascii="Times New Roman" w:hAnsi="Times New Roman"/>
        </w:rPr>
      </w:pPr>
      <w:r>
        <w:rPr>
          <w:rFonts w:ascii="Times New Roman" w:hAnsi="Times New Roman"/>
        </w:rPr>
        <w:t xml:space="preserve">Register -- </w:t>
      </w:r>
      <w:r w:rsidRPr="004105BE">
        <w:rPr>
          <w:rFonts w:ascii="Times New Roman" w:hAnsi="Times New Roman"/>
        </w:rPr>
        <w:t>75 FR 66018 (10/27/2010).</w:t>
      </w:r>
    </w:p>
    <w:p w:rsidR="002D133A" w:rsidRDefault="002D133A">
      <w:pPr>
        <w:tabs>
          <w:tab w:val="left" w:pos="-720"/>
          <w:tab w:val="left" w:pos="0"/>
        </w:tabs>
        <w:suppressAutoHyphens/>
        <w:ind w:left="720" w:hanging="720"/>
        <w:rPr>
          <w:rFonts w:ascii="Times New Roman" w:hAnsi="Times New Roman"/>
          <w:u w:val="single"/>
        </w:rPr>
      </w:pPr>
      <w:r>
        <w:rPr>
          <w:rFonts w:ascii="Times New Roman" w:hAnsi="Times New Roman"/>
        </w:rPr>
        <w:tab/>
      </w:r>
      <w:r>
        <w:rPr>
          <w:rFonts w:ascii="Times New Roman" w:hAnsi="Times New Roman"/>
          <w:u w:val="single"/>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2D133A" w:rsidRDefault="002D133A">
      <w:pPr>
        <w:tabs>
          <w:tab w:val="left" w:pos="-720"/>
        </w:tabs>
        <w:suppressAutoHyphens/>
        <w:rPr>
          <w:rFonts w:ascii="Times New Roman" w:hAnsi="Times New Roman"/>
          <w:u w:val="single"/>
        </w:rPr>
      </w:pPr>
    </w:p>
    <w:p w:rsidR="00A3539D" w:rsidRDefault="00A3539D">
      <w:pPr>
        <w:tabs>
          <w:tab w:val="left" w:pos="-720"/>
        </w:tabs>
        <w:suppressAutoHyphens/>
        <w:rPr>
          <w:rFonts w:ascii="Times New Roman" w:hAnsi="Times New Roman"/>
        </w:rPr>
      </w:pPr>
      <w:r w:rsidRPr="00A3539D">
        <w:rPr>
          <w:rFonts w:ascii="Times New Roman" w:hAnsi="Times New Roman"/>
        </w:rPr>
        <w:tab/>
        <w:t>The Commission consulted</w:t>
      </w:r>
      <w:r w:rsidR="00486A7D">
        <w:rPr>
          <w:rFonts w:ascii="Times New Roman" w:hAnsi="Times New Roman"/>
        </w:rPr>
        <w:t xml:space="preserve"> with</w:t>
      </w:r>
      <w:r w:rsidRPr="00A3539D">
        <w:rPr>
          <w:rFonts w:ascii="Times New Roman" w:hAnsi="Times New Roman"/>
        </w:rPr>
        <w:t xml:space="preserve"> </w:t>
      </w:r>
      <w:r w:rsidR="00486A7D">
        <w:rPr>
          <w:rFonts w:ascii="Times New Roman" w:hAnsi="Times New Roman"/>
        </w:rPr>
        <w:t xml:space="preserve">other federal agencies, which have promulgated </w:t>
      </w:r>
      <w:r w:rsidRPr="00A3539D">
        <w:rPr>
          <w:rFonts w:ascii="Times New Roman" w:hAnsi="Times New Roman"/>
        </w:rPr>
        <w:t xml:space="preserve">regulations </w:t>
      </w:r>
      <w:r w:rsidR="00486A7D">
        <w:rPr>
          <w:rFonts w:ascii="Times New Roman" w:hAnsi="Times New Roman"/>
        </w:rPr>
        <w:t xml:space="preserve">under sections 624 and 628 of the FCRA </w:t>
      </w:r>
      <w:r w:rsidR="003C1EE0">
        <w:rPr>
          <w:rFonts w:ascii="Times New Roman" w:hAnsi="Times New Roman"/>
        </w:rPr>
        <w:t xml:space="preserve">with respect to the reporting requirements </w:t>
      </w:r>
      <w:proofErr w:type="spellStart"/>
      <w:r w:rsidR="003C1EE0">
        <w:rPr>
          <w:rFonts w:ascii="Times New Roman" w:hAnsi="Times New Roman"/>
        </w:rPr>
        <w:t>thereunder</w:t>
      </w:r>
      <w:proofErr w:type="spellEnd"/>
      <w:r w:rsidR="003C1EE0">
        <w:rPr>
          <w:rFonts w:ascii="Times New Roman" w:hAnsi="Times New Roman"/>
        </w:rPr>
        <w:t>.</w:t>
      </w:r>
      <w:r w:rsidR="00486A7D">
        <w:rPr>
          <w:rFonts w:ascii="Times New Roman" w:hAnsi="Times New Roman"/>
        </w:rPr>
        <w:t xml:space="preserve"> </w:t>
      </w:r>
      <w:r w:rsidR="003C1EE0">
        <w:rPr>
          <w:rFonts w:ascii="Times New Roman" w:hAnsi="Times New Roman"/>
        </w:rPr>
        <w:t xml:space="preserve"> </w:t>
      </w:r>
      <w:r w:rsidR="00486A7D">
        <w:rPr>
          <w:rFonts w:ascii="Times New Roman" w:hAnsi="Times New Roman"/>
        </w:rPr>
        <w:t>Specifically, the Commission consulted with the Federal Trade Commission and the Securities and Exchange Commission.</w:t>
      </w:r>
    </w:p>
    <w:p w:rsidR="00A85BD9" w:rsidRDefault="00A85BD9">
      <w:pPr>
        <w:tabs>
          <w:tab w:val="left" w:pos="-720"/>
        </w:tabs>
        <w:suppressAutoHyphens/>
        <w:rPr>
          <w:rFonts w:ascii="Times New Roman" w:hAnsi="Times New Roman"/>
        </w:rPr>
      </w:pPr>
    </w:p>
    <w:p w:rsidR="00A85BD9" w:rsidRPr="00A3539D" w:rsidRDefault="00A85BD9">
      <w:pPr>
        <w:tabs>
          <w:tab w:val="left" w:pos="-720"/>
        </w:tabs>
        <w:suppressAutoHyphens/>
        <w:rPr>
          <w:rFonts w:ascii="Times New Roman" w:hAnsi="Times New Roman"/>
        </w:rPr>
      </w:pPr>
      <w:r>
        <w:rPr>
          <w:rFonts w:ascii="Times New Roman" w:hAnsi="Times New Roman"/>
        </w:rPr>
        <w:tab/>
        <w:t>In addition, in advance of the publication of the proposed regulations the Commission solicited general comments from the public on its Internet web site. The Commission did not receive any public comments to the proposed regulations prior to the publication of such regulations in the Federal Register.</w:t>
      </w:r>
    </w:p>
    <w:p w:rsidR="00A3539D" w:rsidRDefault="00A3539D">
      <w:pPr>
        <w:tabs>
          <w:tab w:val="left" w:pos="-720"/>
        </w:tabs>
        <w:suppressAutoHyphens/>
        <w:rPr>
          <w:rFonts w:ascii="Times New Roman" w:hAnsi="Times New Roman"/>
          <w:u w:val="single"/>
        </w:rPr>
      </w:pPr>
    </w:p>
    <w:p w:rsidR="002D133A" w:rsidRDefault="002D133A">
      <w:pPr>
        <w:tabs>
          <w:tab w:val="left" w:pos="-720"/>
          <w:tab w:val="left" w:pos="0"/>
        </w:tabs>
        <w:suppressAutoHyphens/>
        <w:ind w:left="720" w:hanging="720"/>
        <w:rPr>
          <w:rFonts w:ascii="Times New Roman" w:hAnsi="Times New Roman"/>
        </w:rPr>
      </w:pPr>
      <w:r>
        <w:rPr>
          <w:rFonts w:ascii="Times New Roman" w:hAnsi="Times New Roman"/>
        </w:rPr>
        <w:tab/>
      </w:r>
      <w:r>
        <w:rPr>
          <w:rFonts w:ascii="Times New Roman" w:hAnsi="Times New Roman"/>
          <w:u w:val="single"/>
        </w:rPr>
        <w:t>Consultation with representatives of those from whom information is to be obtained or those who must compile records should occur at least once every three years—even if the collection of information activity is the same as in prior periods.  There may be circumstances that may preclude consultation in a specific situation.  These circumstances should be explained</w:t>
      </w:r>
      <w:r>
        <w:rPr>
          <w:rFonts w:ascii="Times New Roman" w:hAnsi="Times New Roman"/>
        </w:rPr>
        <w:t>.</w:t>
      </w:r>
    </w:p>
    <w:p w:rsidR="002D133A" w:rsidRDefault="002D133A">
      <w:pPr>
        <w:tabs>
          <w:tab w:val="left" w:pos="-720"/>
        </w:tabs>
        <w:suppressAutoHyphens/>
        <w:rPr>
          <w:rFonts w:ascii="Times New Roman" w:hAnsi="Times New Roman"/>
        </w:rPr>
      </w:pPr>
    </w:p>
    <w:p w:rsidR="00A3539D" w:rsidRDefault="00A3539D">
      <w:pPr>
        <w:tabs>
          <w:tab w:val="left" w:pos="-720"/>
        </w:tabs>
        <w:suppressAutoHyphens/>
        <w:rPr>
          <w:rFonts w:ascii="Times New Roman" w:hAnsi="Times New Roman"/>
        </w:rPr>
      </w:pPr>
      <w:r>
        <w:rPr>
          <w:rFonts w:ascii="Times New Roman" w:hAnsi="Times New Roman"/>
        </w:rPr>
        <w:t>This question does not apply.</w:t>
      </w:r>
    </w:p>
    <w:p w:rsidR="00A3539D" w:rsidRDefault="00A3539D">
      <w:pPr>
        <w:tabs>
          <w:tab w:val="left" w:pos="-720"/>
        </w:tabs>
        <w:suppressAutoHyphens/>
        <w:rPr>
          <w:rFonts w:ascii="Times New Roman" w:hAnsi="Times New Roman"/>
        </w:rPr>
      </w:pPr>
    </w:p>
    <w:p w:rsidR="002D133A" w:rsidRDefault="002D133A">
      <w:pPr>
        <w:tabs>
          <w:tab w:val="left" w:pos="-720"/>
          <w:tab w:val="left" w:pos="0"/>
        </w:tabs>
        <w:suppressAutoHyphens/>
        <w:ind w:left="720" w:hanging="720"/>
        <w:rPr>
          <w:rFonts w:ascii="Times New Roman" w:hAnsi="Times New Roman"/>
        </w:rPr>
      </w:pPr>
      <w:r>
        <w:rPr>
          <w:rFonts w:ascii="Times New Roman" w:hAnsi="Times New Roman"/>
        </w:rPr>
        <w:t>9.</w:t>
      </w:r>
      <w:r>
        <w:rPr>
          <w:rFonts w:ascii="Times New Roman" w:hAnsi="Times New Roman"/>
        </w:rPr>
        <w:tab/>
      </w:r>
      <w:r>
        <w:rPr>
          <w:rFonts w:ascii="Times New Roman" w:hAnsi="Times New Roman"/>
          <w:u w:val="single"/>
        </w:rPr>
        <w:t>Explain any decision to provide any payment or gift to respondents, other than remuneration of contractors or grantees</w:t>
      </w:r>
      <w:r>
        <w:rPr>
          <w:rFonts w:ascii="Times New Roman" w:hAnsi="Times New Roman"/>
        </w:rPr>
        <w:t>.</w:t>
      </w:r>
    </w:p>
    <w:p w:rsidR="00A3539D" w:rsidRDefault="00A3539D">
      <w:pPr>
        <w:tabs>
          <w:tab w:val="left" w:pos="-720"/>
        </w:tabs>
        <w:suppressAutoHyphens/>
        <w:rPr>
          <w:rFonts w:ascii="Times New Roman" w:hAnsi="Times New Roman"/>
        </w:rPr>
      </w:pPr>
      <w:r>
        <w:rPr>
          <w:rFonts w:ascii="Times New Roman" w:hAnsi="Times New Roman"/>
        </w:rPr>
        <w:tab/>
      </w:r>
    </w:p>
    <w:p w:rsidR="002D133A" w:rsidRDefault="00A3539D">
      <w:pPr>
        <w:tabs>
          <w:tab w:val="left" w:pos="-720"/>
        </w:tabs>
        <w:suppressAutoHyphens/>
        <w:rPr>
          <w:rFonts w:ascii="Times New Roman" w:hAnsi="Times New Roman"/>
        </w:rPr>
      </w:pPr>
      <w:r>
        <w:rPr>
          <w:rFonts w:ascii="Times New Roman" w:hAnsi="Times New Roman"/>
        </w:rPr>
        <w:t>This question does not apply.</w:t>
      </w:r>
    </w:p>
    <w:p w:rsidR="002D133A" w:rsidRDefault="002D133A">
      <w:pPr>
        <w:tabs>
          <w:tab w:val="left" w:pos="-720"/>
        </w:tabs>
        <w:suppressAutoHyphens/>
        <w:rPr>
          <w:rFonts w:ascii="Times New Roman" w:hAnsi="Times New Roman"/>
        </w:rPr>
      </w:pPr>
      <w:r>
        <w:rPr>
          <w:rFonts w:ascii="Times New Roman" w:hAnsi="Times New Roman"/>
        </w:rPr>
        <w:t xml:space="preserve">  </w:t>
      </w:r>
    </w:p>
    <w:p w:rsidR="002D133A" w:rsidRDefault="002D133A">
      <w:pPr>
        <w:tabs>
          <w:tab w:val="left" w:pos="-720"/>
          <w:tab w:val="left" w:pos="0"/>
        </w:tabs>
        <w:suppressAutoHyphens/>
        <w:ind w:left="720" w:hanging="720"/>
        <w:rPr>
          <w:rFonts w:ascii="Times New Roman" w:hAnsi="Times New Roman"/>
        </w:rPr>
      </w:pPr>
      <w:r>
        <w:rPr>
          <w:rFonts w:ascii="Times New Roman" w:hAnsi="Times New Roman"/>
        </w:rPr>
        <w:t>10.</w:t>
      </w:r>
      <w:r>
        <w:rPr>
          <w:rFonts w:ascii="Times New Roman" w:hAnsi="Times New Roman"/>
        </w:rPr>
        <w:tab/>
      </w:r>
      <w:r>
        <w:rPr>
          <w:rFonts w:ascii="Times New Roman" w:hAnsi="Times New Roman"/>
          <w:u w:val="single"/>
        </w:rPr>
        <w:t>Describe any assurance of confidentiality provided to respondents and the basis for the assurance in statute, regulations, or agency policy</w:t>
      </w:r>
      <w:r>
        <w:rPr>
          <w:rFonts w:ascii="Times New Roman" w:hAnsi="Times New Roman"/>
        </w:rPr>
        <w:t>.</w:t>
      </w:r>
    </w:p>
    <w:p w:rsidR="002D133A" w:rsidRDefault="002D133A">
      <w:pPr>
        <w:tabs>
          <w:tab w:val="left" w:pos="-720"/>
        </w:tabs>
        <w:suppressAutoHyphens/>
        <w:rPr>
          <w:rFonts w:ascii="Times New Roman" w:hAnsi="Times New Roman"/>
        </w:rPr>
      </w:pPr>
      <w:r>
        <w:rPr>
          <w:rFonts w:ascii="Times New Roman" w:hAnsi="Times New Roman"/>
        </w:rPr>
        <w:tab/>
      </w:r>
    </w:p>
    <w:p w:rsidR="00AB163B" w:rsidRDefault="00A3539D" w:rsidP="00AB163B">
      <w:pPr>
        <w:rPr>
          <w:rFonts w:ascii="Times New Roman" w:hAnsi="Times New Roman"/>
        </w:rPr>
      </w:pPr>
      <w:r>
        <w:rPr>
          <w:rFonts w:ascii="Times New Roman" w:hAnsi="Times New Roman"/>
        </w:rPr>
        <w:tab/>
      </w:r>
      <w:r w:rsidR="00AB163B">
        <w:rPr>
          <w:rFonts w:ascii="Times New Roman" w:hAnsi="Times New Roman"/>
        </w:rPr>
        <w:t xml:space="preserve">The Commission does not provide respondents with an assurance of confidentiality, only to the extent permitted by law.  The Commission fully complies with section 8(a)(1) of the Commodity Exchange Act, which strictly prohibits the Commission, unless specifically authorized by the Commodity Exchange Act, from making public “data and information that </w:t>
      </w:r>
      <w:r w:rsidR="00AB163B">
        <w:rPr>
          <w:rFonts w:ascii="Times New Roman" w:hAnsi="Times New Roman"/>
        </w:rPr>
        <w:lastRenderedPageBreak/>
        <w:t>would separately disclose the business transactions or market positions of any person and trade secrets or names of customers.</w:t>
      </w:r>
      <w:r w:rsidR="00AB163B">
        <w:t>”</w:t>
      </w:r>
    </w:p>
    <w:p w:rsidR="00A3539D" w:rsidRDefault="006913FF">
      <w:pPr>
        <w:tabs>
          <w:tab w:val="left" w:pos="-720"/>
        </w:tabs>
        <w:suppressAutoHyphens/>
        <w:rPr>
          <w:rFonts w:ascii="Times New Roman" w:hAnsi="Times New Roman"/>
        </w:rPr>
      </w:pPr>
      <w:r>
        <w:rPr>
          <w:rFonts w:ascii="Times New Roman" w:hAnsi="Times New Roman"/>
        </w:rPr>
        <w:t>.</w:t>
      </w:r>
    </w:p>
    <w:p w:rsidR="00A3539D" w:rsidRDefault="00A3539D">
      <w:pPr>
        <w:tabs>
          <w:tab w:val="left" w:pos="-720"/>
        </w:tabs>
        <w:suppressAutoHyphens/>
        <w:rPr>
          <w:rFonts w:ascii="Times New Roman" w:hAnsi="Times New Roman"/>
        </w:rPr>
      </w:pPr>
    </w:p>
    <w:p w:rsidR="002D133A" w:rsidRDefault="002D133A">
      <w:pPr>
        <w:tabs>
          <w:tab w:val="left" w:pos="-720"/>
        </w:tabs>
        <w:suppressAutoHyphens/>
        <w:ind w:left="720" w:hanging="720"/>
        <w:rPr>
          <w:rFonts w:ascii="Times New Roman" w:hAnsi="Times New Roman"/>
        </w:rPr>
      </w:pPr>
      <w:r>
        <w:rPr>
          <w:rFonts w:ascii="Times New Roman" w:hAnsi="Times New Roman"/>
        </w:rPr>
        <w:t>11.</w:t>
      </w:r>
      <w:r>
        <w:rPr>
          <w:rFonts w:ascii="Times New Roman" w:hAnsi="Times New Roman"/>
        </w:rPr>
        <w:tab/>
      </w:r>
      <w:r>
        <w:rPr>
          <w:rFonts w:ascii="Times New Roman" w:hAnsi="Times New Roman"/>
          <w:u w:val="single"/>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Pr>
          <w:rFonts w:ascii="Times New Roman" w:hAnsi="Times New Roman"/>
        </w:rPr>
        <w:t>.</w:t>
      </w:r>
    </w:p>
    <w:p w:rsidR="002D133A" w:rsidRDefault="002D133A">
      <w:pPr>
        <w:tabs>
          <w:tab w:val="left" w:pos="-720"/>
        </w:tabs>
        <w:suppressAutoHyphens/>
        <w:rPr>
          <w:rFonts w:ascii="Times New Roman" w:hAnsi="Times New Roman"/>
        </w:rPr>
      </w:pPr>
    </w:p>
    <w:p w:rsidR="00A3539D" w:rsidRDefault="00A3539D">
      <w:pPr>
        <w:tabs>
          <w:tab w:val="left" w:pos="-720"/>
        </w:tabs>
        <w:suppressAutoHyphens/>
        <w:rPr>
          <w:rFonts w:ascii="Times New Roman" w:hAnsi="Times New Roman"/>
        </w:rPr>
      </w:pPr>
      <w:r>
        <w:rPr>
          <w:rFonts w:ascii="Times New Roman" w:hAnsi="Times New Roman"/>
        </w:rPr>
        <w:tab/>
        <w:t>The proposed regulation</w:t>
      </w:r>
      <w:r w:rsidR="006913FF">
        <w:rPr>
          <w:rFonts w:ascii="Times New Roman" w:hAnsi="Times New Roman"/>
        </w:rPr>
        <w:t>s do</w:t>
      </w:r>
      <w:r>
        <w:rPr>
          <w:rFonts w:ascii="Times New Roman" w:hAnsi="Times New Roman"/>
        </w:rPr>
        <w:t xml:space="preserve"> not require the giving of sensitive information, as that term is used in Question 11.</w:t>
      </w:r>
    </w:p>
    <w:p w:rsidR="00A3539D" w:rsidRDefault="00A3539D">
      <w:pPr>
        <w:tabs>
          <w:tab w:val="left" w:pos="-720"/>
        </w:tabs>
        <w:suppressAutoHyphens/>
        <w:rPr>
          <w:rFonts w:ascii="Times New Roman" w:hAnsi="Times New Roman"/>
        </w:rPr>
      </w:pPr>
    </w:p>
    <w:p w:rsidR="002D133A" w:rsidRDefault="002D133A">
      <w:pPr>
        <w:tabs>
          <w:tab w:val="left" w:pos="-720"/>
          <w:tab w:val="left" w:pos="0"/>
        </w:tabs>
        <w:suppressAutoHyphens/>
        <w:ind w:left="720" w:hanging="720"/>
        <w:rPr>
          <w:rFonts w:ascii="Times New Roman" w:hAnsi="Times New Roman"/>
        </w:rPr>
      </w:pPr>
      <w:r>
        <w:rPr>
          <w:rFonts w:ascii="Times New Roman" w:hAnsi="Times New Roman"/>
        </w:rPr>
        <w:t>12.</w:t>
      </w:r>
      <w:r>
        <w:rPr>
          <w:rFonts w:ascii="Times New Roman" w:hAnsi="Times New Roman"/>
        </w:rPr>
        <w:tab/>
      </w:r>
      <w:r>
        <w:rPr>
          <w:rFonts w:ascii="Times New Roman" w:hAnsi="Times New Roman"/>
          <w:u w:val="single"/>
        </w:rPr>
        <w:t>Provide estimates of the hour burden of the collection of information.  The Statement should</w:t>
      </w:r>
      <w:r>
        <w:rPr>
          <w:rFonts w:ascii="Times New Roman" w:hAnsi="Times New Roman"/>
        </w:rPr>
        <w:t>:</w:t>
      </w:r>
    </w:p>
    <w:p w:rsidR="002D133A" w:rsidRDefault="002D133A">
      <w:pPr>
        <w:tabs>
          <w:tab w:val="left" w:pos="-720"/>
        </w:tabs>
        <w:suppressAutoHyphens/>
        <w:rPr>
          <w:rFonts w:ascii="Times New Roman" w:hAnsi="Times New Roman"/>
        </w:rPr>
      </w:pPr>
    </w:p>
    <w:p w:rsidR="002D133A" w:rsidRDefault="002D133A">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ten)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2D133A" w:rsidRDefault="002D133A">
      <w:pPr>
        <w:tabs>
          <w:tab w:val="left" w:pos="-720"/>
        </w:tabs>
        <w:suppressAutoHyphens/>
        <w:rPr>
          <w:rFonts w:ascii="Times New Roman" w:hAnsi="Times New Roman"/>
        </w:rPr>
      </w:pPr>
    </w:p>
    <w:p w:rsidR="002D133A" w:rsidRDefault="002D133A">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t>If the request for approval covers more than one form, provide separate hour burden estimates for each form and aggregate the hour burdens in Item 13 of OMB Form 83-I.</w:t>
      </w:r>
    </w:p>
    <w:p w:rsidR="002D133A" w:rsidRDefault="002D133A">
      <w:pPr>
        <w:tabs>
          <w:tab w:val="left" w:pos="-720"/>
        </w:tabs>
        <w:suppressAutoHyphens/>
        <w:rPr>
          <w:rFonts w:ascii="Times New Roman" w:hAnsi="Times New Roman"/>
        </w:rPr>
      </w:pPr>
    </w:p>
    <w:p w:rsidR="002D133A" w:rsidRDefault="002D133A">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t xml:space="preserve">Provide estimates of annualized cost to respondents for the hours burdens for collections of information, identifying and using appropriate wage rate categories.  The cost of contracting </w:t>
      </w:r>
      <w:r w:rsidR="006913FF">
        <w:rPr>
          <w:rFonts w:ascii="Times New Roman" w:hAnsi="Times New Roman"/>
        </w:rPr>
        <w:t>h</w:t>
      </w:r>
      <w:r>
        <w:rPr>
          <w:rFonts w:ascii="Times New Roman" w:hAnsi="Times New Roman"/>
        </w:rPr>
        <w:t>our</w:t>
      </w:r>
      <w:r w:rsidR="006913FF">
        <w:rPr>
          <w:rFonts w:ascii="Times New Roman" w:hAnsi="Times New Roman"/>
        </w:rPr>
        <w:t>s</w:t>
      </w:r>
      <w:r>
        <w:rPr>
          <w:rFonts w:ascii="Times New Roman" w:hAnsi="Times New Roman"/>
        </w:rPr>
        <w:t xml:space="preserve"> or paying outside parties for information collection activities should not be included here.  Instead, this cost should be included in Item 13.</w:t>
      </w:r>
    </w:p>
    <w:p w:rsidR="002D133A" w:rsidRDefault="002D133A">
      <w:pPr>
        <w:tabs>
          <w:tab w:val="left" w:pos="-720"/>
        </w:tabs>
        <w:suppressAutoHyphens/>
        <w:rPr>
          <w:rFonts w:ascii="Times New Roman" w:hAnsi="Times New Roman"/>
        </w:rPr>
      </w:pPr>
    </w:p>
    <w:p w:rsidR="00A3539D" w:rsidRDefault="00A3539D">
      <w:pPr>
        <w:tabs>
          <w:tab w:val="left" w:pos="-720"/>
        </w:tabs>
        <w:suppressAutoHyphens/>
        <w:rPr>
          <w:rFonts w:ascii="Times New Roman" w:hAnsi="Times New Roman"/>
        </w:rPr>
      </w:pPr>
      <w:r>
        <w:rPr>
          <w:rFonts w:ascii="Times New Roman" w:hAnsi="Times New Roman"/>
        </w:rPr>
        <w:tab/>
      </w:r>
      <w:r w:rsidRPr="00F5556C">
        <w:rPr>
          <w:rFonts w:ascii="Times New Roman" w:hAnsi="Times New Roman"/>
        </w:rPr>
        <w:t>See Attachment A.</w:t>
      </w:r>
    </w:p>
    <w:p w:rsidR="0060355C" w:rsidRDefault="0060355C">
      <w:pPr>
        <w:tabs>
          <w:tab w:val="left" w:pos="-720"/>
        </w:tabs>
        <w:suppressAutoHyphens/>
        <w:rPr>
          <w:rFonts w:ascii="Times New Roman" w:hAnsi="Times New Roman"/>
        </w:rPr>
      </w:pPr>
    </w:p>
    <w:p w:rsidR="0060355C" w:rsidRDefault="0060355C">
      <w:pPr>
        <w:tabs>
          <w:tab w:val="left" w:pos="-720"/>
        </w:tabs>
        <w:suppressAutoHyphens/>
        <w:rPr>
          <w:rFonts w:ascii="Times New Roman" w:hAnsi="Times New Roman"/>
        </w:rPr>
      </w:pPr>
      <w:r>
        <w:rPr>
          <w:rFonts w:ascii="Times New Roman" w:hAnsi="Times New Roman"/>
        </w:rPr>
        <w:t xml:space="preserve">A substantive public comment was received on the Proposed Rule from the Securities Industry and Financial Markets Association (“SIFMA”) addressing the merits of the Commission’s proposed PRA calculations.  SIFMA proposed that the burden estimate for the affiliate marketing rules should be refined to account for burden hours associated with (a) monitoring the opt-out notice process; (b) addressing consumer questions and concerns about opt-out notices; and (c) </w:t>
      </w:r>
      <w:r>
        <w:rPr>
          <w:rFonts w:ascii="Times New Roman" w:hAnsi="Times New Roman"/>
        </w:rPr>
        <w:lastRenderedPageBreak/>
        <w:t xml:space="preserve">adjusting records where a consumer changes his or her mind about his or her election to opt-in or out.  </w:t>
      </w:r>
      <w:r w:rsidR="00A52050">
        <w:rPr>
          <w:rFonts w:ascii="Times New Roman" w:hAnsi="Times New Roman"/>
        </w:rPr>
        <w:t>SIFMA also proposed that the burden estimate for the disposal rules should be refined to (a) revise disposal plans to account for use of new technology, new business processes, etc., and conduct regular reviews of its disposal plan to determine when revisions are necessary or advisable.</w:t>
      </w:r>
    </w:p>
    <w:p w:rsidR="00A52050" w:rsidRDefault="00A52050">
      <w:pPr>
        <w:tabs>
          <w:tab w:val="left" w:pos="-720"/>
        </w:tabs>
        <w:suppressAutoHyphens/>
        <w:rPr>
          <w:rFonts w:ascii="Times New Roman" w:hAnsi="Times New Roman"/>
        </w:rPr>
      </w:pPr>
    </w:p>
    <w:p w:rsidR="00A52050" w:rsidRDefault="00A52050">
      <w:pPr>
        <w:tabs>
          <w:tab w:val="left" w:pos="-720"/>
        </w:tabs>
        <w:suppressAutoHyphens/>
        <w:rPr>
          <w:rFonts w:ascii="Times New Roman" w:hAnsi="Times New Roman"/>
        </w:rPr>
      </w:pPr>
      <w:r>
        <w:rPr>
          <w:rFonts w:ascii="Times New Roman" w:hAnsi="Times New Roman"/>
        </w:rPr>
        <w:tab/>
        <w:t xml:space="preserve">Based on these comments, the Commission estimates that 3,172 covered entities may incur an additional 3.5 burden hours to those hours calculated in the proposed rule, when complying with the affiliate marketing rules, for an aggregate of 11,102 annual burden hours.  These additional burden hours are attributable to monitoring the opt-out notice process, addressing consumer questions and concerns about opt-out notices, and adjusting customer records.  </w:t>
      </w:r>
    </w:p>
    <w:p w:rsidR="00D6456E" w:rsidRDefault="00D6456E">
      <w:pPr>
        <w:tabs>
          <w:tab w:val="left" w:pos="-720"/>
        </w:tabs>
        <w:suppressAutoHyphens/>
        <w:rPr>
          <w:rFonts w:ascii="Times New Roman" w:hAnsi="Times New Roman"/>
        </w:rPr>
      </w:pPr>
    </w:p>
    <w:p w:rsidR="00D6456E" w:rsidRDefault="00D6456E">
      <w:pPr>
        <w:tabs>
          <w:tab w:val="left" w:pos="-720"/>
        </w:tabs>
        <w:suppressAutoHyphens/>
        <w:rPr>
          <w:rFonts w:ascii="Times New Roman" w:hAnsi="Times New Roman"/>
        </w:rPr>
      </w:pPr>
      <w:r>
        <w:rPr>
          <w:rFonts w:ascii="Times New Roman" w:hAnsi="Times New Roman"/>
        </w:rPr>
        <w:tab/>
        <w:t>In addition, the Commission estimates that 3,172 covered entities may incur an additional 2.4 burden hours when complying with the disposal rules, for an aggregate of 7,612.8 annual burden hours.  These additional burden hours are attributable to revise and update disposal plans on an ongoing basis, and conduct regular reviews of its disposal plan as necessary or advisable.</w:t>
      </w:r>
    </w:p>
    <w:p w:rsidR="00A3539D" w:rsidRDefault="00A3539D">
      <w:pPr>
        <w:tabs>
          <w:tab w:val="left" w:pos="-720"/>
        </w:tabs>
        <w:suppressAutoHyphens/>
        <w:rPr>
          <w:rFonts w:ascii="Times New Roman" w:hAnsi="Times New Roman"/>
        </w:rPr>
      </w:pPr>
    </w:p>
    <w:p w:rsidR="002D133A" w:rsidRDefault="002D133A">
      <w:pPr>
        <w:tabs>
          <w:tab w:val="left" w:pos="-720"/>
          <w:tab w:val="left" w:pos="0"/>
        </w:tabs>
        <w:suppressAutoHyphens/>
        <w:ind w:left="720" w:hanging="720"/>
        <w:rPr>
          <w:rFonts w:ascii="Times New Roman" w:hAnsi="Times New Roman"/>
        </w:rPr>
      </w:pPr>
      <w:r>
        <w:rPr>
          <w:rFonts w:ascii="Times New Roman" w:hAnsi="Times New Roman"/>
        </w:rPr>
        <w:t>13.</w:t>
      </w:r>
      <w:r>
        <w:rPr>
          <w:rFonts w:ascii="Times New Roman" w:hAnsi="Times New Roman"/>
        </w:rPr>
        <w:tab/>
      </w:r>
      <w:r>
        <w:rPr>
          <w:rFonts w:ascii="Times New Roman" w:hAnsi="Times New Roman"/>
          <w:u w:val="single"/>
        </w:rPr>
        <w:t xml:space="preserve">Provide an estimate of the total annual cost burden to respondents or </w:t>
      </w:r>
      <w:proofErr w:type="spellStart"/>
      <w:r>
        <w:rPr>
          <w:rFonts w:ascii="Times New Roman" w:hAnsi="Times New Roman"/>
          <w:u w:val="single"/>
        </w:rPr>
        <w:t>recordkeepers</w:t>
      </w:r>
      <w:proofErr w:type="spellEnd"/>
      <w:r>
        <w:rPr>
          <w:rFonts w:ascii="Times New Roman" w:hAnsi="Times New Roman"/>
          <w:u w:val="single"/>
        </w:rPr>
        <w:t xml:space="preserve"> resulting f</w:t>
      </w:r>
      <w:r w:rsidR="00B54CEA">
        <w:rPr>
          <w:rFonts w:ascii="Times New Roman" w:hAnsi="Times New Roman"/>
          <w:u w:val="single"/>
        </w:rPr>
        <w:t>ro</w:t>
      </w:r>
      <w:r>
        <w:rPr>
          <w:rFonts w:ascii="Times New Roman" w:hAnsi="Times New Roman"/>
          <w:u w:val="single"/>
        </w:rPr>
        <w:t>m the collection of information.  (Do not include the cost of any hour burden shown in Items 12 and 14)</w:t>
      </w:r>
      <w:r>
        <w:rPr>
          <w:rFonts w:ascii="Times New Roman" w:hAnsi="Times New Roman"/>
        </w:rPr>
        <w:t>.</w:t>
      </w:r>
    </w:p>
    <w:p w:rsidR="002D133A" w:rsidRDefault="002D133A">
      <w:pPr>
        <w:tabs>
          <w:tab w:val="left" w:pos="-720"/>
        </w:tabs>
        <w:suppressAutoHyphens/>
        <w:rPr>
          <w:rFonts w:ascii="Times New Roman" w:hAnsi="Times New Roman"/>
        </w:rPr>
      </w:pPr>
    </w:p>
    <w:p w:rsidR="002D133A" w:rsidRDefault="002D133A">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costs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2D133A" w:rsidRDefault="002D133A">
      <w:pPr>
        <w:tabs>
          <w:tab w:val="left" w:pos="-720"/>
        </w:tabs>
        <w:suppressAutoHyphens/>
        <w:rPr>
          <w:rFonts w:ascii="Times New Roman" w:hAnsi="Times New Roman"/>
        </w:rPr>
      </w:pPr>
    </w:p>
    <w:p w:rsidR="002D133A" w:rsidRDefault="002D133A">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t>If cost estimates are expected to vary widely, agencies should present ranges of cost burdens and explain the reasons for the variance.  The cost of purchasing or contracting out information collection services should be a part of this cost burden estimate, agencies may consult with a sample of respondents (fewer than ten), utilize the 60-day pre-OMB submission public comment process and use existing economic or regulatory impact analysis associated with the rulemaking containing the information collection, as appropriate.</w:t>
      </w:r>
    </w:p>
    <w:p w:rsidR="002D133A" w:rsidRDefault="002D133A">
      <w:pPr>
        <w:tabs>
          <w:tab w:val="left" w:pos="-720"/>
        </w:tabs>
        <w:suppressAutoHyphens/>
        <w:rPr>
          <w:rFonts w:ascii="Times New Roman" w:hAnsi="Times New Roman"/>
        </w:rPr>
      </w:pPr>
    </w:p>
    <w:p w:rsidR="002D133A" w:rsidRDefault="002D133A">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t xml:space="preserve">Generally, estimates should not include purchases of equipment or services, or portions thereof, made: (1) prior to October 1, 1995, (2) to achieve regulatory </w:t>
      </w:r>
      <w:r>
        <w:rPr>
          <w:rFonts w:ascii="Times New Roman" w:hAnsi="Times New Roman"/>
        </w:rPr>
        <w:lastRenderedPageBreak/>
        <w:t xml:space="preserve">compliance with requirements not associated with the information collection, (3) for reasons other than to provide information or keep records for the </w:t>
      </w:r>
      <w:proofErr w:type="gramStart"/>
      <w:r>
        <w:rPr>
          <w:rFonts w:ascii="Times New Roman" w:hAnsi="Times New Roman"/>
        </w:rPr>
        <w:t>government,</w:t>
      </w:r>
      <w:proofErr w:type="gramEnd"/>
      <w:r>
        <w:rPr>
          <w:rFonts w:ascii="Times New Roman" w:hAnsi="Times New Roman"/>
        </w:rPr>
        <w:t xml:space="preserve"> or (4) as part of customary and usual business or private practices.</w:t>
      </w:r>
    </w:p>
    <w:p w:rsidR="002D133A" w:rsidRDefault="002D133A">
      <w:pPr>
        <w:tabs>
          <w:tab w:val="left" w:pos="-720"/>
        </w:tabs>
        <w:suppressAutoHyphens/>
        <w:rPr>
          <w:rFonts w:ascii="Times New Roman" w:hAnsi="Times New Roman"/>
        </w:rPr>
      </w:pPr>
    </w:p>
    <w:p w:rsidR="00A17B53" w:rsidRDefault="00F5556C">
      <w:pPr>
        <w:tabs>
          <w:tab w:val="left" w:pos="-720"/>
        </w:tabs>
        <w:suppressAutoHyphens/>
        <w:rPr>
          <w:rFonts w:ascii="Times New Roman" w:hAnsi="Times New Roman"/>
        </w:rPr>
      </w:pPr>
      <w:r>
        <w:rPr>
          <w:rFonts w:ascii="Times New Roman" w:hAnsi="Times New Roman"/>
        </w:rPr>
        <w:t>See Attachment B.</w:t>
      </w:r>
    </w:p>
    <w:p w:rsidR="00F5556C" w:rsidRDefault="00F5556C">
      <w:pPr>
        <w:tabs>
          <w:tab w:val="left" w:pos="-720"/>
        </w:tabs>
        <w:suppressAutoHyphens/>
        <w:rPr>
          <w:rFonts w:ascii="Times New Roman" w:hAnsi="Times New Roman"/>
        </w:rPr>
      </w:pPr>
    </w:p>
    <w:p w:rsidR="002D133A" w:rsidRDefault="002D133A">
      <w:pPr>
        <w:tabs>
          <w:tab w:val="left" w:pos="-720"/>
        </w:tabs>
        <w:suppressAutoHyphens/>
        <w:ind w:left="720" w:hanging="720"/>
        <w:rPr>
          <w:rFonts w:ascii="Times New Roman" w:hAnsi="Times New Roman"/>
        </w:rPr>
      </w:pPr>
      <w:r>
        <w:rPr>
          <w:rFonts w:ascii="Times New Roman" w:hAnsi="Times New Roman"/>
        </w:rPr>
        <w:t>14.</w:t>
      </w:r>
      <w:r>
        <w:rPr>
          <w:rFonts w:ascii="Times New Roman" w:hAnsi="Times New Roman"/>
        </w:rPr>
        <w:tab/>
      </w:r>
      <w:r>
        <w:rPr>
          <w:rFonts w:ascii="Times New Roman" w:hAnsi="Times New Roman"/>
          <w:u w:val="single"/>
        </w:rPr>
        <w:t>Provide estimates of the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r>
        <w:rPr>
          <w:rFonts w:ascii="Times New Roman" w:hAnsi="Times New Roman"/>
        </w:rPr>
        <w:t xml:space="preserve">  </w:t>
      </w:r>
    </w:p>
    <w:p w:rsidR="002D133A" w:rsidRDefault="002D133A">
      <w:pPr>
        <w:tabs>
          <w:tab w:val="left" w:pos="-720"/>
        </w:tabs>
        <w:suppressAutoHyphens/>
        <w:rPr>
          <w:rFonts w:ascii="Times New Roman" w:hAnsi="Times New Roman"/>
        </w:rPr>
      </w:pPr>
    </w:p>
    <w:p w:rsidR="00A17B53" w:rsidRDefault="00A17B53">
      <w:pPr>
        <w:tabs>
          <w:tab w:val="left" w:pos="-720"/>
        </w:tabs>
        <w:suppressAutoHyphens/>
        <w:rPr>
          <w:rFonts w:ascii="Times New Roman" w:hAnsi="Times New Roman"/>
        </w:rPr>
      </w:pPr>
      <w:r>
        <w:rPr>
          <w:rFonts w:ascii="Times New Roman" w:hAnsi="Times New Roman"/>
        </w:rPr>
        <w:tab/>
      </w:r>
      <w:r w:rsidR="006913FF">
        <w:rPr>
          <w:rFonts w:ascii="Times New Roman" w:hAnsi="Times New Roman"/>
        </w:rPr>
        <w:t>Covered entities</w:t>
      </w:r>
      <w:r>
        <w:rPr>
          <w:rFonts w:ascii="Times New Roman" w:hAnsi="Times New Roman"/>
        </w:rPr>
        <w:t xml:space="preserve"> are not required to provide copies of </w:t>
      </w:r>
      <w:r w:rsidR="006913FF">
        <w:rPr>
          <w:rFonts w:ascii="Times New Roman" w:hAnsi="Times New Roman"/>
        </w:rPr>
        <w:t>opt-out</w:t>
      </w:r>
      <w:r>
        <w:rPr>
          <w:rFonts w:ascii="Times New Roman" w:hAnsi="Times New Roman"/>
        </w:rPr>
        <w:t xml:space="preserve"> notices </w:t>
      </w:r>
      <w:r w:rsidR="006913FF">
        <w:rPr>
          <w:rFonts w:ascii="Times New Roman" w:hAnsi="Times New Roman"/>
        </w:rPr>
        <w:t xml:space="preserve">or written disposal plans </w:t>
      </w:r>
      <w:r>
        <w:rPr>
          <w:rFonts w:ascii="Times New Roman" w:hAnsi="Times New Roman"/>
        </w:rPr>
        <w:t xml:space="preserve">to the Commission, and the Commission is not required to review each </w:t>
      </w:r>
      <w:r w:rsidR="006913FF">
        <w:rPr>
          <w:rFonts w:ascii="Times New Roman" w:hAnsi="Times New Roman"/>
        </w:rPr>
        <w:t>entity’s</w:t>
      </w:r>
      <w:r>
        <w:rPr>
          <w:rFonts w:ascii="Times New Roman" w:hAnsi="Times New Roman"/>
        </w:rPr>
        <w:t xml:space="preserve"> </w:t>
      </w:r>
      <w:r w:rsidR="006913FF">
        <w:rPr>
          <w:rFonts w:ascii="Times New Roman" w:hAnsi="Times New Roman"/>
        </w:rPr>
        <w:t>opt-out notices and written disposal plans.</w:t>
      </w:r>
      <w:r>
        <w:rPr>
          <w:rFonts w:ascii="Times New Roman" w:hAnsi="Times New Roman"/>
        </w:rPr>
        <w:t xml:space="preserve">  Consequently, the annualized cost to the Commission should be minimal, except in cases where the Commission initiates an enforcement proceeding against an institution for non-compliance with the </w:t>
      </w:r>
      <w:r w:rsidR="006913FF">
        <w:rPr>
          <w:rFonts w:ascii="Times New Roman" w:hAnsi="Times New Roman"/>
        </w:rPr>
        <w:t>proposal</w:t>
      </w:r>
      <w:r>
        <w:rPr>
          <w:rFonts w:ascii="Times New Roman" w:hAnsi="Times New Roman"/>
        </w:rPr>
        <w:t>.</w:t>
      </w:r>
    </w:p>
    <w:p w:rsidR="00A17B53" w:rsidRDefault="00A17B53">
      <w:pPr>
        <w:tabs>
          <w:tab w:val="left" w:pos="-720"/>
        </w:tabs>
        <w:suppressAutoHyphens/>
        <w:rPr>
          <w:rFonts w:ascii="Times New Roman" w:hAnsi="Times New Roman"/>
        </w:rPr>
      </w:pPr>
    </w:p>
    <w:p w:rsidR="002D133A" w:rsidRDefault="002D133A">
      <w:pPr>
        <w:tabs>
          <w:tab w:val="left" w:pos="-720"/>
          <w:tab w:val="left" w:pos="0"/>
        </w:tabs>
        <w:suppressAutoHyphens/>
        <w:ind w:left="720" w:hanging="720"/>
        <w:rPr>
          <w:rFonts w:ascii="Times New Roman" w:hAnsi="Times New Roman"/>
        </w:rPr>
      </w:pPr>
      <w:r>
        <w:rPr>
          <w:rFonts w:ascii="Times New Roman" w:hAnsi="Times New Roman"/>
        </w:rPr>
        <w:t>15.</w:t>
      </w:r>
      <w:r>
        <w:rPr>
          <w:rFonts w:ascii="Times New Roman" w:hAnsi="Times New Roman"/>
        </w:rPr>
        <w:tab/>
      </w:r>
      <w:r>
        <w:rPr>
          <w:rFonts w:ascii="Times New Roman" w:hAnsi="Times New Roman"/>
          <w:u w:val="single"/>
        </w:rPr>
        <w:t>Explain the reasons for any program changes or adjustments reported in Items 13 or 14 of the OMB Form 83-I</w:t>
      </w:r>
      <w:r>
        <w:rPr>
          <w:rFonts w:ascii="Times New Roman" w:hAnsi="Times New Roman"/>
        </w:rPr>
        <w:t>.</w:t>
      </w:r>
    </w:p>
    <w:p w:rsidR="002D133A" w:rsidRDefault="002D133A">
      <w:pPr>
        <w:tabs>
          <w:tab w:val="left" w:pos="-720"/>
        </w:tabs>
        <w:suppressAutoHyphens/>
        <w:rPr>
          <w:rFonts w:ascii="Times New Roman" w:hAnsi="Times New Roman"/>
        </w:rPr>
      </w:pPr>
    </w:p>
    <w:p w:rsidR="00A17B53" w:rsidRDefault="00A17B53">
      <w:pPr>
        <w:tabs>
          <w:tab w:val="left" w:pos="-720"/>
        </w:tabs>
        <w:suppressAutoHyphens/>
        <w:rPr>
          <w:rFonts w:ascii="Times New Roman" w:hAnsi="Times New Roman"/>
        </w:rPr>
      </w:pPr>
      <w:r>
        <w:rPr>
          <w:rFonts w:ascii="Times New Roman" w:hAnsi="Times New Roman"/>
        </w:rPr>
        <w:tab/>
      </w:r>
      <w:r w:rsidR="006913FF">
        <w:rPr>
          <w:rFonts w:ascii="Times New Roman" w:hAnsi="Times New Roman"/>
        </w:rPr>
        <w:t>This question does not apply</w:t>
      </w:r>
      <w:r>
        <w:rPr>
          <w:rFonts w:ascii="Times New Roman" w:hAnsi="Times New Roman"/>
        </w:rPr>
        <w:t xml:space="preserve">.  </w:t>
      </w:r>
    </w:p>
    <w:p w:rsidR="00A17B53" w:rsidRDefault="00A17B53">
      <w:pPr>
        <w:tabs>
          <w:tab w:val="left" w:pos="-720"/>
        </w:tabs>
        <w:suppressAutoHyphens/>
        <w:rPr>
          <w:rFonts w:ascii="Times New Roman" w:hAnsi="Times New Roman"/>
        </w:rPr>
      </w:pPr>
    </w:p>
    <w:p w:rsidR="002D133A" w:rsidRDefault="002D133A">
      <w:pPr>
        <w:tabs>
          <w:tab w:val="left" w:pos="-720"/>
          <w:tab w:val="left" w:pos="0"/>
        </w:tabs>
        <w:suppressAutoHyphens/>
        <w:ind w:left="720" w:hanging="720"/>
        <w:rPr>
          <w:rFonts w:ascii="Times New Roman" w:hAnsi="Times New Roman"/>
        </w:rPr>
      </w:pPr>
      <w:r>
        <w:rPr>
          <w:rFonts w:ascii="Times New Roman" w:hAnsi="Times New Roman"/>
        </w:rPr>
        <w:t>16.</w:t>
      </w:r>
      <w:r>
        <w:rPr>
          <w:rFonts w:ascii="Times New Roman" w:hAnsi="Times New Roman"/>
        </w:rPr>
        <w:tab/>
      </w:r>
      <w:r>
        <w:rPr>
          <w:rFonts w:ascii="Times New Roman" w:hAnsi="Times New Roman"/>
          <w:u w:val="single"/>
        </w:rPr>
        <w:t>For collection of information whose results are planned to be published for statistical use, outline plans for tabulation, statistical analysis, and publication.  Provide the time schedule for the entire project, including beginning and ending dates of the collection of information, completion of report, publication dates, and other actions</w:t>
      </w:r>
      <w:r>
        <w:rPr>
          <w:rFonts w:ascii="Times New Roman" w:hAnsi="Times New Roman"/>
        </w:rPr>
        <w:t>.</w:t>
      </w:r>
    </w:p>
    <w:p w:rsidR="002D133A" w:rsidRDefault="002D133A">
      <w:pPr>
        <w:tabs>
          <w:tab w:val="left" w:pos="-720"/>
        </w:tabs>
        <w:suppressAutoHyphens/>
        <w:rPr>
          <w:rFonts w:ascii="Times New Roman" w:hAnsi="Times New Roman"/>
        </w:rPr>
      </w:pPr>
    </w:p>
    <w:p w:rsidR="00A17B53" w:rsidRDefault="00A17B53">
      <w:pPr>
        <w:tabs>
          <w:tab w:val="left" w:pos="-720"/>
        </w:tabs>
        <w:suppressAutoHyphens/>
        <w:rPr>
          <w:rFonts w:ascii="Times New Roman" w:hAnsi="Times New Roman"/>
        </w:rPr>
      </w:pPr>
      <w:r>
        <w:rPr>
          <w:rFonts w:ascii="Times New Roman" w:hAnsi="Times New Roman"/>
        </w:rPr>
        <w:tab/>
        <w:t>This question does not apply.</w:t>
      </w:r>
    </w:p>
    <w:p w:rsidR="00A17B53" w:rsidRDefault="00A17B53">
      <w:pPr>
        <w:tabs>
          <w:tab w:val="left" w:pos="-720"/>
        </w:tabs>
        <w:suppressAutoHyphens/>
        <w:rPr>
          <w:rFonts w:ascii="Times New Roman" w:hAnsi="Times New Roman"/>
        </w:rPr>
      </w:pPr>
    </w:p>
    <w:p w:rsidR="002D133A" w:rsidRDefault="002D133A">
      <w:pPr>
        <w:tabs>
          <w:tab w:val="left" w:pos="-720"/>
          <w:tab w:val="left" w:pos="0"/>
        </w:tabs>
        <w:suppressAutoHyphens/>
        <w:ind w:left="720" w:hanging="720"/>
        <w:rPr>
          <w:rFonts w:ascii="Times New Roman" w:hAnsi="Times New Roman"/>
        </w:rPr>
      </w:pPr>
      <w:r>
        <w:rPr>
          <w:rFonts w:ascii="Times New Roman" w:hAnsi="Times New Roman"/>
        </w:rPr>
        <w:t>17.</w:t>
      </w:r>
      <w:r>
        <w:rPr>
          <w:rFonts w:ascii="Times New Roman" w:hAnsi="Times New Roman"/>
        </w:rPr>
        <w:tab/>
      </w:r>
      <w:r>
        <w:rPr>
          <w:rFonts w:ascii="Times New Roman" w:hAnsi="Times New Roman"/>
          <w:u w:val="single"/>
        </w:rPr>
        <w:t>If seeking approval to not display the expiration date for OMB approval of the information collection, explain the reasons that display would be inappropriate</w:t>
      </w:r>
      <w:r>
        <w:rPr>
          <w:rFonts w:ascii="Times New Roman" w:hAnsi="Times New Roman"/>
        </w:rPr>
        <w:t>.</w:t>
      </w:r>
    </w:p>
    <w:p w:rsidR="00A17B53" w:rsidRDefault="00A17B53">
      <w:pPr>
        <w:tabs>
          <w:tab w:val="left" w:pos="-720"/>
        </w:tabs>
        <w:suppressAutoHyphens/>
        <w:rPr>
          <w:rFonts w:ascii="Times New Roman" w:hAnsi="Times New Roman"/>
        </w:rPr>
      </w:pPr>
      <w:r>
        <w:rPr>
          <w:rFonts w:ascii="Times New Roman" w:hAnsi="Times New Roman"/>
        </w:rPr>
        <w:tab/>
      </w:r>
    </w:p>
    <w:p w:rsidR="002D133A" w:rsidRDefault="00A17B53">
      <w:pPr>
        <w:tabs>
          <w:tab w:val="left" w:pos="-720"/>
        </w:tabs>
        <w:suppressAutoHyphens/>
        <w:rPr>
          <w:rFonts w:ascii="Times New Roman" w:hAnsi="Times New Roman"/>
        </w:rPr>
      </w:pPr>
      <w:r>
        <w:rPr>
          <w:rFonts w:ascii="Times New Roman" w:hAnsi="Times New Roman"/>
        </w:rPr>
        <w:tab/>
        <w:t>This question does not apply.</w:t>
      </w:r>
    </w:p>
    <w:p w:rsidR="00A17B53" w:rsidRDefault="00A17B53">
      <w:pPr>
        <w:tabs>
          <w:tab w:val="left" w:pos="-720"/>
        </w:tabs>
        <w:suppressAutoHyphens/>
        <w:rPr>
          <w:rFonts w:ascii="Times New Roman" w:hAnsi="Times New Roman"/>
        </w:rPr>
      </w:pPr>
    </w:p>
    <w:p w:rsidR="002D133A" w:rsidRDefault="002D133A">
      <w:pPr>
        <w:tabs>
          <w:tab w:val="left" w:pos="-720"/>
          <w:tab w:val="left" w:pos="0"/>
        </w:tabs>
        <w:suppressAutoHyphens/>
        <w:ind w:left="720" w:hanging="720"/>
        <w:rPr>
          <w:rFonts w:ascii="Times New Roman" w:hAnsi="Times New Roman"/>
        </w:rPr>
      </w:pPr>
      <w:r>
        <w:rPr>
          <w:rFonts w:ascii="Times New Roman" w:hAnsi="Times New Roman"/>
        </w:rPr>
        <w:t>18.</w:t>
      </w:r>
      <w:r>
        <w:rPr>
          <w:rFonts w:ascii="Times New Roman" w:hAnsi="Times New Roman"/>
        </w:rPr>
        <w:tab/>
      </w:r>
      <w:r>
        <w:rPr>
          <w:rFonts w:ascii="Times New Roman" w:hAnsi="Times New Roman"/>
          <w:u w:val="single"/>
        </w:rPr>
        <w:t>Explain each exception to the certification statement identified in Item 19, "Certification for Paperwork Reduction Act Submissions," of OMB Form 83-I</w:t>
      </w:r>
      <w:r>
        <w:rPr>
          <w:rFonts w:ascii="Times New Roman" w:hAnsi="Times New Roman"/>
        </w:rPr>
        <w:t>.</w:t>
      </w:r>
    </w:p>
    <w:p w:rsidR="002D133A" w:rsidRDefault="002D133A">
      <w:pPr>
        <w:tabs>
          <w:tab w:val="left" w:pos="-720"/>
        </w:tabs>
        <w:suppressAutoHyphens/>
        <w:rPr>
          <w:rFonts w:ascii="Times New Roman" w:hAnsi="Times New Roman"/>
        </w:rPr>
      </w:pPr>
    </w:p>
    <w:p w:rsidR="002D133A" w:rsidRDefault="00A17B53">
      <w:pPr>
        <w:tabs>
          <w:tab w:val="left" w:pos="-720"/>
        </w:tabs>
        <w:suppressAutoHyphens/>
        <w:rPr>
          <w:rFonts w:ascii="Times New Roman" w:hAnsi="Times New Roman"/>
        </w:rPr>
      </w:pPr>
      <w:r>
        <w:rPr>
          <w:rFonts w:ascii="Times New Roman" w:hAnsi="Times New Roman"/>
        </w:rPr>
        <w:tab/>
        <w:t>This question does not apply.</w:t>
      </w:r>
      <w:r w:rsidR="002D133A">
        <w:rPr>
          <w:rFonts w:ascii="Times New Roman" w:hAnsi="Times New Roman"/>
        </w:rPr>
        <w:tab/>
      </w:r>
    </w:p>
    <w:p w:rsidR="00F5556C" w:rsidRDefault="00F5556C">
      <w:pPr>
        <w:tabs>
          <w:tab w:val="left" w:pos="-720"/>
        </w:tabs>
        <w:suppressAutoHyphens/>
        <w:rPr>
          <w:rFonts w:ascii="Times New Roman" w:hAnsi="Times New Roman"/>
        </w:rPr>
      </w:pPr>
    </w:p>
    <w:p w:rsidR="00F5556C" w:rsidRDefault="00F5556C">
      <w:pPr>
        <w:rPr>
          <w:rFonts w:ascii="Times New Roman" w:hAnsi="Times New Roman"/>
        </w:rPr>
      </w:pPr>
      <w:r>
        <w:rPr>
          <w:rFonts w:ascii="Times New Roman" w:hAnsi="Times New Roman"/>
        </w:rPr>
        <w:br w:type="page"/>
      </w:r>
    </w:p>
    <w:p w:rsidR="00F5556C" w:rsidRPr="00C23B70" w:rsidRDefault="00F5556C" w:rsidP="00F5556C">
      <w:pPr>
        <w:pStyle w:val="BodyTextIndent"/>
        <w:jc w:val="right"/>
        <w:rPr>
          <w:b/>
        </w:rPr>
      </w:pPr>
      <w:r w:rsidRPr="00C23B70">
        <w:rPr>
          <w:b/>
        </w:rPr>
        <w:lastRenderedPageBreak/>
        <w:t>Attachment A</w:t>
      </w:r>
    </w:p>
    <w:p w:rsidR="00F5556C" w:rsidRPr="00C23B70" w:rsidRDefault="00F5556C" w:rsidP="00F5556C">
      <w:pPr>
        <w:pStyle w:val="BodyTextIndent"/>
        <w:jc w:val="both"/>
        <w:rPr>
          <w:b/>
        </w:rPr>
      </w:pPr>
    </w:p>
    <w:p w:rsidR="00F5556C" w:rsidRPr="00C23B70" w:rsidRDefault="00F5556C" w:rsidP="00F5556C">
      <w:pPr>
        <w:pStyle w:val="BodyTextIndent"/>
        <w:jc w:val="both"/>
        <w:rPr>
          <w:b/>
        </w:rPr>
      </w:pPr>
    </w:p>
    <w:p w:rsidR="00F5556C" w:rsidRPr="00C23B70" w:rsidRDefault="00F5556C" w:rsidP="00F5556C">
      <w:pPr>
        <w:pStyle w:val="BodyTextIndent"/>
        <w:jc w:val="both"/>
        <w:rPr>
          <w:b/>
        </w:rPr>
      </w:pPr>
    </w:p>
    <w:p w:rsidR="00F5556C" w:rsidRPr="00C23B70" w:rsidRDefault="00F5556C" w:rsidP="00F5556C">
      <w:pPr>
        <w:pStyle w:val="BodyTextIndent"/>
        <w:jc w:val="center"/>
        <w:rPr>
          <w:b/>
        </w:rPr>
      </w:pPr>
      <w:r w:rsidRPr="00C23B70">
        <w:rPr>
          <w:b/>
        </w:rPr>
        <w:t>Part 162</w:t>
      </w:r>
    </w:p>
    <w:p w:rsidR="00F5556C" w:rsidRPr="00C23B70" w:rsidRDefault="00F5556C" w:rsidP="00F5556C">
      <w:pPr>
        <w:pStyle w:val="BodyTextIndent"/>
        <w:jc w:val="center"/>
        <w:rPr>
          <w:b/>
        </w:rPr>
      </w:pPr>
      <w:r w:rsidRPr="00C23B70">
        <w:rPr>
          <w:b/>
        </w:rPr>
        <w:t>Protection of Consumer Information under the Fair Credit Reporting Act</w:t>
      </w:r>
    </w:p>
    <w:p w:rsidR="00F5556C" w:rsidRDefault="00F5556C" w:rsidP="00F5556C">
      <w:pPr>
        <w:pStyle w:val="BodyTextIndent"/>
      </w:pPr>
    </w:p>
    <w:tbl>
      <w:tblPr>
        <w:tblW w:w="0" w:type="auto"/>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tblPr>
      <w:tblGrid>
        <w:gridCol w:w="1080"/>
        <w:gridCol w:w="1327"/>
        <w:gridCol w:w="1190"/>
        <w:gridCol w:w="1190"/>
        <w:gridCol w:w="1201"/>
        <w:gridCol w:w="1297"/>
        <w:gridCol w:w="1470"/>
      </w:tblGrid>
      <w:tr w:rsidR="00BD7A43" w:rsidTr="00BD7A43">
        <w:tc>
          <w:tcPr>
            <w:tcW w:w="1080" w:type="dxa"/>
          </w:tcPr>
          <w:p w:rsidR="00BD7A43" w:rsidRDefault="00BD7A43" w:rsidP="00BD7A43">
            <w:pPr>
              <w:pStyle w:val="BodyTextIndent"/>
              <w:ind w:left="0" w:firstLine="0"/>
              <w:jc w:val="center"/>
            </w:pPr>
            <w:proofErr w:type="spellStart"/>
            <w:r>
              <w:t>Est’d</w:t>
            </w:r>
            <w:proofErr w:type="spellEnd"/>
            <w:r>
              <w:t xml:space="preserve"> # of Covered Entities</w:t>
            </w:r>
          </w:p>
          <w:p w:rsidR="00BD7A43" w:rsidRDefault="00BD7A43" w:rsidP="00BD7A43">
            <w:pPr>
              <w:pStyle w:val="BodyTextIndent"/>
              <w:ind w:left="0" w:firstLine="0"/>
              <w:jc w:val="center"/>
            </w:pPr>
            <w:r>
              <w:t>(a)</w:t>
            </w:r>
          </w:p>
        </w:tc>
        <w:tc>
          <w:tcPr>
            <w:tcW w:w="1327" w:type="dxa"/>
          </w:tcPr>
          <w:p w:rsidR="00BD7A43" w:rsidRDefault="00BD7A43" w:rsidP="001F5E06">
            <w:pPr>
              <w:pStyle w:val="BodyTextIndent"/>
              <w:ind w:left="0" w:firstLine="0"/>
              <w:jc w:val="center"/>
            </w:pPr>
            <w:proofErr w:type="spellStart"/>
            <w:r>
              <w:t>Est’d</w:t>
            </w:r>
            <w:proofErr w:type="spellEnd"/>
            <w:r>
              <w:t xml:space="preserve"> # Opt-out Notices per 5 year period</w:t>
            </w:r>
          </w:p>
          <w:p w:rsidR="00BD7A43" w:rsidRDefault="00BD7A43" w:rsidP="001F5E06">
            <w:pPr>
              <w:pStyle w:val="BodyTextIndent"/>
              <w:ind w:left="0" w:firstLine="0"/>
              <w:jc w:val="center"/>
            </w:pPr>
            <w:r>
              <w:t>(b)</w:t>
            </w:r>
          </w:p>
        </w:tc>
        <w:tc>
          <w:tcPr>
            <w:tcW w:w="1190" w:type="dxa"/>
          </w:tcPr>
          <w:p w:rsidR="00BD7A43" w:rsidRDefault="00BD7A43" w:rsidP="00F5556C">
            <w:pPr>
              <w:pStyle w:val="BodyTextIndent"/>
              <w:ind w:left="0" w:firstLine="0"/>
              <w:jc w:val="center"/>
            </w:pPr>
            <w:proofErr w:type="spellStart"/>
            <w:r>
              <w:t>Est’d</w:t>
            </w:r>
            <w:proofErr w:type="spellEnd"/>
            <w:r>
              <w:t xml:space="preserve">  # of Written Disposal Plans</w:t>
            </w:r>
          </w:p>
          <w:p w:rsidR="00BD7A43" w:rsidRDefault="00BD7A43" w:rsidP="001F5E06">
            <w:pPr>
              <w:pStyle w:val="BodyTextIndent"/>
              <w:ind w:left="0" w:firstLine="0"/>
              <w:jc w:val="center"/>
            </w:pPr>
            <w:r>
              <w:t>(c)</w:t>
            </w:r>
          </w:p>
        </w:tc>
        <w:tc>
          <w:tcPr>
            <w:tcW w:w="1190" w:type="dxa"/>
          </w:tcPr>
          <w:p w:rsidR="00BD7A43" w:rsidRDefault="00BD7A43" w:rsidP="001F5E06">
            <w:pPr>
              <w:pStyle w:val="BodyTextIndent"/>
              <w:ind w:left="0" w:firstLine="0"/>
              <w:jc w:val="center"/>
            </w:pPr>
            <w:proofErr w:type="spellStart"/>
            <w:r>
              <w:t>Est’d</w:t>
            </w:r>
            <w:proofErr w:type="spellEnd"/>
            <w:r>
              <w:t xml:space="preserve"> Avg. # of Hrs. Per Opt-out Notice</w:t>
            </w:r>
          </w:p>
          <w:p w:rsidR="00BD7A43" w:rsidRDefault="00BD7A43" w:rsidP="001F5E06">
            <w:pPr>
              <w:pStyle w:val="BodyTextIndent"/>
              <w:ind w:left="0" w:firstLine="0"/>
              <w:jc w:val="center"/>
            </w:pPr>
            <w:r>
              <w:t>(d)</w:t>
            </w:r>
          </w:p>
        </w:tc>
        <w:tc>
          <w:tcPr>
            <w:tcW w:w="1201" w:type="dxa"/>
          </w:tcPr>
          <w:p w:rsidR="00BD7A43" w:rsidRDefault="00BD7A43" w:rsidP="00F5556C">
            <w:pPr>
              <w:pStyle w:val="BodyTextIndent"/>
              <w:ind w:left="0" w:firstLine="0"/>
              <w:jc w:val="center"/>
            </w:pPr>
            <w:proofErr w:type="spellStart"/>
            <w:r>
              <w:t>Est’d</w:t>
            </w:r>
            <w:proofErr w:type="spellEnd"/>
            <w:r>
              <w:t xml:space="preserve"> Avg. # of Hrs. Per Written Disposal Plan</w:t>
            </w:r>
          </w:p>
          <w:p w:rsidR="00BD7A43" w:rsidRDefault="00BD7A43" w:rsidP="00F5556C">
            <w:pPr>
              <w:pStyle w:val="BodyTextIndent"/>
              <w:ind w:left="0" w:firstLine="0"/>
              <w:jc w:val="center"/>
            </w:pPr>
            <w:r>
              <w:t>(e)</w:t>
            </w:r>
          </w:p>
        </w:tc>
        <w:tc>
          <w:tcPr>
            <w:tcW w:w="1297" w:type="dxa"/>
          </w:tcPr>
          <w:p w:rsidR="00BD7A43" w:rsidRDefault="00BD7A43" w:rsidP="00F5556C">
            <w:pPr>
              <w:pStyle w:val="BodyTextIndent"/>
              <w:ind w:left="0" w:firstLine="0"/>
              <w:jc w:val="center"/>
            </w:pPr>
            <w:proofErr w:type="spellStart"/>
            <w:r>
              <w:t>Est’d</w:t>
            </w:r>
            <w:proofErr w:type="spellEnd"/>
            <w:r>
              <w:t xml:space="preserve"> Total</w:t>
            </w:r>
          </w:p>
          <w:p w:rsidR="00BD7A43" w:rsidRDefault="00BD7A43" w:rsidP="00F5556C">
            <w:pPr>
              <w:pStyle w:val="BodyTextIndent"/>
              <w:ind w:left="0" w:firstLine="0"/>
              <w:jc w:val="center"/>
            </w:pPr>
            <w:r>
              <w:t>Annual Burden Hrs. -</w:t>
            </w:r>
          </w:p>
          <w:p w:rsidR="00BD7A43" w:rsidRDefault="00BD7A43" w:rsidP="00F5556C">
            <w:pPr>
              <w:pStyle w:val="BodyTextIndent"/>
              <w:ind w:left="0" w:firstLine="0"/>
              <w:jc w:val="center"/>
            </w:pPr>
            <w:r>
              <w:t xml:space="preserve">Opt-out </w:t>
            </w:r>
          </w:p>
          <w:p w:rsidR="00BD7A43" w:rsidRDefault="00BD7A43" w:rsidP="00F5556C">
            <w:pPr>
              <w:pStyle w:val="BodyTextIndent"/>
              <w:ind w:left="0" w:firstLine="0"/>
              <w:jc w:val="center"/>
            </w:pPr>
            <w:r>
              <w:t>(a)x(b)x(d)</w:t>
            </w:r>
          </w:p>
          <w:p w:rsidR="00BD7A43" w:rsidRDefault="00BD7A43" w:rsidP="00F5556C">
            <w:pPr>
              <w:pStyle w:val="BodyTextIndent"/>
              <w:ind w:left="0" w:firstLine="0"/>
              <w:jc w:val="center"/>
            </w:pPr>
            <w:r>
              <w:t>/5 years</w:t>
            </w:r>
          </w:p>
        </w:tc>
        <w:tc>
          <w:tcPr>
            <w:tcW w:w="1470" w:type="dxa"/>
          </w:tcPr>
          <w:p w:rsidR="00BD7A43" w:rsidRDefault="00BD7A43" w:rsidP="00BD7A43">
            <w:pPr>
              <w:pStyle w:val="BodyTextIndent"/>
              <w:ind w:left="0" w:firstLine="0"/>
              <w:jc w:val="center"/>
            </w:pPr>
            <w:proofErr w:type="spellStart"/>
            <w:r>
              <w:t>Est’d</w:t>
            </w:r>
            <w:proofErr w:type="spellEnd"/>
            <w:r>
              <w:t xml:space="preserve"> Total Annual Burden Hrs. – Disposal Plan</w:t>
            </w:r>
          </w:p>
          <w:p w:rsidR="00BD7A43" w:rsidRDefault="00BD7A43" w:rsidP="00BD7A43">
            <w:pPr>
              <w:pStyle w:val="BodyTextIndent"/>
              <w:ind w:left="0" w:firstLine="0"/>
              <w:jc w:val="center"/>
            </w:pPr>
            <w:r>
              <w:t xml:space="preserve">(c)x(e) </w:t>
            </w:r>
          </w:p>
        </w:tc>
      </w:tr>
      <w:tr w:rsidR="00BD7A43" w:rsidTr="00BD7A43">
        <w:tc>
          <w:tcPr>
            <w:tcW w:w="1080" w:type="dxa"/>
          </w:tcPr>
          <w:p w:rsidR="00BD7A43" w:rsidRDefault="00BD7A43" w:rsidP="00BD7A43">
            <w:pPr>
              <w:pStyle w:val="BodyTextIndent"/>
              <w:ind w:left="0" w:firstLine="0"/>
              <w:jc w:val="center"/>
            </w:pPr>
            <w:r>
              <w:t>3,172</w:t>
            </w:r>
          </w:p>
        </w:tc>
        <w:tc>
          <w:tcPr>
            <w:tcW w:w="1327" w:type="dxa"/>
          </w:tcPr>
          <w:p w:rsidR="00BD7A43" w:rsidRDefault="00BD7A43" w:rsidP="00BD7A43">
            <w:pPr>
              <w:pStyle w:val="BodyTextIndent"/>
              <w:ind w:left="0" w:firstLine="0"/>
              <w:jc w:val="center"/>
            </w:pPr>
            <w:r>
              <w:t xml:space="preserve">  412,000*</w:t>
            </w:r>
          </w:p>
        </w:tc>
        <w:tc>
          <w:tcPr>
            <w:tcW w:w="1190" w:type="dxa"/>
          </w:tcPr>
          <w:p w:rsidR="00BD7A43" w:rsidRDefault="00BD7A43" w:rsidP="00F5556C">
            <w:pPr>
              <w:pStyle w:val="BodyTextIndent"/>
              <w:ind w:left="0" w:firstLine="0"/>
              <w:jc w:val="center"/>
            </w:pPr>
            <w:r>
              <w:t>3,172</w:t>
            </w:r>
          </w:p>
        </w:tc>
        <w:tc>
          <w:tcPr>
            <w:tcW w:w="1190" w:type="dxa"/>
          </w:tcPr>
          <w:p w:rsidR="00BD7A43" w:rsidRDefault="00BD7A43" w:rsidP="00F5556C">
            <w:pPr>
              <w:pStyle w:val="BodyTextIndent"/>
              <w:ind w:left="0" w:firstLine="0"/>
              <w:jc w:val="center"/>
            </w:pPr>
            <w:r>
              <w:t>0.01</w:t>
            </w:r>
          </w:p>
        </w:tc>
        <w:tc>
          <w:tcPr>
            <w:tcW w:w="1201" w:type="dxa"/>
          </w:tcPr>
          <w:p w:rsidR="00BD7A43" w:rsidRDefault="00BD7A43" w:rsidP="00F5556C">
            <w:pPr>
              <w:pStyle w:val="BodyTextIndent"/>
              <w:ind w:left="0" w:firstLine="0"/>
              <w:jc w:val="center"/>
            </w:pPr>
            <w:r>
              <w:t>3.5</w:t>
            </w:r>
          </w:p>
        </w:tc>
        <w:tc>
          <w:tcPr>
            <w:tcW w:w="1297" w:type="dxa"/>
          </w:tcPr>
          <w:p w:rsidR="00BD7A43" w:rsidRDefault="00BD7A43" w:rsidP="00BD7A43">
            <w:pPr>
              <w:pStyle w:val="BodyTextIndent"/>
              <w:ind w:left="0" w:firstLine="0"/>
              <w:jc w:val="center"/>
            </w:pPr>
            <w:r>
              <w:t>2,613.73</w:t>
            </w:r>
          </w:p>
        </w:tc>
        <w:tc>
          <w:tcPr>
            <w:tcW w:w="1470" w:type="dxa"/>
          </w:tcPr>
          <w:p w:rsidR="00BD7A43" w:rsidRDefault="00BD7A43" w:rsidP="00BD7A43">
            <w:pPr>
              <w:pStyle w:val="BodyTextIndent"/>
              <w:ind w:left="0" w:firstLine="0"/>
              <w:jc w:val="center"/>
            </w:pPr>
            <w:r>
              <w:t xml:space="preserve">  11,102</w:t>
            </w:r>
          </w:p>
        </w:tc>
      </w:tr>
    </w:tbl>
    <w:p w:rsidR="00F5556C" w:rsidRDefault="00F5556C" w:rsidP="00F5556C">
      <w:pPr>
        <w:pStyle w:val="BodyTextIndent"/>
      </w:pPr>
    </w:p>
    <w:p w:rsidR="00F5556C" w:rsidRDefault="00F5556C" w:rsidP="00F5556C">
      <w:pPr>
        <w:pStyle w:val="BodyTextIndent"/>
        <w:jc w:val="center"/>
      </w:pPr>
    </w:p>
    <w:p w:rsidR="00F5556C" w:rsidRDefault="00C23B70" w:rsidP="00F5556C">
      <w:pPr>
        <w:pStyle w:val="BodyTextIndent"/>
        <w:jc w:val="center"/>
      </w:pPr>
      <w:r w:rsidRPr="00C23B70">
        <w:rPr>
          <w:u w:val="single"/>
        </w:rPr>
        <w:t>Estimated Total Annual Burden Hours for Both Rules</w:t>
      </w:r>
      <w:r>
        <w:t>:</w:t>
      </w:r>
      <w:r>
        <w:tab/>
        <w:t xml:space="preserve"> 13,715.73</w:t>
      </w:r>
    </w:p>
    <w:p w:rsidR="00C23B70" w:rsidRDefault="00C23B70" w:rsidP="00F5556C">
      <w:pPr>
        <w:pStyle w:val="BodyTextIndent"/>
        <w:jc w:val="center"/>
      </w:pPr>
    </w:p>
    <w:p w:rsidR="00F5556C" w:rsidRDefault="00F5556C" w:rsidP="00F5556C">
      <w:pPr>
        <w:pStyle w:val="BodyTextIndent"/>
      </w:pPr>
      <w:r>
        <w:tab/>
        <w:t xml:space="preserve">* This number reflects an estimation of the number of individual commodity interest accounts (roughly </w:t>
      </w:r>
      <w:r w:rsidR="00BD7A43">
        <w:t>412</w:t>
      </w:r>
      <w:r>
        <w:t>,000), taking into account the possibility of multiple notices for each account (</w:t>
      </w:r>
      <w:r w:rsidRPr="002B529C">
        <w:rPr>
          <w:i/>
        </w:rPr>
        <w:t>e.g.</w:t>
      </w:r>
      <w:r w:rsidRPr="002B529C">
        <w:t>,</w:t>
      </w:r>
      <w:r>
        <w:t xml:space="preserve"> from an </w:t>
      </w:r>
      <w:r w:rsidR="00BD7A43">
        <w:t>futures commission merchants, retail foreign exchange dealers, introducing brokers, commodity trading advisors, swap dealers and major swap participants</w:t>
      </w:r>
      <w:r>
        <w:t xml:space="preserve">) as well as joint notices from each </w:t>
      </w:r>
      <w:r w:rsidR="00C23B70">
        <w:t>entity</w:t>
      </w:r>
      <w:r>
        <w:t xml:space="preserve"> associated with a particular account.  </w:t>
      </w:r>
    </w:p>
    <w:p w:rsidR="00F5556C" w:rsidRDefault="00F5556C" w:rsidP="00F5556C">
      <w:pPr>
        <w:pStyle w:val="BodyTextIndent"/>
      </w:pPr>
    </w:p>
    <w:p w:rsidR="00F5556C" w:rsidRDefault="00F5556C" w:rsidP="00F5556C">
      <w:pPr>
        <w:pStyle w:val="BodyTextIndent"/>
      </w:pPr>
    </w:p>
    <w:p w:rsidR="00F5556C" w:rsidRPr="00C23B70" w:rsidRDefault="00F5556C" w:rsidP="00C23B70">
      <w:pPr>
        <w:pStyle w:val="BodyTextIndent"/>
        <w:jc w:val="right"/>
        <w:rPr>
          <w:b/>
        </w:rPr>
      </w:pPr>
      <w:r>
        <w:br w:type="page"/>
      </w:r>
      <w:r w:rsidRPr="00C23B70">
        <w:rPr>
          <w:b/>
        </w:rPr>
        <w:lastRenderedPageBreak/>
        <w:t>Attachment B</w:t>
      </w:r>
    </w:p>
    <w:p w:rsidR="00F5556C" w:rsidRDefault="00F5556C" w:rsidP="00F5556C">
      <w:pPr>
        <w:pStyle w:val="BodyTextIndent"/>
      </w:pPr>
    </w:p>
    <w:p w:rsidR="00C23B70" w:rsidRPr="00C23B70" w:rsidRDefault="00C23B70" w:rsidP="00C23B70">
      <w:pPr>
        <w:pStyle w:val="BodyTextIndent"/>
        <w:jc w:val="center"/>
        <w:rPr>
          <w:b/>
        </w:rPr>
      </w:pPr>
      <w:r w:rsidRPr="00C23B70">
        <w:rPr>
          <w:b/>
        </w:rPr>
        <w:t>Part 162</w:t>
      </w:r>
    </w:p>
    <w:p w:rsidR="00C23B70" w:rsidRPr="00C23B70" w:rsidRDefault="00C23B70" w:rsidP="00C23B70">
      <w:pPr>
        <w:pStyle w:val="BodyTextIndent"/>
        <w:jc w:val="center"/>
        <w:rPr>
          <w:b/>
        </w:rPr>
      </w:pPr>
      <w:r w:rsidRPr="00C23B70">
        <w:rPr>
          <w:b/>
        </w:rPr>
        <w:t>Protection of Consumer Information under the Fair Credit Reporting Act</w:t>
      </w:r>
    </w:p>
    <w:p w:rsidR="00F5556C" w:rsidRPr="00C23B70" w:rsidRDefault="00F5556C" w:rsidP="00F5556C">
      <w:pPr>
        <w:pStyle w:val="BodyTextIndent"/>
        <w:jc w:val="center"/>
        <w:rPr>
          <w:b/>
        </w:rPr>
      </w:pPr>
      <w:r w:rsidRPr="00C23B70">
        <w:rPr>
          <w:b/>
        </w:rPr>
        <w:t xml:space="preserve">Estimate of Total Annual Cost Burden </w:t>
      </w:r>
    </w:p>
    <w:p w:rsidR="00F5556C" w:rsidRDefault="00F5556C" w:rsidP="00F5556C">
      <w:pPr>
        <w:pStyle w:val="BodyTextIndent"/>
        <w:jc w:val="center"/>
      </w:pPr>
    </w:p>
    <w:p w:rsidR="00F5556C" w:rsidRDefault="00F5556C" w:rsidP="00F5556C">
      <w:pPr>
        <w:pStyle w:val="BodyTextIndent"/>
        <w:rPr>
          <w:u w:val="single"/>
        </w:rPr>
      </w:pPr>
      <w:r>
        <w:rPr>
          <w:u w:val="single"/>
        </w:rPr>
        <w:t>Start-up cost burden:</w:t>
      </w:r>
    </w:p>
    <w:p w:rsidR="00F5556C" w:rsidRDefault="00F5556C" w:rsidP="00F5556C">
      <w:pPr>
        <w:pStyle w:val="BodyTextIndent"/>
        <w:ind w:left="0" w:firstLine="0"/>
      </w:pPr>
    </w:p>
    <w:p w:rsidR="007774A1" w:rsidRDefault="00DD5735" w:rsidP="00F5556C">
      <w:pPr>
        <w:pStyle w:val="BodyTextIndent"/>
        <w:ind w:left="0" w:firstLine="720"/>
      </w:pPr>
      <w:r>
        <w:t>(</w:t>
      </w:r>
      <w:r w:rsidR="00F5556C">
        <w:t xml:space="preserve">a) </w:t>
      </w:r>
      <w:r w:rsidR="007774A1">
        <w:t xml:space="preserve">For the affiliate marketing rules, Commission staff has estimated that a covered entity would require 1 hour of professional time (at $200 per her) and 2 hours of IT, clerical or administrative time (at $25 per hour) to prepare and transmit opt-out notices to consumers.  </w:t>
      </w:r>
    </w:p>
    <w:p w:rsidR="007774A1" w:rsidRDefault="007774A1" w:rsidP="00F5556C">
      <w:pPr>
        <w:pStyle w:val="BodyTextIndent"/>
        <w:ind w:left="0" w:firstLine="720"/>
      </w:pPr>
    </w:p>
    <w:p w:rsidR="007774A1" w:rsidRDefault="007774A1" w:rsidP="007774A1">
      <w:pPr>
        <w:pStyle w:val="BodyTextIndent"/>
        <w:ind w:left="0" w:firstLine="720"/>
      </w:pPr>
      <w:r>
        <w:t xml:space="preserve">((1 * $200) + (2 * $25)) * </w:t>
      </w:r>
      <w:r w:rsidR="003823E4">
        <w:t xml:space="preserve">3,172 </w:t>
      </w:r>
      <w:r>
        <w:t>= $</w:t>
      </w:r>
      <w:r w:rsidR="003823E4">
        <w:t>713</w:t>
      </w:r>
      <w:r>
        <w:t>,</w:t>
      </w:r>
      <w:r w:rsidR="003823E4">
        <w:t>700</w:t>
      </w:r>
    </w:p>
    <w:p w:rsidR="007774A1" w:rsidRDefault="007774A1" w:rsidP="00F5556C">
      <w:pPr>
        <w:pStyle w:val="BodyTextIndent"/>
        <w:ind w:left="0" w:firstLine="720"/>
      </w:pPr>
    </w:p>
    <w:p w:rsidR="00F5556C" w:rsidRDefault="00DD5735" w:rsidP="00F5556C">
      <w:pPr>
        <w:pStyle w:val="BodyTextIndent"/>
        <w:ind w:left="0" w:firstLine="720"/>
      </w:pPr>
      <w:r>
        <w:t>(</w:t>
      </w:r>
      <w:r w:rsidR="007774A1">
        <w:t xml:space="preserve">b) </w:t>
      </w:r>
      <w:r w:rsidR="00F5556C">
        <w:t xml:space="preserve">For </w:t>
      </w:r>
      <w:r w:rsidR="007774A1">
        <w:t xml:space="preserve">the disposal rules, </w:t>
      </w:r>
      <w:r w:rsidR="00F5556C">
        <w:t>Commission staff has estimated that a</w:t>
      </w:r>
      <w:r w:rsidR="007774A1">
        <w:t xml:space="preserve"> covered entity </w:t>
      </w:r>
      <w:r w:rsidR="00F5556C">
        <w:t xml:space="preserve">would require </w:t>
      </w:r>
      <w:r w:rsidR="007774A1">
        <w:t>an average of 2.5</w:t>
      </w:r>
      <w:r w:rsidR="00F5556C">
        <w:t xml:space="preserve"> hours of professional time (at $</w:t>
      </w:r>
      <w:r w:rsidR="007774A1">
        <w:t>200</w:t>
      </w:r>
      <w:r w:rsidR="00F5556C">
        <w:t xml:space="preserve"> per hour) and 1 hour of clerical or administrative time (at $</w:t>
      </w:r>
      <w:r w:rsidR="007774A1">
        <w:t>25</w:t>
      </w:r>
      <w:r w:rsidR="00F5556C">
        <w:t xml:space="preserve"> per hour) to prepare its </w:t>
      </w:r>
      <w:r w:rsidR="007774A1">
        <w:t>written disposal plan</w:t>
      </w:r>
      <w:r w:rsidR="00F5556C">
        <w:t>:</w:t>
      </w:r>
    </w:p>
    <w:p w:rsidR="00F5556C" w:rsidRDefault="00F5556C" w:rsidP="00F5556C">
      <w:pPr>
        <w:pStyle w:val="BodyTextIndent"/>
        <w:ind w:left="0" w:firstLine="0"/>
      </w:pPr>
    </w:p>
    <w:p w:rsidR="00F5556C" w:rsidRDefault="00F5556C" w:rsidP="00F5556C">
      <w:pPr>
        <w:pStyle w:val="BodyTextIndent"/>
        <w:ind w:left="0" w:firstLine="0"/>
      </w:pPr>
      <w:r>
        <w:tab/>
        <w:t>((</w:t>
      </w:r>
      <w:r w:rsidR="007774A1">
        <w:t>2.5</w:t>
      </w:r>
      <w:r>
        <w:t xml:space="preserve"> * $</w:t>
      </w:r>
      <w:r w:rsidR="007774A1">
        <w:t>200</w:t>
      </w:r>
      <w:r>
        <w:t>) + (1 * $</w:t>
      </w:r>
      <w:r w:rsidR="007774A1">
        <w:t>25)) * 3,172</w:t>
      </w:r>
      <w:r>
        <w:t xml:space="preserve"> = $</w:t>
      </w:r>
      <w:r w:rsidR="007774A1">
        <w:t>1,66</w:t>
      </w:r>
      <w:r>
        <w:t>5,</w:t>
      </w:r>
      <w:r w:rsidR="007774A1">
        <w:t>300</w:t>
      </w:r>
    </w:p>
    <w:p w:rsidR="00F5556C" w:rsidRDefault="00F5556C" w:rsidP="00F5556C">
      <w:pPr>
        <w:pStyle w:val="BodyTextIndent"/>
        <w:ind w:left="0" w:firstLine="0"/>
      </w:pPr>
    </w:p>
    <w:p w:rsidR="00F5556C" w:rsidRDefault="00F5556C" w:rsidP="00F5556C">
      <w:pPr>
        <w:pStyle w:val="BodyTextIndent"/>
        <w:ind w:left="0" w:firstLine="0"/>
      </w:pPr>
    </w:p>
    <w:p w:rsidR="00F5556C" w:rsidRDefault="00F5556C" w:rsidP="00F5556C">
      <w:pPr>
        <w:pStyle w:val="BodyTextIndent"/>
        <w:ind w:left="0" w:firstLine="720"/>
      </w:pPr>
      <w:r>
        <w:t>Total start-up cost component (</w:t>
      </w:r>
      <w:proofErr w:type="spellStart"/>
      <w:r>
        <w:t>a+b</w:t>
      </w:r>
      <w:proofErr w:type="spellEnd"/>
      <w:r>
        <w:t xml:space="preserve">) = $ </w:t>
      </w:r>
      <w:r w:rsidR="003823E4">
        <w:t>2</w:t>
      </w:r>
      <w:r>
        <w:t>,</w:t>
      </w:r>
      <w:r w:rsidR="003823E4">
        <w:t>379,000</w:t>
      </w:r>
    </w:p>
    <w:p w:rsidR="00F5556C" w:rsidRDefault="00F5556C" w:rsidP="00F5556C">
      <w:pPr>
        <w:pStyle w:val="BodyTextIndent"/>
        <w:ind w:left="0" w:firstLine="720"/>
      </w:pPr>
    </w:p>
    <w:p w:rsidR="00F5556C" w:rsidRDefault="00F5556C" w:rsidP="003823E4">
      <w:pPr>
        <w:pStyle w:val="BodyTextIndent"/>
        <w:ind w:left="0" w:firstLine="0"/>
      </w:pPr>
      <w:r>
        <w:t xml:space="preserve">The start-up costs are based upon the number of </w:t>
      </w:r>
      <w:r w:rsidR="003823E4">
        <w:t>covered entities</w:t>
      </w:r>
      <w:r>
        <w:t xml:space="preserve"> during the year </w:t>
      </w:r>
      <w:proofErr w:type="gramStart"/>
      <w:r>
        <w:t>who</w:t>
      </w:r>
      <w:proofErr w:type="gramEnd"/>
      <w:r>
        <w:t xml:space="preserve"> will be</w:t>
      </w:r>
      <w:r w:rsidR="003823E4">
        <w:t>: (a)</w:t>
      </w:r>
      <w:r>
        <w:t xml:space="preserve"> preparing an</w:t>
      </w:r>
      <w:r w:rsidR="003823E4">
        <w:t>d transmitting</w:t>
      </w:r>
      <w:r>
        <w:t xml:space="preserve"> </w:t>
      </w:r>
      <w:r w:rsidR="003823E4">
        <w:t>opt-out</w:t>
      </w:r>
      <w:r>
        <w:t xml:space="preserve"> notice</w:t>
      </w:r>
      <w:r w:rsidR="003823E4">
        <w:t>s to consumers, and (b) preparing written disposal plans.</w:t>
      </w:r>
      <w:r>
        <w:t xml:space="preserve">  There are </w:t>
      </w:r>
      <w:r w:rsidR="003823E4">
        <w:t>3,172</w:t>
      </w:r>
      <w:r>
        <w:t xml:space="preserve"> such </w:t>
      </w:r>
      <w:r w:rsidR="003823E4">
        <w:t>entities: 112 futures commission merchants, 1,428 introducing brokers, 347 commodity pool operators, 975 commodity trading advisors, 250 swap dealers, and 50 major swap participants</w:t>
      </w:r>
      <w:r>
        <w:t xml:space="preserve">.  </w:t>
      </w:r>
    </w:p>
    <w:p w:rsidR="00F5556C" w:rsidRDefault="00F5556C" w:rsidP="00F5556C">
      <w:pPr>
        <w:pStyle w:val="BodyTextIndent"/>
        <w:ind w:left="0" w:firstLine="0"/>
      </w:pPr>
    </w:p>
    <w:p w:rsidR="00F5556C" w:rsidRDefault="00F5556C" w:rsidP="00F5556C">
      <w:pPr>
        <w:pStyle w:val="BodyTextIndent"/>
        <w:ind w:left="0" w:firstLine="0"/>
      </w:pPr>
      <w:r>
        <w:rPr>
          <w:u w:val="single"/>
        </w:rPr>
        <w:t>Annual cost burden</w:t>
      </w:r>
      <w:r w:rsidRPr="00DD5735">
        <w:t>:</w:t>
      </w:r>
    </w:p>
    <w:p w:rsidR="00F5556C" w:rsidRDefault="00F5556C" w:rsidP="00F5556C">
      <w:pPr>
        <w:pStyle w:val="BodyTextIndent"/>
        <w:ind w:left="0" w:firstLine="0"/>
      </w:pPr>
      <w:r>
        <w:tab/>
      </w:r>
    </w:p>
    <w:p w:rsidR="00DD5735" w:rsidRDefault="00F5556C" w:rsidP="00F5556C">
      <w:pPr>
        <w:pStyle w:val="BodyTextIndent"/>
        <w:ind w:left="0" w:firstLine="0"/>
      </w:pPr>
      <w:r>
        <w:tab/>
      </w:r>
      <w:r w:rsidR="00DD5735">
        <w:t>With respect to the affiliate marketing rules, t</w:t>
      </w:r>
      <w:r>
        <w:t xml:space="preserve">he Commission estimates that the cost of mailing approximately </w:t>
      </w:r>
      <w:r w:rsidR="00DD5735">
        <w:t>412</w:t>
      </w:r>
      <w:r>
        <w:t xml:space="preserve">,000 </w:t>
      </w:r>
      <w:r w:rsidR="00DD5735">
        <w:t>opt-out</w:t>
      </w:r>
      <w:r>
        <w:t xml:space="preserve"> notices annually for </w:t>
      </w:r>
      <w:r w:rsidR="00DD5735">
        <w:t>412</w:t>
      </w:r>
      <w:r>
        <w:t>,000 individual accounts at an average additional cost per mailing of $0.0</w:t>
      </w:r>
      <w:r w:rsidR="00DD5735">
        <w:t>4</w:t>
      </w:r>
      <w:r>
        <w:t xml:space="preserve"> per notice will be $</w:t>
      </w:r>
      <w:r w:rsidR="00DD5735">
        <w:t>1</w:t>
      </w:r>
      <w:r>
        <w:t xml:space="preserve">6,840.  The Commission assumes that most </w:t>
      </w:r>
      <w:r w:rsidR="00DD5735">
        <w:t>covered entities</w:t>
      </w:r>
      <w:r>
        <w:t xml:space="preserve"> will include </w:t>
      </w:r>
      <w:r w:rsidR="00DD5735">
        <w:t>opt-out</w:t>
      </w:r>
      <w:r>
        <w:t xml:space="preserve"> notices to </w:t>
      </w:r>
      <w:r w:rsidR="00DD5735">
        <w:t xml:space="preserve">consumers along </w:t>
      </w:r>
      <w:r>
        <w:t xml:space="preserve">with </w:t>
      </w:r>
      <w:r w:rsidR="00DD5735">
        <w:t xml:space="preserve">other privacy notices pursuant to other provisions of law, </w:t>
      </w:r>
      <w:r>
        <w:t xml:space="preserve">or account statements that </w:t>
      </w:r>
      <w:r w:rsidR="00DD5735">
        <w:t>the consumers</w:t>
      </w:r>
      <w:r>
        <w:t xml:space="preserve"> currently receive</w:t>
      </w:r>
      <w:r w:rsidR="00DD5735">
        <w:t xml:space="preserve"> from the covered entities</w:t>
      </w:r>
      <w:r>
        <w:t>.</w:t>
      </w:r>
    </w:p>
    <w:p w:rsidR="00DD5735" w:rsidRDefault="00DD5735" w:rsidP="00F5556C">
      <w:pPr>
        <w:pStyle w:val="BodyTextIndent"/>
        <w:ind w:left="0" w:firstLine="0"/>
      </w:pPr>
    </w:p>
    <w:p w:rsidR="00F5556C" w:rsidRDefault="00DD5735" w:rsidP="00F5556C">
      <w:pPr>
        <w:pStyle w:val="BodyTextIndent"/>
        <w:ind w:left="0" w:firstLine="0"/>
      </w:pPr>
      <w:r>
        <w:tab/>
        <w:t xml:space="preserve">There is no annual cost burden associated with the disposal rules because </w:t>
      </w:r>
      <w:r w:rsidR="002303F6">
        <w:t>all costs are front-loaded.</w:t>
      </w:r>
      <w:r>
        <w:t xml:space="preserve"> </w:t>
      </w:r>
      <w:r w:rsidR="00F5556C">
        <w:t xml:space="preserve">  </w:t>
      </w:r>
    </w:p>
    <w:p w:rsidR="00F5556C" w:rsidRDefault="00F5556C" w:rsidP="00F5556C">
      <w:pPr>
        <w:pStyle w:val="BodyTextIndent"/>
        <w:ind w:left="0" w:firstLine="0"/>
      </w:pPr>
    </w:p>
    <w:p w:rsidR="00F5556C" w:rsidRDefault="00F5556C" w:rsidP="00F5556C">
      <w:pPr>
        <w:pStyle w:val="BodyTextIndent"/>
        <w:ind w:left="0" w:firstLine="0"/>
      </w:pPr>
    </w:p>
    <w:p w:rsidR="00F5556C" w:rsidRDefault="00F5556C" w:rsidP="00F5556C">
      <w:pPr>
        <w:pStyle w:val="BodyTextIndent"/>
        <w:ind w:left="0" w:firstLine="0"/>
      </w:pPr>
    </w:p>
    <w:p w:rsidR="00F5556C" w:rsidRDefault="00F5556C" w:rsidP="00F5556C">
      <w:pPr>
        <w:pStyle w:val="BodyTextIndent"/>
        <w:ind w:left="0" w:firstLine="0"/>
      </w:pPr>
    </w:p>
    <w:p w:rsidR="00F5556C" w:rsidRDefault="00F5556C" w:rsidP="00F5556C">
      <w:pPr>
        <w:pStyle w:val="BodyTextIndent"/>
        <w:ind w:left="0" w:firstLine="0"/>
      </w:pPr>
    </w:p>
    <w:p w:rsidR="00FF7F10" w:rsidRDefault="00FF7F10"/>
    <w:sectPr w:rsidR="00FF7F10" w:rsidSect="000F6365">
      <w:footerReference w:type="default" r:id="rId6"/>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3855" w:rsidRDefault="000B3855">
      <w:pPr>
        <w:spacing w:line="20" w:lineRule="exact"/>
      </w:pPr>
    </w:p>
  </w:endnote>
  <w:endnote w:type="continuationSeparator" w:id="0">
    <w:p w:rsidR="000B3855" w:rsidRDefault="000B3855">
      <w:r>
        <w:t xml:space="preserve"> </w:t>
      </w:r>
    </w:p>
  </w:endnote>
  <w:endnote w:type="continuationNotice" w:id="1">
    <w:p w:rsidR="000B3855" w:rsidRDefault="000B3855">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405128"/>
      <w:docPartObj>
        <w:docPartGallery w:val="Page Numbers (Bottom of Page)"/>
        <w:docPartUnique/>
      </w:docPartObj>
    </w:sdtPr>
    <w:sdtContent>
      <w:p w:rsidR="00A52050" w:rsidRDefault="00782370">
        <w:pPr>
          <w:pStyle w:val="Footer"/>
          <w:jc w:val="center"/>
        </w:pPr>
        <w:r w:rsidRPr="004F14EB">
          <w:rPr>
            <w:rFonts w:asciiTheme="majorHAnsi" w:hAnsiTheme="majorHAnsi"/>
            <w:sz w:val="22"/>
            <w:szCs w:val="22"/>
          </w:rPr>
          <w:fldChar w:fldCharType="begin"/>
        </w:r>
        <w:r w:rsidR="00A52050" w:rsidRPr="004F14EB">
          <w:rPr>
            <w:rFonts w:asciiTheme="majorHAnsi" w:hAnsiTheme="majorHAnsi"/>
            <w:sz w:val="22"/>
            <w:szCs w:val="22"/>
          </w:rPr>
          <w:instrText xml:space="preserve"> PAGE   \* MERGEFORMAT </w:instrText>
        </w:r>
        <w:r w:rsidRPr="004F14EB">
          <w:rPr>
            <w:rFonts w:asciiTheme="majorHAnsi" w:hAnsiTheme="majorHAnsi"/>
            <w:sz w:val="22"/>
            <w:szCs w:val="22"/>
          </w:rPr>
          <w:fldChar w:fldCharType="separate"/>
        </w:r>
        <w:r w:rsidR="00CC166F">
          <w:rPr>
            <w:rFonts w:asciiTheme="majorHAnsi" w:hAnsiTheme="majorHAnsi"/>
            <w:noProof/>
            <w:sz w:val="22"/>
            <w:szCs w:val="22"/>
          </w:rPr>
          <w:t>1</w:t>
        </w:r>
        <w:r w:rsidRPr="004F14EB">
          <w:rPr>
            <w:rFonts w:asciiTheme="majorHAnsi" w:hAnsiTheme="majorHAnsi"/>
            <w:sz w:val="22"/>
            <w:szCs w:val="22"/>
          </w:rPr>
          <w:fldChar w:fldCharType="end"/>
        </w:r>
      </w:p>
    </w:sdtContent>
  </w:sdt>
  <w:p w:rsidR="00A52050" w:rsidRDefault="00A5205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3855" w:rsidRDefault="000B3855">
      <w:r>
        <w:separator/>
      </w:r>
    </w:p>
  </w:footnote>
  <w:footnote w:type="continuationSeparator" w:id="0">
    <w:p w:rsidR="000B3855" w:rsidRDefault="000B3855">
      <w:r>
        <w:t>(..</w:t>
      </w:r>
      <w:proofErr w:type="gramStart"/>
      <w:r>
        <w:t>continued</w:t>
      </w:r>
      <w:proofErr w:type="gramEnd"/>
      <w:r>
        <w:t>)</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rsids>
    <w:rsidRoot w:val="00ED6C64"/>
    <w:rsid w:val="00016AC2"/>
    <w:rsid w:val="000376FB"/>
    <w:rsid w:val="000B3855"/>
    <w:rsid w:val="000F6365"/>
    <w:rsid w:val="001128C7"/>
    <w:rsid w:val="00184197"/>
    <w:rsid w:val="001E7F5A"/>
    <w:rsid w:val="001F5E06"/>
    <w:rsid w:val="002303F6"/>
    <w:rsid w:val="002727F9"/>
    <w:rsid w:val="002B529C"/>
    <w:rsid w:val="002D133A"/>
    <w:rsid w:val="003233A6"/>
    <w:rsid w:val="0032446B"/>
    <w:rsid w:val="00326DB1"/>
    <w:rsid w:val="003823E4"/>
    <w:rsid w:val="003C1EE0"/>
    <w:rsid w:val="004105BE"/>
    <w:rsid w:val="00486A7D"/>
    <w:rsid w:val="00493088"/>
    <w:rsid w:val="004C2994"/>
    <w:rsid w:val="004F14EB"/>
    <w:rsid w:val="005118E5"/>
    <w:rsid w:val="005E4595"/>
    <w:rsid w:val="005E62EF"/>
    <w:rsid w:val="005E6993"/>
    <w:rsid w:val="005F622A"/>
    <w:rsid w:val="0060355C"/>
    <w:rsid w:val="00606A5D"/>
    <w:rsid w:val="0065040C"/>
    <w:rsid w:val="006913FF"/>
    <w:rsid w:val="00707B6A"/>
    <w:rsid w:val="007774A1"/>
    <w:rsid w:val="00782370"/>
    <w:rsid w:val="007C6335"/>
    <w:rsid w:val="008B790B"/>
    <w:rsid w:val="008F3619"/>
    <w:rsid w:val="00934362"/>
    <w:rsid w:val="00A12A83"/>
    <w:rsid w:val="00A17B53"/>
    <w:rsid w:val="00A3539D"/>
    <w:rsid w:val="00A52050"/>
    <w:rsid w:val="00A85BD9"/>
    <w:rsid w:val="00AB163B"/>
    <w:rsid w:val="00B54CEA"/>
    <w:rsid w:val="00B947F4"/>
    <w:rsid w:val="00BA0753"/>
    <w:rsid w:val="00BD7A43"/>
    <w:rsid w:val="00C23B70"/>
    <w:rsid w:val="00C574F0"/>
    <w:rsid w:val="00CA4C46"/>
    <w:rsid w:val="00CC166F"/>
    <w:rsid w:val="00D31454"/>
    <w:rsid w:val="00D6456E"/>
    <w:rsid w:val="00DD5735"/>
    <w:rsid w:val="00DF2502"/>
    <w:rsid w:val="00E00B67"/>
    <w:rsid w:val="00E1260A"/>
    <w:rsid w:val="00ED0D4C"/>
    <w:rsid w:val="00ED6C64"/>
    <w:rsid w:val="00EF1490"/>
    <w:rsid w:val="00F23052"/>
    <w:rsid w:val="00F4675A"/>
    <w:rsid w:val="00F5556C"/>
    <w:rsid w:val="00F864A0"/>
    <w:rsid w:val="00FF1221"/>
    <w:rsid w:val="00FF7F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6365"/>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F6365"/>
  </w:style>
  <w:style w:type="character" w:styleId="EndnoteReference">
    <w:name w:val="endnote reference"/>
    <w:basedOn w:val="DefaultParagraphFont"/>
    <w:semiHidden/>
    <w:rsid w:val="000F6365"/>
    <w:rPr>
      <w:vertAlign w:val="superscript"/>
    </w:rPr>
  </w:style>
  <w:style w:type="paragraph" w:styleId="FootnoteText">
    <w:name w:val="footnote text"/>
    <w:basedOn w:val="Normal"/>
    <w:semiHidden/>
    <w:rsid w:val="000F6365"/>
  </w:style>
  <w:style w:type="character" w:styleId="FootnoteReference">
    <w:name w:val="footnote reference"/>
    <w:basedOn w:val="DefaultParagraphFont"/>
    <w:semiHidden/>
    <w:rsid w:val="000F6365"/>
    <w:rPr>
      <w:vertAlign w:val="superscript"/>
    </w:rPr>
  </w:style>
  <w:style w:type="character" w:customStyle="1" w:styleId="Document8">
    <w:name w:val="Document 8"/>
    <w:basedOn w:val="DefaultParagraphFont"/>
    <w:rsid w:val="000F6365"/>
  </w:style>
  <w:style w:type="character" w:customStyle="1" w:styleId="Document4">
    <w:name w:val="Document 4"/>
    <w:basedOn w:val="DefaultParagraphFont"/>
    <w:rsid w:val="000F6365"/>
    <w:rPr>
      <w:b/>
      <w:i/>
      <w:sz w:val="24"/>
    </w:rPr>
  </w:style>
  <w:style w:type="character" w:customStyle="1" w:styleId="Document6">
    <w:name w:val="Document 6"/>
    <w:basedOn w:val="DefaultParagraphFont"/>
    <w:rsid w:val="000F6365"/>
  </w:style>
  <w:style w:type="character" w:customStyle="1" w:styleId="Document5">
    <w:name w:val="Document 5"/>
    <w:basedOn w:val="DefaultParagraphFont"/>
    <w:rsid w:val="000F6365"/>
  </w:style>
  <w:style w:type="character" w:customStyle="1" w:styleId="Document2">
    <w:name w:val="Document 2"/>
    <w:basedOn w:val="DefaultParagraphFont"/>
    <w:rsid w:val="000F6365"/>
    <w:rPr>
      <w:rFonts w:ascii="Courier" w:hAnsi="Courier"/>
      <w:noProof w:val="0"/>
      <w:sz w:val="24"/>
      <w:lang w:val="en-US"/>
    </w:rPr>
  </w:style>
  <w:style w:type="character" w:customStyle="1" w:styleId="Document7">
    <w:name w:val="Document 7"/>
    <w:basedOn w:val="DefaultParagraphFont"/>
    <w:rsid w:val="000F6365"/>
  </w:style>
  <w:style w:type="character" w:customStyle="1" w:styleId="Bibliogrphy">
    <w:name w:val="Bibliogrphy"/>
    <w:basedOn w:val="DefaultParagraphFont"/>
    <w:rsid w:val="000F6365"/>
  </w:style>
  <w:style w:type="paragraph" w:customStyle="1" w:styleId="RightPar1">
    <w:name w:val="Right Par 1"/>
    <w:rsid w:val="000F6365"/>
    <w:pPr>
      <w:tabs>
        <w:tab w:val="left" w:pos="-720"/>
        <w:tab w:val="left" w:pos="0"/>
        <w:tab w:val="decimal" w:pos="720"/>
      </w:tabs>
      <w:suppressAutoHyphens/>
      <w:ind w:left="720"/>
    </w:pPr>
    <w:rPr>
      <w:rFonts w:ascii="Courier" w:hAnsi="Courier"/>
      <w:sz w:val="24"/>
    </w:rPr>
  </w:style>
  <w:style w:type="paragraph" w:customStyle="1" w:styleId="RightPar2">
    <w:name w:val="Right Par 2"/>
    <w:rsid w:val="000F6365"/>
    <w:pPr>
      <w:tabs>
        <w:tab w:val="left" w:pos="-720"/>
        <w:tab w:val="left" w:pos="0"/>
        <w:tab w:val="left" w:pos="720"/>
        <w:tab w:val="decimal" w:pos="1440"/>
      </w:tabs>
      <w:suppressAutoHyphens/>
      <w:ind w:left="1440"/>
    </w:pPr>
    <w:rPr>
      <w:rFonts w:ascii="Courier" w:hAnsi="Courier"/>
      <w:sz w:val="24"/>
    </w:rPr>
  </w:style>
  <w:style w:type="character" w:customStyle="1" w:styleId="Document3">
    <w:name w:val="Document 3"/>
    <w:basedOn w:val="DefaultParagraphFont"/>
    <w:rsid w:val="000F6365"/>
    <w:rPr>
      <w:rFonts w:ascii="Courier" w:hAnsi="Courier"/>
      <w:noProof w:val="0"/>
      <w:sz w:val="24"/>
      <w:lang w:val="en-US"/>
    </w:rPr>
  </w:style>
  <w:style w:type="paragraph" w:customStyle="1" w:styleId="RightPar3">
    <w:name w:val="Right Par 3"/>
    <w:rsid w:val="000F6365"/>
    <w:pPr>
      <w:tabs>
        <w:tab w:val="left" w:pos="-720"/>
        <w:tab w:val="left" w:pos="0"/>
        <w:tab w:val="left" w:pos="720"/>
        <w:tab w:val="left" w:pos="1440"/>
        <w:tab w:val="decimal" w:pos="2160"/>
      </w:tabs>
      <w:suppressAutoHyphens/>
      <w:ind w:left="2160"/>
    </w:pPr>
    <w:rPr>
      <w:rFonts w:ascii="Courier" w:hAnsi="Courier"/>
      <w:sz w:val="24"/>
    </w:rPr>
  </w:style>
  <w:style w:type="paragraph" w:customStyle="1" w:styleId="RightPar4">
    <w:name w:val="Right Par 4"/>
    <w:rsid w:val="000F6365"/>
    <w:pPr>
      <w:tabs>
        <w:tab w:val="left" w:pos="-720"/>
        <w:tab w:val="left" w:pos="0"/>
        <w:tab w:val="left" w:pos="720"/>
        <w:tab w:val="left" w:pos="1440"/>
        <w:tab w:val="left" w:pos="2160"/>
        <w:tab w:val="decimal" w:pos="2880"/>
      </w:tabs>
      <w:suppressAutoHyphens/>
      <w:ind w:left="2880"/>
    </w:pPr>
    <w:rPr>
      <w:rFonts w:ascii="Courier" w:hAnsi="Courier"/>
      <w:sz w:val="24"/>
    </w:rPr>
  </w:style>
  <w:style w:type="paragraph" w:customStyle="1" w:styleId="RightPar5">
    <w:name w:val="Right Par 5"/>
    <w:rsid w:val="000F6365"/>
    <w:pPr>
      <w:tabs>
        <w:tab w:val="left" w:pos="-720"/>
        <w:tab w:val="left" w:pos="0"/>
        <w:tab w:val="left" w:pos="720"/>
        <w:tab w:val="left" w:pos="1440"/>
        <w:tab w:val="left" w:pos="2160"/>
        <w:tab w:val="left" w:pos="2880"/>
        <w:tab w:val="decimal" w:pos="3600"/>
      </w:tabs>
      <w:suppressAutoHyphens/>
      <w:ind w:left="3600"/>
    </w:pPr>
    <w:rPr>
      <w:rFonts w:ascii="Courier" w:hAnsi="Courier"/>
      <w:sz w:val="24"/>
    </w:rPr>
  </w:style>
  <w:style w:type="paragraph" w:customStyle="1" w:styleId="RightPar6">
    <w:name w:val="Right Par 6"/>
    <w:rsid w:val="000F6365"/>
    <w:pPr>
      <w:tabs>
        <w:tab w:val="left" w:pos="-720"/>
        <w:tab w:val="left" w:pos="0"/>
        <w:tab w:val="left" w:pos="720"/>
        <w:tab w:val="left" w:pos="1440"/>
        <w:tab w:val="left" w:pos="2160"/>
        <w:tab w:val="left" w:pos="2880"/>
        <w:tab w:val="left" w:pos="3600"/>
        <w:tab w:val="decimal" w:pos="4320"/>
      </w:tabs>
      <w:suppressAutoHyphens/>
      <w:ind w:left="4320"/>
    </w:pPr>
    <w:rPr>
      <w:rFonts w:ascii="Courier" w:hAnsi="Courier"/>
      <w:sz w:val="24"/>
    </w:rPr>
  </w:style>
  <w:style w:type="paragraph" w:customStyle="1" w:styleId="RightPar7">
    <w:name w:val="Right Par 7"/>
    <w:rsid w:val="000F6365"/>
    <w:pPr>
      <w:tabs>
        <w:tab w:val="left" w:pos="-720"/>
        <w:tab w:val="left" w:pos="0"/>
        <w:tab w:val="left" w:pos="720"/>
        <w:tab w:val="left" w:pos="1440"/>
        <w:tab w:val="left" w:pos="2160"/>
        <w:tab w:val="left" w:pos="2880"/>
        <w:tab w:val="left" w:pos="3600"/>
        <w:tab w:val="left" w:pos="4320"/>
        <w:tab w:val="decimal" w:pos="5040"/>
      </w:tabs>
      <w:suppressAutoHyphens/>
      <w:ind w:left="5040"/>
    </w:pPr>
    <w:rPr>
      <w:rFonts w:ascii="Courier" w:hAnsi="Courier"/>
      <w:sz w:val="24"/>
    </w:rPr>
  </w:style>
  <w:style w:type="paragraph" w:customStyle="1" w:styleId="RightPar8">
    <w:name w:val="Right Par 8"/>
    <w:rsid w:val="000F6365"/>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pPr>
    <w:rPr>
      <w:rFonts w:ascii="Courier" w:hAnsi="Courier"/>
      <w:sz w:val="24"/>
    </w:rPr>
  </w:style>
  <w:style w:type="paragraph" w:customStyle="1" w:styleId="Document1">
    <w:name w:val="Document 1"/>
    <w:rsid w:val="000F6365"/>
    <w:pPr>
      <w:keepNext/>
      <w:keepLines/>
      <w:tabs>
        <w:tab w:val="left" w:pos="-720"/>
      </w:tabs>
      <w:suppressAutoHyphens/>
    </w:pPr>
    <w:rPr>
      <w:rFonts w:ascii="Courier" w:hAnsi="Courier"/>
      <w:sz w:val="24"/>
    </w:rPr>
  </w:style>
  <w:style w:type="character" w:customStyle="1" w:styleId="DocInit">
    <w:name w:val="Doc Init"/>
    <w:basedOn w:val="DefaultParagraphFont"/>
    <w:rsid w:val="000F6365"/>
  </w:style>
  <w:style w:type="character" w:customStyle="1" w:styleId="TechInit">
    <w:name w:val="Tech Init"/>
    <w:basedOn w:val="DefaultParagraphFont"/>
    <w:rsid w:val="000F6365"/>
    <w:rPr>
      <w:rFonts w:ascii="Courier" w:hAnsi="Courier"/>
      <w:noProof w:val="0"/>
      <w:sz w:val="24"/>
      <w:lang w:val="en-US"/>
    </w:rPr>
  </w:style>
  <w:style w:type="paragraph" w:customStyle="1" w:styleId="Technical5">
    <w:name w:val="Technical 5"/>
    <w:rsid w:val="000F6365"/>
    <w:pPr>
      <w:tabs>
        <w:tab w:val="left" w:pos="-720"/>
      </w:tabs>
      <w:suppressAutoHyphens/>
      <w:ind w:firstLine="720"/>
    </w:pPr>
    <w:rPr>
      <w:rFonts w:ascii="Courier" w:hAnsi="Courier"/>
      <w:b/>
      <w:sz w:val="24"/>
    </w:rPr>
  </w:style>
  <w:style w:type="paragraph" w:customStyle="1" w:styleId="Technical6">
    <w:name w:val="Technical 6"/>
    <w:rsid w:val="000F6365"/>
    <w:pPr>
      <w:tabs>
        <w:tab w:val="left" w:pos="-720"/>
      </w:tabs>
      <w:suppressAutoHyphens/>
      <w:ind w:firstLine="720"/>
    </w:pPr>
    <w:rPr>
      <w:rFonts w:ascii="Courier" w:hAnsi="Courier"/>
      <w:b/>
      <w:sz w:val="24"/>
    </w:rPr>
  </w:style>
  <w:style w:type="character" w:customStyle="1" w:styleId="Technical2">
    <w:name w:val="Technical 2"/>
    <w:basedOn w:val="DefaultParagraphFont"/>
    <w:rsid w:val="000F6365"/>
    <w:rPr>
      <w:rFonts w:ascii="Courier" w:hAnsi="Courier"/>
      <w:noProof w:val="0"/>
      <w:sz w:val="24"/>
      <w:lang w:val="en-US"/>
    </w:rPr>
  </w:style>
  <w:style w:type="character" w:customStyle="1" w:styleId="Technical3">
    <w:name w:val="Technical 3"/>
    <w:basedOn w:val="DefaultParagraphFont"/>
    <w:rsid w:val="000F6365"/>
    <w:rPr>
      <w:rFonts w:ascii="Courier" w:hAnsi="Courier"/>
      <w:noProof w:val="0"/>
      <w:sz w:val="24"/>
      <w:lang w:val="en-US"/>
    </w:rPr>
  </w:style>
  <w:style w:type="paragraph" w:customStyle="1" w:styleId="Technical4">
    <w:name w:val="Technical 4"/>
    <w:rsid w:val="000F6365"/>
    <w:pPr>
      <w:tabs>
        <w:tab w:val="left" w:pos="-720"/>
      </w:tabs>
      <w:suppressAutoHyphens/>
    </w:pPr>
    <w:rPr>
      <w:rFonts w:ascii="Courier" w:hAnsi="Courier"/>
      <w:b/>
      <w:sz w:val="24"/>
    </w:rPr>
  </w:style>
  <w:style w:type="character" w:customStyle="1" w:styleId="Technical1">
    <w:name w:val="Technical 1"/>
    <w:basedOn w:val="DefaultParagraphFont"/>
    <w:rsid w:val="000F6365"/>
    <w:rPr>
      <w:rFonts w:ascii="Courier" w:hAnsi="Courier"/>
      <w:noProof w:val="0"/>
      <w:sz w:val="24"/>
      <w:lang w:val="en-US"/>
    </w:rPr>
  </w:style>
  <w:style w:type="paragraph" w:customStyle="1" w:styleId="Technical7">
    <w:name w:val="Technical 7"/>
    <w:rsid w:val="000F6365"/>
    <w:pPr>
      <w:tabs>
        <w:tab w:val="left" w:pos="-720"/>
      </w:tabs>
      <w:suppressAutoHyphens/>
      <w:ind w:firstLine="720"/>
    </w:pPr>
    <w:rPr>
      <w:rFonts w:ascii="Courier" w:hAnsi="Courier"/>
      <w:b/>
      <w:sz w:val="24"/>
    </w:rPr>
  </w:style>
  <w:style w:type="paragraph" w:customStyle="1" w:styleId="Technical8">
    <w:name w:val="Technical 8"/>
    <w:rsid w:val="000F6365"/>
    <w:pPr>
      <w:tabs>
        <w:tab w:val="left" w:pos="-720"/>
      </w:tabs>
      <w:suppressAutoHyphens/>
      <w:ind w:firstLine="720"/>
    </w:pPr>
    <w:rPr>
      <w:rFonts w:ascii="Courier" w:hAnsi="Courier"/>
      <w:b/>
      <w:sz w:val="24"/>
    </w:rPr>
  </w:style>
  <w:style w:type="paragraph" w:styleId="TOC1">
    <w:name w:val="toc 1"/>
    <w:basedOn w:val="Normal"/>
    <w:next w:val="Normal"/>
    <w:semiHidden/>
    <w:rsid w:val="000F6365"/>
    <w:pPr>
      <w:tabs>
        <w:tab w:val="right" w:leader="dot" w:pos="9360"/>
      </w:tabs>
      <w:suppressAutoHyphens/>
      <w:spacing w:before="480"/>
      <w:ind w:left="720" w:right="720" w:hanging="720"/>
    </w:pPr>
  </w:style>
  <w:style w:type="paragraph" w:styleId="TOC2">
    <w:name w:val="toc 2"/>
    <w:basedOn w:val="Normal"/>
    <w:next w:val="Normal"/>
    <w:semiHidden/>
    <w:rsid w:val="000F6365"/>
    <w:pPr>
      <w:tabs>
        <w:tab w:val="right" w:leader="dot" w:pos="9360"/>
      </w:tabs>
      <w:suppressAutoHyphens/>
      <w:ind w:left="1440" w:right="720" w:hanging="720"/>
    </w:pPr>
  </w:style>
  <w:style w:type="paragraph" w:styleId="TOC3">
    <w:name w:val="toc 3"/>
    <w:basedOn w:val="Normal"/>
    <w:next w:val="Normal"/>
    <w:semiHidden/>
    <w:rsid w:val="000F6365"/>
    <w:pPr>
      <w:tabs>
        <w:tab w:val="right" w:leader="dot" w:pos="9360"/>
      </w:tabs>
      <w:suppressAutoHyphens/>
      <w:ind w:left="2160" w:right="720" w:hanging="720"/>
    </w:pPr>
  </w:style>
  <w:style w:type="paragraph" w:styleId="TOC4">
    <w:name w:val="toc 4"/>
    <w:basedOn w:val="Normal"/>
    <w:next w:val="Normal"/>
    <w:semiHidden/>
    <w:rsid w:val="000F6365"/>
    <w:pPr>
      <w:tabs>
        <w:tab w:val="right" w:leader="dot" w:pos="9360"/>
      </w:tabs>
      <w:suppressAutoHyphens/>
      <w:ind w:left="2880" w:right="720" w:hanging="720"/>
    </w:pPr>
  </w:style>
  <w:style w:type="paragraph" w:styleId="TOC5">
    <w:name w:val="toc 5"/>
    <w:basedOn w:val="Normal"/>
    <w:next w:val="Normal"/>
    <w:semiHidden/>
    <w:rsid w:val="000F6365"/>
    <w:pPr>
      <w:tabs>
        <w:tab w:val="right" w:leader="dot" w:pos="9360"/>
      </w:tabs>
      <w:suppressAutoHyphens/>
      <w:ind w:left="3600" w:right="720" w:hanging="720"/>
    </w:pPr>
  </w:style>
  <w:style w:type="paragraph" w:styleId="TOC6">
    <w:name w:val="toc 6"/>
    <w:basedOn w:val="Normal"/>
    <w:next w:val="Normal"/>
    <w:semiHidden/>
    <w:rsid w:val="000F6365"/>
    <w:pPr>
      <w:tabs>
        <w:tab w:val="right" w:pos="9360"/>
      </w:tabs>
      <w:suppressAutoHyphens/>
      <w:ind w:left="720" w:hanging="720"/>
    </w:pPr>
  </w:style>
  <w:style w:type="paragraph" w:styleId="TOC7">
    <w:name w:val="toc 7"/>
    <w:basedOn w:val="Normal"/>
    <w:next w:val="Normal"/>
    <w:semiHidden/>
    <w:rsid w:val="000F6365"/>
    <w:pPr>
      <w:suppressAutoHyphens/>
      <w:ind w:left="720" w:hanging="720"/>
    </w:pPr>
  </w:style>
  <w:style w:type="paragraph" w:styleId="TOC8">
    <w:name w:val="toc 8"/>
    <w:basedOn w:val="Normal"/>
    <w:next w:val="Normal"/>
    <w:semiHidden/>
    <w:rsid w:val="000F6365"/>
    <w:pPr>
      <w:tabs>
        <w:tab w:val="right" w:pos="9360"/>
      </w:tabs>
      <w:suppressAutoHyphens/>
      <w:ind w:left="720" w:hanging="720"/>
    </w:pPr>
  </w:style>
  <w:style w:type="paragraph" w:styleId="TOC9">
    <w:name w:val="toc 9"/>
    <w:basedOn w:val="Normal"/>
    <w:next w:val="Normal"/>
    <w:semiHidden/>
    <w:rsid w:val="000F6365"/>
    <w:pPr>
      <w:tabs>
        <w:tab w:val="right" w:leader="dot" w:pos="9360"/>
      </w:tabs>
      <w:suppressAutoHyphens/>
      <w:ind w:left="720" w:hanging="720"/>
    </w:pPr>
  </w:style>
  <w:style w:type="paragraph" w:styleId="Index1">
    <w:name w:val="index 1"/>
    <w:basedOn w:val="Normal"/>
    <w:next w:val="Normal"/>
    <w:semiHidden/>
    <w:rsid w:val="000F6365"/>
    <w:pPr>
      <w:tabs>
        <w:tab w:val="right" w:leader="dot" w:pos="9360"/>
      </w:tabs>
      <w:suppressAutoHyphens/>
      <w:ind w:left="1440" w:right="720" w:hanging="1440"/>
    </w:pPr>
  </w:style>
  <w:style w:type="paragraph" w:styleId="Index2">
    <w:name w:val="index 2"/>
    <w:basedOn w:val="Normal"/>
    <w:next w:val="Normal"/>
    <w:semiHidden/>
    <w:rsid w:val="000F6365"/>
    <w:pPr>
      <w:tabs>
        <w:tab w:val="right" w:leader="dot" w:pos="9360"/>
      </w:tabs>
      <w:suppressAutoHyphens/>
      <w:ind w:left="1440" w:right="720" w:hanging="720"/>
    </w:pPr>
  </w:style>
  <w:style w:type="paragraph" w:styleId="TOAHeading">
    <w:name w:val="toa heading"/>
    <w:basedOn w:val="Normal"/>
    <w:next w:val="Normal"/>
    <w:semiHidden/>
    <w:rsid w:val="000F6365"/>
    <w:pPr>
      <w:tabs>
        <w:tab w:val="right" w:pos="9360"/>
      </w:tabs>
      <w:suppressAutoHyphens/>
    </w:pPr>
  </w:style>
  <w:style w:type="paragraph" w:styleId="Caption">
    <w:name w:val="caption"/>
    <w:basedOn w:val="Normal"/>
    <w:next w:val="Normal"/>
    <w:qFormat/>
    <w:rsid w:val="000F6365"/>
  </w:style>
  <w:style w:type="character" w:customStyle="1" w:styleId="EquationCaption">
    <w:name w:val="_Equation Caption"/>
    <w:rsid w:val="000F6365"/>
  </w:style>
  <w:style w:type="paragraph" w:styleId="BodyTextIndent">
    <w:name w:val="Body Text Indent"/>
    <w:basedOn w:val="Normal"/>
    <w:link w:val="BodyTextIndentChar"/>
    <w:rsid w:val="00F5556C"/>
    <w:pPr>
      <w:ind w:left="720" w:hanging="720"/>
    </w:pPr>
    <w:rPr>
      <w:rFonts w:ascii="Times New Roman" w:hAnsi="Times New Roman"/>
      <w:szCs w:val="24"/>
    </w:rPr>
  </w:style>
  <w:style w:type="character" w:customStyle="1" w:styleId="BodyTextIndentChar">
    <w:name w:val="Body Text Indent Char"/>
    <w:basedOn w:val="DefaultParagraphFont"/>
    <w:link w:val="BodyTextIndent"/>
    <w:rsid w:val="00F5556C"/>
    <w:rPr>
      <w:sz w:val="24"/>
      <w:szCs w:val="24"/>
    </w:rPr>
  </w:style>
  <w:style w:type="paragraph" w:styleId="Header">
    <w:name w:val="header"/>
    <w:basedOn w:val="Normal"/>
    <w:link w:val="HeaderChar"/>
    <w:uiPriority w:val="99"/>
    <w:semiHidden/>
    <w:unhideWhenUsed/>
    <w:rsid w:val="001128C7"/>
    <w:pPr>
      <w:tabs>
        <w:tab w:val="center" w:pos="4680"/>
        <w:tab w:val="right" w:pos="9360"/>
      </w:tabs>
    </w:pPr>
  </w:style>
  <w:style w:type="character" w:customStyle="1" w:styleId="HeaderChar">
    <w:name w:val="Header Char"/>
    <w:basedOn w:val="DefaultParagraphFont"/>
    <w:link w:val="Header"/>
    <w:uiPriority w:val="99"/>
    <w:semiHidden/>
    <w:rsid w:val="001128C7"/>
    <w:rPr>
      <w:rFonts w:ascii="Courier" w:hAnsi="Courier"/>
      <w:sz w:val="24"/>
    </w:rPr>
  </w:style>
  <w:style w:type="paragraph" w:styleId="Footer">
    <w:name w:val="footer"/>
    <w:basedOn w:val="Normal"/>
    <w:link w:val="FooterChar"/>
    <w:uiPriority w:val="99"/>
    <w:unhideWhenUsed/>
    <w:rsid w:val="001128C7"/>
    <w:pPr>
      <w:tabs>
        <w:tab w:val="center" w:pos="4680"/>
        <w:tab w:val="right" w:pos="9360"/>
      </w:tabs>
    </w:pPr>
  </w:style>
  <w:style w:type="character" w:customStyle="1" w:styleId="FooterChar">
    <w:name w:val="Footer Char"/>
    <w:basedOn w:val="DefaultParagraphFont"/>
    <w:link w:val="Footer"/>
    <w:uiPriority w:val="99"/>
    <w:rsid w:val="001128C7"/>
    <w:rPr>
      <w:rFonts w:ascii="Courier" w:hAnsi="Courier"/>
      <w:sz w:val="24"/>
    </w:rPr>
  </w:style>
</w:styles>
</file>

<file path=word/webSettings.xml><?xml version="1.0" encoding="utf-8"?>
<w:webSettings xmlns:r="http://schemas.openxmlformats.org/officeDocument/2006/relationships" xmlns:w="http://schemas.openxmlformats.org/wordprocessingml/2006/main">
  <w:divs>
    <w:div w:id="942883577">
      <w:bodyDiv w:val="1"/>
      <w:marLeft w:val="0"/>
      <w:marRight w:val="0"/>
      <w:marTop w:val="0"/>
      <w:marBottom w:val="0"/>
      <w:divBdr>
        <w:top w:val="none" w:sz="0" w:space="0" w:color="auto"/>
        <w:left w:val="none" w:sz="0" w:space="0" w:color="auto"/>
        <w:bottom w:val="none" w:sz="0" w:space="0" w:color="auto"/>
        <w:right w:val="none" w:sz="0" w:space="0" w:color="auto"/>
      </w:divBdr>
    </w:div>
    <w:div w:id="1205293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11</Pages>
  <Words>3565</Words>
  <Characters>19926</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domestic options  paperwork red. act [WP]</vt:lpstr>
    </vt:vector>
  </TitlesOfParts>
  <Company>CFTC</Company>
  <LinksUpToDate>false</LinksUpToDate>
  <CharactersWithSpaces>23445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domestic options  paperwork red. act [WP]</dc:title>
  <dc:creator>cftc</dc:creator>
  <cp:lastModifiedBy>VHill</cp:lastModifiedBy>
  <cp:revision>2</cp:revision>
  <cp:lastPrinted>2010-10-28T19:50:00Z</cp:lastPrinted>
  <dcterms:created xsi:type="dcterms:W3CDTF">2011-07-25T22:20:00Z</dcterms:created>
  <dcterms:modified xsi:type="dcterms:W3CDTF">2011-07-25T22:20:00Z</dcterms:modified>
</cp:coreProperties>
</file>