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26" w:rsidRDefault="00F96426" w:rsidP="00F96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Justification for Change</w:t>
      </w:r>
    </w:p>
    <w:p w:rsidR="00F96426" w:rsidRDefault="00F96426" w:rsidP="00F96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NORTHEAST REGION PERMIT FAMILY OF FORMS</w:t>
      </w:r>
    </w:p>
    <w:p w:rsidR="00F96426" w:rsidRDefault="00F96426" w:rsidP="00F96426">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OMB CONTROL NO.</w:t>
      </w:r>
      <w:proofErr w:type="gramEnd"/>
      <w:r>
        <w:rPr>
          <w:rFonts w:ascii="Times New Roman" w:hAnsi="Times New Roman" w:cs="Times New Roman"/>
          <w:b/>
          <w:bCs/>
          <w:color w:val="000000"/>
          <w:sz w:val="24"/>
          <w:szCs w:val="24"/>
        </w:rPr>
        <w:t xml:space="preserve"> 0648-0202</w:t>
      </w:r>
    </w:p>
    <w:p w:rsidR="002063D1" w:rsidRDefault="002063D1" w:rsidP="00F96426">
      <w:pPr>
        <w:autoSpaceDE w:val="0"/>
        <w:autoSpaceDN w:val="0"/>
        <w:adjustRightInd w:val="0"/>
        <w:spacing w:after="0" w:line="240" w:lineRule="auto"/>
        <w:jc w:val="center"/>
        <w:rPr>
          <w:rFonts w:ascii="Times New Roman" w:hAnsi="Times New Roman" w:cs="Times New Roman"/>
          <w:b/>
          <w:bCs/>
          <w:color w:val="000000"/>
          <w:sz w:val="24"/>
          <w:szCs w:val="24"/>
        </w:rPr>
      </w:pPr>
    </w:p>
    <w:p w:rsidR="00F96426" w:rsidRDefault="00F96426" w:rsidP="000A6053">
      <w:pPr>
        <w:autoSpaceDE w:val="0"/>
        <w:autoSpaceDN w:val="0"/>
        <w:adjustRightInd w:val="0"/>
        <w:spacing w:after="0" w:line="240" w:lineRule="auto"/>
        <w:jc w:val="center"/>
        <w:rPr>
          <w:rFonts w:ascii="Times New Roman" w:hAnsi="Times New Roman" w:cs="Times New Roman"/>
          <w:b/>
          <w:bCs/>
          <w:color w:val="000000"/>
          <w:sz w:val="24"/>
          <w:szCs w:val="24"/>
        </w:rPr>
      </w:pPr>
    </w:p>
    <w:p w:rsidR="00F40209" w:rsidRDefault="00345F18" w:rsidP="000A60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part of Final Rule 0648-BA79, </w:t>
      </w:r>
      <w:r w:rsidR="002063D1">
        <w:rPr>
          <w:rFonts w:ascii="Times New Roman" w:hAnsi="Times New Roman" w:cs="Times New Roman"/>
          <w:color w:val="000000"/>
          <w:sz w:val="24"/>
          <w:szCs w:val="24"/>
        </w:rPr>
        <w:t xml:space="preserve">NOAA’s </w:t>
      </w:r>
      <w:r w:rsidR="00F96426" w:rsidRPr="0020031F">
        <w:rPr>
          <w:rFonts w:ascii="Times New Roman" w:hAnsi="Times New Roman" w:cs="Times New Roman"/>
          <w:color w:val="000000"/>
          <w:sz w:val="24"/>
          <w:szCs w:val="24"/>
        </w:rPr>
        <w:t xml:space="preserve">National Marine Fisheries Services (NMFS) proposes to </w:t>
      </w:r>
      <w:r w:rsidR="00D577A1" w:rsidRPr="0020031F">
        <w:rPr>
          <w:rFonts w:ascii="Times New Roman" w:hAnsi="Times New Roman" w:cs="Times New Roman"/>
          <w:color w:val="000000"/>
          <w:sz w:val="24"/>
          <w:szCs w:val="24"/>
        </w:rPr>
        <w:t>increase</w:t>
      </w:r>
      <w:r w:rsidR="00F40209" w:rsidRPr="0020031F">
        <w:rPr>
          <w:rFonts w:ascii="Times New Roman" w:hAnsi="Times New Roman" w:cs="Times New Roman"/>
          <w:color w:val="000000"/>
          <w:sz w:val="24"/>
          <w:szCs w:val="24"/>
        </w:rPr>
        <w:t xml:space="preserve"> catch </w:t>
      </w:r>
      <w:r w:rsidR="00951299" w:rsidRPr="0020031F">
        <w:rPr>
          <w:rFonts w:ascii="Times New Roman" w:hAnsi="Times New Roman" w:cs="Times New Roman"/>
          <w:color w:val="000000"/>
          <w:sz w:val="24"/>
          <w:szCs w:val="24"/>
        </w:rPr>
        <w:t xml:space="preserve">reporting in the herring fishery through the </w:t>
      </w:r>
      <w:r w:rsidR="00D577A1" w:rsidRPr="0020031F">
        <w:rPr>
          <w:rFonts w:ascii="Times New Roman" w:hAnsi="Times New Roman" w:cs="Times New Roman"/>
          <w:color w:val="000000"/>
          <w:sz w:val="24"/>
          <w:szCs w:val="24"/>
        </w:rPr>
        <w:t xml:space="preserve">submission of daily catch reports using </w:t>
      </w:r>
      <w:r w:rsidR="00F96426" w:rsidRPr="0020031F">
        <w:rPr>
          <w:rFonts w:ascii="Times New Roman" w:hAnsi="Times New Roman" w:cs="Times New Roman"/>
          <w:color w:val="000000"/>
          <w:sz w:val="24"/>
          <w:szCs w:val="24"/>
        </w:rPr>
        <w:t>vessel monitoring systems (VMS)</w:t>
      </w:r>
      <w:r w:rsidR="00951299" w:rsidRPr="0020031F">
        <w:rPr>
          <w:rFonts w:ascii="Times New Roman" w:hAnsi="Times New Roman" w:cs="Times New Roman"/>
          <w:color w:val="000000"/>
          <w:sz w:val="24"/>
          <w:szCs w:val="24"/>
        </w:rPr>
        <w:t xml:space="preserve">.  </w:t>
      </w:r>
      <w:r w:rsidR="00B254F6" w:rsidRPr="0020031F">
        <w:rPr>
          <w:rFonts w:ascii="Times New Roman" w:hAnsi="Times New Roman" w:cs="Times New Roman"/>
          <w:color w:val="000000"/>
          <w:sz w:val="24"/>
          <w:szCs w:val="24"/>
        </w:rPr>
        <w:t xml:space="preserve">  </w:t>
      </w:r>
      <w:r w:rsidR="00951299" w:rsidRPr="0020031F">
        <w:rPr>
          <w:rFonts w:ascii="Times New Roman" w:hAnsi="Times New Roman" w:cs="Times New Roman"/>
          <w:sz w:val="24"/>
          <w:szCs w:val="24"/>
        </w:rPr>
        <w:t>The MSA (402(a</w:t>
      </w:r>
      <w:proofErr w:type="gramStart"/>
      <w:r w:rsidR="00951299" w:rsidRPr="0020031F">
        <w:rPr>
          <w:rFonts w:ascii="Times New Roman" w:hAnsi="Times New Roman" w:cs="Times New Roman"/>
          <w:sz w:val="24"/>
          <w:szCs w:val="24"/>
        </w:rPr>
        <w:t>)(</w:t>
      </w:r>
      <w:proofErr w:type="gramEnd"/>
      <w:r w:rsidR="00951299" w:rsidRPr="0020031F">
        <w:rPr>
          <w:rFonts w:ascii="Times New Roman" w:hAnsi="Times New Roman" w:cs="Times New Roman"/>
          <w:sz w:val="24"/>
          <w:szCs w:val="24"/>
        </w:rPr>
        <w:t>2)), in conjunction with regulations at 50 CFR Part 648.7, provide NMFS with the authority to revise fishery reporting requirements as necessary to monitor an F</w:t>
      </w:r>
      <w:r w:rsidR="004414CE">
        <w:rPr>
          <w:rFonts w:ascii="Times New Roman" w:hAnsi="Times New Roman" w:cs="Times New Roman"/>
          <w:sz w:val="24"/>
          <w:szCs w:val="24"/>
        </w:rPr>
        <w:t xml:space="preserve">ishery </w:t>
      </w:r>
      <w:r w:rsidR="00951299" w:rsidRPr="0020031F">
        <w:rPr>
          <w:rFonts w:ascii="Times New Roman" w:hAnsi="Times New Roman" w:cs="Times New Roman"/>
          <w:sz w:val="24"/>
          <w:szCs w:val="24"/>
        </w:rPr>
        <w:t>M</w:t>
      </w:r>
      <w:r w:rsidR="004414CE">
        <w:rPr>
          <w:rFonts w:ascii="Times New Roman" w:hAnsi="Times New Roman" w:cs="Times New Roman"/>
          <w:sz w:val="24"/>
          <w:szCs w:val="24"/>
        </w:rPr>
        <w:t xml:space="preserve">anagement </w:t>
      </w:r>
      <w:r w:rsidR="00951299" w:rsidRPr="0020031F">
        <w:rPr>
          <w:rFonts w:ascii="Times New Roman" w:hAnsi="Times New Roman" w:cs="Times New Roman"/>
          <w:sz w:val="24"/>
          <w:szCs w:val="24"/>
        </w:rPr>
        <w:t>P</w:t>
      </w:r>
      <w:r w:rsidR="004414CE">
        <w:rPr>
          <w:rFonts w:ascii="Times New Roman" w:hAnsi="Times New Roman" w:cs="Times New Roman"/>
          <w:sz w:val="24"/>
          <w:szCs w:val="24"/>
        </w:rPr>
        <w:t>lan</w:t>
      </w:r>
      <w:r w:rsidR="00951299" w:rsidRPr="0020031F">
        <w:rPr>
          <w:rFonts w:ascii="Times New Roman" w:hAnsi="Times New Roman" w:cs="Times New Roman"/>
          <w:sz w:val="24"/>
          <w:szCs w:val="24"/>
        </w:rPr>
        <w:t xml:space="preserve">.  Recognizing the importance of timely catch information to better monitor herring catch against the stock-wide herring </w:t>
      </w:r>
      <w:r w:rsidR="004414CE" w:rsidRPr="004414CE">
        <w:rPr>
          <w:rFonts w:ascii="Times New Roman" w:hAnsi="Times New Roman" w:cs="Times New Roman"/>
          <w:sz w:val="24"/>
          <w:szCs w:val="24"/>
        </w:rPr>
        <w:t xml:space="preserve">annual catch limit </w:t>
      </w:r>
      <w:r w:rsidR="004414CE">
        <w:rPr>
          <w:rFonts w:ascii="Times New Roman" w:hAnsi="Times New Roman" w:cs="Times New Roman"/>
          <w:sz w:val="24"/>
          <w:szCs w:val="24"/>
        </w:rPr>
        <w:t>(</w:t>
      </w:r>
      <w:r w:rsidR="00951299" w:rsidRPr="0020031F">
        <w:rPr>
          <w:rFonts w:ascii="Times New Roman" w:hAnsi="Times New Roman" w:cs="Times New Roman"/>
          <w:sz w:val="24"/>
          <w:szCs w:val="24"/>
        </w:rPr>
        <w:t>ACL</w:t>
      </w:r>
      <w:r w:rsidR="004414CE">
        <w:rPr>
          <w:rFonts w:ascii="Times New Roman" w:hAnsi="Times New Roman" w:cs="Times New Roman"/>
          <w:sz w:val="24"/>
          <w:szCs w:val="24"/>
        </w:rPr>
        <w:t>)</w:t>
      </w:r>
      <w:r w:rsidR="00951299" w:rsidRPr="0020031F">
        <w:rPr>
          <w:rFonts w:ascii="Times New Roman" w:hAnsi="Times New Roman" w:cs="Times New Roman"/>
          <w:sz w:val="24"/>
          <w:szCs w:val="24"/>
        </w:rPr>
        <w:t xml:space="preserve"> and management areas sub-ACLs, as well as helping prevent sub-ACL overages, NMFS proposes increasing the frequency of catch reporting in the herring fishery. </w:t>
      </w:r>
    </w:p>
    <w:p w:rsidR="0020031F" w:rsidRPr="0020031F" w:rsidRDefault="0020031F" w:rsidP="000A6053">
      <w:pPr>
        <w:autoSpaceDE w:val="0"/>
        <w:autoSpaceDN w:val="0"/>
        <w:adjustRightInd w:val="0"/>
        <w:spacing w:after="0" w:line="240" w:lineRule="auto"/>
        <w:rPr>
          <w:rFonts w:ascii="Times New Roman" w:hAnsi="Times New Roman" w:cs="Times New Roman"/>
          <w:color w:val="000000"/>
          <w:sz w:val="24"/>
          <w:szCs w:val="24"/>
        </w:rPr>
      </w:pPr>
    </w:p>
    <w:p w:rsidR="0020031F" w:rsidRDefault="00F40209" w:rsidP="000A6053">
      <w:pPr>
        <w:autoSpaceDE w:val="0"/>
        <w:autoSpaceDN w:val="0"/>
        <w:adjustRightInd w:val="0"/>
        <w:spacing w:after="0" w:line="240" w:lineRule="auto"/>
        <w:rPr>
          <w:rFonts w:ascii="Times New Roman" w:hAnsi="Times New Roman" w:cs="Times New Roman"/>
          <w:sz w:val="24"/>
          <w:szCs w:val="24"/>
        </w:rPr>
      </w:pPr>
      <w:r w:rsidRPr="0020031F">
        <w:rPr>
          <w:rFonts w:ascii="Times New Roman" w:hAnsi="Times New Roman" w:cs="Times New Roman"/>
          <w:sz w:val="24"/>
          <w:szCs w:val="24"/>
        </w:rPr>
        <w:t xml:space="preserve">To ensure timely catch data are available to better inform management decisions, </w:t>
      </w:r>
      <w:r w:rsidR="00DC51A0" w:rsidRPr="00DC51A0">
        <w:rPr>
          <w:rFonts w:ascii="Times New Roman" w:hAnsi="Times New Roman" w:cs="Times New Roman"/>
          <w:b/>
          <w:sz w:val="24"/>
          <w:szCs w:val="24"/>
        </w:rPr>
        <w:t xml:space="preserve">NMFS proposes that owner/operators of vessels issued  limited access herring permits (Categories A-C) be required to report herring catch, retained and discarded, daily via VMS. </w:t>
      </w:r>
      <w:r w:rsidRPr="0020031F">
        <w:rPr>
          <w:rFonts w:ascii="Times New Roman" w:hAnsi="Times New Roman" w:cs="Times New Roman"/>
          <w:sz w:val="24"/>
          <w:szCs w:val="24"/>
        </w:rPr>
        <w:t xml:space="preserve"> Daily catch reports would include the following information: Vessel name, </w:t>
      </w:r>
      <w:r w:rsidR="004414CE">
        <w:rPr>
          <w:rFonts w:ascii="Times New Roman" w:hAnsi="Times New Roman" w:cs="Times New Roman"/>
          <w:sz w:val="24"/>
          <w:szCs w:val="24"/>
        </w:rPr>
        <w:t>vessel trip report</w:t>
      </w:r>
      <w:r w:rsidR="004414CE" w:rsidRPr="004414CE">
        <w:rPr>
          <w:rFonts w:ascii="Times New Roman" w:hAnsi="Times New Roman" w:cs="Times New Roman"/>
          <w:sz w:val="24"/>
          <w:szCs w:val="24"/>
        </w:rPr>
        <w:t xml:space="preserve"> </w:t>
      </w:r>
      <w:r w:rsidR="004414CE">
        <w:rPr>
          <w:rFonts w:ascii="Times New Roman" w:hAnsi="Times New Roman" w:cs="Times New Roman"/>
          <w:sz w:val="24"/>
          <w:szCs w:val="24"/>
        </w:rPr>
        <w:t xml:space="preserve">(VTR) </w:t>
      </w:r>
      <w:r w:rsidRPr="0020031F">
        <w:rPr>
          <w:rFonts w:ascii="Times New Roman" w:hAnsi="Times New Roman" w:cs="Times New Roman"/>
          <w:sz w:val="24"/>
          <w:szCs w:val="24"/>
        </w:rPr>
        <w:t>serial number, date, and the amount</w:t>
      </w:r>
      <w:r w:rsidR="00410803">
        <w:rPr>
          <w:rFonts w:ascii="Times New Roman" w:hAnsi="Times New Roman" w:cs="Times New Roman"/>
          <w:sz w:val="24"/>
          <w:szCs w:val="24"/>
        </w:rPr>
        <w:t>s</w:t>
      </w:r>
      <w:r w:rsidRPr="0020031F">
        <w:rPr>
          <w:rFonts w:ascii="Times New Roman" w:hAnsi="Times New Roman" w:cs="Times New Roman"/>
          <w:sz w:val="24"/>
          <w:szCs w:val="24"/>
        </w:rPr>
        <w:t xml:space="preserve"> of herring retained and discarded from each management area.   This requirement is consistent with daily reporting requirements for owner/operators of vessels issued Northeast multispecies permits engaged in fishing in U.S./Canada management areas</w:t>
      </w:r>
      <w:r w:rsidR="00FE0977">
        <w:rPr>
          <w:rFonts w:ascii="Times New Roman" w:hAnsi="Times New Roman" w:cs="Times New Roman"/>
          <w:sz w:val="24"/>
          <w:szCs w:val="24"/>
        </w:rPr>
        <w:t xml:space="preserve"> and special access programs.  </w:t>
      </w:r>
      <w:r w:rsidR="00EC6F87">
        <w:rPr>
          <w:rFonts w:ascii="Times New Roman" w:hAnsi="Times New Roman" w:cs="Times New Roman"/>
          <w:sz w:val="24"/>
          <w:szCs w:val="24"/>
        </w:rPr>
        <w:t xml:space="preserve">The proposed catch reporting changes </w:t>
      </w:r>
      <w:r w:rsidR="0020031F" w:rsidRPr="0020031F">
        <w:rPr>
          <w:rFonts w:ascii="Times New Roman" w:hAnsi="Times New Roman" w:cs="Times New Roman"/>
          <w:sz w:val="24"/>
          <w:szCs w:val="24"/>
        </w:rPr>
        <w:t xml:space="preserve">will increase </w:t>
      </w:r>
      <w:r w:rsidR="00087CE7">
        <w:rPr>
          <w:rFonts w:ascii="Times New Roman" w:hAnsi="Times New Roman" w:cs="Times New Roman"/>
          <w:sz w:val="24"/>
          <w:szCs w:val="24"/>
        </w:rPr>
        <w:t xml:space="preserve">information </w:t>
      </w:r>
      <w:r w:rsidR="00EC6F87">
        <w:rPr>
          <w:rFonts w:ascii="Times New Roman" w:hAnsi="Times New Roman" w:cs="Times New Roman"/>
          <w:sz w:val="24"/>
          <w:szCs w:val="24"/>
        </w:rPr>
        <w:t xml:space="preserve">vessel owner/operators </w:t>
      </w:r>
      <w:r w:rsidR="0020031F" w:rsidRPr="0020031F">
        <w:rPr>
          <w:rFonts w:ascii="Times New Roman" w:hAnsi="Times New Roman" w:cs="Times New Roman"/>
          <w:sz w:val="24"/>
          <w:szCs w:val="24"/>
        </w:rPr>
        <w:t>must report through their VMS units.  As all herring limited access permit holders are already required to own and maintain VMS units</w:t>
      </w:r>
      <w:r w:rsidR="00EC6F87">
        <w:rPr>
          <w:rFonts w:ascii="Times New Roman" w:hAnsi="Times New Roman" w:cs="Times New Roman"/>
          <w:sz w:val="24"/>
          <w:szCs w:val="24"/>
        </w:rPr>
        <w:t xml:space="preserve"> according to </w:t>
      </w:r>
      <w:r w:rsidR="008948B8">
        <w:rPr>
          <w:rFonts w:ascii="Times New Roman" w:hAnsi="Times New Roman" w:cs="Times New Roman"/>
          <w:sz w:val="24"/>
          <w:szCs w:val="24"/>
        </w:rPr>
        <w:t xml:space="preserve">the regulations at </w:t>
      </w:r>
      <w:r w:rsidR="00EC6F87">
        <w:rPr>
          <w:rFonts w:ascii="Times New Roman" w:hAnsi="Times New Roman" w:cs="Times New Roman"/>
          <w:sz w:val="24"/>
          <w:szCs w:val="24"/>
        </w:rPr>
        <w:t>§648.10(b</w:t>
      </w:r>
      <w:proofErr w:type="gramStart"/>
      <w:r w:rsidR="00EC6F87">
        <w:rPr>
          <w:rFonts w:ascii="Times New Roman" w:hAnsi="Times New Roman" w:cs="Times New Roman"/>
          <w:sz w:val="24"/>
          <w:szCs w:val="24"/>
        </w:rPr>
        <w:t>)(</w:t>
      </w:r>
      <w:proofErr w:type="gramEnd"/>
      <w:r w:rsidR="00EC6F87">
        <w:rPr>
          <w:rFonts w:ascii="Times New Roman" w:hAnsi="Times New Roman" w:cs="Times New Roman"/>
          <w:sz w:val="24"/>
          <w:szCs w:val="24"/>
        </w:rPr>
        <w:t>8)</w:t>
      </w:r>
      <w:r w:rsidR="0020031F" w:rsidRPr="0020031F">
        <w:rPr>
          <w:rFonts w:ascii="Times New Roman" w:hAnsi="Times New Roman" w:cs="Times New Roman"/>
          <w:sz w:val="24"/>
          <w:szCs w:val="24"/>
        </w:rPr>
        <w:t xml:space="preserve">, the burden to the limited access herring fishery will be minimal.  </w:t>
      </w:r>
    </w:p>
    <w:p w:rsidR="002465DD" w:rsidRDefault="002465DD" w:rsidP="000A6053">
      <w:pPr>
        <w:autoSpaceDE w:val="0"/>
        <w:autoSpaceDN w:val="0"/>
        <w:adjustRightInd w:val="0"/>
        <w:spacing w:after="0" w:line="240" w:lineRule="auto"/>
        <w:rPr>
          <w:rFonts w:ascii="Times New Roman" w:hAnsi="Times New Roman" w:cs="Times New Roman"/>
          <w:sz w:val="24"/>
          <w:szCs w:val="24"/>
        </w:rPr>
      </w:pPr>
    </w:p>
    <w:p w:rsidR="002947B7" w:rsidRDefault="00942BED" w:rsidP="000A60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burden table below shows the additional burden to the public from the proposed</w:t>
      </w:r>
      <w:r w:rsidR="00EC6F87">
        <w:rPr>
          <w:rFonts w:ascii="Times New Roman" w:hAnsi="Times New Roman" w:cs="Times New Roman"/>
          <w:sz w:val="24"/>
          <w:szCs w:val="24"/>
        </w:rPr>
        <w:t xml:space="preserve"> catch reporting requirements.  </w:t>
      </w:r>
      <w:r w:rsidR="00C575C9">
        <w:rPr>
          <w:rFonts w:ascii="Times New Roman" w:hAnsi="Times New Roman" w:cs="Times New Roman"/>
          <w:sz w:val="24"/>
          <w:szCs w:val="24"/>
        </w:rPr>
        <w:t>This requirement will</w:t>
      </w:r>
      <w:r w:rsidR="00BC11CE" w:rsidRPr="0020031F">
        <w:rPr>
          <w:rFonts w:ascii="Times New Roman" w:hAnsi="Times New Roman" w:cs="Times New Roman"/>
          <w:sz w:val="24"/>
          <w:szCs w:val="24"/>
        </w:rPr>
        <w:t xml:space="preserve"> affect 97 vessel owner/operators (the number of permitted limited access herring vessels in 2010)</w:t>
      </w:r>
      <w:r w:rsidR="008948B8">
        <w:rPr>
          <w:rFonts w:ascii="Times New Roman" w:hAnsi="Times New Roman" w:cs="Times New Roman"/>
          <w:sz w:val="24"/>
          <w:szCs w:val="24"/>
        </w:rPr>
        <w:t>,</w:t>
      </w:r>
      <w:r w:rsidR="002465DD">
        <w:rPr>
          <w:rFonts w:ascii="Times New Roman" w:hAnsi="Times New Roman" w:cs="Times New Roman"/>
          <w:sz w:val="24"/>
          <w:szCs w:val="24"/>
        </w:rPr>
        <w:t xml:space="preserve"> which would be required to submit a total of 3</w:t>
      </w:r>
      <w:r w:rsidR="00FE0977">
        <w:rPr>
          <w:rFonts w:ascii="Times New Roman" w:hAnsi="Times New Roman" w:cs="Times New Roman"/>
          <w:sz w:val="24"/>
          <w:szCs w:val="24"/>
        </w:rPr>
        <w:t>,</w:t>
      </w:r>
      <w:r w:rsidR="002465DD">
        <w:rPr>
          <w:rFonts w:ascii="Times New Roman" w:hAnsi="Times New Roman" w:cs="Times New Roman"/>
          <w:sz w:val="24"/>
          <w:szCs w:val="24"/>
        </w:rPr>
        <w:t xml:space="preserve">871 daily catch reports </w:t>
      </w:r>
      <w:r w:rsidR="008948B8">
        <w:rPr>
          <w:rFonts w:ascii="Times New Roman" w:hAnsi="Times New Roman" w:cs="Times New Roman"/>
          <w:sz w:val="24"/>
          <w:szCs w:val="24"/>
        </w:rPr>
        <w:t>annually</w:t>
      </w:r>
      <w:r w:rsidR="00C575C9">
        <w:rPr>
          <w:rFonts w:ascii="Times New Roman" w:hAnsi="Times New Roman" w:cs="Times New Roman"/>
          <w:sz w:val="24"/>
          <w:szCs w:val="24"/>
        </w:rPr>
        <w:t xml:space="preserve">.  Each submission </w:t>
      </w:r>
      <w:r w:rsidR="00DA493E">
        <w:rPr>
          <w:rFonts w:ascii="Times New Roman" w:hAnsi="Times New Roman" w:cs="Times New Roman"/>
          <w:sz w:val="24"/>
          <w:szCs w:val="24"/>
        </w:rPr>
        <w:t xml:space="preserve">of the herring catch report </w:t>
      </w:r>
      <w:r w:rsidR="002465DD">
        <w:rPr>
          <w:rFonts w:ascii="Times New Roman" w:hAnsi="Times New Roman" w:cs="Times New Roman"/>
          <w:sz w:val="24"/>
          <w:szCs w:val="24"/>
        </w:rPr>
        <w:t>w</w:t>
      </w:r>
      <w:r w:rsidR="00C575C9">
        <w:rPr>
          <w:rFonts w:ascii="Times New Roman" w:hAnsi="Times New Roman" w:cs="Times New Roman"/>
          <w:sz w:val="24"/>
          <w:szCs w:val="24"/>
        </w:rPr>
        <w:t>ill</w:t>
      </w:r>
      <w:r w:rsidR="002465DD">
        <w:rPr>
          <w:rFonts w:ascii="Times New Roman" w:hAnsi="Times New Roman" w:cs="Times New Roman"/>
          <w:sz w:val="24"/>
          <w:szCs w:val="24"/>
        </w:rPr>
        <w:t xml:space="preserve"> take </w:t>
      </w:r>
    </w:p>
    <w:p w:rsidR="002465DD" w:rsidRDefault="002465DD" w:rsidP="000A60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minutes</w:t>
      </w:r>
      <w:r w:rsidR="00DA493E">
        <w:rPr>
          <w:rFonts w:ascii="Times New Roman" w:hAnsi="Times New Roman" w:cs="Times New Roman"/>
          <w:sz w:val="24"/>
          <w:szCs w:val="24"/>
        </w:rPr>
        <w:t>, and an additional 2 minutes if the vessel is also reporting all fish kept,</w:t>
      </w:r>
      <w:r>
        <w:rPr>
          <w:rFonts w:ascii="Times New Roman" w:hAnsi="Times New Roman" w:cs="Times New Roman"/>
          <w:sz w:val="24"/>
          <w:szCs w:val="24"/>
        </w:rPr>
        <w:t xml:space="preserve"> for a total of </w:t>
      </w:r>
      <w:r w:rsidR="00DA493E">
        <w:rPr>
          <w:rFonts w:ascii="Times New Roman" w:hAnsi="Times New Roman" w:cs="Times New Roman"/>
          <w:sz w:val="24"/>
          <w:szCs w:val="24"/>
        </w:rPr>
        <w:t xml:space="preserve">429 </w:t>
      </w:r>
      <w:r>
        <w:rPr>
          <w:rFonts w:ascii="Times New Roman" w:hAnsi="Times New Roman" w:cs="Times New Roman"/>
          <w:sz w:val="24"/>
          <w:szCs w:val="24"/>
        </w:rPr>
        <w:t xml:space="preserve">hours.  </w:t>
      </w:r>
      <w:r w:rsidR="00AE5044">
        <w:rPr>
          <w:rFonts w:ascii="Times New Roman" w:hAnsi="Times New Roman" w:cs="Times New Roman"/>
          <w:sz w:val="24"/>
          <w:szCs w:val="24"/>
        </w:rPr>
        <w:t>Because of differences in fishing behavior, vessels in each herring permit category are estimated to submit different numbers of catch reports each year.  Each Category A herring vessel</w:t>
      </w:r>
      <w:r w:rsidR="00041573">
        <w:rPr>
          <w:rFonts w:ascii="Times New Roman" w:hAnsi="Times New Roman" w:cs="Times New Roman"/>
          <w:sz w:val="24"/>
          <w:szCs w:val="24"/>
        </w:rPr>
        <w:t xml:space="preserve"> </w:t>
      </w:r>
      <w:r w:rsidR="00AE5044">
        <w:rPr>
          <w:rFonts w:ascii="Times New Roman" w:hAnsi="Times New Roman" w:cs="Times New Roman"/>
          <w:sz w:val="24"/>
          <w:szCs w:val="24"/>
        </w:rPr>
        <w:t xml:space="preserve">is </w:t>
      </w:r>
      <w:r w:rsidR="00041573">
        <w:rPr>
          <w:rFonts w:ascii="Times New Roman" w:hAnsi="Times New Roman" w:cs="Times New Roman"/>
          <w:sz w:val="24"/>
          <w:szCs w:val="24"/>
        </w:rPr>
        <w:t>estimated to submit 76 catch reports per ves</w:t>
      </w:r>
      <w:r w:rsidR="00AE5044">
        <w:rPr>
          <w:rFonts w:ascii="Times New Roman" w:hAnsi="Times New Roman" w:cs="Times New Roman"/>
          <w:sz w:val="24"/>
          <w:szCs w:val="24"/>
        </w:rPr>
        <w:t>sel annually; each Category B vessel</w:t>
      </w:r>
      <w:r w:rsidR="00041573">
        <w:rPr>
          <w:rFonts w:ascii="Times New Roman" w:hAnsi="Times New Roman" w:cs="Times New Roman"/>
          <w:sz w:val="24"/>
          <w:szCs w:val="24"/>
        </w:rPr>
        <w:t xml:space="preserve"> </w:t>
      </w:r>
      <w:r w:rsidR="00AE5044">
        <w:rPr>
          <w:rFonts w:ascii="Times New Roman" w:hAnsi="Times New Roman" w:cs="Times New Roman"/>
          <w:sz w:val="24"/>
          <w:szCs w:val="24"/>
        </w:rPr>
        <w:t xml:space="preserve">is </w:t>
      </w:r>
      <w:r w:rsidR="00041573">
        <w:rPr>
          <w:rFonts w:ascii="Times New Roman" w:hAnsi="Times New Roman" w:cs="Times New Roman"/>
          <w:sz w:val="24"/>
          <w:szCs w:val="24"/>
        </w:rPr>
        <w:t>esti</w:t>
      </w:r>
      <w:r w:rsidR="00AE5044">
        <w:rPr>
          <w:rFonts w:ascii="Times New Roman" w:hAnsi="Times New Roman" w:cs="Times New Roman"/>
          <w:sz w:val="24"/>
          <w:szCs w:val="24"/>
        </w:rPr>
        <w:t>mated to submit 4 catch reports;</w:t>
      </w:r>
      <w:r w:rsidR="00041573">
        <w:rPr>
          <w:rFonts w:ascii="Times New Roman" w:hAnsi="Times New Roman" w:cs="Times New Roman"/>
          <w:sz w:val="24"/>
          <w:szCs w:val="24"/>
        </w:rPr>
        <w:t xml:space="preserve"> and </w:t>
      </w:r>
      <w:r w:rsidR="00AE5044">
        <w:rPr>
          <w:rFonts w:ascii="Times New Roman" w:hAnsi="Times New Roman" w:cs="Times New Roman"/>
          <w:sz w:val="24"/>
          <w:szCs w:val="24"/>
        </w:rPr>
        <w:t>each Category C vessel</w:t>
      </w:r>
      <w:r w:rsidR="00041573">
        <w:rPr>
          <w:rFonts w:ascii="Times New Roman" w:hAnsi="Times New Roman" w:cs="Times New Roman"/>
          <w:sz w:val="24"/>
          <w:szCs w:val="24"/>
        </w:rPr>
        <w:t xml:space="preserve"> </w:t>
      </w:r>
      <w:r w:rsidR="00AE5044">
        <w:rPr>
          <w:rFonts w:ascii="Times New Roman" w:hAnsi="Times New Roman" w:cs="Times New Roman"/>
          <w:sz w:val="24"/>
          <w:szCs w:val="24"/>
        </w:rPr>
        <w:t>is</w:t>
      </w:r>
      <w:r w:rsidR="00041573">
        <w:rPr>
          <w:rFonts w:ascii="Times New Roman" w:hAnsi="Times New Roman" w:cs="Times New Roman"/>
          <w:sz w:val="24"/>
          <w:szCs w:val="24"/>
        </w:rPr>
        <w:t xml:space="preserve"> estimated to submit 13 cat</w:t>
      </w:r>
      <w:r w:rsidR="002947B7">
        <w:rPr>
          <w:rFonts w:ascii="Times New Roman" w:hAnsi="Times New Roman" w:cs="Times New Roman"/>
          <w:sz w:val="24"/>
          <w:szCs w:val="24"/>
        </w:rPr>
        <w:t xml:space="preserve">ch reports annually.  </w:t>
      </w:r>
      <w:r w:rsidR="00AE5044">
        <w:rPr>
          <w:rFonts w:ascii="Times New Roman" w:hAnsi="Times New Roman" w:cs="Times New Roman"/>
          <w:sz w:val="24"/>
          <w:szCs w:val="24"/>
        </w:rPr>
        <w:t xml:space="preserve">In addition, an estimated 42 vessels out of the 97 Category A, B, and C vessels will have to fill out the ‘kept all’ field on each catch report which will add an additional $0.05 per report for those vessels.  </w:t>
      </w:r>
    </w:p>
    <w:p w:rsidR="00942BED" w:rsidRDefault="00942BED" w:rsidP="000A6053">
      <w:pPr>
        <w:autoSpaceDE w:val="0"/>
        <w:autoSpaceDN w:val="0"/>
        <w:adjustRightInd w:val="0"/>
        <w:spacing w:after="0" w:line="240" w:lineRule="auto"/>
        <w:rPr>
          <w:rFonts w:ascii="Times New Roman" w:hAnsi="Times New Roman" w:cs="Times New Roman"/>
          <w:sz w:val="24"/>
          <w:szCs w:val="24"/>
        </w:rPr>
      </w:pPr>
    </w:p>
    <w:p w:rsidR="00942BED" w:rsidRDefault="00942BED" w:rsidP="000A6053">
      <w:pPr>
        <w:autoSpaceDE w:val="0"/>
        <w:autoSpaceDN w:val="0"/>
        <w:adjustRightInd w:val="0"/>
        <w:spacing w:after="0" w:line="240" w:lineRule="auto"/>
        <w:rPr>
          <w:rFonts w:ascii="Times New Roman" w:hAnsi="Times New Roman" w:cs="Times New Roman"/>
          <w:sz w:val="24"/>
          <w:szCs w:val="24"/>
        </w:rPr>
      </w:pPr>
      <w:r w:rsidRPr="0020031F">
        <w:rPr>
          <w:rFonts w:ascii="Times New Roman" w:hAnsi="Times New Roman" w:cs="Times New Roman"/>
          <w:sz w:val="24"/>
          <w:szCs w:val="24"/>
        </w:rPr>
        <w:t xml:space="preserve">The average number of daily catch reports </w:t>
      </w:r>
      <w:r>
        <w:rPr>
          <w:rFonts w:ascii="Times New Roman" w:hAnsi="Times New Roman" w:cs="Times New Roman"/>
          <w:sz w:val="24"/>
          <w:szCs w:val="24"/>
        </w:rPr>
        <w:t xml:space="preserve">(items per entity) </w:t>
      </w:r>
      <w:r w:rsidRPr="0020031F">
        <w:rPr>
          <w:rFonts w:ascii="Times New Roman" w:hAnsi="Times New Roman" w:cs="Times New Roman"/>
          <w:sz w:val="24"/>
          <w:szCs w:val="24"/>
        </w:rPr>
        <w:t>that will be required as a result of this amendment was estimated by multiplying the average number of VMS declarations per herring permit times the average trip length.  This was separated by herring permit category as different permit categories have different fishing behavior and therefore different average trip lengths.</w:t>
      </w:r>
      <w:r w:rsidR="00DA493E">
        <w:rPr>
          <w:rFonts w:ascii="Times New Roman" w:hAnsi="Times New Roman" w:cs="Times New Roman"/>
          <w:sz w:val="24"/>
          <w:szCs w:val="24"/>
        </w:rPr>
        <w:t xml:space="preserve">  In addition, some portion of these reports will be required to include all fish kept, if the vessel fished with midwater trawl gear in certain areas.  </w:t>
      </w:r>
      <w:r w:rsidR="0048120D">
        <w:rPr>
          <w:rFonts w:ascii="Times New Roman" w:hAnsi="Times New Roman" w:cs="Times New Roman"/>
          <w:sz w:val="24"/>
          <w:szCs w:val="24"/>
        </w:rPr>
        <w:t xml:space="preserve">The number of daily catch reports that would include this additional information was </w:t>
      </w:r>
      <w:r w:rsidR="00087CE7">
        <w:rPr>
          <w:rFonts w:ascii="Times New Roman" w:hAnsi="Times New Roman" w:cs="Times New Roman"/>
          <w:sz w:val="24"/>
          <w:szCs w:val="24"/>
        </w:rPr>
        <w:t xml:space="preserve">estimated </w:t>
      </w:r>
      <w:r w:rsidR="0048120D">
        <w:rPr>
          <w:rFonts w:ascii="Times New Roman" w:hAnsi="Times New Roman" w:cs="Times New Roman"/>
          <w:sz w:val="24"/>
          <w:szCs w:val="24"/>
        </w:rPr>
        <w:t>b</w:t>
      </w:r>
      <w:r w:rsidR="00DA493E">
        <w:rPr>
          <w:rFonts w:ascii="Times New Roman" w:hAnsi="Times New Roman" w:cs="Times New Roman"/>
          <w:sz w:val="24"/>
          <w:szCs w:val="24"/>
        </w:rPr>
        <w:t xml:space="preserve">ased on historic participation in </w:t>
      </w:r>
      <w:r w:rsidR="0048120D">
        <w:rPr>
          <w:rFonts w:ascii="Times New Roman" w:hAnsi="Times New Roman" w:cs="Times New Roman"/>
          <w:sz w:val="24"/>
          <w:szCs w:val="24"/>
        </w:rPr>
        <w:t xml:space="preserve">the </w:t>
      </w:r>
      <w:r w:rsidR="0048120D">
        <w:rPr>
          <w:rFonts w:ascii="Times New Roman" w:hAnsi="Times New Roman" w:cs="Times New Roman"/>
          <w:sz w:val="24"/>
          <w:szCs w:val="24"/>
        </w:rPr>
        <w:lastRenderedPageBreak/>
        <w:t xml:space="preserve">midwater trawl fishery (only Category A vessels have reported fishing with midwater trawl gear).  This is a conservative estimate of the number of limited access vessels that may be required to report all fish kept, because not all Category </w:t>
      </w:r>
      <w:proofErr w:type="gramStart"/>
      <w:r w:rsidR="0048120D">
        <w:rPr>
          <w:rFonts w:ascii="Times New Roman" w:hAnsi="Times New Roman" w:cs="Times New Roman"/>
          <w:sz w:val="24"/>
          <w:szCs w:val="24"/>
        </w:rPr>
        <w:t>A</w:t>
      </w:r>
      <w:proofErr w:type="gramEnd"/>
      <w:r w:rsidR="0048120D">
        <w:rPr>
          <w:rFonts w:ascii="Times New Roman" w:hAnsi="Times New Roman" w:cs="Times New Roman"/>
          <w:sz w:val="24"/>
          <w:szCs w:val="24"/>
        </w:rPr>
        <w:t xml:space="preserve"> vessels may fish with midwater trawl gear on all trips</w:t>
      </w:r>
      <w:r w:rsidR="0098051C">
        <w:rPr>
          <w:rFonts w:ascii="Times New Roman" w:hAnsi="Times New Roman" w:cs="Times New Roman"/>
          <w:sz w:val="24"/>
          <w:szCs w:val="24"/>
        </w:rPr>
        <w:t>.</w:t>
      </w:r>
    </w:p>
    <w:p w:rsidR="00C575C9" w:rsidRDefault="00C575C9" w:rsidP="000A6053">
      <w:pPr>
        <w:autoSpaceDE w:val="0"/>
        <w:autoSpaceDN w:val="0"/>
        <w:adjustRightInd w:val="0"/>
        <w:spacing w:after="0" w:line="240" w:lineRule="auto"/>
        <w:rPr>
          <w:rFonts w:ascii="Times New Roman" w:hAnsi="Times New Roman" w:cs="Times New Roman"/>
          <w:sz w:val="24"/>
          <w:szCs w:val="24"/>
        </w:rPr>
      </w:pPr>
    </w:p>
    <w:p w:rsidR="002947B7" w:rsidRDefault="00C575C9" w:rsidP="000A60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daily catch report submission will cost the public $0.60 ($0.30 per message + $</w:t>
      </w:r>
      <w:r w:rsidR="002063D1">
        <w:rPr>
          <w:rFonts w:ascii="Times New Roman" w:hAnsi="Times New Roman" w:cs="Times New Roman"/>
          <w:sz w:val="24"/>
          <w:szCs w:val="24"/>
        </w:rPr>
        <w:t>0.003</w:t>
      </w:r>
      <w:r>
        <w:rPr>
          <w:rFonts w:ascii="Times New Roman" w:hAnsi="Times New Roman" w:cs="Times New Roman"/>
          <w:sz w:val="24"/>
          <w:szCs w:val="24"/>
        </w:rPr>
        <w:t xml:space="preserve"> per character (100 characters maximum in each catch </w:t>
      </w:r>
      <w:r w:rsidR="00CD3513">
        <w:rPr>
          <w:rFonts w:ascii="Times New Roman" w:hAnsi="Times New Roman" w:cs="Times New Roman"/>
          <w:sz w:val="24"/>
          <w:szCs w:val="24"/>
        </w:rPr>
        <w:t>report)</w:t>
      </w:r>
      <w:r>
        <w:rPr>
          <w:rFonts w:ascii="Times New Roman" w:hAnsi="Times New Roman" w:cs="Times New Roman"/>
          <w:sz w:val="24"/>
          <w:szCs w:val="24"/>
        </w:rPr>
        <w:t>.</w:t>
      </w:r>
      <w:r w:rsidR="00FE0977">
        <w:rPr>
          <w:rFonts w:ascii="Times New Roman" w:hAnsi="Times New Roman" w:cs="Times New Roman"/>
          <w:sz w:val="24"/>
          <w:szCs w:val="24"/>
        </w:rPr>
        <w:t xml:space="preserve"> </w:t>
      </w:r>
      <w:r w:rsidR="00325101">
        <w:rPr>
          <w:rFonts w:ascii="Times New Roman" w:hAnsi="Times New Roman" w:cs="Times New Roman"/>
          <w:sz w:val="24"/>
          <w:szCs w:val="24"/>
        </w:rPr>
        <w:t>The combined changes to the reporting requirements</w:t>
      </w:r>
      <w:r>
        <w:rPr>
          <w:rFonts w:ascii="Times New Roman" w:hAnsi="Times New Roman" w:cs="Times New Roman"/>
          <w:sz w:val="24"/>
          <w:szCs w:val="24"/>
        </w:rPr>
        <w:t xml:space="preserve"> </w:t>
      </w:r>
      <w:r w:rsidR="00325101">
        <w:rPr>
          <w:rFonts w:ascii="Times New Roman" w:hAnsi="Times New Roman" w:cs="Times New Roman"/>
          <w:sz w:val="24"/>
          <w:szCs w:val="24"/>
        </w:rPr>
        <w:t>will result in a total public cost burden of $2,</w:t>
      </w:r>
      <w:r w:rsidR="005A42AF">
        <w:rPr>
          <w:rFonts w:ascii="Times New Roman" w:hAnsi="Times New Roman" w:cs="Times New Roman"/>
          <w:sz w:val="24"/>
          <w:szCs w:val="24"/>
        </w:rPr>
        <w:t>323</w:t>
      </w:r>
      <w:r w:rsidR="00325101">
        <w:rPr>
          <w:rFonts w:ascii="Times New Roman" w:hAnsi="Times New Roman" w:cs="Times New Roman"/>
          <w:sz w:val="24"/>
          <w:szCs w:val="24"/>
        </w:rPr>
        <w:t>.</w:t>
      </w:r>
      <w:r w:rsidR="00FE0977">
        <w:rPr>
          <w:rFonts w:ascii="Times New Roman" w:hAnsi="Times New Roman" w:cs="Times New Roman"/>
          <w:sz w:val="24"/>
          <w:szCs w:val="24"/>
        </w:rPr>
        <w:t xml:space="preserve"> An average of 3 hours, 2 minutes’ burden will be added per entity.</w:t>
      </w:r>
      <w:r w:rsidR="00854C6F">
        <w:rPr>
          <w:rFonts w:ascii="Times New Roman" w:hAnsi="Times New Roman" w:cs="Times New Roman"/>
          <w:sz w:val="24"/>
          <w:szCs w:val="24"/>
        </w:rPr>
        <w:t xml:space="preserve"> </w:t>
      </w:r>
      <w:r w:rsidR="00854C6F" w:rsidRPr="00044379">
        <w:rPr>
          <w:rFonts w:ascii="Times New Roman" w:hAnsi="Times New Roman" w:cs="Times New Roman"/>
          <w:sz w:val="24"/>
          <w:szCs w:val="24"/>
        </w:rPr>
        <w:t xml:space="preserve">Note: through a related request for </w:t>
      </w:r>
      <w:r w:rsidR="002947B7">
        <w:rPr>
          <w:rFonts w:ascii="Times New Roman" w:hAnsi="Times New Roman" w:cs="Times New Roman"/>
          <w:sz w:val="24"/>
          <w:szCs w:val="24"/>
        </w:rPr>
        <w:t xml:space="preserve">OMB Control </w:t>
      </w:r>
    </w:p>
    <w:p w:rsidR="00C575C9" w:rsidRDefault="002947B7" w:rsidP="000A60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854C6F" w:rsidRPr="00044379">
        <w:rPr>
          <w:rFonts w:ascii="Times New Roman" w:hAnsi="Times New Roman" w:cs="Times New Roman"/>
          <w:sz w:val="24"/>
          <w:szCs w:val="24"/>
        </w:rPr>
        <w:t xml:space="preserve">0648-0212, each entity will have 52 fewer 4-minute weekly catch report responses through </w:t>
      </w:r>
      <w:r w:rsidR="00854C6F" w:rsidRPr="00044379">
        <w:rPr>
          <w:rFonts w:ascii="Times New Roman" w:hAnsi="Times New Roman" w:cs="Times New Roman"/>
          <w:color w:val="000000"/>
          <w:sz w:val="24"/>
          <w:szCs w:val="24"/>
        </w:rPr>
        <w:t>interactive voice response system (IVR)</w:t>
      </w:r>
      <w:r w:rsidR="00854C6F" w:rsidRPr="00044379">
        <w:rPr>
          <w:rFonts w:ascii="Times New Roman" w:hAnsi="Times New Roman" w:cs="Times New Roman"/>
          <w:sz w:val="24"/>
          <w:szCs w:val="24"/>
        </w:rPr>
        <w:t xml:space="preserve">. Although VMS daily items per entity are only for days on which </w:t>
      </w:r>
      <w:r w:rsidR="0093131E" w:rsidRPr="00044379">
        <w:rPr>
          <w:rFonts w:ascii="Times New Roman" w:hAnsi="Times New Roman" w:cs="Times New Roman"/>
          <w:sz w:val="24"/>
          <w:szCs w:val="24"/>
        </w:rPr>
        <w:t>vessels are on a declared herring trip</w:t>
      </w:r>
      <w:r w:rsidR="00854C6F" w:rsidRPr="00044379">
        <w:rPr>
          <w:rFonts w:ascii="Times New Roman" w:hAnsi="Times New Roman" w:cs="Times New Roman"/>
          <w:sz w:val="24"/>
          <w:szCs w:val="24"/>
        </w:rPr>
        <w:t>, the weekly IVR requirement applied whether or not fish were caught.</w:t>
      </w:r>
      <w:r w:rsidR="00854C6F">
        <w:rPr>
          <w:rFonts w:ascii="Times New Roman" w:hAnsi="Times New Roman" w:cs="Times New Roman"/>
          <w:sz w:val="24"/>
          <w:szCs w:val="24"/>
        </w:rPr>
        <w:t xml:space="preserve">  </w:t>
      </w:r>
    </w:p>
    <w:p w:rsidR="00942BED" w:rsidRDefault="00942BED" w:rsidP="000A6053">
      <w:pPr>
        <w:autoSpaceDE w:val="0"/>
        <w:autoSpaceDN w:val="0"/>
        <w:adjustRightInd w:val="0"/>
        <w:spacing w:after="0" w:line="240" w:lineRule="auto"/>
        <w:rPr>
          <w:rFonts w:ascii="Times New Roman" w:hAnsi="Times New Roman" w:cs="Times New Roman"/>
          <w:sz w:val="24"/>
          <w:szCs w:val="24"/>
        </w:rPr>
      </w:pPr>
    </w:p>
    <w:p w:rsidR="00942BED" w:rsidRDefault="00942BED" w:rsidP="000A6053">
      <w:pPr>
        <w:autoSpaceDE w:val="0"/>
        <w:autoSpaceDN w:val="0"/>
        <w:adjustRightInd w:val="0"/>
        <w:spacing w:after="0" w:line="240" w:lineRule="auto"/>
        <w:rPr>
          <w:rFonts w:ascii="Times New Roman" w:hAnsi="Times New Roman" w:cs="Times New Roman"/>
          <w:sz w:val="24"/>
          <w:szCs w:val="24"/>
        </w:rPr>
      </w:pPr>
    </w:p>
    <w:p w:rsidR="00942BED" w:rsidRDefault="00942BED" w:rsidP="000A60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burden table for proposed catch reporting requirements: </w:t>
      </w:r>
    </w:p>
    <w:p w:rsidR="00942BED" w:rsidRDefault="00942BED" w:rsidP="00F96426">
      <w:pPr>
        <w:autoSpaceDE w:val="0"/>
        <w:autoSpaceDN w:val="0"/>
        <w:adjustRightInd w:val="0"/>
        <w:spacing w:after="0" w:line="240" w:lineRule="auto"/>
        <w:rPr>
          <w:rFonts w:ascii="Times New Roman" w:hAnsi="Times New Roman" w:cs="Times New Roman"/>
          <w:sz w:val="24"/>
          <w:szCs w:val="24"/>
        </w:rPr>
      </w:pPr>
    </w:p>
    <w:tbl>
      <w:tblPr>
        <w:tblW w:w="5023" w:type="pct"/>
        <w:tblInd w:w="-683" w:type="dxa"/>
        <w:tblLook w:val="04A0"/>
      </w:tblPr>
      <w:tblGrid>
        <w:gridCol w:w="1908"/>
        <w:gridCol w:w="1266"/>
        <w:gridCol w:w="125"/>
        <w:gridCol w:w="845"/>
        <w:gridCol w:w="816"/>
        <w:gridCol w:w="789"/>
        <w:gridCol w:w="1170"/>
        <w:gridCol w:w="117"/>
        <w:gridCol w:w="835"/>
        <w:gridCol w:w="854"/>
        <w:gridCol w:w="895"/>
      </w:tblGrid>
      <w:tr w:rsidR="00410803" w:rsidTr="005A42AF">
        <w:trPr>
          <w:trHeight w:val="938"/>
        </w:trPr>
        <w:tc>
          <w:tcPr>
            <w:tcW w:w="9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0803" w:rsidRPr="00DE3180" w:rsidRDefault="00410803">
            <w:pPr>
              <w:rPr>
                <w:rFonts w:ascii="Calibri" w:hAnsi="Calibri"/>
                <w:b/>
                <w:bCs/>
                <w:sz w:val="20"/>
                <w:szCs w:val="20"/>
              </w:rPr>
            </w:pPr>
            <w:r w:rsidRPr="00DE3180">
              <w:rPr>
                <w:rFonts w:ascii="Calibri" w:hAnsi="Calibri"/>
                <w:b/>
                <w:bCs/>
                <w:sz w:val="20"/>
                <w:szCs w:val="20"/>
              </w:rPr>
              <w:t>Information  Collection</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Vessel Permit Categories</w:t>
            </w:r>
          </w:p>
        </w:tc>
        <w:tc>
          <w:tcPr>
            <w:tcW w:w="504" w:type="pct"/>
            <w:gridSpan w:val="2"/>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of Entities</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Items per Entity</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Total # of Items</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Response Time (Min)</w:t>
            </w:r>
          </w:p>
        </w:tc>
        <w:tc>
          <w:tcPr>
            <w:tcW w:w="495" w:type="pct"/>
            <w:gridSpan w:val="2"/>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Total Burden (Hr)</w:t>
            </w:r>
          </w:p>
        </w:tc>
        <w:tc>
          <w:tcPr>
            <w:tcW w:w="444"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Public Cost Per Item</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Cost to Public</w:t>
            </w:r>
          </w:p>
        </w:tc>
      </w:tr>
      <w:tr w:rsidR="00410803" w:rsidTr="005A42AF">
        <w:trPr>
          <w:trHeight w:val="312"/>
        </w:trPr>
        <w:tc>
          <w:tcPr>
            <w:tcW w:w="992" w:type="pct"/>
            <w:tcBorders>
              <w:top w:val="nil"/>
              <w:left w:val="nil"/>
              <w:bottom w:val="single" w:sz="4" w:space="0" w:color="auto"/>
              <w:right w:val="nil"/>
            </w:tcBorders>
            <w:shd w:val="clear" w:color="000000" w:fill="BFBFBF"/>
            <w:vAlign w:val="bottom"/>
            <w:hideMark/>
          </w:tcPr>
          <w:p w:rsidR="00410803" w:rsidRPr="00DE3180" w:rsidRDefault="00410803">
            <w:pPr>
              <w:rPr>
                <w:rFonts w:ascii="Calibri" w:hAnsi="Calibri"/>
                <w:b/>
                <w:bCs/>
                <w:sz w:val="20"/>
                <w:szCs w:val="20"/>
              </w:rPr>
            </w:pPr>
            <w:r w:rsidRPr="00DE3180">
              <w:rPr>
                <w:rFonts w:ascii="Calibri" w:hAnsi="Calibri"/>
                <w:b/>
                <w:bCs/>
                <w:sz w:val="20"/>
                <w:szCs w:val="20"/>
              </w:rPr>
              <w:t>VMS Catch Reporting</w:t>
            </w:r>
          </w:p>
        </w:tc>
        <w:tc>
          <w:tcPr>
            <w:tcW w:w="723" w:type="pct"/>
            <w:gridSpan w:val="2"/>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39"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24"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10"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669" w:type="pct"/>
            <w:gridSpan w:val="2"/>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34"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44"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c>
          <w:tcPr>
            <w:tcW w:w="465" w:type="pct"/>
            <w:tcBorders>
              <w:top w:val="nil"/>
              <w:left w:val="nil"/>
              <w:bottom w:val="single" w:sz="4" w:space="0" w:color="auto"/>
              <w:right w:val="nil"/>
            </w:tcBorders>
            <w:shd w:val="clear" w:color="000000" w:fill="BFBFBF"/>
            <w:vAlign w:val="bottom"/>
            <w:hideMark/>
          </w:tcPr>
          <w:p w:rsidR="00410803" w:rsidRPr="00DE3180" w:rsidRDefault="00410803">
            <w:pPr>
              <w:jc w:val="center"/>
              <w:rPr>
                <w:rFonts w:ascii="Calibri" w:hAnsi="Calibri"/>
                <w:b/>
                <w:bCs/>
                <w:sz w:val="20"/>
                <w:szCs w:val="20"/>
              </w:rPr>
            </w:pPr>
            <w:r w:rsidRPr="00DE3180">
              <w:rPr>
                <w:rFonts w:ascii="Calibri" w:hAnsi="Calibri"/>
                <w:b/>
                <w:bCs/>
                <w:sz w:val="20"/>
                <w:szCs w:val="20"/>
              </w:rPr>
              <w:t> </w:t>
            </w:r>
          </w:p>
        </w:tc>
      </w:tr>
      <w:tr w:rsidR="00410803" w:rsidTr="005A42AF">
        <w:trPr>
          <w:trHeight w:val="312"/>
        </w:trPr>
        <w:tc>
          <w:tcPr>
            <w:tcW w:w="992" w:type="pct"/>
            <w:tcBorders>
              <w:top w:val="nil"/>
              <w:left w:val="single" w:sz="4" w:space="0" w:color="auto"/>
              <w:bottom w:val="single" w:sz="4" w:space="0" w:color="auto"/>
              <w:right w:val="single" w:sz="4" w:space="0" w:color="auto"/>
            </w:tcBorders>
            <w:shd w:val="clear" w:color="auto" w:fill="auto"/>
            <w:vAlign w:val="bottom"/>
            <w:hideMark/>
          </w:tcPr>
          <w:p w:rsidR="00410803" w:rsidRPr="00DE3180" w:rsidRDefault="00410803">
            <w:pPr>
              <w:rPr>
                <w:rFonts w:ascii="Calibri" w:hAnsi="Calibri"/>
                <w:sz w:val="20"/>
                <w:szCs w:val="20"/>
              </w:rPr>
            </w:pPr>
            <w:r w:rsidRPr="00DE3180">
              <w:rPr>
                <w:rFonts w:ascii="Calibri" w:hAnsi="Calibri"/>
                <w:sz w:val="20"/>
                <w:szCs w:val="20"/>
              </w:rPr>
              <w:t>VMS Catch Reporting</w:t>
            </w:r>
          </w:p>
        </w:tc>
        <w:tc>
          <w:tcPr>
            <w:tcW w:w="65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A</w:t>
            </w:r>
          </w:p>
        </w:tc>
        <w:tc>
          <w:tcPr>
            <w:tcW w:w="504"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42</w:t>
            </w:r>
          </w:p>
        </w:tc>
        <w:tc>
          <w:tcPr>
            <w:tcW w:w="42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76</w:t>
            </w:r>
          </w:p>
        </w:tc>
        <w:tc>
          <w:tcPr>
            <w:tcW w:w="410"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3</w:t>
            </w:r>
            <w:r w:rsidR="002947B7">
              <w:rPr>
                <w:rFonts w:ascii="Calibri" w:hAnsi="Calibri"/>
                <w:sz w:val="20"/>
                <w:szCs w:val="20"/>
              </w:rPr>
              <w:t>,</w:t>
            </w:r>
            <w:r w:rsidRPr="00DE3180">
              <w:rPr>
                <w:rFonts w:ascii="Calibri" w:hAnsi="Calibri"/>
                <w:sz w:val="20"/>
                <w:szCs w:val="20"/>
              </w:rPr>
              <w:t>192</w:t>
            </w:r>
          </w:p>
        </w:tc>
        <w:tc>
          <w:tcPr>
            <w:tcW w:w="60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5</w:t>
            </w:r>
          </w:p>
        </w:tc>
        <w:tc>
          <w:tcPr>
            <w:tcW w:w="495"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266</w:t>
            </w:r>
          </w:p>
        </w:tc>
        <w:tc>
          <w:tcPr>
            <w:tcW w:w="44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$0.60</w:t>
            </w:r>
          </w:p>
        </w:tc>
        <w:tc>
          <w:tcPr>
            <w:tcW w:w="465"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$1,915</w:t>
            </w:r>
          </w:p>
        </w:tc>
      </w:tr>
      <w:tr w:rsidR="00410803" w:rsidTr="005A42AF">
        <w:trPr>
          <w:trHeight w:val="312"/>
        </w:trPr>
        <w:tc>
          <w:tcPr>
            <w:tcW w:w="992" w:type="pct"/>
            <w:tcBorders>
              <w:top w:val="nil"/>
              <w:left w:val="single" w:sz="4" w:space="0" w:color="auto"/>
              <w:bottom w:val="single" w:sz="4" w:space="0" w:color="auto"/>
              <w:right w:val="single" w:sz="4" w:space="0" w:color="auto"/>
            </w:tcBorders>
            <w:shd w:val="clear" w:color="auto" w:fill="auto"/>
            <w:vAlign w:val="bottom"/>
            <w:hideMark/>
          </w:tcPr>
          <w:p w:rsidR="00410803" w:rsidRPr="00DE3180" w:rsidRDefault="00410803">
            <w:pPr>
              <w:rPr>
                <w:rFonts w:ascii="Calibri" w:hAnsi="Calibri"/>
                <w:color w:val="000000"/>
                <w:sz w:val="20"/>
                <w:szCs w:val="20"/>
              </w:rPr>
            </w:pPr>
            <w:r w:rsidRPr="00DE3180">
              <w:rPr>
                <w:rFonts w:ascii="Calibri" w:hAnsi="Calibri"/>
                <w:color w:val="000000"/>
                <w:sz w:val="20"/>
                <w:szCs w:val="20"/>
              </w:rPr>
              <w:t>VMS Catch Reporting</w:t>
            </w:r>
          </w:p>
        </w:tc>
        <w:tc>
          <w:tcPr>
            <w:tcW w:w="65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B</w:t>
            </w:r>
          </w:p>
        </w:tc>
        <w:tc>
          <w:tcPr>
            <w:tcW w:w="504"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4</w:t>
            </w:r>
          </w:p>
        </w:tc>
        <w:tc>
          <w:tcPr>
            <w:tcW w:w="42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4</w:t>
            </w:r>
          </w:p>
        </w:tc>
        <w:tc>
          <w:tcPr>
            <w:tcW w:w="410"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16</w:t>
            </w:r>
          </w:p>
        </w:tc>
        <w:tc>
          <w:tcPr>
            <w:tcW w:w="60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5</w:t>
            </w:r>
          </w:p>
        </w:tc>
        <w:tc>
          <w:tcPr>
            <w:tcW w:w="495"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1</w:t>
            </w:r>
          </w:p>
        </w:tc>
        <w:tc>
          <w:tcPr>
            <w:tcW w:w="44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$0.60</w:t>
            </w:r>
          </w:p>
        </w:tc>
        <w:tc>
          <w:tcPr>
            <w:tcW w:w="465"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$10</w:t>
            </w:r>
          </w:p>
        </w:tc>
      </w:tr>
      <w:tr w:rsidR="00410803" w:rsidTr="005A42AF">
        <w:trPr>
          <w:trHeight w:val="312"/>
        </w:trPr>
        <w:tc>
          <w:tcPr>
            <w:tcW w:w="992" w:type="pct"/>
            <w:tcBorders>
              <w:top w:val="nil"/>
              <w:left w:val="single" w:sz="4" w:space="0" w:color="auto"/>
              <w:bottom w:val="single" w:sz="4" w:space="0" w:color="auto"/>
              <w:right w:val="single" w:sz="4" w:space="0" w:color="auto"/>
            </w:tcBorders>
            <w:shd w:val="clear" w:color="auto" w:fill="auto"/>
            <w:vAlign w:val="bottom"/>
            <w:hideMark/>
          </w:tcPr>
          <w:p w:rsidR="00410803" w:rsidRPr="00DE3180" w:rsidRDefault="00410803">
            <w:pPr>
              <w:rPr>
                <w:rFonts w:ascii="Calibri" w:hAnsi="Calibri"/>
                <w:color w:val="000000"/>
                <w:sz w:val="20"/>
                <w:szCs w:val="20"/>
              </w:rPr>
            </w:pPr>
            <w:r w:rsidRPr="00DE3180">
              <w:rPr>
                <w:rFonts w:ascii="Calibri" w:hAnsi="Calibri"/>
                <w:color w:val="000000"/>
                <w:sz w:val="20"/>
                <w:szCs w:val="20"/>
              </w:rPr>
              <w:t>VMS Catch Reporting</w:t>
            </w:r>
          </w:p>
        </w:tc>
        <w:tc>
          <w:tcPr>
            <w:tcW w:w="65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C</w:t>
            </w:r>
          </w:p>
        </w:tc>
        <w:tc>
          <w:tcPr>
            <w:tcW w:w="504"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51</w:t>
            </w:r>
          </w:p>
        </w:tc>
        <w:tc>
          <w:tcPr>
            <w:tcW w:w="42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13</w:t>
            </w:r>
          </w:p>
        </w:tc>
        <w:tc>
          <w:tcPr>
            <w:tcW w:w="410"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663</w:t>
            </w:r>
          </w:p>
        </w:tc>
        <w:tc>
          <w:tcPr>
            <w:tcW w:w="60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5</w:t>
            </w:r>
          </w:p>
        </w:tc>
        <w:tc>
          <w:tcPr>
            <w:tcW w:w="495"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55</w:t>
            </w:r>
          </w:p>
        </w:tc>
        <w:tc>
          <w:tcPr>
            <w:tcW w:w="44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color w:val="000000"/>
                <w:sz w:val="20"/>
                <w:szCs w:val="20"/>
              </w:rPr>
            </w:pPr>
            <w:r w:rsidRPr="00DE3180">
              <w:rPr>
                <w:rFonts w:ascii="Calibri" w:hAnsi="Calibri"/>
                <w:color w:val="000000"/>
                <w:sz w:val="20"/>
                <w:szCs w:val="20"/>
              </w:rPr>
              <w:t>$0.60</w:t>
            </w:r>
          </w:p>
        </w:tc>
        <w:tc>
          <w:tcPr>
            <w:tcW w:w="465"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sz w:val="20"/>
                <w:szCs w:val="20"/>
              </w:rPr>
            </w:pPr>
            <w:r w:rsidRPr="00DE3180">
              <w:rPr>
                <w:rFonts w:ascii="Calibri" w:hAnsi="Calibri"/>
                <w:sz w:val="20"/>
                <w:szCs w:val="20"/>
              </w:rPr>
              <w:t>$398</w:t>
            </w:r>
          </w:p>
        </w:tc>
      </w:tr>
      <w:tr w:rsidR="00410803" w:rsidTr="005A42AF">
        <w:trPr>
          <w:trHeight w:val="312"/>
        </w:trPr>
        <w:tc>
          <w:tcPr>
            <w:tcW w:w="992" w:type="pct"/>
            <w:tcBorders>
              <w:top w:val="nil"/>
              <w:left w:val="single" w:sz="4" w:space="0" w:color="auto"/>
              <w:bottom w:val="single" w:sz="4" w:space="0" w:color="auto"/>
              <w:right w:val="single" w:sz="4" w:space="0" w:color="auto"/>
            </w:tcBorders>
            <w:shd w:val="clear" w:color="auto" w:fill="auto"/>
            <w:vAlign w:val="bottom"/>
            <w:hideMark/>
          </w:tcPr>
          <w:p w:rsidR="00410803" w:rsidRPr="00DE3180" w:rsidRDefault="00410803">
            <w:pPr>
              <w:rPr>
                <w:rFonts w:ascii="Calibri" w:hAnsi="Calibri"/>
                <w:b/>
                <w:bCs/>
                <w:color w:val="000000"/>
                <w:sz w:val="20"/>
                <w:szCs w:val="20"/>
              </w:rPr>
            </w:pPr>
            <w:r w:rsidRPr="00DE3180">
              <w:rPr>
                <w:rFonts w:ascii="Calibri" w:hAnsi="Calibri"/>
                <w:b/>
                <w:bCs/>
                <w:color w:val="000000"/>
                <w:sz w:val="20"/>
                <w:szCs w:val="20"/>
              </w:rPr>
              <w:t>Total</w:t>
            </w:r>
            <w:r>
              <w:rPr>
                <w:rFonts w:ascii="Calibri" w:hAnsi="Calibri"/>
                <w:b/>
                <w:bCs/>
                <w:color w:val="000000"/>
                <w:sz w:val="20"/>
                <w:szCs w:val="20"/>
              </w:rPr>
              <w:t>*</w:t>
            </w:r>
          </w:p>
        </w:tc>
        <w:tc>
          <w:tcPr>
            <w:tcW w:w="65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color w:val="000000"/>
                <w:sz w:val="20"/>
                <w:szCs w:val="20"/>
              </w:rPr>
            </w:pPr>
            <w:r w:rsidRPr="00DE3180">
              <w:rPr>
                <w:rFonts w:ascii="Calibri" w:hAnsi="Calibri"/>
                <w:b/>
                <w:bCs/>
                <w:color w:val="000000"/>
                <w:sz w:val="20"/>
                <w:szCs w:val="20"/>
              </w:rPr>
              <w:t> </w:t>
            </w:r>
          </w:p>
        </w:tc>
        <w:tc>
          <w:tcPr>
            <w:tcW w:w="504"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color w:val="000000"/>
                <w:sz w:val="20"/>
                <w:szCs w:val="20"/>
              </w:rPr>
            </w:pPr>
            <w:r w:rsidRPr="00DE3180">
              <w:rPr>
                <w:rFonts w:ascii="Calibri" w:hAnsi="Calibri"/>
                <w:b/>
                <w:bCs/>
                <w:color w:val="000000"/>
                <w:sz w:val="20"/>
                <w:szCs w:val="20"/>
              </w:rPr>
              <w:t>97</w:t>
            </w:r>
          </w:p>
        </w:tc>
        <w:tc>
          <w:tcPr>
            <w:tcW w:w="424" w:type="pct"/>
            <w:tcBorders>
              <w:top w:val="nil"/>
              <w:left w:val="nil"/>
              <w:bottom w:val="single" w:sz="4" w:space="0" w:color="auto"/>
              <w:right w:val="single" w:sz="4" w:space="0" w:color="auto"/>
            </w:tcBorders>
            <w:shd w:val="clear" w:color="auto" w:fill="auto"/>
            <w:vAlign w:val="bottom"/>
            <w:hideMark/>
          </w:tcPr>
          <w:p w:rsidR="00410803" w:rsidRPr="00DE3180" w:rsidRDefault="00FE0977">
            <w:pPr>
              <w:jc w:val="center"/>
              <w:rPr>
                <w:rFonts w:ascii="Calibri" w:hAnsi="Calibri"/>
                <w:b/>
                <w:bCs/>
                <w:color w:val="000000"/>
                <w:sz w:val="20"/>
                <w:szCs w:val="20"/>
              </w:rPr>
            </w:pPr>
            <w:r>
              <w:rPr>
                <w:rFonts w:ascii="Calibri" w:hAnsi="Calibri"/>
                <w:b/>
                <w:bCs/>
                <w:color w:val="000000"/>
                <w:sz w:val="20"/>
                <w:szCs w:val="20"/>
              </w:rPr>
              <w:t>-</w:t>
            </w:r>
          </w:p>
        </w:tc>
        <w:tc>
          <w:tcPr>
            <w:tcW w:w="410"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color w:val="000000"/>
                <w:sz w:val="20"/>
                <w:szCs w:val="20"/>
              </w:rPr>
            </w:pPr>
            <w:r w:rsidRPr="00DE3180">
              <w:rPr>
                <w:rFonts w:ascii="Calibri" w:hAnsi="Calibri"/>
                <w:b/>
                <w:bCs/>
                <w:color w:val="000000"/>
                <w:sz w:val="20"/>
                <w:szCs w:val="20"/>
              </w:rPr>
              <w:t>3</w:t>
            </w:r>
            <w:r w:rsidR="002947B7">
              <w:rPr>
                <w:rFonts w:ascii="Calibri" w:hAnsi="Calibri"/>
                <w:b/>
                <w:bCs/>
                <w:color w:val="000000"/>
                <w:sz w:val="20"/>
                <w:szCs w:val="20"/>
              </w:rPr>
              <w:t>,</w:t>
            </w:r>
            <w:r w:rsidRPr="00DE3180">
              <w:rPr>
                <w:rFonts w:ascii="Calibri" w:hAnsi="Calibri"/>
                <w:b/>
                <w:bCs/>
                <w:color w:val="000000"/>
                <w:sz w:val="20"/>
                <w:szCs w:val="20"/>
              </w:rPr>
              <w:t>871</w:t>
            </w:r>
          </w:p>
        </w:tc>
        <w:tc>
          <w:tcPr>
            <w:tcW w:w="608"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color w:val="000000"/>
                <w:sz w:val="20"/>
                <w:szCs w:val="20"/>
              </w:rPr>
            </w:pPr>
            <w:r w:rsidRPr="00DE3180">
              <w:rPr>
                <w:rFonts w:ascii="Calibri" w:hAnsi="Calibri"/>
                <w:b/>
                <w:bCs/>
                <w:color w:val="000000"/>
                <w:sz w:val="20"/>
                <w:szCs w:val="20"/>
              </w:rPr>
              <w:t>-</w:t>
            </w:r>
          </w:p>
        </w:tc>
        <w:tc>
          <w:tcPr>
            <w:tcW w:w="495" w:type="pct"/>
            <w:gridSpan w:val="2"/>
            <w:tcBorders>
              <w:top w:val="nil"/>
              <w:left w:val="nil"/>
              <w:bottom w:val="single" w:sz="4" w:space="0" w:color="auto"/>
              <w:right w:val="single" w:sz="4" w:space="0" w:color="auto"/>
            </w:tcBorders>
            <w:shd w:val="clear" w:color="auto" w:fill="auto"/>
            <w:vAlign w:val="bottom"/>
            <w:hideMark/>
          </w:tcPr>
          <w:p w:rsidR="00410803" w:rsidRPr="00DE3180" w:rsidRDefault="005A42AF">
            <w:pPr>
              <w:jc w:val="center"/>
              <w:rPr>
                <w:rFonts w:ascii="Calibri" w:hAnsi="Calibri"/>
                <w:b/>
                <w:bCs/>
                <w:color w:val="000000"/>
                <w:sz w:val="20"/>
                <w:szCs w:val="20"/>
              </w:rPr>
            </w:pPr>
            <w:r>
              <w:rPr>
                <w:rFonts w:ascii="Calibri" w:hAnsi="Calibri"/>
                <w:b/>
                <w:bCs/>
                <w:color w:val="000000"/>
                <w:sz w:val="20"/>
                <w:szCs w:val="20"/>
              </w:rPr>
              <w:t>322</w:t>
            </w:r>
          </w:p>
        </w:tc>
        <w:tc>
          <w:tcPr>
            <w:tcW w:w="444" w:type="pct"/>
            <w:tcBorders>
              <w:top w:val="nil"/>
              <w:left w:val="nil"/>
              <w:bottom w:val="single" w:sz="4" w:space="0" w:color="auto"/>
              <w:right w:val="single" w:sz="4" w:space="0" w:color="auto"/>
            </w:tcBorders>
            <w:shd w:val="clear" w:color="auto" w:fill="auto"/>
            <w:vAlign w:val="bottom"/>
            <w:hideMark/>
          </w:tcPr>
          <w:p w:rsidR="00410803" w:rsidRPr="00DE3180" w:rsidRDefault="00410803">
            <w:pPr>
              <w:jc w:val="center"/>
              <w:rPr>
                <w:rFonts w:ascii="Calibri" w:hAnsi="Calibri"/>
                <w:b/>
                <w:bCs/>
                <w:color w:val="000000"/>
                <w:sz w:val="20"/>
                <w:szCs w:val="20"/>
              </w:rPr>
            </w:pPr>
            <w:r w:rsidRPr="00DE3180">
              <w:rPr>
                <w:rFonts w:ascii="Calibri" w:hAnsi="Calibri"/>
                <w:b/>
                <w:bCs/>
                <w:color w:val="000000"/>
                <w:sz w:val="20"/>
                <w:szCs w:val="20"/>
              </w:rPr>
              <w:t>-</w:t>
            </w:r>
          </w:p>
        </w:tc>
        <w:tc>
          <w:tcPr>
            <w:tcW w:w="465" w:type="pct"/>
            <w:tcBorders>
              <w:top w:val="nil"/>
              <w:left w:val="nil"/>
              <w:bottom w:val="single" w:sz="4" w:space="0" w:color="auto"/>
              <w:right w:val="single" w:sz="4" w:space="0" w:color="auto"/>
            </w:tcBorders>
            <w:shd w:val="clear" w:color="auto" w:fill="auto"/>
            <w:vAlign w:val="bottom"/>
            <w:hideMark/>
          </w:tcPr>
          <w:p w:rsidR="00410803" w:rsidRPr="00DE3180" w:rsidRDefault="00410803" w:rsidP="005A42AF">
            <w:pPr>
              <w:jc w:val="center"/>
              <w:rPr>
                <w:rFonts w:ascii="Calibri" w:hAnsi="Calibri"/>
                <w:b/>
                <w:bCs/>
                <w:color w:val="000000"/>
                <w:sz w:val="20"/>
                <w:szCs w:val="20"/>
              </w:rPr>
            </w:pPr>
            <w:r w:rsidRPr="00DE3180">
              <w:rPr>
                <w:rFonts w:ascii="Calibri" w:hAnsi="Calibri"/>
                <w:b/>
                <w:bCs/>
                <w:color w:val="000000"/>
                <w:sz w:val="20"/>
                <w:szCs w:val="20"/>
              </w:rPr>
              <w:t>$2,</w:t>
            </w:r>
            <w:r w:rsidR="005A42AF">
              <w:rPr>
                <w:rFonts w:ascii="Calibri" w:hAnsi="Calibri"/>
                <w:b/>
                <w:bCs/>
                <w:color w:val="000000"/>
                <w:sz w:val="20"/>
                <w:szCs w:val="20"/>
              </w:rPr>
              <w:t>323</w:t>
            </w:r>
          </w:p>
        </w:tc>
      </w:tr>
    </w:tbl>
    <w:p w:rsidR="002465DD" w:rsidRDefault="002465DD" w:rsidP="00F96426">
      <w:pPr>
        <w:autoSpaceDE w:val="0"/>
        <w:autoSpaceDN w:val="0"/>
        <w:adjustRightInd w:val="0"/>
        <w:spacing w:after="0" w:line="240" w:lineRule="auto"/>
        <w:rPr>
          <w:rFonts w:ascii="Times New Roman" w:hAnsi="Times New Roman" w:cs="Times New Roman"/>
          <w:sz w:val="24"/>
          <w:szCs w:val="24"/>
        </w:rPr>
      </w:pPr>
    </w:p>
    <w:p w:rsidR="00BC11CE" w:rsidRDefault="00BC11CE" w:rsidP="00F96426">
      <w:pPr>
        <w:autoSpaceDE w:val="0"/>
        <w:autoSpaceDN w:val="0"/>
        <w:adjustRightInd w:val="0"/>
        <w:spacing w:after="0" w:line="240" w:lineRule="auto"/>
        <w:rPr>
          <w:rFonts w:ascii="Times New Roman" w:hAnsi="Times New Roman" w:cs="Times New Roman"/>
          <w:b/>
          <w:bCs/>
          <w:color w:val="000000"/>
          <w:sz w:val="24"/>
          <w:szCs w:val="24"/>
        </w:rPr>
      </w:pPr>
    </w:p>
    <w:p w:rsidR="00951299" w:rsidRPr="00951299" w:rsidRDefault="00951299" w:rsidP="00F96426"/>
    <w:sectPr w:rsidR="00951299" w:rsidRPr="00951299" w:rsidSect="00A81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426"/>
    <w:rsid w:val="00017454"/>
    <w:rsid w:val="000372FB"/>
    <w:rsid w:val="00041573"/>
    <w:rsid w:val="00044379"/>
    <w:rsid w:val="00087CE7"/>
    <w:rsid w:val="000A6053"/>
    <w:rsid w:val="000E7023"/>
    <w:rsid w:val="001A7CB8"/>
    <w:rsid w:val="001D681D"/>
    <w:rsid w:val="001E3D85"/>
    <w:rsid w:val="0020031F"/>
    <w:rsid w:val="002063D1"/>
    <w:rsid w:val="002465DD"/>
    <w:rsid w:val="00277190"/>
    <w:rsid w:val="00282BD2"/>
    <w:rsid w:val="002947B7"/>
    <w:rsid w:val="002B72A9"/>
    <w:rsid w:val="00325101"/>
    <w:rsid w:val="00345F18"/>
    <w:rsid w:val="00410803"/>
    <w:rsid w:val="004414CE"/>
    <w:rsid w:val="0048120D"/>
    <w:rsid w:val="004A79CC"/>
    <w:rsid w:val="00562AB4"/>
    <w:rsid w:val="00591BBB"/>
    <w:rsid w:val="005A42AF"/>
    <w:rsid w:val="006079C3"/>
    <w:rsid w:val="00673E58"/>
    <w:rsid w:val="006D170E"/>
    <w:rsid w:val="00854C6F"/>
    <w:rsid w:val="00877AF1"/>
    <w:rsid w:val="008948B8"/>
    <w:rsid w:val="008C4CF5"/>
    <w:rsid w:val="008F40BD"/>
    <w:rsid w:val="0093131E"/>
    <w:rsid w:val="00942BED"/>
    <w:rsid w:val="00951299"/>
    <w:rsid w:val="009617B8"/>
    <w:rsid w:val="009671C9"/>
    <w:rsid w:val="0098051C"/>
    <w:rsid w:val="00A50B40"/>
    <w:rsid w:val="00A63C04"/>
    <w:rsid w:val="00A8109D"/>
    <w:rsid w:val="00AE5044"/>
    <w:rsid w:val="00B254F6"/>
    <w:rsid w:val="00BC11CE"/>
    <w:rsid w:val="00BF230E"/>
    <w:rsid w:val="00C575C9"/>
    <w:rsid w:val="00C94523"/>
    <w:rsid w:val="00CD3513"/>
    <w:rsid w:val="00D577A1"/>
    <w:rsid w:val="00DA493E"/>
    <w:rsid w:val="00DC51A0"/>
    <w:rsid w:val="00DE3180"/>
    <w:rsid w:val="00E43697"/>
    <w:rsid w:val="00E44C3C"/>
    <w:rsid w:val="00EC2007"/>
    <w:rsid w:val="00EC6F87"/>
    <w:rsid w:val="00ED71CE"/>
    <w:rsid w:val="00F40209"/>
    <w:rsid w:val="00F96426"/>
    <w:rsid w:val="00FE0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80"/>
    <w:rPr>
      <w:rFonts w:ascii="Tahoma" w:hAnsi="Tahoma" w:cs="Tahoma"/>
      <w:sz w:val="16"/>
      <w:szCs w:val="16"/>
    </w:rPr>
  </w:style>
  <w:style w:type="character" w:styleId="CommentReference">
    <w:name w:val="annotation reference"/>
    <w:basedOn w:val="DefaultParagraphFont"/>
    <w:uiPriority w:val="99"/>
    <w:semiHidden/>
    <w:unhideWhenUsed/>
    <w:rsid w:val="00345F18"/>
    <w:rPr>
      <w:sz w:val="16"/>
      <w:szCs w:val="16"/>
    </w:rPr>
  </w:style>
  <w:style w:type="paragraph" w:styleId="CommentText">
    <w:name w:val="annotation text"/>
    <w:basedOn w:val="Normal"/>
    <w:link w:val="CommentTextChar"/>
    <w:uiPriority w:val="99"/>
    <w:semiHidden/>
    <w:unhideWhenUsed/>
    <w:rsid w:val="00345F18"/>
    <w:pPr>
      <w:spacing w:line="240" w:lineRule="auto"/>
    </w:pPr>
    <w:rPr>
      <w:sz w:val="20"/>
      <w:szCs w:val="20"/>
    </w:rPr>
  </w:style>
  <w:style w:type="character" w:customStyle="1" w:styleId="CommentTextChar">
    <w:name w:val="Comment Text Char"/>
    <w:basedOn w:val="DefaultParagraphFont"/>
    <w:link w:val="CommentText"/>
    <w:uiPriority w:val="99"/>
    <w:semiHidden/>
    <w:rsid w:val="00345F18"/>
    <w:rPr>
      <w:sz w:val="20"/>
      <w:szCs w:val="20"/>
    </w:rPr>
  </w:style>
  <w:style w:type="paragraph" w:styleId="CommentSubject">
    <w:name w:val="annotation subject"/>
    <w:basedOn w:val="CommentText"/>
    <w:next w:val="CommentText"/>
    <w:link w:val="CommentSubjectChar"/>
    <w:uiPriority w:val="99"/>
    <w:semiHidden/>
    <w:unhideWhenUsed/>
    <w:rsid w:val="00345F18"/>
    <w:rPr>
      <w:b/>
      <w:bCs/>
    </w:rPr>
  </w:style>
  <w:style w:type="character" w:customStyle="1" w:styleId="CommentSubjectChar">
    <w:name w:val="Comment Subject Char"/>
    <w:basedOn w:val="CommentTextChar"/>
    <w:link w:val="CommentSubject"/>
    <w:uiPriority w:val="99"/>
    <w:semiHidden/>
    <w:rsid w:val="00345F18"/>
    <w:rPr>
      <w:b/>
      <w:bCs/>
    </w:rPr>
  </w:style>
</w:styles>
</file>

<file path=word/webSettings.xml><?xml version="1.0" encoding="utf-8"?>
<w:webSettings xmlns:r="http://schemas.openxmlformats.org/officeDocument/2006/relationships" xmlns:w="http://schemas.openxmlformats.org/wordprocessingml/2006/main">
  <w:divs>
    <w:div w:id="174075730">
      <w:bodyDiv w:val="1"/>
      <w:marLeft w:val="0"/>
      <w:marRight w:val="0"/>
      <w:marTop w:val="0"/>
      <w:marBottom w:val="0"/>
      <w:divBdr>
        <w:top w:val="none" w:sz="0" w:space="0" w:color="auto"/>
        <w:left w:val="none" w:sz="0" w:space="0" w:color="auto"/>
        <w:bottom w:val="none" w:sz="0" w:space="0" w:color="auto"/>
        <w:right w:val="none" w:sz="0" w:space="0" w:color="auto"/>
      </w:divBdr>
    </w:div>
    <w:div w:id="1476490584">
      <w:bodyDiv w:val="1"/>
      <w:marLeft w:val="0"/>
      <w:marRight w:val="0"/>
      <w:marTop w:val="0"/>
      <w:marBottom w:val="0"/>
      <w:divBdr>
        <w:top w:val="none" w:sz="0" w:space="0" w:color="auto"/>
        <w:left w:val="none" w:sz="0" w:space="0" w:color="auto"/>
        <w:bottom w:val="none" w:sz="0" w:space="0" w:color="auto"/>
        <w:right w:val="none" w:sz="0" w:space="0" w:color="auto"/>
      </w:divBdr>
    </w:div>
    <w:div w:id="1939480273">
      <w:bodyDiv w:val="1"/>
      <w:marLeft w:val="0"/>
      <w:marRight w:val="0"/>
      <w:marTop w:val="0"/>
      <w:marBottom w:val="0"/>
      <w:divBdr>
        <w:top w:val="none" w:sz="0" w:space="0" w:color="auto"/>
        <w:left w:val="none" w:sz="0" w:space="0" w:color="auto"/>
        <w:bottom w:val="none" w:sz="0" w:space="0" w:color="auto"/>
        <w:right w:val="none" w:sz="0" w:space="0" w:color="auto"/>
      </w:divBdr>
    </w:div>
    <w:div w:id="19804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Feldman</dc:creator>
  <cp:keywords/>
  <dc:description/>
  <cp:lastModifiedBy>gbanks</cp:lastModifiedBy>
  <cp:revision>2</cp:revision>
  <dcterms:created xsi:type="dcterms:W3CDTF">2011-08-03T21:03:00Z</dcterms:created>
  <dcterms:modified xsi:type="dcterms:W3CDTF">2011-08-03T21:03:00Z</dcterms:modified>
</cp:coreProperties>
</file>