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EA202A">
        <w:rPr>
          <w:sz w:val="28"/>
        </w:rPr>
        <w:t xml:space="preserve"> 0925-064</w:t>
      </w:r>
      <w:r w:rsidR="002A6725">
        <w:rPr>
          <w:sz w:val="28"/>
        </w:rPr>
        <w:t>2</w:t>
      </w:r>
      <w:r w:rsidR="00802AF8" w:rsidRPr="005B64A0">
        <w:rPr>
          <w:sz w:val="28"/>
        </w:rPr>
        <w:t>-36</w:t>
      </w:r>
      <w:r w:rsidRPr="005B64A0">
        <w:rPr>
          <w:sz w:val="28"/>
        </w:rPr>
        <w:t>)</w:t>
      </w:r>
    </w:p>
    <w:p w:rsidR="002B1B61" w:rsidRDefault="0088141F" w:rsidP="00EA202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2B1B61" w:rsidRDefault="002B1B61" w:rsidP="00EA202A"/>
    <w:p w:rsidR="00EA202A" w:rsidRDefault="00EA202A" w:rsidP="00EA202A">
      <w:r>
        <w:t>Clinical Proteomic Tumor Analysis Consortium</w:t>
      </w:r>
      <w:r w:rsidR="00A61080">
        <w:t xml:space="preserve"> (CPTAC)</w:t>
      </w:r>
      <w:r>
        <w:t xml:space="preserve"> Survey</w:t>
      </w:r>
      <w:r w:rsidR="00B202B5">
        <w:t>s</w:t>
      </w:r>
    </w:p>
    <w:p w:rsidR="00FD72C7" w:rsidRDefault="00FD72C7">
      <w:pPr>
        <w:rPr>
          <w:b/>
        </w:rPr>
      </w:pPr>
    </w:p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Pr="003B6784" w:rsidRDefault="0018781A" w:rsidP="008D6C96">
      <w:r w:rsidRPr="00AA4142">
        <w:t xml:space="preserve">The Clinical Proteomic Tumor Analysis Consortium </w:t>
      </w:r>
      <w:r w:rsidR="005146AE">
        <w:t xml:space="preserve">(CPTAC) </w:t>
      </w:r>
      <w:r w:rsidRPr="00AA4142">
        <w:t xml:space="preserve">is part of the National Cancer </w:t>
      </w:r>
      <w:r w:rsidR="00561813" w:rsidRPr="00AA4142">
        <w:t>Institute’s Office of Cancer Clinical Proteomics Research</w:t>
      </w:r>
      <w:r w:rsidR="00C14C36" w:rsidRPr="00AA4142">
        <w:t xml:space="preserve"> (NCI</w:t>
      </w:r>
      <w:r w:rsidR="00155F9B">
        <w:t>/</w:t>
      </w:r>
      <w:r w:rsidR="00C32F45">
        <w:t>OD/CSSI/CPTC</w:t>
      </w:r>
      <w:r w:rsidR="00C14C36" w:rsidRPr="00AA4142">
        <w:t xml:space="preserve">). </w:t>
      </w:r>
      <w:r w:rsidR="00676FC3">
        <w:t xml:space="preserve">CPTAC </w:t>
      </w:r>
      <w:r w:rsidR="00676FC3" w:rsidRPr="00E97346">
        <w:t xml:space="preserve">has </w:t>
      </w:r>
      <w:r w:rsidR="00676FC3">
        <w:t>developed</w:t>
      </w:r>
      <w:r w:rsidR="00676FC3" w:rsidRPr="00E97346">
        <w:t xml:space="preserve"> a range of products, including antibodies and a centralized data repository for the dissemination of proteomic data</w:t>
      </w:r>
      <w:r w:rsidR="00676FC3">
        <w:t xml:space="preserve"> to the public</w:t>
      </w:r>
      <w:r w:rsidR="00676FC3" w:rsidRPr="00E97346">
        <w:t>.</w:t>
      </w:r>
      <w:r w:rsidR="00676FC3">
        <w:t xml:space="preserve"> </w:t>
      </w:r>
      <w:r w:rsidR="00676FC3" w:rsidRPr="001506ED">
        <w:t xml:space="preserve"> </w:t>
      </w:r>
      <w:r w:rsidR="004517F3" w:rsidRPr="00C14C36">
        <w:t xml:space="preserve">This </w:t>
      </w:r>
      <w:r w:rsidR="004517F3">
        <w:t xml:space="preserve">is a one-time </w:t>
      </w:r>
      <w:r w:rsidR="004517F3" w:rsidRPr="00C14C36">
        <w:t xml:space="preserve">information collection </w:t>
      </w:r>
      <w:r w:rsidR="00EC1DFD">
        <w:t>of</w:t>
      </w:r>
      <w:r w:rsidR="004517F3" w:rsidRPr="00C14C36">
        <w:t xml:space="preserve"> customer preferences </w:t>
      </w:r>
      <w:r w:rsidR="00EC1DFD">
        <w:t xml:space="preserve">for </w:t>
      </w:r>
      <w:r w:rsidR="004517F3" w:rsidRPr="00C14C36">
        <w:t>current and/or future product</w:t>
      </w:r>
      <w:r w:rsidR="004517F3">
        <w:t xml:space="preserve">s and </w:t>
      </w:r>
      <w:r w:rsidR="004517F3" w:rsidRPr="00C14C36">
        <w:t>service</w:t>
      </w:r>
      <w:r w:rsidR="004517F3">
        <w:t>s</w:t>
      </w:r>
      <w:r w:rsidR="004517F3" w:rsidRPr="00C14C36">
        <w:t>.</w:t>
      </w:r>
      <w:r w:rsidR="004517F3">
        <w:t xml:space="preserve">  </w:t>
      </w:r>
      <w:r w:rsidR="00C14C36" w:rsidRPr="00AA4142">
        <w:t xml:space="preserve">The </w:t>
      </w:r>
      <w:r w:rsidR="00AA4142" w:rsidRPr="00AA4142">
        <w:t>NCI</w:t>
      </w:r>
      <w:r w:rsidR="00C14C36" w:rsidRPr="00AA4142">
        <w:t xml:space="preserve"> wants to </w:t>
      </w:r>
      <w:r w:rsidR="005146AE">
        <w:t>obtain</w:t>
      </w:r>
      <w:r w:rsidR="005146AE" w:rsidRPr="00AA4142">
        <w:t xml:space="preserve"> </w:t>
      </w:r>
      <w:r w:rsidR="00676FC3">
        <w:t xml:space="preserve">information about </w:t>
      </w:r>
      <w:r w:rsidR="00AA4142" w:rsidRPr="00AA4142">
        <w:t>customer</w:t>
      </w:r>
      <w:r w:rsidR="00676FC3">
        <w:t xml:space="preserve"> use of </w:t>
      </w:r>
      <w:r w:rsidR="0093777A">
        <w:t>n</w:t>
      </w:r>
      <w:r w:rsidR="00676FC3">
        <w:t>ews</w:t>
      </w:r>
      <w:r w:rsidR="0093777A">
        <w:t>letter</w:t>
      </w:r>
      <w:r w:rsidR="00676FC3">
        <w:t xml:space="preserve"> elements,</w:t>
      </w:r>
      <w:r w:rsidR="00EC1DFD">
        <w:t xml:space="preserve"> use and impression of</w:t>
      </w:r>
      <w:r w:rsidR="00676FC3">
        <w:t xml:space="preserve"> </w:t>
      </w:r>
      <w:r w:rsidR="008D6C96">
        <w:t xml:space="preserve">the consortium and </w:t>
      </w:r>
      <w:r w:rsidR="0093777A">
        <w:t>research products</w:t>
      </w:r>
      <w:r w:rsidR="00676FC3">
        <w:t>, benefits and barriers</w:t>
      </w:r>
      <w:r w:rsidR="00EC1DFD">
        <w:t>, and demographics to better serve the population</w:t>
      </w:r>
      <w:r w:rsidR="00676FC3">
        <w:t xml:space="preserve">.  </w:t>
      </w:r>
      <w:r w:rsidR="00AF128D" w:rsidRPr="00C14C36">
        <w:t xml:space="preserve">This information is important because </w:t>
      </w:r>
      <w:r w:rsidR="00C14C36" w:rsidRPr="00C14C36">
        <w:t>CPTAC</w:t>
      </w:r>
      <w:r w:rsidR="00AF128D" w:rsidRPr="00C14C36">
        <w:t xml:space="preserve"> </w:t>
      </w:r>
      <w:r w:rsidR="00C14C36">
        <w:t>is developing and making publicly available proteomics</w:t>
      </w:r>
      <w:r w:rsidR="007C1994">
        <w:t xml:space="preserve"> tools and</w:t>
      </w:r>
      <w:r w:rsidR="00C14C36">
        <w:t xml:space="preserve"> </w:t>
      </w:r>
      <w:r w:rsidR="00155F9B">
        <w:t xml:space="preserve">data </w:t>
      </w:r>
      <w:r w:rsidR="00AF128D" w:rsidRPr="00C14C36">
        <w:t xml:space="preserve">to </w:t>
      </w:r>
      <w:r w:rsidR="00676FC3">
        <w:t>assist</w:t>
      </w:r>
      <w:r w:rsidR="00AF128D" w:rsidRPr="00C14C36">
        <w:t xml:space="preserve"> researchers</w:t>
      </w:r>
      <w:r w:rsidR="00676FC3">
        <w:t xml:space="preserve"> and </w:t>
      </w:r>
      <w:r w:rsidR="00C14C36">
        <w:t xml:space="preserve">potential </w:t>
      </w:r>
      <w:r w:rsidR="00AF128D" w:rsidRPr="00C14C36">
        <w:t>users</w:t>
      </w:r>
      <w:r w:rsidR="00676FC3">
        <w:t xml:space="preserve"> </w:t>
      </w:r>
      <w:r w:rsidR="00EC1DFD">
        <w:t>to</w:t>
      </w:r>
      <w:r w:rsidR="00AF128D" w:rsidRPr="00C14C36">
        <w:t xml:space="preserve"> access</w:t>
      </w:r>
      <w:r w:rsidR="00EC1DFD">
        <w:t xml:space="preserve">, </w:t>
      </w:r>
      <w:r w:rsidR="00C14C36">
        <w:t>analy</w:t>
      </w:r>
      <w:r w:rsidR="00EC1DFD">
        <w:t xml:space="preserve">ze, and </w:t>
      </w:r>
      <w:r w:rsidR="0093777A">
        <w:t>standardiz</w:t>
      </w:r>
      <w:r w:rsidR="00EC1DFD">
        <w:t xml:space="preserve">e </w:t>
      </w:r>
      <w:r w:rsidR="00D846D4" w:rsidRPr="007B6510">
        <w:t>proteomic technologies</w:t>
      </w:r>
      <w:r w:rsidR="00AF128D" w:rsidRPr="00C14C36">
        <w:t xml:space="preserve">.  </w:t>
      </w:r>
    </w:p>
    <w:p w:rsidR="00230C68" w:rsidRPr="003B6784" w:rsidRDefault="00230C68" w:rsidP="00230C68">
      <w:pPr>
        <w:pStyle w:val="PlainText"/>
        <w:rPr>
          <w:rFonts w:ascii="Times New Roman" w:hAnsi="Times New Roman"/>
          <w:b/>
          <w:sz w:val="24"/>
          <w:szCs w:val="24"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F10E36">
      <w:r>
        <w:t>R</w:t>
      </w:r>
      <w:r w:rsidR="00FD72C7">
        <w:t xml:space="preserve">esearchers who </w:t>
      </w:r>
      <w:r w:rsidR="00C14C36">
        <w:t xml:space="preserve">have/may </w:t>
      </w:r>
      <w:r w:rsidR="00FD72C7">
        <w:t>use</w:t>
      </w:r>
      <w:r w:rsidR="00C14C36">
        <w:t xml:space="preserve"> CPTAC data/analyses/tools</w:t>
      </w:r>
      <w:r>
        <w:t xml:space="preserve"> including:</w:t>
      </w:r>
    </w:p>
    <w:p w:rsidR="00F10E36" w:rsidRDefault="000802B3" w:rsidP="00881DED">
      <w:pPr>
        <w:pStyle w:val="ListParagraph"/>
        <w:numPr>
          <w:ilvl w:val="0"/>
          <w:numId w:val="19"/>
        </w:numPr>
      </w:pPr>
      <w:r>
        <w:t xml:space="preserve">The </w:t>
      </w:r>
      <w:r w:rsidR="00F10E36">
        <w:t>Cancer Genome Atlas</w:t>
      </w:r>
      <w:r>
        <w:t xml:space="preserve"> (TCGA)</w:t>
      </w:r>
      <w:r w:rsidR="00F10E36">
        <w:t xml:space="preserve"> </w:t>
      </w:r>
      <w:r>
        <w:t>grantees and collaborators</w:t>
      </w:r>
      <w:r w:rsidR="00F10E36">
        <w:t>, and</w:t>
      </w:r>
    </w:p>
    <w:p w:rsidR="00F10E36" w:rsidRDefault="000802B3" w:rsidP="00881DED">
      <w:pPr>
        <w:pStyle w:val="ListParagraph"/>
        <w:numPr>
          <w:ilvl w:val="0"/>
          <w:numId w:val="19"/>
        </w:numPr>
      </w:pPr>
      <w:r>
        <w:t xml:space="preserve">Listserv Members of the NCI </w:t>
      </w:r>
      <w:r w:rsidR="00F10E36">
        <w:t>Clinical Proteomic Tumor Anal</w:t>
      </w:r>
      <w:r>
        <w:t xml:space="preserve">ysis Consortium </w:t>
      </w:r>
      <w:r w:rsidR="002B1B61">
        <w:t>(CPTAC)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0D7DDC" w:rsidRPr="008D6C96">
        <w:rPr>
          <w:bCs/>
          <w:sz w:val="24"/>
        </w:rPr>
        <w:t>X</w:t>
      </w:r>
      <w:r w:rsidRPr="008D6C9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546FA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EA202A">
        <w:rPr>
          <w:u w:val="single"/>
        </w:rPr>
        <w:t>Tara</w:t>
      </w:r>
      <w:proofErr w:type="spellEnd"/>
      <w:r w:rsidR="00EA202A">
        <w:rPr>
          <w:u w:val="single"/>
        </w:rPr>
        <w:t xml:space="preserve"> Hiltke</w:t>
      </w:r>
      <w:r w:rsidRPr="00FD72C7">
        <w:rPr>
          <w:u w:val="single"/>
        </w:rPr>
        <w:t>__________________________________________</w:t>
      </w:r>
    </w:p>
    <w:p w:rsidR="009C13B9" w:rsidRDefault="009C13B9" w:rsidP="009C13B9">
      <w:pPr>
        <w:pStyle w:val="ListParagraph"/>
        <w:ind w:left="360"/>
      </w:pPr>
    </w:p>
    <w:p w:rsidR="002B1B61" w:rsidRDefault="002B1B61" w:rsidP="009C13B9"/>
    <w:p w:rsidR="002B1B61" w:rsidRDefault="002B1B61" w:rsidP="009C13B9"/>
    <w:p w:rsidR="002B1B61" w:rsidRDefault="002B1B61" w:rsidP="009C13B9"/>
    <w:p w:rsidR="002B1B61" w:rsidRDefault="002B1B61" w:rsidP="009C13B9"/>
    <w:p w:rsidR="009C13B9" w:rsidRDefault="009C13B9" w:rsidP="009C13B9">
      <w:r>
        <w:lastRenderedPageBreak/>
        <w:t>To assist review, please provide answers to the following question:</w:t>
      </w:r>
    </w:p>
    <w:p w:rsidR="00F10E36" w:rsidRDefault="00F10E36" w:rsidP="00C86E91">
      <w:pPr>
        <w:rPr>
          <w:b/>
        </w:rPr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81DED">
        <w:t>x</w:t>
      </w:r>
      <w:r w:rsidR="009239AA">
        <w:t xml:space="preserve"> ] Yes  [</w:t>
      </w:r>
      <w:r w:rsidR="00DA28B5"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</w:t>
      </w:r>
      <w:r w:rsidR="00DC162C">
        <w:t>x</w:t>
      </w:r>
      <w:r w:rsidR="009239AA">
        <w:t>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DC162C">
        <w:t xml:space="preserve"> been published?  [  ] Yes  [x</w:t>
      </w:r>
      <w:r>
        <w:t>] No</w:t>
      </w:r>
    </w:p>
    <w:p w:rsidR="00F10E36" w:rsidRDefault="00F10E36" w:rsidP="00C86E91">
      <w:pPr>
        <w:pStyle w:val="ListParagraph"/>
        <w:ind w:left="0"/>
        <w:rPr>
          <w:b/>
        </w:rPr>
      </w:pPr>
    </w:p>
    <w:p w:rsidR="001732E9" w:rsidRPr="00DA28B5" w:rsidRDefault="001732E9" w:rsidP="00C86E91">
      <w:pPr>
        <w:pStyle w:val="ListParagraph"/>
        <w:ind w:left="0"/>
      </w:pPr>
      <w:r w:rsidRPr="00DA28B5">
        <w:t>PII is known since NCI has access to the respondent’s email address</w:t>
      </w:r>
      <w:r w:rsidR="00881DED" w:rsidRPr="00DA28B5">
        <w:t xml:space="preserve"> and this information will be linked to </w:t>
      </w:r>
      <w:r w:rsidRPr="00DA28B5">
        <w:t>responses to the survey.</w:t>
      </w:r>
      <w:r w:rsidR="00DA28B5">
        <w:t xml:space="preserve">  </w:t>
      </w:r>
      <w:r w:rsidR="000D7DDC">
        <w:t>PII will only be retained for the survey and then will be destroyed once the project is completed.</w:t>
      </w:r>
    </w:p>
    <w:p w:rsidR="001732E9" w:rsidRDefault="001732E9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DC162C">
        <w:t>ed to participants?  [  ] Yes [</w:t>
      </w:r>
      <w:r w:rsidR="00FD72C7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6832D9" w:rsidRPr="006832D9" w:rsidRDefault="005E714A" w:rsidP="00155F9B">
      <w:pPr>
        <w:rPr>
          <w:b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620"/>
        <w:gridCol w:w="2520"/>
        <w:gridCol w:w="2250"/>
        <w:gridCol w:w="1440"/>
      </w:tblGrid>
      <w:tr w:rsidR="00F10E36" w:rsidTr="008D6C96">
        <w:trPr>
          <w:trHeight w:val="274"/>
        </w:trPr>
        <w:tc>
          <w:tcPr>
            <w:tcW w:w="2178" w:type="dxa"/>
            <w:vAlign w:val="center"/>
          </w:tcPr>
          <w:p w:rsidR="00F10E36" w:rsidRPr="0001027E" w:rsidRDefault="00F10E36" w:rsidP="00881DE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F10E36" w:rsidRPr="0001027E" w:rsidRDefault="00F10E36" w:rsidP="00881DED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>
              <w:rPr>
                <w:b/>
              </w:rPr>
              <w:t>umber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520" w:type="dxa"/>
            <w:vAlign w:val="center"/>
          </w:tcPr>
          <w:p w:rsidR="00F10E36" w:rsidRPr="0001027E" w:rsidRDefault="00F10E36" w:rsidP="00881DED">
            <w:pPr>
              <w:jc w:val="center"/>
              <w:rPr>
                <w:b/>
              </w:rPr>
            </w:pPr>
            <w:r>
              <w:rPr>
                <w:b/>
              </w:rPr>
              <w:t>Number of Responses per Respondent</w:t>
            </w:r>
          </w:p>
        </w:tc>
        <w:tc>
          <w:tcPr>
            <w:tcW w:w="2250" w:type="dxa"/>
            <w:vAlign w:val="center"/>
          </w:tcPr>
          <w:p w:rsidR="00F10E36" w:rsidRDefault="00F10E36" w:rsidP="00881DED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per Response </w:t>
            </w:r>
          </w:p>
          <w:p w:rsidR="00F10E36" w:rsidRPr="0001027E" w:rsidRDefault="00F10E36" w:rsidP="00881DED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1440" w:type="dxa"/>
            <w:vAlign w:val="center"/>
          </w:tcPr>
          <w:p w:rsidR="00F10E36" w:rsidRPr="0001027E" w:rsidRDefault="00F10E36" w:rsidP="00881DED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F10E36" w:rsidTr="008D6C96">
        <w:trPr>
          <w:trHeight w:val="274"/>
        </w:trPr>
        <w:tc>
          <w:tcPr>
            <w:tcW w:w="2178" w:type="dxa"/>
          </w:tcPr>
          <w:p w:rsidR="00F10E36" w:rsidRDefault="00F10E36" w:rsidP="000802B3">
            <w:r>
              <w:t>Individuals</w:t>
            </w:r>
          </w:p>
        </w:tc>
        <w:tc>
          <w:tcPr>
            <w:tcW w:w="1620" w:type="dxa"/>
            <w:vAlign w:val="center"/>
          </w:tcPr>
          <w:p w:rsidR="00F10E36" w:rsidRDefault="00F10E36" w:rsidP="00881DED">
            <w:pPr>
              <w:jc w:val="center"/>
            </w:pPr>
            <w:r>
              <w:t>300</w:t>
            </w:r>
          </w:p>
        </w:tc>
        <w:tc>
          <w:tcPr>
            <w:tcW w:w="2520" w:type="dxa"/>
            <w:vAlign w:val="center"/>
          </w:tcPr>
          <w:p w:rsidR="00F10E36" w:rsidRDefault="00F10E36" w:rsidP="00881DED">
            <w:pPr>
              <w:jc w:val="center"/>
            </w:pPr>
            <w:r>
              <w:t>1</w:t>
            </w:r>
          </w:p>
        </w:tc>
        <w:tc>
          <w:tcPr>
            <w:tcW w:w="2250" w:type="dxa"/>
            <w:vAlign w:val="center"/>
          </w:tcPr>
          <w:p w:rsidR="00F10E36" w:rsidRDefault="00F10E36" w:rsidP="00881DED">
            <w:pPr>
              <w:jc w:val="center"/>
            </w:pPr>
            <w:r>
              <w:t>10/60</w:t>
            </w:r>
          </w:p>
        </w:tc>
        <w:tc>
          <w:tcPr>
            <w:tcW w:w="1440" w:type="dxa"/>
            <w:vAlign w:val="center"/>
          </w:tcPr>
          <w:p w:rsidR="00F10E36" w:rsidRDefault="00F10E36" w:rsidP="00881DED">
            <w:pPr>
              <w:jc w:val="center"/>
            </w:pPr>
            <w:r>
              <w:t>50</w:t>
            </w:r>
          </w:p>
        </w:tc>
      </w:tr>
    </w:tbl>
    <w:p w:rsidR="00F3170F" w:rsidRDefault="00F3170F" w:rsidP="00F3170F"/>
    <w:p w:rsidR="00B1012A" w:rsidRDefault="00B1012A" w:rsidP="00B1012A">
      <w:pPr>
        <w:tabs>
          <w:tab w:val="left" w:pos="5670"/>
        </w:tabs>
        <w:suppressAutoHyphens/>
      </w:pPr>
      <w:r>
        <w:t xml:space="preserve">Total Burden Hours used for IC’s to date:  </w:t>
      </w:r>
      <w:r>
        <w:tab/>
      </w:r>
      <w:r w:rsidR="00681C4C">
        <w:t>1943</w:t>
      </w:r>
    </w:p>
    <w:p w:rsidR="00787992" w:rsidRDefault="00787992" w:rsidP="00787992">
      <w:pPr>
        <w:tabs>
          <w:tab w:val="left" w:pos="5670"/>
        </w:tabs>
        <w:suppressAutoHyphens/>
      </w:pPr>
      <w:r>
        <w:t>Total Burden Hours Approved for IC’s under 0925-0642:</w:t>
      </w:r>
      <w:r>
        <w:tab/>
      </w:r>
      <w:r w:rsidR="00681C4C">
        <w:t>8750</w:t>
      </w:r>
    </w:p>
    <w:p w:rsidR="00787992" w:rsidRDefault="00787992" w:rsidP="00787992">
      <w:pPr>
        <w:tabs>
          <w:tab w:val="left" w:pos="5670"/>
        </w:tabs>
        <w:suppressAutoHyphens/>
      </w:pPr>
      <w:r>
        <w:t xml:space="preserve">Total Burden Hours currently requested: </w:t>
      </w:r>
      <w:r w:rsidR="00681C4C">
        <w:tab/>
        <w:t xml:space="preserve">    50</w:t>
      </w:r>
      <w:r>
        <w:tab/>
      </w:r>
    </w:p>
    <w:p w:rsidR="00787992" w:rsidRDefault="00787992" w:rsidP="00F3170F"/>
    <w:p w:rsidR="00ED6492" w:rsidRPr="003A7D11" w:rsidRDefault="001C39F7">
      <w:pPr>
        <w:rPr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 w:rsidRPr="00694FB6">
        <w:t xml:space="preserve">is </w:t>
      </w:r>
      <w:r w:rsidR="00131DCB" w:rsidRPr="00694FB6">
        <w:t>$</w:t>
      </w:r>
      <w:r w:rsidR="00694FB6" w:rsidRPr="00694FB6">
        <w:t>7</w:t>
      </w:r>
      <w:r w:rsidR="003A7D11" w:rsidRPr="00694FB6">
        <w:t>,</w:t>
      </w:r>
      <w:r w:rsidR="00694FB6" w:rsidRPr="00694FB6">
        <w:t>50</w:t>
      </w:r>
      <w:r w:rsidR="003A7D11" w:rsidRPr="00694FB6">
        <w:rPr>
          <w:bCs/>
        </w:rPr>
        <w:t>0.</w:t>
      </w:r>
    </w:p>
    <w:p w:rsidR="003A7D11" w:rsidRDefault="003A7D11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3D07B5">
        <w:rPr>
          <w:b/>
          <w:bCs/>
          <w:u w:val="single"/>
        </w:rPr>
        <w:t>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D72C7">
        <w:t>x</w:t>
      </w:r>
      <w:r>
        <w:t xml:space="preserve"> ] Yes</w:t>
      </w:r>
      <w:r>
        <w:tab/>
        <w:t>[ ] No</w:t>
      </w:r>
    </w:p>
    <w:p w:rsidR="000802B3" w:rsidRDefault="000802B3" w:rsidP="001B0AAA">
      <w:r>
        <w:t xml:space="preserve">Lists were created from these two groups of respondents and then duplicate emails </w:t>
      </w:r>
      <w:r w:rsidR="007C1994">
        <w:t>and emails belonging to Federal employees</w:t>
      </w:r>
      <w:r w:rsidR="008D6C96">
        <w:t xml:space="preserve"> were deleted</w:t>
      </w:r>
      <w:r>
        <w:t xml:space="preserve">.  </w:t>
      </w:r>
      <w:r w:rsidR="007C1994">
        <w:t xml:space="preserve">This list left just under 1800 email </w:t>
      </w:r>
      <w:r w:rsidR="00930C6A">
        <w:t xml:space="preserve">listserv and TCGA researchers </w:t>
      </w:r>
      <w:r w:rsidR="007C1994">
        <w:t xml:space="preserve">from which to survey.  </w:t>
      </w:r>
      <w:r w:rsidR="00930C6A">
        <w:t xml:space="preserve">Approximately 17% of the total will be </w:t>
      </w:r>
      <w:r>
        <w:t>random</w:t>
      </w:r>
      <w:r w:rsidR="00930C6A">
        <w:t xml:space="preserve">ly asked to </w:t>
      </w:r>
      <w:r>
        <w:t>complete the survey.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C162C" w:rsidP="001B0AAA">
      <w:pPr>
        <w:ind w:left="720"/>
      </w:pPr>
      <w:r>
        <w:t>[</w:t>
      </w:r>
      <w:r w:rsidR="00FD72C7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D72C7" w:rsidRDefault="00FD72C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FD72C7">
        <w:t>x</w:t>
      </w:r>
      <w:r>
        <w:t xml:space="preserve"> ] No</w:t>
      </w:r>
    </w:p>
    <w:p w:rsidR="002B1B61" w:rsidRDefault="002B1B61" w:rsidP="002B1B61">
      <w:pPr>
        <w:tabs>
          <w:tab w:val="left" w:pos="5670"/>
        </w:tabs>
        <w:suppressAutoHyphens/>
      </w:pPr>
    </w:p>
    <w:p w:rsidR="002B1B61" w:rsidRDefault="002B1B61" w:rsidP="002B1B61">
      <w:pPr>
        <w:tabs>
          <w:tab w:val="left" w:pos="5670"/>
        </w:tabs>
        <w:suppressAutoHyphens/>
      </w:pPr>
      <w:r>
        <w:lastRenderedPageBreak/>
        <w:t xml:space="preserve">Attachment 1A: The Cancer Genome Atlas (TCGA) </w:t>
      </w:r>
      <w:r w:rsidR="00336BF0">
        <w:t>Invitation</w:t>
      </w:r>
      <w:r>
        <w:t xml:space="preserve"> Email</w:t>
      </w:r>
    </w:p>
    <w:p w:rsidR="002B1B61" w:rsidRDefault="001632E0" w:rsidP="00787992">
      <w:pPr>
        <w:tabs>
          <w:tab w:val="left" w:pos="5670"/>
        </w:tabs>
        <w:suppressAutoHyphens/>
      </w:pPr>
      <w:r>
        <w:t xml:space="preserve">Attachment </w:t>
      </w:r>
      <w:r w:rsidR="00BD1C6B">
        <w:t>1</w:t>
      </w:r>
      <w:r w:rsidR="002B1B61">
        <w:t>B</w:t>
      </w:r>
      <w:r>
        <w:t xml:space="preserve">: </w:t>
      </w:r>
      <w:r w:rsidR="00CF6980">
        <w:t xml:space="preserve">The Cancer Genome Atlas (TCGA) </w:t>
      </w:r>
      <w:r w:rsidR="002B1B61">
        <w:t>S</w:t>
      </w:r>
      <w:r w:rsidR="00751BAE">
        <w:t xml:space="preserve">urvey </w:t>
      </w:r>
      <w:r w:rsidR="00BD1C6B">
        <w:t>(Screenshots)</w:t>
      </w:r>
      <w:r w:rsidR="00CF6980">
        <w:rPr>
          <w:rStyle w:val="FootnoteReference"/>
        </w:rPr>
        <w:footnoteReference w:id="1"/>
      </w:r>
    </w:p>
    <w:p w:rsidR="00BD1C6B" w:rsidRDefault="001632E0" w:rsidP="00787992">
      <w:pPr>
        <w:tabs>
          <w:tab w:val="left" w:pos="5670"/>
        </w:tabs>
        <w:suppressAutoHyphens/>
      </w:pPr>
      <w:r>
        <w:t xml:space="preserve">Attachment </w:t>
      </w:r>
      <w:r w:rsidR="00BD1C6B">
        <w:t>2</w:t>
      </w:r>
      <w:r w:rsidR="002B1B61">
        <w:t>A</w:t>
      </w:r>
      <w:r>
        <w:t xml:space="preserve">: </w:t>
      </w:r>
      <w:r w:rsidR="00CF6980">
        <w:t xml:space="preserve">CPTAC Listerv </w:t>
      </w:r>
      <w:r w:rsidR="00336BF0">
        <w:t>Invitation</w:t>
      </w:r>
      <w:r>
        <w:t xml:space="preserve"> Email</w:t>
      </w:r>
    </w:p>
    <w:p w:rsidR="003F469E" w:rsidRDefault="002B1B61" w:rsidP="00787992">
      <w:pPr>
        <w:tabs>
          <w:tab w:val="left" w:pos="5670"/>
        </w:tabs>
        <w:suppressAutoHyphens/>
      </w:pPr>
      <w:r>
        <w:t>Attachment 2B: CPTAC Listerv Survey (Screenshots)</w:t>
      </w:r>
    </w:p>
    <w:sectPr w:rsidR="003F469E" w:rsidSect="00F0499B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92" w:rsidRDefault="00384992">
      <w:r>
        <w:separator/>
      </w:r>
    </w:p>
  </w:endnote>
  <w:endnote w:type="continuationSeparator" w:id="0">
    <w:p w:rsidR="00384992" w:rsidRDefault="0038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B3" w:rsidRDefault="000802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B64A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92" w:rsidRDefault="00384992">
      <w:r>
        <w:separator/>
      </w:r>
    </w:p>
  </w:footnote>
  <w:footnote w:type="continuationSeparator" w:id="0">
    <w:p w:rsidR="00384992" w:rsidRDefault="00384992">
      <w:r>
        <w:continuationSeparator/>
      </w:r>
    </w:p>
  </w:footnote>
  <w:footnote w:id="1">
    <w:p w:rsidR="00CF6980" w:rsidRDefault="00CF6980">
      <w:pPr>
        <w:pStyle w:val="FootnoteText"/>
      </w:pPr>
      <w:r>
        <w:rPr>
          <w:rStyle w:val="FootnoteReference"/>
        </w:rPr>
        <w:footnoteRef/>
      </w:r>
      <w:r>
        <w:t xml:space="preserve"> The difference between the two surveys</w:t>
      </w:r>
      <w:r w:rsidR="00DC162C">
        <w:t xml:space="preserve"> includes:  titles of the surveys, </w:t>
      </w:r>
      <w:r w:rsidR="0085203A">
        <w:t>a customized</w:t>
      </w:r>
      <w:r>
        <w:t xml:space="preserve"> </w:t>
      </w:r>
      <w:r w:rsidR="007C1994">
        <w:t>introductory page</w:t>
      </w:r>
      <w:r w:rsidR="00DC162C">
        <w:t xml:space="preserve">, </w:t>
      </w:r>
      <w:r>
        <w:t xml:space="preserve">and </w:t>
      </w:r>
      <w:r w:rsidR="00DC162C">
        <w:t xml:space="preserve">the addition of </w:t>
      </w:r>
      <w:r>
        <w:t xml:space="preserve">one question (Q.4) </w:t>
      </w:r>
      <w:r w:rsidR="00DC162C">
        <w:t>to</w:t>
      </w:r>
      <w:r>
        <w:t xml:space="preserve"> </w:t>
      </w:r>
      <w:r w:rsidR="0085203A">
        <w:t>Attachment 2</w:t>
      </w:r>
      <w:r w:rsidR="005B64A0">
        <w:t>B</w:t>
      </w:r>
      <w:r w:rsidR="0085203A">
        <w:t xml:space="preserve"> for the CPTAC Listerv population.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8E3947"/>
    <w:multiLevelType w:val="hybridMultilevel"/>
    <w:tmpl w:val="537A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0DAB"/>
    <w:rsid w:val="00047A64"/>
    <w:rsid w:val="000517D9"/>
    <w:rsid w:val="000537DD"/>
    <w:rsid w:val="000630D5"/>
    <w:rsid w:val="000631E6"/>
    <w:rsid w:val="00067329"/>
    <w:rsid w:val="000802B3"/>
    <w:rsid w:val="000B2838"/>
    <w:rsid w:val="000D44CA"/>
    <w:rsid w:val="000D7DDC"/>
    <w:rsid w:val="000E200B"/>
    <w:rsid w:val="000F68BE"/>
    <w:rsid w:val="001042DD"/>
    <w:rsid w:val="00131DCB"/>
    <w:rsid w:val="00155F9B"/>
    <w:rsid w:val="001632E0"/>
    <w:rsid w:val="001732E9"/>
    <w:rsid w:val="0018781A"/>
    <w:rsid w:val="001927A4"/>
    <w:rsid w:val="00192F76"/>
    <w:rsid w:val="00194AC6"/>
    <w:rsid w:val="001A23B0"/>
    <w:rsid w:val="001A25CC"/>
    <w:rsid w:val="001B0AAA"/>
    <w:rsid w:val="001B340E"/>
    <w:rsid w:val="001C39F7"/>
    <w:rsid w:val="00230C68"/>
    <w:rsid w:val="00237B48"/>
    <w:rsid w:val="0024521E"/>
    <w:rsid w:val="00263C3D"/>
    <w:rsid w:val="00274D0B"/>
    <w:rsid w:val="002A04C4"/>
    <w:rsid w:val="002A062E"/>
    <w:rsid w:val="002A6725"/>
    <w:rsid w:val="002B052D"/>
    <w:rsid w:val="002B1B61"/>
    <w:rsid w:val="002B34CD"/>
    <w:rsid w:val="002B3C95"/>
    <w:rsid w:val="002C095C"/>
    <w:rsid w:val="002D0B92"/>
    <w:rsid w:val="002F5010"/>
    <w:rsid w:val="00336BF0"/>
    <w:rsid w:val="00342839"/>
    <w:rsid w:val="0037021E"/>
    <w:rsid w:val="00384992"/>
    <w:rsid w:val="003A7D11"/>
    <w:rsid w:val="003B6784"/>
    <w:rsid w:val="003D07B5"/>
    <w:rsid w:val="003D5BBE"/>
    <w:rsid w:val="003D694C"/>
    <w:rsid w:val="003E3C61"/>
    <w:rsid w:val="003F1C5B"/>
    <w:rsid w:val="003F469E"/>
    <w:rsid w:val="00434E33"/>
    <w:rsid w:val="00441434"/>
    <w:rsid w:val="004517F3"/>
    <w:rsid w:val="0045264C"/>
    <w:rsid w:val="00457FB6"/>
    <w:rsid w:val="00471C30"/>
    <w:rsid w:val="004876EC"/>
    <w:rsid w:val="004B6A99"/>
    <w:rsid w:val="004D6E14"/>
    <w:rsid w:val="005009B0"/>
    <w:rsid w:val="005146AE"/>
    <w:rsid w:val="00546FA8"/>
    <w:rsid w:val="00561813"/>
    <w:rsid w:val="0058470E"/>
    <w:rsid w:val="005A1006"/>
    <w:rsid w:val="005B64A0"/>
    <w:rsid w:val="005E714A"/>
    <w:rsid w:val="005F693D"/>
    <w:rsid w:val="006140A0"/>
    <w:rsid w:val="00636621"/>
    <w:rsid w:val="00642B49"/>
    <w:rsid w:val="00676FC3"/>
    <w:rsid w:val="00681C4C"/>
    <w:rsid w:val="006832D9"/>
    <w:rsid w:val="0069403B"/>
    <w:rsid w:val="00694FB6"/>
    <w:rsid w:val="006B2575"/>
    <w:rsid w:val="006F33D0"/>
    <w:rsid w:val="006F3DDE"/>
    <w:rsid w:val="0070112B"/>
    <w:rsid w:val="00704678"/>
    <w:rsid w:val="00722122"/>
    <w:rsid w:val="007425E7"/>
    <w:rsid w:val="00751BAE"/>
    <w:rsid w:val="007804B9"/>
    <w:rsid w:val="00787992"/>
    <w:rsid w:val="00793725"/>
    <w:rsid w:val="007C1994"/>
    <w:rsid w:val="007F7080"/>
    <w:rsid w:val="00802607"/>
    <w:rsid w:val="00802AF8"/>
    <w:rsid w:val="008101A5"/>
    <w:rsid w:val="00822664"/>
    <w:rsid w:val="00837FE9"/>
    <w:rsid w:val="00843796"/>
    <w:rsid w:val="0085203A"/>
    <w:rsid w:val="0088141F"/>
    <w:rsid w:val="00881DED"/>
    <w:rsid w:val="00895229"/>
    <w:rsid w:val="008B2EB3"/>
    <w:rsid w:val="008D6C96"/>
    <w:rsid w:val="008E6AFB"/>
    <w:rsid w:val="008F0203"/>
    <w:rsid w:val="008F50D4"/>
    <w:rsid w:val="009239AA"/>
    <w:rsid w:val="00930C6A"/>
    <w:rsid w:val="00935ADA"/>
    <w:rsid w:val="0093777A"/>
    <w:rsid w:val="00946B6C"/>
    <w:rsid w:val="00955A71"/>
    <w:rsid w:val="00956F41"/>
    <w:rsid w:val="0096108F"/>
    <w:rsid w:val="00994562"/>
    <w:rsid w:val="009C13B9"/>
    <w:rsid w:val="009D01A2"/>
    <w:rsid w:val="009F5923"/>
    <w:rsid w:val="00A403BB"/>
    <w:rsid w:val="00A61080"/>
    <w:rsid w:val="00A674DF"/>
    <w:rsid w:val="00A83AA6"/>
    <w:rsid w:val="00A90702"/>
    <w:rsid w:val="00A934D6"/>
    <w:rsid w:val="00AA4142"/>
    <w:rsid w:val="00AB4059"/>
    <w:rsid w:val="00AE09D7"/>
    <w:rsid w:val="00AE1809"/>
    <w:rsid w:val="00AF128D"/>
    <w:rsid w:val="00B1012A"/>
    <w:rsid w:val="00B202B5"/>
    <w:rsid w:val="00B26932"/>
    <w:rsid w:val="00B47BFE"/>
    <w:rsid w:val="00B62CAC"/>
    <w:rsid w:val="00B72796"/>
    <w:rsid w:val="00B80D76"/>
    <w:rsid w:val="00B82616"/>
    <w:rsid w:val="00B840A7"/>
    <w:rsid w:val="00BA2105"/>
    <w:rsid w:val="00BA7E06"/>
    <w:rsid w:val="00BB43B5"/>
    <w:rsid w:val="00BB6219"/>
    <w:rsid w:val="00BC66CF"/>
    <w:rsid w:val="00BD1C6B"/>
    <w:rsid w:val="00BD290F"/>
    <w:rsid w:val="00C14C36"/>
    <w:rsid w:val="00C14CC4"/>
    <w:rsid w:val="00C32F45"/>
    <w:rsid w:val="00C33C52"/>
    <w:rsid w:val="00C40D8B"/>
    <w:rsid w:val="00C623FB"/>
    <w:rsid w:val="00C8407A"/>
    <w:rsid w:val="00C8488C"/>
    <w:rsid w:val="00C86E91"/>
    <w:rsid w:val="00C94DA8"/>
    <w:rsid w:val="00CA2650"/>
    <w:rsid w:val="00CA57A6"/>
    <w:rsid w:val="00CB1078"/>
    <w:rsid w:val="00CC6FAF"/>
    <w:rsid w:val="00CF2975"/>
    <w:rsid w:val="00CF41AC"/>
    <w:rsid w:val="00CF6542"/>
    <w:rsid w:val="00CF6980"/>
    <w:rsid w:val="00D22FCC"/>
    <w:rsid w:val="00D24698"/>
    <w:rsid w:val="00D6383F"/>
    <w:rsid w:val="00D846D4"/>
    <w:rsid w:val="00DA19F3"/>
    <w:rsid w:val="00DA28B5"/>
    <w:rsid w:val="00DB59D0"/>
    <w:rsid w:val="00DC162C"/>
    <w:rsid w:val="00DC33D3"/>
    <w:rsid w:val="00DC3742"/>
    <w:rsid w:val="00DF0BD7"/>
    <w:rsid w:val="00E26329"/>
    <w:rsid w:val="00E273E9"/>
    <w:rsid w:val="00E40B50"/>
    <w:rsid w:val="00E50293"/>
    <w:rsid w:val="00E65FFC"/>
    <w:rsid w:val="00E718C1"/>
    <w:rsid w:val="00E744EA"/>
    <w:rsid w:val="00E80951"/>
    <w:rsid w:val="00E86CC6"/>
    <w:rsid w:val="00EA202A"/>
    <w:rsid w:val="00EB56B3"/>
    <w:rsid w:val="00EC1ABB"/>
    <w:rsid w:val="00EC1DFD"/>
    <w:rsid w:val="00ED6492"/>
    <w:rsid w:val="00ED6951"/>
    <w:rsid w:val="00EF2095"/>
    <w:rsid w:val="00F0499B"/>
    <w:rsid w:val="00F06866"/>
    <w:rsid w:val="00F10E36"/>
    <w:rsid w:val="00F15956"/>
    <w:rsid w:val="00F24CFC"/>
    <w:rsid w:val="00F3170F"/>
    <w:rsid w:val="00F362D9"/>
    <w:rsid w:val="00F624B0"/>
    <w:rsid w:val="00F976B0"/>
    <w:rsid w:val="00FA6DE7"/>
    <w:rsid w:val="00FC0A8E"/>
    <w:rsid w:val="00FD72C7"/>
    <w:rsid w:val="00FE2FA6"/>
    <w:rsid w:val="00FE3DF2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D7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72C7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F10E36"/>
    <w:rPr>
      <w:sz w:val="24"/>
      <w:szCs w:val="24"/>
    </w:rPr>
  </w:style>
  <w:style w:type="paragraph" w:styleId="FootnoteText">
    <w:name w:val="footnote text"/>
    <w:basedOn w:val="Normal"/>
    <w:link w:val="FootnoteTextChar"/>
    <w:rsid w:val="00CF69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F6980"/>
  </w:style>
  <w:style w:type="character" w:styleId="FootnoteReference">
    <w:name w:val="footnote reference"/>
    <w:basedOn w:val="DefaultParagraphFont"/>
    <w:rsid w:val="00CF69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D72C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72C7"/>
    <w:rPr>
      <w:rFonts w:ascii="Consolas" w:eastAsia="Calibri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F10E36"/>
    <w:rPr>
      <w:sz w:val="24"/>
      <w:szCs w:val="24"/>
    </w:rPr>
  </w:style>
  <w:style w:type="paragraph" w:styleId="FootnoteText">
    <w:name w:val="footnote text"/>
    <w:basedOn w:val="Normal"/>
    <w:link w:val="FootnoteTextChar"/>
    <w:rsid w:val="00CF69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F6980"/>
  </w:style>
  <w:style w:type="character" w:styleId="FootnoteReference">
    <w:name w:val="footnote reference"/>
    <w:basedOn w:val="DefaultParagraphFont"/>
    <w:rsid w:val="00CF69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D383-70C6-4B66-89CC-1F659B92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E9224D1A.dotm</Template>
  <TotalTime>54</TotalTime>
  <Pages>3</Pages>
  <Words>704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Eden Segal</cp:lastModifiedBy>
  <cp:revision>9</cp:revision>
  <cp:lastPrinted>2013-11-05T19:21:00Z</cp:lastPrinted>
  <dcterms:created xsi:type="dcterms:W3CDTF">2014-01-13T16:04:00Z</dcterms:created>
  <dcterms:modified xsi:type="dcterms:W3CDTF">2014-01-27T14:56:00Z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