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61F" w:rsidRDefault="00F631E3" w:rsidP="003C161F">
      <w:pPr>
        <w:pStyle w:val="Heading1"/>
        <w:spacing w:after="200" w:line="360" w:lineRule="auto"/>
        <w:ind w:right="14"/>
      </w:pPr>
      <w:bookmarkStart w:id="0" w:name="_Toc295118812"/>
      <w:r>
        <w:t>B.</w:t>
      </w:r>
      <w:r>
        <w:tab/>
      </w:r>
      <w:r w:rsidR="003C161F">
        <w:t xml:space="preserve">Project </w:t>
      </w:r>
      <w:r>
        <w:t>GATE II</w:t>
      </w:r>
    </w:p>
    <w:p w:rsidR="00F631E3" w:rsidRDefault="00F631E3" w:rsidP="003C161F">
      <w:pPr>
        <w:pStyle w:val="Heading1"/>
        <w:spacing w:after="200" w:line="360" w:lineRule="auto"/>
        <w:ind w:right="10"/>
      </w:pPr>
      <w:r>
        <w:t xml:space="preserve"> Collection of information involving statistical methods</w:t>
      </w:r>
      <w:bookmarkEnd w:id="0"/>
    </w:p>
    <w:p w:rsidR="00F631E3" w:rsidRDefault="00F631E3" w:rsidP="003C161F">
      <w:pPr>
        <w:pStyle w:val="Heading3"/>
        <w:spacing w:after="200" w:line="360" w:lineRule="auto"/>
        <w:ind w:right="10"/>
      </w:pPr>
      <w:bookmarkStart w:id="1" w:name="_Toc295118813"/>
      <w:bookmarkStart w:id="2" w:name="_Toc21406406"/>
      <w:r>
        <w:t>1.</w:t>
      </w:r>
      <w:r>
        <w:tab/>
        <w:t>Respondent Universe and Sampling</w:t>
      </w:r>
      <w:bookmarkEnd w:id="1"/>
    </w:p>
    <w:p w:rsidR="00F631E3" w:rsidRPr="00B849FA" w:rsidRDefault="00F631E3" w:rsidP="003C161F">
      <w:pPr>
        <w:pStyle w:val="ParagraphLAST"/>
        <w:spacing w:after="200" w:line="360" w:lineRule="auto"/>
        <w:ind w:right="10"/>
      </w:pPr>
      <w:r>
        <w:t xml:space="preserve">For each of the three random assignment sites, the study population includes all individuals who applied for GATE II services after March 2009.  </w:t>
      </w:r>
      <w:r w:rsidRPr="00B849FA">
        <w:t xml:space="preserve">We expect the size of the universe to be 1,980 individuals based on current projections of GATE II enrollment as of the end of random assignment in mid-2011.  In Alabama and Virginia, half of the eligible applicants will be randomly assigned to the group that are offered GATE II microenterprise services (the program group) and half will be assigned to the group not offered GATE II services but who can seek pre-existing microenterprise services (the control group).  Random assignment is conducted at IMPAQ using a computer program that uses a random number generator with the system clock time in milliseconds as the random number seed. When the states notify IMPAQ that a particular GATE-eligible individual is ready for random assignment, IMPAQ performs the random assignment and notifies the state whether the individual was randomly assigned to the Treatment group or the Control group. In </w:t>
      </w:r>
      <w:smartTag w:uri="urn:schemas-microsoft-com:office:smarttags" w:element="place">
        <w:smartTag w:uri="urn:schemas-microsoft-com:office:smarttags" w:element="State">
          <w:r w:rsidRPr="00B849FA">
            <w:t>North Carolina</w:t>
          </w:r>
        </w:smartTag>
      </w:smartTag>
      <w:r w:rsidRPr="00B849FA">
        <w:t xml:space="preserve">, three-quarters of the eligible applicants will be randomly assigned to the program group, and one-quarter will be randomly assigned to the control group.  </w:t>
      </w:r>
      <w:r w:rsidR="00B47EAC">
        <w:t>T</w:t>
      </w:r>
      <w:r w:rsidR="00F9028B">
        <w:t xml:space="preserve">able </w:t>
      </w:r>
      <w:r w:rsidR="00B47EAC">
        <w:t xml:space="preserve">1 </w:t>
      </w:r>
      <w:r w:rsidR="00F9028B">
        <w:t xml:space="preserve">below </w:t>
      </w:r>
      <w:r w:rsidRPr="00B849FA">
        <w:t>provides estimates of the number of individuals who will be enrolled in each site and overall.</w:t>
      </w:r>
    </w:p>
    <w:p w:rsidR="00F631E3" w:rsidRPr="00DF4B4D" w:rsidRDefault="00F9028B" w:rsidP="003C161F">
      <w:pPr>
        <w:spacing w:line="240" w:lineRule="auto"/>
        <w:ind w:right="14"/>
        <w:jc w:val="center"/>
        <w:rPr>
          <w:b/>
          <w:sz w:val="20"/>
        </w:rPr>
      </w:pPr>
      <w:r>
        <w:rPr>
          <w:b/>
          <w:sz w:val="20"/>
        </w:rPr>
        <w:t xml:space="preserve">TABLE </w:t>
      </w:r>
      <w:r w:rsidR="00B47EAC">
        <w:rPr>
          <w:b/>
          <w:sz w:val="20"/>
        </w:rPr>
        <w:t>1</w:t>
      </w:r>
    </w:p>
    <w:p w:rsidR="00F631E3" w:rsidRDefault="00F631E3" w:rsidP="003C161F">
      <w:pPr>
        <w:spacing w:line="240" w:lineRule="auto"/>
        <w:ind w:right="14"/>
        <w:jc w:val="center"/>
        <w:rPr>
          <w:b/>
          <w:sz w:val="20"/>
        </w:rPr>
      </w:pPr>
      <w:r w:rsidRPr="00DF4B4D">
        <w:rPr>
          <w:b/>
          <w:sz w:val="20"/>
        </w:rPr>
        <w:t>EXPECTED NUMBER OF ELIGIBLE APPLICANTS BY SITE</w:t>
      </w:r>
    </w:p>
    <w:p w:rsidR="003C161F" w:rsidRPr="00DF4B4D" w:rsidRDefault="003C161F" w:rsidP="003C161F">
      <w:pPr>
        <w:spacing w:line="240" w:lineRule="auto"/>
        <w:ind w:right="14"/>
        <w:jc w:val="center"/>
        <w:rPr>
          <w:b/>
          <w:sz w:val="20"/>
        </w:rPr>
      </w:pPr>
    </w:p>
    <w:tbl>
      <w:tblPr>
        <w:tblW w:w="6300" w:type="dxa"/>
        <w:jc w:val="center"/>
        <w:tblInd w:w="2087" w:type="dxa"/>
        <w:tblLayout w:type="fixed"/>
        <w:tblCellMar>
          <w:left w:w="0" w:type="dxa"/>
          <w:right w:w="0" w:type="dxa"/>
        </w:tblCellMar>
        <w:tblLook w:val="0000"/>
      </w:tblPr>
      <w:tblGrid>
        <w:gridCol w:w="3870"/>
        <w:gridCol w:w="2430"/>
      </w:tblGrid>
      <w:tr w:rsidR="00F631E3" w:rsidTr="003C161F">
        <w:trPr>
          <w:trHeight w:val="255"/>
          <w:jc w:val="center"/>
        </w:trPr>
        <w:tc>
          <w:tcPr>
            <w:tcW w:w="3870" w:type="dxa"/>
            <w:tcBorders>
              <w:top w:val="single" w:sz="4" w:space="0" w:color="auto"/>
              <w:left w:val="single" w:sz="4" w:space="0" w:color="auto"/>
              <w:bottom w:val="single" w:sz="6" w:space="0" w:color="auto"/>
            </w:tcBorders>
            <w:shd w:val="clear" w:color="auto" w:fill="CCCCCC"/>
            <w:noWrap/>
            <w:tcMar>
              <w:top w:w="17" w:type="dxa"/>
              <w:left w:w="17" w:type="dxa"/>
              <w:bottom w:w="0" w:type="dxa"/>
              <w:right w:w="17" w:type="dxa"/>
            </w:tcMar>
            <w:vAlign w:val="bottom"/>
          </w:tcPr>
          <w:p w:rsidR="00F631E3" w:rsidRDefault="00F631E3" w:rsidP="003C161F">
            <w:pPr>
              <w:tabs>
                <w:tab w:val="clear" w:pos="432"/>
              </w:tabs>
              <w:spacing w:line="240" w:lineRule="auto"/>
              <w:ind w:right="14" w:firstLine="0"/>
              <w:jc w:val="center"/>
              <w:rPr>
                <w:rFonts w:eastAsia="Arial Unicode MS" w:cs="Arial Unicode MS"/>
              </w:rPr>
            </w:pPr>
            <w:r>
              <w:t>Site</w:t>
            </w:r>
          </w:p>
        </w:tc>
        <w:tc>
          <w:tcPr>
            <w:tcW w:w="2430" w:type="dxa"/>
            <w:tcBorders>
              <w:top w:val="single" w:sz="4" w:space="0" w:color="auto"/>
              <w:bottom w:val="single" w:sz="6" w:space="0" w:color="auto"/>
              <w:right w:val="single" w:sz="4" w:space="0" w:color="auto"/>
            </w:tcBorders>
            <w:shd w:val="clear" w:color="auto" w:fill="CCCCCC"/>
            <w:noWrap/>
            <w:tcMar>
              <w:top w:w="17" w:type="dxa"/>
              <w:left w:w="17" w:type="dxa"/>
              <w:bottom w:w="0" w:type="dxa"/>
              <w:right w:w="17" w:type="dxa"/>
            </w:tcMar>
            <w:vAlign w:val="bottom"/>
          </w:tcPr>
          <w:p w:rsidR="00F631E3" w:rsidRDefault="00F631E3" w:rsidP="003C161F">
            <w:pPr>
              <w:pStyle w:val="Center"/>
              <w:tabs>
                <w:tab w:val="clear" w:pos="432"/>
              </w:tabs>
              <w:spacing w:line="240" w:lineRule="auto"/>
              <w:ind w:right="14"/>
              <w:rPr>
                <w:rFonts w:eastAsia="Arial Unicode MS" w:cs="Arial Unicode MS"/>
              </w:rPr>
            </w:pPr>
            <w:r>
              <w:t>Expected Number of Applicants</w:t>
            </w:r>
          </w:p>
        </w:tc>
      </w:tr>
      <w:tr w:rsidR="00F631E3" w:rsidTr="003C161F">
        <w:trPr>
          <w:trHeight w:val="255"/>
          <w:jc w:val="center"/>
        </w:trPr>
        <w:tc>
          <w:tcPr>
            <w:tcW w:w="3870" w:type="dxa"/>
            <w:tcBorders>
              <w:top w:val="single" w:sz="6" w:space="0" w:color="auto"/>
              <w:left w:val="single" w:sz="4" w:space="0" w:color="auto"/>
            </w:tcBorders>
            <w:noWrap/>
            <w:tcMar>
              <w:top w:w="17" w:type="dxa"/>
              <w:left w:w="17" w:type="dxa"/>
              <w:bottom w:w="0" w:type="dxa"/>
              <w:right w:w="17" w:type="dxa"/>
            </w:tcMar>
            <w:vAlign w:val="bottom"/>
          </w:tcPr>
          <w:p w:rsidR="00F631E3" w:rsidRDefault="00F631E3" w:rsidP="003C161F">
            <w:pPr>
              <w:tabs>
                <w:tab w:val="clear" w:pos="432"/>
              </w:tabs>
              <w:spacing w:line="240" w:lineRule="auto"/>
              <w:ind w:left="385" w:right="14" w:hanging="385"/>
              <w:jc w:val="left"/>
              <w:rPr>
                <w:rFonts w:eastAsia="Arial Unicode MS" w:cs="Arial Unicode MS"/>
              </w:rPr>
            </w:pPr>
            <w:smartTag w:uri="urn:schemas-microsoft-com:office:smarttags" w:element="place">
              <w:smartTag w:uri="urn:schemas-microsoft-com:office:smarttags" w:element="State">
                <w:r>
                  <w:rPr>
                    <w:rFonts w:eastAsia="Arial Unicode MS" w:cs="Arial Unicode MS"/>
                  </w:rPr>
                  <w:t>Alabama</w:t>
                </w:r>
              </w:smartTag>
            </w:smartTag>
          </w:p>
        </w:tc>
        <w:tc>
          <w:tcPr>
            <w:tcW w:w="2430" w:type="dxa"/>
            <w:tcBorders>
              <w:top w:val="single" w:sz="6" w:space="0" w:color="auto"/>
              <w:right w:val="single" w:sz="4" w:space="0" w:color="auto"/>
            </w:tcBorders>
            <w:noWrap/>
            <w:tcMar>
              <w:top w:w="17" w:type="dxa"/>
              <w:left w:w="17" w:type="dxa"/>
              <w:bottom w:w="0" w:type="dxa"/>
              <w:right w:w="17" w:type="dxa"/>
            </w:tcMar>
            <w:vAlign w:val="bottom"/>
          </w:tcPr>
          <w:p w:rsidR="00F631E3" w:rsidRPr="0048780F" w:rsidRDefault="00F631E3" w:rsidP="003C161F">
            <w:pPr>
              <w:tabs>
                <w:tab w:val="clear" w:pos="432"/>
              </w:tabs>
              <w:spacing w:line="240" w:lineRule="auto"/>
              <w:ind w:right="14" w:firstLine="0"/>
              <w:jc w:val="center"/>
              <w:rPr>
                <w:rFonts w:eastAsia="Arial Unicode MS" w:cs="Arial Unicode MS"/>
              </w:rPr>
            </w:pPr>
            <w:r w:rsidRPr="0048780F">
              <w:rPr>
                <w:rFonts w:eastAsia="Arial Unicode MS" w:cs="Arial Unicode MS"/>
              </w:rPr>
              <w:t xml:space="preserve">   70</w:t>
            </w:r>
          </w:p>
        </w:tc>
      </w:tr>
      <w:tr w:rsidR="00F631E3" w:rsidTr="003C161F">
        <w:trPr>
          <w:trHeight w:val="255"/>
          <w:jc w:val="center"/>
        </w:trPr>
        <w:tc>
          <w:tcPr>
            <w:tcW w:w="3870" w:type="dxa"/>
            <w:tcBorders>
              <w:left w:val="single" w:sz="4" w:space="0" w:color="auto"/>
            </w:tcBorders>
            <w:noWrap/>
            <w:tcMar>
              <w:top w:w="17" w:type="dxa"/>
              <w:left w:w="17" w:type="dxa"/>
              <w:bottom w:w="0" w:type="dxa"/>
              <w:right w:w="17" w:type="dxa"/>
            </w:tcMar>
            <w:vAlign w:val="bottom"/>
          </w:tcPr>
          <w:p w:rsidR="00F631E3" w:rsidRDefault="00F631E3" w:rsidP="003C161F">
            <w:pPr>
              <w:pStyle w:val="TOC1"/>
              <w:ind w:right="14"/>
              <w:rPr>
                <w:rFonts w:eastAsia="Arial Unicode MS" w:cs="Arial Unicode MS"/>
              </w:rPr>
            </w:pPr>
            <w:smartTag w:uri="urn:schemas-microsoft-com:office:smarttags" w:element="place">
              <w:smartTag w:uri="urn:schemas-microsoft-com:office:smarttags" w:element="State">
                <w:r>
                  <w:rPr>
                    <w:rFonts w:eastAsia="Arial Unicode MS" w:cs="Arial Unicode MS"/>
                  </w:rPr>
                  <w:t>North Carolina</w:t>
                </w:r>
              </w:smartTag>
            </w:smartTag>
          </w:p>
        </w:tc>
        <w:tc>
          <w:tcPr>
            <w:tcW w:w="2430" w:type="dxa"/>
            <w:tcBorders>
              <w:right w:val="single" w:sz="4" w:space="0" w:color="auto"/>
            </w:tcBorders>
            <w:noWrap/>
            <w:tcMar>
              <w:top w:w="17" w:type="dxa"/>
              <w:left w:w="17" w:type="dxa"/>
              <w:bottom w:w="0" w:type="dxa"/>
              <w:right w:w="17" w:type="dxa"/>
            </w:tcMar>
            <w:vAlign w:val="bottom"/>
          </w:tcPr>
          <w:p w:rsidR="00F631E3" w:rsidRPr="0048780F" w:rsidRDefault="00F631E3" w:rsidP="003C161F">
            <w:pPr>
              <w:tabs>
                <w:tab w:val="clear" w:pos="432"/>
              </w:tabs>
              <w:spacing w:line="240" w:lineRule="auto"/>
              <w:ind w:right="14" w:firstLine="0"/>
              <w:jc w:val="center"/>
              <w:rPr>
                <w:rFonts w:eastAsia="Arial Unicode MS" w:cs="Arial Unicode MS"/>
              </w:rPr>
            </w:pPr>
            <w:r w:rsidRPr="0048780F">
              <w:rPr>
                <w:rFonts w:eastAsia="Arial Unicode MS" w:cs="Arial Unicode MS"/>
              </w:rPr>
              <w:t>1350</w:t>
            </w:r>
          </w:p>
        </w:tc>
      </w:tr>
      <w:tr w:rsidR="00F631E3" w:rsidTr="003C161F">
        <w:trPr>
          <w:trHeight w:val="255"/>
          <w:jc w:val="center"/>
        </w:trPr>
        <w:tc>
          <w:tcPr>
            <w:tcW w:w="3870" w:type="dxa"/>
            <w:tcBorders>
              <w:left w:val="single" w:sz="4" w:space="0" w:color="auto"/>
            </w:tcBorders>
            <w:noWrap/>
            <w:tcMar>
              <w:top w:w="17" w:type="dxa"/>
              <w:left w:w="17" w:type="dxa"/>
              <w:bottom w:w="0" w:type="dxa"/>
              <w:right w:w="17" w:type="dxa"/>
            </w:tcMar>
            <w:vAlign w:val="bottom"/>
          </w:tcPr>
          <w:p w:rsidR="00F631E3" w:rsidRDefault="00F631E3" w:rsidP="003C161F">
            <w:pPr>
              <w:pStyle w:val="TOC1"/>
              <w:ind w:right="14"/>
              <w:rPr>
                <w:rFonts w:eastAsia="Arial Unicode MS" w:cs="Arial Unicode MS"/>
              </w:rPr>
            </w:pPr>
            <w:smartTag w:uri="urn:schemas-microsoft-com:office:smarttags" w:element="place">
              <w:smartTag w:uri="urn:schemas-microsoft-com:office:smarttags" w:element="State">
                <w:r>
                  <w:rPr>
                    <w:rFonts w:eastAsia="Arial Unicode MS" w:cs="Arial Unicode MS"/>
                  </w:rPr>
                  <w:t>Virginia</w:t>
                </w:r>
              </w:smartTag>
            </w:smartTag>
          </w:p>
        </w:tc>
        <w:tc>
          <w:tcPr>
            <w:tcW w:w="2430" w:type="dxa"/>
            <w:tcBorders>
              <w:right w:val="single" w:sz="4" w:space="0" w:color="auto"/>
            </w:tcBorders>
            <w:noWrap/>
            <w:tcMar>
              <w:top w:w="17" w:type="dxa"/>
              <w:left w:w="17" w:type="dxa"/>
              <w:bottom w:w="0" w:type="dxa"/>
              <w:right w:w="17" w:type="dxa"/>
            </w:tcMar>
            <w:vAlign w:val="bottom"/>
          </w:tcPr>
          <w:p w:rsidR="00F631E3" w:rsidRPr="0048780F" w:rsidRDefault="00F631E3" w:rsidP="003C161F">
            <w:pPr>
              <w:tabs>
                <w:tab w:val="clear" w:pos="432"/>
              </w:tabs>
              <w:spacing w:line="240" w:lineRule="auto"/>
              <w:ind w:right="14" w:firstLine="0"/>
              <w:jc w:val="center"/>
              <w:rPr>
                <w:rFonts w:eastAsia="Arial Unicode MS" w:cs="Arial Unicode MS"/>
              </w:rPr>
            </w:pPr>
            <w:r w:rsidRPr="0048780F">
              <w:rPr>
                <w:rFonts w:eastAsia="Arial Unicode MS" w:cs="Arial Unicode MS"/>
              </w:rPr>
              <w:t xml:space="preserve">  560</w:t>
            </w:r>
          </w:p>
        </w:tc>
      </w:tr>
      <w:tr w:rsidR="00F631E3" w:rsidTr="003C161F">
        <w:trPr>
          <w:trHeight w:val="255"/>
          <w:jc w:val="center"/>
        </w:trPr>
        <w:tc>
          <w:tcPr>
            <w:tcW w:w="3870" w:type="dxa"/>
            <w:tcBorders>
              <w:top w:val="single" w:sz="6" w:space="0" w:color="auto"/>
              <w:left w:val="single" w:sz="4" w:space="0" w:color="auto"/>
              <w:bottom w:val="single" w:sz="4" w:space="0" w:color="auto"/>
            </w:tcBorders>
            <w:noWrap/>
            <w:tcMar>
              <w:top w:w="17" w:type="dxa"/>
              <w:left w:w="17" w:type="dxa"/>
              <w:bottom w:w="0" w:type="dxa"/>
              <w:right w:w="17" w:type="dxa"/>
            </w:tcMar>
            <w:vAlign w:val="bottom"/>
          </w:tcPr>
          <w:p w:rsidR="00F631E3" w:rsidRDefault="00F631E3" w:rsidP="003C161F">
            <w:pPr>
              <w:tabs>
                <w:tab w:val="clear" w:pos="432"/>
              </w:tabs>
              <w:spacing w:line="240" w:lineRule="auto"/>
              <w:ind w:right="14" w:firstLine="0"/>
              <w:jc w:val="left"/>
              <w:rPr>
                <w:rFonts w:eastAsia="Arial Unicode MS" w:cs="Arial Unicode MS"/>
              </w:rPr>
            </w:pPr>
            <w:r>
              <w:rPr>
                <w:rFonts w:eastAsia="Arial Unicode MS" w:cs="Arial Unicode MS"/>
              </w:rPr>
              <w:t>Total</w:t>
            </w:r>
          </w:p>
        </w:tc>
        <w:tc>
          <w:tcPr>
            <w:tcW w:w="2430" w:type="dxa"/>
            <w:tcBorders>
              <w:top w:val="single" w:sz="6" w:space="0" w:color="auto"/>
              <w:bottom w:val="single" w:sz="4" w:space="0" w:color="auto"/>
              <w:right w:val="single" w:sz="4" w:space="0" w:color="auto"/>
            </w:tcBorders>
            <w:noWrap/>
            <w:tcMar>
              <w:top w:w="17" w:type="dxa"/>
              <w:left w:w="17" w:type="dxa"/>
              <w:bottom w:w="0" w:type="dxa"/>
              <w:right w:w="17" w:type="dxa"/>
            </w:tcMar>
            <w:vAlign w:val="bottom"/>
          </w:tcPr>
          <w:p w:rsidR="00F631E3" w:rsidRPr="0048780F" w:rsidRDefault="00F631E3" w:rsidP="003C161F">
            <w:pPr>
              <w:tabs>
                <w:tab w:val="clear" w:pos="432"/>
              </w:tabs>
              <w:spacing w:line="240" w:lineRule="auto"/>
              <w:ind w:right="14" w:firstLine="0"/>
              <w:jc w:val="center"/>
              <w:rPr>
                <w:rFonts w:eastAsia="Arial Unicode MS" w:cs="Arial Unicode MS"/>
              </w:rPr>
            </w:pPr>
            <w:r w:rsidRPr="0048780F">
              <w:rPr>
                <w:rFonts w:eastAsia="Arial Unicode MS" w:cs="Arial Unicode MS"/>
              </w:rPr>
              <w:t>1,980</w:t>
            </w:r>
          </w:p>
        </w:tc>
      </w:tr>
    </w:tbl>
    <w:p w:rsidR="00F631E3" w:rsidRDefault="00F631E3" w:rsidP="003C161F">
      <w:pPr>
        <w:pStyle w:val="ParagraphLAST"/>
        <w:spacing w:after="200" w:line="360" w:lineRule="auto"/>
        <w:ind w:right="10"/>
      </w:pPr>
    </w:p>
    <w:p w:rsidR="00F631E3" w:rsidRPr="00B849FA" w:rsidRDefault="00F631E3" w:rsidP="003C161F">
      <w:pPr>
        <w:pStyle w:val="LastParagraph"/>
        <w:spacing w:after="200" w:line="360" w:lineRule="auto"/>
        <w:ind w:right="10"/>
      </w:pPr>
      <w:r w:rsidRPr="00B849FA">
        <w:t xml:space="preserve">Follow-up surveys at approximately 18 months following random assignment will be attempted with all 1,980 sample members.  Based on experiences with similar surveys, we expect to obtain at least an 80 percent response rate. For example, in the original Project GATE evaluation conducted for DOL/ETA by IMPAQ, the response rate was 82% for the first of three waves of follow-up survey (at 6 months after random assignment), 88% for the second wave (at </w:t>
      </w:r>
      <w:r w:rsidRPr="00B849FA">
        <w:lastRenderedPageBreak/>
        <w:t>18 months after random assignment), and 81% for the third wave (at 60 months after random assignment).</w:t>
      </w:r>
      <w:r>
        <w:rPr>
          <w:rStyle w:val="FootnoteReference"/>
        </w:rPr>
        <w:footnoteReference w:id="1"/>
      </w:r>
      <w:r w:rsidRPr="00B849FA">
        <w:t xml:space="preserve"> When implementing the second wave of the Project GATE survey, we attempted to contact only the 82% of the participants who completed the first wave. Thus, the net response rate after two waves was 88% of 82% of the original sample, or 72% of the original sample. In the current GATE II evaluation, we have a single wave of follow-up survey at approximately 18 months after random assignment. We will attempt to contact the entire original participant sample, not just the 82% or so who might have completed a 6-month survey if we had implemented one in GATE II. Thus, we expect our response rate at 18 months in the GATE II evaluation to be greater than 72% of the original participant population. Since we will be contacting the additional 18% (the difference between 82% and 100%) of GATE II participants when we conduct the GATE II follow-up survey, we only need to succeed in obtaining completed surveys from 8% of that 18% (a “subsample” response rate of 8/18 or 44%) in order to bring the 72% completion rate up to 80%.</w:t>
      </w:r>
    </w:p>
    <w:p w:rsidR="00F631E3" w:rsidRDefault="00F631E3" w:rsidP="003C161F">
      <w:pPr>
        <w:pStyle w:val="Heading3"/>
        <w:spacing w:after="200" w:line="360" w:lineRule="auto"/>
        <w:ind w:left="0" w:right="10" w:firstLine="0"/>
      </w:pPr>
      <w:bookmarkStart w:id="3" w:name="_Toc295118814"/>
      <w:r>
        <w:t>2.</w:t>
      </w:r>
      <w:r>
        <w:tab/>
        <w:t>Procedures for the Collection of Information</w:t>
      </w:r>
      <w:bookmarkEnd w:id="3"/>
    </w:p>
    <w:p w:rsidR="00F631E3" w:rsidRDefault="00F631E3" w:rsidP="003C161F">
      <w:pPr>
        <w:pStyle w:val="Heading4"/>
        <w:spacing w:after="200" w:line="360" w:lineRule="auto"/>
        <w:ind w:right="10"/>
      </w:pPr>
      <w:r>
        <w:t>a.</w:t>
      </w:r>
      <w:r>
        <w:tab/>
        <w:t>Statistical Methodology, Estimation, and Degree of Accuracy</w:t>
      </w:r>
    </w:p>
    <w:p w:rsidR="00F631E3" w:rsidRPr="00B849FA" w:rsidRDefault="00F631E3" w:rsidP="003C161F">
      <w:pPr>
        <w:spacing w:after="200" w:line="360" w:lineRule="auto"/>
        <w:ind w:right="10"/>
      </w:pPr>
      <w:r w:rsidRPr="00B849FA">
        <w:t>The primary objective of the GATE II evaluation is to provide statistically valid and reliable estimates of the incremental effects of GATE II self-employment services on key outcomes, including self-employment, weeks worked, and earnings. Use of a classical experimental design, in which applicants are assigned randomly to program and control groups, will ensure that measured impacts represent valid estimates of the effects of the demonstration services.  The measured impacts will be internally valid for the three sites that implemented a random assignment design (</w:t>
      </w:r>
      <w:smartTag w:uri="urn:schemas-microsoft-com:office:smarttags" w:element="State">
        <w:r w:rsidRPr="00B849FA">
          <w:t>North Carolina</w:t>
        </w:r>
      </w:smartTag>
      <w:r w:rsidRPr="00B849FA">
        <w:t xml:space="preserve">, </w:t>
      </w:r>
      <w:smartTag w:uri="urn:schemas-microsoft-com:office:smarttags" w:element="State">
        <w:r w:rsidRPr="00B849FA">
          <w:t>Virginia</w:t>
        </w:r>
      </w:smartTag>
      <w:r w:rsidRPr="00B849FA">
        <w:t xml:space="preserve">, and </w:t>
      </w:r>
      <w:smartTag w:uri="urn:schemas-microsoft-com:office:smarttags" w:element="place">
        <w:smartTag w:uri="urn:schemas-microsoft-com:office:smarttags" w:element="State">
          <w:r w:rsidRPr="00B849FA">
            <w:t>Alabama</w:t>
          </w:r>
        </w:smartTag>
      </w:smartTag>
      <w:r w:rsidRPr="00B849FA">
        <w:t>)</w:t>
      </w:r>
      <w:r>
        <w:rPr>
          <w:rStyle w:val="FootnoteReference"/>
        </w:rPr>
        <w:footnoteReference w:id="2"/>
      </w:r>
      <w:r w:rsidRPr="00B849FA">
        <w:t xml:space="preserve">.  Since the GATE II states have been chosen purposively, </w:t>
      </w:r>
      <w:r w:rsidR="001474A0">
        <w:t xml:space="preserve">combined with the fact that the study has small sample sizes, GATE II impacts </w:t>
      </w:r>
      <w:r w:rsidRPr="00B849FA">
        <w:t>cannot be generalized to a wider population with a known degree of statistical precision.</w:t>
      </w:r>
    </w:p>
    <w:p w:rsidR="00F631E3" w:rsidRPr="00B849FA" w:rsidRDefault="00F631E3" w:rsidP="003C161F">
      <w:pPr>
        <w:spacing w:after="200" w:line="360" w:lineRule="auto"/>
        <w:ind w:right="10"/>
      </w:pPr>
      <w:r>
        <w:lastRenderedPageBreak/>
        <w:t xml:space="preserve">Impacts will be estimated by computing differences in mean outcomes between individuals in the program group (that is, those offered GATE II services) and individuals in the control group.  </w:t>
      </w:r>
      <w:r w:rsidRPr="00B849FA">
        <w:t xml:space="preserve">Although differences in distributions of outcomes between program and control group members provide the most complete understanding of impacts, differences in mean outcomes provides a widely accepted statistic that summarizes the distribution. Simple differences of means will be computed, but we will also adjust for random differences at intake using multivariate regression, as described in Section 16a of this document.  The regression adjustments will increase the precision of the impact estimates.  More detail on estimation procedures is included in our discussion of tabulation plans </w:t>
      </w:r>
      <w:r w:rsidR="00420C3A">
        <w:t xml:space="preserve">in Part </w:t>
      </w:r>
      <w:proofErr w:type="gramStart"/>
      <w:r w:rsidR="00420C3A">
        <w:t>A,</w:t>
      </w:r>
      <w:proofErr w:type="gramEnd"/>
      <w:r w:rsidR="00420C3A">
        <w:t xml:space="preserve"> </w:t>
      </w:r>
      <w:r w:rsidRPr="00B849FA">
        <w:t>under item 16a (page</w:t>
      </w:r>
      <w:r w:rsidR="00420C3A">
        <w:t>s</w:t>
      </w:r>
      <w:r w:rsidRPr="00B849FA">
        <w:t xml:space="preserve"> 17</w:t>
      </w:r>
      <w:r w:rsidR="00420C3A">
        <w:t>-21</w:t>
      </w:r>
      <w:r w:rsidRPr="00B849FA">
        <w:t>).</w:t>
      </w:r>
    </w:p>
    <w:p w:rsidR="00F631E3" w:rsidRPr="00B849FA" w:rsidRDefault="00F631E3" w:rsidP="003C161F">
      <w:pPr>
        <w:pStyle w:val="ParagraphLAST"/>
        <w:spacing w:after="200" w:line="360" w:lineRule="auto"/>
        <w:ind w:right="10"/>
      </w:pPr>
      <w:r w:rsidRPr="00B849FA">
        <w:t>Given this design the main question is whether the impact estimates will be precise enough to detect policy relevant impacts.  Using sample sizes projected to be available based on tracking enrollment in GATE II at ea</w:t>
      </w:r>
      <w:r w:rsidR="00F9028B">
        <w:t xml:space="preserve">ch of the project sites, </w:t>
      </w:r>
      <w:r w:rsidR="00BB0A84">
        <w:t xml:space="preserve">Table </w:t>
      </w:r>
      <w:r w:rsidR="00B47EAC">
        <w:t>2</w:t>
      </w:r>
      <w:r w:rsidRPr="00B849FA">
        <w:t xml:space="preserve"> presents minimum detectable </w:t>
      </w:r>
      <w:r w:rsidR="00DF578A">
        <w:t xml:space="preserve">effects </w:t>
      </w:r>
      <w:r w:rsidRPr="00B849FA">
        <w:t xml:space="preserve">for comparisons across the full sample (i.e., 1327 program group members and 653 control group members) for four key labor market outcomes: (1) the percentage ever self-employed, (2) the percentage ever employed in either wage and salary employment or self-employment, (3) the amount of UI benefits received, and (4) total earnings from both self-employment and wage and salary employment over a 12 month period.  </w:t>
      </w:r>
    </w:p>
    <w:p w:rsidR="00F631E3" w:rsidRPr="00B40866" w:rsidRDefault="00F9028B" w:rsidP="003C161F">
      <w:pPr>
        <w:pStyle w:val="ParagraphLAST"/>
        <w:spacing w:after="0" w:line="240" w:lineRule="auto"/>
        <w:ind w:right="14" w:firstLine="0"/>
        <w:jc w:val="center"/>
        <w:rPr>
          <w:b/>
          <w:sz w:val="20"/>
        </w:rPr>
      </w:pPr>
      <w:r>
        <w:rPr>
          <w:b/>
          <w:sz w:val="20"/>
        </w:rPr>
        <w:t xml:space="preserve">TABLE </w:t>
      </w:r>
      <w:r w:rsidR="00B47EAC">
        <w:rPr>
          <w:b/>
          <w:sz w:val="20"/>
        </w:rPr>
        <w:t>2</w:t>
      </w:r>
    </w:p>
    <w:p w:rsidR="00F631E3" w:rsidRDefault="00F631E3" w:rsidP="003C161F">
      <w:pPr>
        <w:pStyle w:val="ParagraphLAST"/>
        <w:spacing w:after="0" w:line="240" w:lineRule="auto"/>
        <w:ind w:right="14"/>
        <w:jc w:val="center"/>
        <w:rPr>
          <w:b/>
          <w:sz w:val="20"/>
        </w:rPr>
      </w:pPr>
      <w:r w:rsidRPr="00B40866">
        <w:rPr>
          <w:b/>
          <w:sz w:val="20"/>
        </w:rPr>
        <w:t xml:space="preserve">MINIMUM DETECTABLE </w:t>
      </w:r>
      <w:r w:rsidR="00DF578A">
        <w:rPr>
          <w:b/>
          <w:sz w:val="20"/>
        </w:rPr>
        <w:t>EFFECTS</w:t>
      </w:r>
      <w:r w:rsidRPr="00B40866">
        <w:rPr>
          <w:b/>
          <w:sz w:val="20"/>
        </w:rPr>
        <w:t xml:space="preserve"> FOR KEY LABOR MARKET OUTCOMES AT 18 MONTHS AFTER RANDOM ASSIGNMENT</w:t>
      </w:r>
    </w:p>
    <w:p w:rsidR="00F631E3" w:rsidRDefault="00F631E3" w:rsidP="003C161F">
      <w:pPr>
        <w:spacing w:after="200" w:line="360" w:lineRule="auto"/>
        <w:jc w:val="center"/>
        <w:rPr>
          <w:b/>
          <w:bCs/>
          <w:szCs w:val="24"/>
        </w:rPr>
      </w:pPr>
    </w:p>
    <w:tbl>
      <w:tblPr>
        <w:tblW w:w="8988" w:type="dxa"/>
        <w:jc w:val="center"/>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A0"/>
      </w:tblPr>
      <w:tblGrid>
        <w:gridCol w:w="3774"/>
        <w:gridCol w:w="1254"/>
        <w:gridCol w:w="1446"/>
        <w:gridCol w:w="1260"/>
        <w:gridCol w:w="84"/>
        <w:gridCol w:w="1170"/>
      </w:tblGrid>
      <w:tr w:rsidR="00F631E3" w:rsidRPr="003C161F" w:rsidTr="003C161F">
        <w:trPr>
          <w:trHeight w:val="18"/>
          <w:jc w:val="center"/>
        </w:trPr>
        <w:tc>
          <w:tcPr>
            <w:tcW w:w="3774" w:type="dxa"/>
            <w:shd w:val="clear" w:color="auto" w:fill="6D0000"/>
            <w:noWrap/>
            <w:vAlign w:val="center"/>
          </w:tcPr>
          <w:p w:rsidR="00F631E3" w:rsidRPr="003C161F" w:rsidRDefault="00F631E3" w:rsidP="003C161F">
            <w:pPr>
              <w:spacing w:line="240" w:lineRule="auto"/>
              <w:rPr>
                <w:sz w:val="22"/>
                <w:szCs w:val="22"/>
              </w:rPr>
            </w:pPr>
          </w:p>
        </w:tc>
        <w:tc>
          <w:tcPr>
            <w:tcW w:w="1254" w:type="dxa"/>
            <w:shd w:val="clear" w:color="auto" w:fill="6D0000"/>
            <w:vAlign w:val="center"/>
          </w:tcPr>
          <w:p w:rsidR="00F631E3" w:rsidRPr="003C161F" w:rsidRDefault="00F631E3" w:rsidP="003C161F">
            <w:pPr>
              <w:spacing w:line="240" w:lineRule="auto"/>
              <w:ind w:firstLine="0"/>
              <w:jc w:val="center"/>
              <w:rPr>
                <w:b/>
                <w:bCs/>
                <w:sz w:val="22"/>
                <w:szCs w:val="22"/>
              </w:rPr>
            </w:pPr>
            <w:r w:rsidRPr="003C161F">
              <w:rPr>
                <w:b/>
                <w:bCs/>
                <w:sz w:val="22"/>
                <w:szCs w:val="22"/>
              </w:rPr>
              <w:t>Alabama</w:t>
            </w:r>
          </w:p>
        </w:tc>
        <w:tc>
          <w:tcPr>
            <w:tcW w:w="1446" w:type="dxa"/>
            <w:shd w:val="clear" w:color="auto" w:fill="6D0000"/>
            <w:noWrap/>
            <w:vAlign w:val="center"/>
          </w:tcPr>
          <w:p w:rsidR="00F631E3" w:rsidRPr="003C161F" w:rsidRDefault="00F631E3" w:rsidP="003C161F">
            <w:pPr>
              <w:spacing w:line="240" w:lineRule="auto"/>
              <w:ind w:firstLine="0"/>
              <w:jc w:val="center"/>
              <w:rPr>
                <w:b/>
                <w:bCs/>
                <w:sz w:val="22"/>
                <w:szCs w:val="22"/>
              </w:rPr>
            </w:pPr>
            <w:r w:rsidRPr="003C161F">
              <w:rPr>
                <w:b/>
                <w:bCs/>
                <w:sz w:val="22"/>
                <w:szCs w:val="22"/>
              </w:rPr>
              <w:t>North Carolina</w:t>
            </w:r>
          </w:p>
        </w:tc>
        <w:tc>
          <w:tcPr>
            <w:tcW w:w="1344" w:type="dxa"/>
            <w:gridSpan w:val="2"/>
            <w:shd w:val="clear" w:color="auto" w:fill="6D0000"/>
            <w:noWrap/>
            <w:vAlign w:val="center"/>
          </w:tcPr>
          <w:p w:rsidR="00F631E3" w:rsidRPr="003C161F" w:rsidRDefault="00F631E3" w:rsidP="003C161F">
            <w:pPr>
              <w:spacing w:line="240" w:lineRule="auto"/>
              <w:ind w:firstLine="0"/>
              <w:jc w:val="center"/>
              <w:rPr>
                <w:b/>
                <w:bCs/>
                <w:sz w:val="22"/>
                <w:szCs w:val="22"/>
              </w:rPr>
            </w:pPr>
            <w:r w:rsidRPr="003C161F">
              <w:rPr>
                <w:b/>
                <w:bCs/>
                <w:sz w:val="22"/>
                <w:szCs w:val="22"/>
              </w:rPr>
              <w:t>Virginia</w:t>
            </w:r>
          </w:p>
        </w:tc>
        <w:tc>
          <w:tcPr>
            <w:tcW w:w="1170" w:type="dxa"/>
            <w:shd w:val="clear" w:color="auto" w:fill="6D0000"/>
            <w:vAlign w:val="center"/>
          </w:tcPr>
          <w:p w:rsidR="00F631E3" w:rsidRPr="003C161F" w:rsidRDefault="00F631E3" w:rsidP="003C161F">
            <w:pPr>
              <w:spacing w:line="240" w:lineRule="auto"/>
              <w:ind w:firstLine="0"/>
              <w:jc w:val="center"/>
              <w:rPr>
                <w:b/>
                <w:bCs/>
                <w:sz w:val="22"/>
                <w:szCs w:val="22"/>
              </w:rPr>
            </w:pPr>
            <w:r w:rsidRPr="003C161F">
              <w:rPr>
                <w:b/>
                <w:bCs/>
                <w:sz w:val="22"/>
                <w:szCs w:val="22"/>
              </w:rPr>
              <w:t>Combined</w:t>
            </w:r>
          </w:p>
        </w:tc>
      </w:tr>
      <w:tr w:rsidR="00F631E3" w:rsidRPr="003C161F" w:rsidTr="003C161F">
        <w:trPr>
          <w:trHeight w:val="89"/>
          <w:jc w:val="center"/>
        </w:trPr>
        <w:tc>
          <w:tcPr>
            <w:tcW w:w="3774" w:type="dxa"/>
            <w:noWrap/>
            <w:vAlign w:val="center"/>
          </w:tcPr>
          <w:p w:rsidR="00F631E3" w:rsidRPr="003C161F" w:rsidRDefault="00F631E3" w:rsidP="003C161F">
            <w:pPr>
              <w:spacing w:line="240" w:lineRule="auto"/>
              <w:rPr>
                <w:color w:val="000000"/>
                <w:sz w:val="22"/>
                <w:szCs w:val="22"/>
              </w:rPr>
            </w:pPr>
            <w:r w:rsidRPr="003C161F">
              <w:rPr>
                <w:color w:val="000000"/>
                <w:sz w:val="22"/>
                <w:szCs w:val="22"/>
              </w:rPr>
              <w:t>Projected Sample Size</w:t>
            </w:r>
          </w:p>
        </w:tc>
        <w:tc>
          <w:tcPr>
            <w:tcW w:w="1254" w:type="dxa"/>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70</w:t>
            </w:r>
          </w:p>
        </w:tc>
        <w:tc>
          <w:tcPr>
            <w:tcW w:w="1446" w:type="dxa"/>
            <w:noWrap/>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1,350</w:t>
            </w:r>
          </w:p>
        </w:tc>
        <w:tc>
          <w:tcPr>
            <w:tcW w:w="1260" w:type="dxa"/>
            <w:noWrap/>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560</w:t>
            </w:r>
          </w:p>
        </w:tc>
        <w:tc>
          <w:tcPr>
            <w:tcW w:w="1254" w:type="dxa"/>
            <w:gridSpan w:val="2"/>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1,980</w:t>
            </w:r>
          </w:p>
        </w:tc>
      </w:tr>
      <w:tr w:rsidR="00F631E3" w:rsidRPr="003C161F" w:rsidTr="003C161F">
        <w:trPr>
          <w:trHeight w:val="300"/>
          <w:jc w:val="center"/>
        </w:trPr>
        <w:tc>
          <w:tcPr>
            <w:tcW w:w="3774" w:type="dxa"/>
            <w:noWrap/>
            <w:vAlign w:val="center"/>
          </w:tcPr>
          <w:p w:rsidR="00F631E3" w:rsidRPr="003C161F" w:rsidRDefault="00F631E3" w:rsidP="003C161F">
            <w:pPr>
              <w:spacing w:line="240" w:lineRule="auto"/>
              <w:rPr>
                <w:color w:val="000000"/>
                <w:sz w:val="22"/>
                <w:szCs w:val="22"/>
              </w:rPr>
            </w:pPr>
            <w:r w:rsidRPr="003C161F">
              <w:rPr>
                <w:color w:val="000000"/>
                <w:sz w:val="22"/>
                <w:szCs w:val="22"/>
              </w:rPr>
              <w:t>Likelihood of Self-Employment</w:t>
            </w:r>
          </w:p>
        </w:tc>
        <w:tc>
          <w:tcPr>
            <w:tcW w:w="1254" w:type="dxa"/>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33.1</w:t>
            </w:r>
          </w:p>
        </w:tc>
        <w:tc>
          <w:tcPr>
            <w:tcW w:w="1446" w:type="dxa"/>
            <w:noWrap/>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8.7</w:t>
            </w:r>
          </w:p>
        </w:tc>
        <w:tc>
          <w:tcPr>
            <w:tcW w:w="1260" w:type="dxa"/>
            <w:noWrap/>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11.7</w:t>
            </w:r>
          </w:p>
        </w:tc>
        <w:tc>
          <w:tcPr>
            <w:tcW w:w="1254" w:type="dxa"/>
            <w:gridSpan w:val="2"/>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6.6</w:t>
            </w:r>
          </w:p>
        </w:tc>
      </w:tr>
      <w:tr w:rsidR="00F631E3" w:rsidRPr="003C161F" w:rsidTr="003C161F">
        <w:trPr>
          <w:trHeight w:val="300"/>
          <w:jc w:val="center"/>
        </w:trPr>
        <w:tc>
          <w:tcPr>
            <w:tcW w:w="3774" w:type="dxa"/>
            <w:noWrap/>
            <w:vAlign w:val="center"/>
          </w:tcPr>
          <w:p w:rsidR="00F631E3" w:rsidRPr="003C161F" w:rsidRDefault="00F631E3" w:rsidP="003C161F">
            <w:pPr>
              <w:spacing w:line="240" w:lineRule="auto"/>
              <w:rPr>
                <w:color w:val="000000"/>
                <w:sz w:val="22"/>
                <w:szCs w:val="22"/>
              </w:rPr>
            </w:pPr>
            <w:r w:rsidRPr="003C161F">
              <w:rPr>
                <w:color w:val="000000"/>
                <w:sz w:val="22"/>
                <w:szCs w:val="22"/>
              </w:rPr>
              <w:t>Likelihood of Employment</w:t>
            </w:r>
          </w:p>
        </w:tc>
        <w:tc>
          <w:tcPr>
            <w:tcW w:w="1254" w:type="dxa"/>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26.6</w:t>
            </w:r>
          </w:p>
        </w:tc>
        <w:tc>
          <w:tcPr>
            <w:tcW w:w="1446" w:type="dxa"/>
            <w:noWrap/>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7.0</w:t>
            </w:r>
          </w:p>
        </w:tc>
        <w:tc>
          <w:tcPr>
            <w:tcW w:w="1260" w:type="dxa"/>
            <w:noWrap/>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9.4</w:t>
            </w:r>
          </w:p>
        </w:tc>
        <w:tc>
          <w:tcPr>
            <w:tcW w:w="1254" w:type="dxa"/>
            <w:gridSpan w:val="2"/>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5.3</w:t>
            </w:r>
          </w:p>
        </w:tc>
      </w:tr>
      <w:tr w:rsidR="00F631E3" w:rsidRPr="003C161F" w:rsidTr="003C161F">
        <w:trPr>
          <w:trHeight w:val="300"/>
          <w:jc w:val="center"/>
        </w:trPr>
        <w:tc>
          <w:tcPr>
            <w:tcW w:w="3774" w:type="dxa"/>
            <w:noWrap/>
            <w:vAlign w:val="center"/>
          </w:tcPr>
          <w:p w:rsidR="00F631E3" w:rsidRPr="003C161F" w:rsidRDefault="00F631E3" w:rsidP="003C161F">
            <w:pPr>
              <w:spacing w:line="240" w:lineRule="auto"/>
              <w:rPr>
                <w:color w:val="000000"/>
                <w:sz w:val="22"/>
                <w:szCs w:val="22"/>
              </w:rPr>
            </w:pPr>
            <w:r w:rsidRPr="003C161F">
              <w:rPr>
                <w:color w:val="000000"/>
                <w:sz w:val="22"/>
                <w:szCs w:val="22"/>
              </w:rPr>
              <w:t>UI Benefit Amounts Received</w:t>
            </w:r>
          </w:p>
        </w:tc>
        <w:tc>
          <w:tcPr>
            <w:tcW w:w="1254" w:type="dxa"/>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$1,331</w:t>
            </w:r>
          </w:p>
        </w:tc>
        <w:tc>
          <w:tcPr>
            <w:tcW w:w="1446" w:type="dxa"/>
            <w:noWrap/>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$350</w:t>
            </w:r>
          </w:p>
        </w:tc>
        <w:tc>
          <w:tcPr>
            <w:tcW w:w="1260" w:type="dxa"/>
            <w:noWrap/>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$471</w:t>
            </w:r>
          </w:p>
        </w:tc>
        <w:tc>
          <w:tcPr>
            <w:tcW w:w="1254" w:type="dxa"/>
            <w:gridSpan w:val="2"/>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$266</w:t>
            </w:r>
          </w:p>
        </w:tc>
      </w:tr>
      <w:tr w:rsidR="00F631E3" w:rsidRPr="003C161F" w:rsidTr="003C161F">
        <w:trPr>
          <w:trHeight w:val="300"/>
          <w:jc w:val="center"/>
        </w:trPr>
        <w:tc>
          <w:tcPr>
            <w:tcW w:w="3774" w:type="dxa"/>
            <w:noWrap/>
            <w:vAlign w:val="center"/>
          </w:tcPr>
          <w:p w:rsidR="00F631E3" w:rsidRPr="003C161F" w:rsidRDefault="00F631E3" w:rsidP="003C161F">
            <w:pPr>
              <w:spacing w:line="240" w:lineRule="auto"/>
              <w:rPr>
                <w:color w:val="000000"/>
                <w:sz w:val="22"/>
                <w:szCs w:val="22"/>
              </w:rPr>
            </w:pPr>
            <w:r w:rsidRPr="003C161F">
              <w:rPr>
                <w:color w:val="000000"/>
                <w:sz w:val="22"/>
                <w:szCs w:val="22"/>
              </w:rPr>
              <w:t>Total Earnings</w:t>
            </w:r>
          </w:p>
        </w:tc>
        <w:tc>
          <w:tcPr>
            <w:tcW w:w="1254" w:type="dxa"/>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$9,982</w:t>
            </w:r>
          </w:p>
        </w:tc>
        <w:tc>
          <w:tcPr>
            <w:tcW w:w="1446" w:type="dxa"/>
            <w:noWrap/>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$2,625</w:t>
            </w:r>
          </w:p>
        </w:tc>
        <w:tc>
          <w:tcPr>
            <w:tcW w:w="1260" w:type="dxa"/>
            <w:noWrap/>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$3,529</w:t>
            </w:r>
          </w:p>
        </w:tc>
        <w:tc>
          <w:tcPr>
            <w:tcW w:w="1254" w:type="dxa"/>
            <w:gridSpan w:val="2"/>
            <w:vAlign w:val="center"/>
          </w:tcPr>
          <w:p w:rsidR="00F631E3" w:rsidRPr="003C161F" w:rsidRDefault="00F631E3" w:rsidP="003C161F">
            <w:pPr>
              <w:spacing w:line="240" w:lineRule="auto"/>
              <w:jc w:val="center"/>
              <w:rPr>
                <w:color w:val="000000"/>
                <w:sz w:val="22"/>
                <w:szCs w:val="22"/>
              </w:rPr>
            </w:pPr>
            <w:r w:rsidRPr="003C161F">
              <w:rPr>
                <w:color w:val="000000"/>
                <w:sz w:val="22"/>
                <w:szCs w:val="22"/>
              </w:rPr>
              <w:t>$1,997</w:t>
            </w:r>
          </w:p>
        </w:tc>
      </w:tr>
    </w:tbl>
    <w:p w:rsidR="00F631E3" w:rsidRDefault="00F631E3" w:rsidP="003C161F">
      <w:pPr>
        <w:pStyle w:val="NormalSS"/>
        <w:spacing w:after="200" w:line="360" w:lineRule="auto"/>
        <w:ind w:right="10" w:firstLine="0"/>
        <w:rPr>
          <w:smallCaps/>
          <w:sz w:val="20"/>
        </w:rPr>
      </w:pPr>
    </w:p>
    <w:p w:rsidR="00776B9A" w:rsidRPr="00776B9A" w:rsidRDefault="00F631E3" w:rsidP="003C161F">
      <w:pPr>
        <w:pStyle w:val="References"/>
        <w:spacing w:after="0"/>
        <w:ind w:right="14"/>
        <w:rPr>
          <w:sz w:val="20"/>
        </w:rPr>
      </w:pPr>
      <w:r>
        <w:rPr>
          <w:smallCaps/>
          <w:sz w:val="20"/>
        </w:rPr>
        <w:t>Note</w:t>
      </w:r>
      <w:r>
        <w:rPr>
          <w:sz w:val="20"/>
        </w:rPr>
        <w:t xml:space="preserve">:  The calculations assume (1) a 95 percent confidence level with an 80 percent level of power; (2) a one-tail test; (3) 45 percent of the control group will become self-employed; (4) 80 percent of the control group will be employed in either wage and salary employment or self-employment; (5) a standard deviation of $2,000 for amount of UI benefits received; (6) a standard deviation of $15,000 for total earnings from </w:t>
      </w:r>
      <w:r w:rsidRPr="00DF578A">
        <w:rPr>
          <w:sz w:val="20"/>
        </w:rPr>
        <w:t xml:space="preserve">salary employment </w:t>
      </w:r>
      <w:r w:rsidRPr="00DF578A">
        <w:rPr>
          <w:sz w:val="20"/>
        </w:rPr>
        <w:lastRenderedPageBreak/>
        <w:t>or self-employment; and (7) a</w:t>
      </w:r>
      <w:r w:rsidR="00270EE8" w:rsidRPr="00DF578A">
        <w:rPr>
          <w:sz w:val="20"/>
        </w:rPr>
        <w:t xml:space="preserve"> survey</w:t>
      </w:r>
      <w:r w:rsidRPr="00DF578A">
        <w:rPr>
          <w:sz w:val="20"/>
        </w:rPr>
        <w:t xml:space="preserve"> response rate of 80 </w:t>
      </w:r>
      <w:r w:rsidRPr="00C61B70">
        <w:rPr>
          <w:sz w:val="20"/>
        </w:rPr>
        <w:t xml:space="preserve">percent.  </w:t>
      </w:r>
      <w:r w:rsidR="00B85BF8" w:rsidRPr="00C61B70">
        <w:rPr>
          <w:sz w:val="20"/>
        </w:rPr>
        <w:t xml:space="preserve">These assumptions are based on </w:t>
      </w:r>
      <w:r w:rsidR="009006D0" w:rsidRPr="00C61B70">
        <w:rPr>
          <w:sz w:val="20"/>
        </w:rPr>
        <w:t xml:space="preserve">analyses from </w:t>
      </w:r>
      <w:r w:rsidR="00B85BF8" w:rsidRPr="00C61B70">
        <w:rPr>
          <w:sz w:val="20"/>
        </w:rPr>
        <w:t>two</w:t>
      </w:r>
      <w:r w:rsidR="009006D0" w:rsidRPr="00C61B70">
        <w:rPr>
          <w:sz w:val="20"/>
        </w:rPr>
        <w:t xml:space="preserve"> similar studies</w:t>
      </w:r>
      <w:r w:rsidR="00270EE8" w:rsidRPr="00C61B70">
        <w:rPr>
          <w:sz w:val="20"/>
        </w:rPr>
        <w:t xml:space="preserve"> of self-employment programs:</w:t>
      </w:r>
      <w:r w:rsidR="009006D0" w:rsidRPr="00C61B70">
        <w:rPr>
          <w:sz w:val="20"/>
        </w:rPr>
        <w:t xml:space="preserve"> </w:t>
      </w:r>
      <w:r w:rsidR="00776B9A" w:rsidRPr="00C61B70">
        <w:rPr>
          <w:sz w:val="20"/>
        </w:rPr>
        <w:t>1) A New Reemployment Strategy, Final Report on the UI Self-Employment Demonstration</w:t>
      </w:r>
      <w:r w:rsidR="00270EE8" w:rsidRPr="00C61B70">
        <w:rPr>
          <w:sz w:val="20"/>
        </w:rPr>
        <w:t xml:space="preserve"> (1995), </w:t>
      </w:r>
      <w:r w:rsidR="00776B9A" w:rsidRPr="00C61B70">
        <w:rPr>
          <w:sz w:val="20"/>
        </w:rPr>
        <w:t>Unemployment Insurance Occasional Paper No. 95-4. Washington, DC: U.S. Department of Labor</w:t>
      </w:r>
      <w:r w:rsidR="00270EE8" w:rsidRPr="00C61B70">
        <w:rPr>
          <w:sz w:val="20"/>
        </w:rPr>
        <w:t xml:space="preserve">; and </w:t>
      </w:r>
      <w:r w:rsidR="00776B9A" w:rsidRPr="00C61B70">
        <w:rPr>
          <w:sz w:val="20"/>
        </w:rPr>
        <w:t xml:space="preserve">2) Growing America through Entrepreneurship: Findings from </w:t>
      </w:r>
      <w:r w:rsidR="00270EE8" w:rsidRPr="00C61B70">
        <w:rPr>
          <w:sz w:val="20"/>
        </w:rPr>
        <w:t xml:space="preserve">the Evaluation of Project GATE (2008), </w:t>
      </w:r>
      <w:r w:rsidR="00776B9A" w:rsidRPr="00C61B70">
        <w:rPr>
          <w:sz w:val="20"/>
        </w:rPr>
        <w:t>Employment and Training Administration Occasional Paper 2008-08.</w:t>
      </w:r>
    </w:p>
    <w:p w:rsidR="00F631E3" w:rsidRPr="000C3A39" w:rsidRDefault="00F631E3" w:rsidP="003C161F">
      <w:pPr>
        <w:pStyle w:val="NormalSS"/>
        <w:ind w:right="14" w:firstLine="0"/>
        <w:rPr>
          <w:sz w:val="20"/>
        </w:rPr>
      </w:pPr>
      <w:r>
        <w:rPr>
          <w:sz w:val="20"/>
        </w:rPr>
        <w:t xml:space="preserve">The minimum detectable </w:t>
      </w:r>
      <w:r w:rsidR="00DF578A">
        <w:rPr>
          <w:sz w:val="20"/>
        </w:rPr>
        <w:t xml:space="preserve">effects </w:t>
      </w:r>
      <w:r>
        <w:rPr>
          <w:sz w:val="20"/>
        </w:rPr>
        <w:t>(MD</w:t>
      </w:r>
      <w:r w:rsidR="00DF578A">
        <w:rPr>
          <w:sz w:val="20"/>
        </w:rPr>
        <w:t>E</w:t>
      </w:r>
      <w:r>
        <w:rPr>
          <w:sz w:val="20"/>
        </w:rPr>
        <w:t xml:space="preserve">) are calculated using the following formula: </w:t>
      </w:r>
      <w:r w:rsidR="00EF714E">
        <w:rPr>
          <w:noProof/>
          <w:position w:val="-26"/>
          <w:sz w:val="20"/>
        </w:rPr>
        <w:drawing>
          <wp:inline distT="0" distB="0" distL="0" distR="0">
            <wp:extent cx="13716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71600" cy="438150"/>
                    </a:xfrm>
                    <a:prstGeom prst="rect">
                      <a:avLst/>
                    </a:prstGeom>
                    <a:noFill/>
                    <a:ln w="9525">
                      <a:noFill/>
                      <a:miter lim="800000"/>
                      <a:headEnd/>
                      <a:tailEnd/>
                    </a:ln>
                  </pic:spPr>
                </pic:pic>
              </a:graphicData>
            </a:graphic>
          </wp:inline>
        </w:drawing>
      </w:r>
      <w:r>
        <w:rPr>
          <w:sz w:val="20"/>
        </w:rPr>
        <w:t xml:space="preserve"> where </w:t>
      </w:r>
      <w:r>
        <w:rPr>
          <w:sz w:val="20"/>
        </w:rPr>
        <w:sym w:font="Symbol" w:char="F061"/>
      </w:r>
      <w:r>
        <w:rPr>
          <w:sz w:val="20"/>
        </w:rPr>
        <w:t xml:space="preserve"> = 2.5 for a one-tail test, </w:t>
      </w:r>
      <w:r>
        <w:rPr>
          <w:sz w:val="20"/>
        </w:rPr>
        <w:sym w:font="Symbol" w:char="F073"/>
      </w:r>
      <w:r>
        <w:rPr>
          <w:sz w:val="20"/>
        </w:rPr>
        <w:t xml:space="preserve"> is the standard deviation of the variable, R</w:t>
      </w:r>
      <w:r>
        <w:rPr>
          <w:sz w:val="20"/>
          <w:vertAlign w:val="superscript"/>
        </w:rPr>
        <w:t xml:space="preserve">2 </w:t>
      </w:r>
      <w:r>
        <w:rPr>
          <w:sz w:val="20"/>
        </w:rPr>
        <w:t xml:space="preserve">is the variance explained by the regression model, r is the response rate, and n is the size of the program and control </w:t>
      </w:r>
      <w:r w:rsidRPr="000C3A39">
        <w:rPr>
          <w:sz w:val="20"/>
        </w:rPr>
        <w:t xml:space="preserve">group (Bloom, 1995).  </w:t>
      </w:r>
    </w:p>
    <w:p w:rsidR="00F631E3" w:rsidRPr="000C3A39" w:rsidRDefault="00F631E3" w:rsidP="003C161F">
      <w:pPr>
        <w:pStyle w:val="NormalSS"/>
        <w:spacing w:after="200" w:line="360" w:lineRule="auto"/>
        <w:ind w:right="10"/>
        <w:rPr>
          <w:sz w:val="20"/>
        </w:rPr>
      </w:pPr>
    </w:p>
    <w:p w:rsidR="00BB0A84" w:rsidRPr="00B849FA" w:rsidRDefault="00BB0A84" w:rsidP="003C161F">
      <w:pPr>
        <w:pStyle w:val="NormalSS"/>
        <w:spacing w:after="200" w:line="360" w:lineRule="auto"/>
        <w:ind w:right="10"/>
      </w:pPr>
      <w:r w:rsidRPr="00B849FA">
        <w:t xml:space="preserve">Based on a review of results from previous studies of self-employment program impacts, we believe that a sample of 1327 program and 653 control group members will meet precision targets for impacts for the full sample and key subgroups.  As seen in the table, the minimum detectable impact is 6.6 percentage points for the percentage ever self-employed, 5.3 percentage points for the likelihood of being employed in </w:t>
      </w:r>
      <w:proofErr w:type="gramStart"/>
      <w:r w:rsidRPr="00B849FA">
        <w:t>either wage</w:t>
      </w:r>
      <w:proofErr w:type="gramEnd"/>
      <w:r w:rsidRPr="00B849FA">
        <w:t xml:space="preserve"> and salary employment or self-employment, $266 for the amount of UI benefits received, and $1,997 for total earnings. </w:t>
      </w:r>
    </w:p>
    <w:p w:rsidR="00AB7927" w:rsidRPr="00C61B70" w:rsidRDefault="00AB7927" w:rsidP="003C161F">
      <w:pPr>
        <w:pStyle w:val="NormalSS"/>
        <w:spacing w:after="200" w:line="360" w:lineRule="auto"/>
        <w:ind w:right="10"/>
      </w:pPr>
      <w:r w:rsidRPr="00C61B70">
        <w:t xml:space="preserve">As noted, in addition to estimating the overall impact of GATE II, it is important to evaluate the impact the program for its two key subpopulations (rural and older workers) and, if feasible, assess if the program had differential impacts by other key characteristics (race, education, prior-self-employment experience, etc).  </w:t>
      </w:r>
      <w:r w:rsidR="00DF7579" w:rsidRPr="00C61B70">
        <w:t xml:space="preserve">Subgroup analyses will help assess whether certain participant subgroups are more likely to benefit from program participation than others or whether the program is equally effective across all participant subgroups.  To help assess whether it is feasible to detect statistically significant and meaningful program impacts for key subgroups, </w:t>
      </w:r>
      <w:r w:rsidRPr="00C61B70">
        <w:t>Tables 3 and 4 present the MDE for key labor market outcomes by rural/older participant status and by key participant characteristics, respectively.</w:t>
      </w:r>
    </w:p>
    <w:p w:rsidR="00AB7927" w:rsidRPr="00C61B70" w:rsidRDefault="00AB7927" w:rsidP="003C161F">
      <w:pPr>
        <w:pStyle w:val="ParagraphLAST"/>
        <w:spacing w:after="0" w:line="240" w:lineRule="auto"/>
        <w:ind w:right="10" w:firstLine="0"/>
        <w:jc w:val="center"/>
        <w:rPr>
          <w:b/>
          <w:bCs/>
          <w:sz w:val="20"/>
        </w:rPr>
      </w:pPr>
      <w:r w:rsidRPr="00C61B70">
        <w:rPr>
          <w:b/>
          <w:bCs/>
          <w:sz w:val="20"/>
        </w:rPr>
        <w:t>TABLE 3</w:t>
      </w:r>
    </w:p>
    <w:p w:rsidR="00AB7927" w:rsidRPr="00C61B70" w:rsidRDefault="00AB7927" w:rsidP="003C161F">
      <w:pPr>
        <w:pStyle w:val="ParagraphLAST"/>
        <w:spacing w:after="0" w:line="240" w:lineRule="auto"/>
        <w:ind w:right="10"/>
        <w:jc w:val="center"/>
        <w:rPr>
          <w:b/>
          <w:bCs/>
          <w:sz w:val="20"/>
        </w:rPr>
      </w:pPr>
      <w:r w:rsidRPr="00C61B70">
        <w:rPr>
          <w:b/>
          <w:bCs/>
          <w:sz w:val="20"/>
        </w:rPr>
        <w:t>MINIMUM DETECTABLE EFFECTS FOR KEY LABOR MARKET OUTCOMES AT 18 MONTHS AFTER RANDOM ASSIGNMENT, BY RURAL AND OLDER WORKER STATUS</w:t>
      </w:r>
    </w:p>
    <w:p w:rsidR="00AB7927" w:rsidRPr="00C61B70" w:rsidRDefault="00AB7927" w:rsidP="003C161F">
      <w:pPr>
        <w:spacing w:line="240" w:lineRule="auto"/>
        <w:jc w:val="center"/>
        <w:rPr>
          <w:b/>
          <w:bCs/>
          <w:szCs w:val="24"/>
        </w:rPr>
      </w:pPr>
    </w:p>
    <w:tbl>
      <w:tblPr>
        <w:tblW w:w="9522" w:type="dxa"/>
        <w:tblCellMar>
          <w:left w:w="0" w:type="dxa"/>
          <w:right w:w="0" w:type="dxa"/>
        </w:tblCellMar>
        <w:tblLook w:val="04A0"/>
      </w:tblPr>
      <w:tblGrid>
        <w:gridCol w:w="4032"/>
        <w:gridCol w:w="1830"/>
        <w:gridCol w:w="1830"/>
        <w:gridCol w:w="1830"/>
      </w:tblGrid>
      <w:tr w:rsidR="00AB7927" w:rsidRPr="00C61B70" w:rsidTr="00AB7927">
        <w:tc>
          <w:tcPr>
            <w:tcW w:w="4032" w:type="dxa"/>
            <w:tcBorders>
              <w:top w:val="single" w:sz="8" w:space="0" w:color="auto"/>
              <w:left w:val="single" w:sz="8" w:space="0" w:color="auto"/>
              <w:bottom w:val="single" w:sz="8" w:space="0" w:color="auto"/>
              <w:right w:val="single" w:sz="8" w:space="0" w:color="auto"/>
            </w:tcBorders>
            <w:shd w:val="clear" w:color="auto" w:fill="6D0000"/>
            <w:tcMar>
              <w:top w:w="72" w:type="dxa"/>
              <w:left w:w="72" w:type="dxa"/>
              <w:bottom w:w="72" w:type="dxa"/>
              <w:right w:w="72" w:type="dxa"/>
            </w:tcMar>
            <w:vAlign w:val="center"/>
          </w:tcPr>
          <w:p w:rsidR="00AB7927" w:rsidRPr="00C61B70" w:rsidRDefault="00AB7927" w:rsidP="003C161F">
            <w:pPr>
              <w:spacing w:line="240" w:lineRule="auto"/>
              <w:ind w:firstLine="0"/>
              <w:jc w:val="left"/>
              <w:rPr>
                <w:rFonts w:eastAsiaTheme="minorHAnsi"/>
                <w:b/>
                <w:bCs/>
                <w:sz w:val="22"/>
                <w:szCs w:val="22"/>
              </w:rPr>
            </w:pPr>
          </w:p>
        </w:tc>
        <w:tc>
          <w:tcPr>
            <w:tcW w:w="1830" w:type="dxa"/>
            <w:tcBorders>
              <w:top w:val="single" w:sz="8" w:space="0" w:color="auto"/>
              <w:left w:val="nil"/>
              <w:bottom w:val="single" w:sz="8" w:space="0" w:color="auto"/>
              <w:right w:val="single" w:sz="8" w:space="0" w:color="auto"/>
            </w:tcBorders>
            <w:shd w:val="clear" w:color="auto" w:fill="6D0000"/>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b/>
                <w:bCs/>
                <w:sz w:val="22"/>
                <w:szCs w:val="22"/>
              </w:rPr>
            </w:pPr>
            <w:r w:rsidRPr="00C61B70">
              <w:rPr>
                <w:b/>
                <w:bCs/>
                <w:sz w:val="22"/>
                <w:szCs w:val="22"/>
              </w:rPr>
              <w:t>Rural</w:t>
            </w:r>
          </w:p>
        </w:tc>
        <w:tc>
          <w:tcPr>
            <w:tcW w:w="1830" w:type="dxa"/>
            <w:tcBorders>
              <w:top w:val="single" w:sz="8" w:space="0" w:color="auto"/>
              <w:left w:val="nil"/>
              <w:bottom w:val="single" w:sz="8" w:space="0" w:color="auto"/>
              <w:right w:val="single" w:sz="8" w:space="0" w:color="auto"/>
            </w:tcBorders>
            <w:shd w:val="clear" w:color="auto" w:fill="6D0000"/>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b/>
                <w:bCs/>
                <w:sz w:val="22"/>
                <w:szCs w:val="22"/>
              </w:rPr>
            </w:pPr>
            <w:r w:rsidRPr="00C61B70">
              <w:rPr>
                <w:b/>
                <w:bCs/>
                <w:sz w:val="22"/>
                <w:szCs w:val="22"/>
              </w:rPr>
              <w:t>Older</w:t>
            </w:r>
          </w:p>
        </w:tc>
        <w:tc>
          <w:tcPr>
            <w:tcW w:w="1830" w:type="dxa"/>
            <w:tcBorders>
              <w:top w:val="single" w:sz="8" w:space="0" w:color="auto"/>
              <w:left w:val="nil"/>
              <w:bottom w:val="single" w:sz="8" w:space="0" w:color="auto"/>
              <w:right w:val="single" w:sz="8" w:space="0" w:color="auto"/>
            </w:tcBorders>
            <w:shd w:val="clear" w:color="auto" w:fill="6D0000"/>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b/>
                <w:bCs/>
                <w:sz w:val="22"/>
                <w:szCs w:val="22"/>
              </w:rPr>
            </w:pPr>
            <w:r w:rsidRPr="00C61B70">
              <w:rPr>
                <w:b/>
                <w:bCs/>
                <w:sz w:val="22"/>
                <w:szCs w:val="22"/>
              </w:rPr>
              <w:t>Combined</w:t>
            </w:r>
          </w:p>
        </w:tc>
      </w:tr>
      <w:tr w:rsidR="00AB7927" w:rsidRPr="00C61B70" w:rsidTr="00AB7927">
        <w:tc>
          <w:tcPr>
            <w:tcW w:w="4032" w:type="dxa"/>
            <w:tcBorders>
              <w:top w:val="nil"/>
              <w:left w:val="single" w:sz="8" w:space="0" w:color="auto"/>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left"/>
              <w:rPr>
                <w:rFonts w:eastAsiaTheme="minorHAnsi"/>
                <w:sz w:val="22"/>
                <w:szCs w:val="22"/>
              </w:rPr>
            </w:pPr>
            <w:r w:rsidRPr="00C61B70">
              <w:rPr>
                <w:sz w:val="22"/>
                <w:szCs w:val="22"/>
              </w:rPr>
              <w:t>Projected Sample Size</w:t>
            </w:r>
          </w:p>
        </w:tc>
        <w:tc>
          <w:tcPr>
            <w:tcW w:w="1830"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sz w:val="22"/>
                <w:szCs w:val="22"/>
              </w:rPr>
            </w:pPr>
            <w:r w:rsidRPr="00C61B70">
              <w:rPr>
                <w:sz w:val="22"/>
                <w:szCs w:val="22"/>
              </w:rPr>
              <w:t>1,420</w:t>
            </w:r>
          </w:p>
        </w:tc>
        <w:tc>
          <w:tcPr>
            <w:tcW w:w="1830"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sz w:val="22"/>
                <w:szCs w:val="22"/>
              </w:rPr>
            </w:pPr>
            <w:r w:rsidRPr="00C61B70">
              <w:rPr>
                <w:sz w:val="22"/>
                <w:szCs w:val="22"/>
              </w:rPr>
              <w:t>560</w:t>
            </w:r>
          </w:p>
        </w:tc>
        <w:tc>
          <w:tcPr>
            <w:tcW w:w="1830"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sz w:val="22"/>
                <w:szCs w:val="22"/>
              </w:rPr>
            </w:pPr>
            <w:r w:rsidRPr="00C61B70">
              <w:rPr>
                <w:sz w:val="22"/>
                <w:szCs w:val="22"/>
              </w:rPr>
              <w:t>1,980</w:t>
            </w:r>
          </w:p>
        </w:tc>
      </w:tr>
      <w:tr w:rsidR="00AB7927" w:rsidRPr="00C61B70" w:rsidTr="00AB7927">
        <w:tc>
          <w:tcPr>
            <w:tcW w:w="4032" w:type="dxa"/>
            <w:tcBorders>
              <w:top w:val="nil"/>
              <w:left w:val="single" w:sz="8" w:space="0" w:color="auto"/>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left"/>
              <w:rPr>
                <w:rFonts w:eastAsiaTheme="minorHAnsi"/>
                <w:sz w:val="22"/>
                <w:szCs w:val="22"/>
              </w:rPr>
            </w:pPr>
            <w:r w:rsidRPr="00C61B70">
              <w:rPr>
                <w:sz w:val="22"/>
                <w:szCs w:val="22"/>
              </w:rPr>
              <w:t>Likelihood of Starting a New Business</w:t>
            </w:r>
          </w:p>
        </w:tc>
        <w:tc>
          <w:tcPr>
            <w:tcW w:w="1830"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sz w:val="22"/>
                <w:szCs w:val="22"/>
              </w:rPr>
            </w:pPr>
            <w:r w:rsidRPr="00C61B70">
              <w:rPr>
                <w:sz w:val="22"/>
                <w:szCs w:val="22"/>
              </w:rPr>
              <w:t>7.9</w:t>
            </w:r>
          </w:p>
        </w:tc>
        <w:tc>
          <w:tcPr>
            <w:tcW w:w="1830"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sz w:val="22"/>
                <w:szCs w:val="22"/>
              </w:rPr>
            </w:pPr>
            <w:r w:rsidRPr="00C61B70">
              <w:rPr>
                <w:sz w:val="22"/>
                <w:szCs w:val="22"/>
              </w:rPr>
              <w:t>11.1</w:t>
            </w:r>
          </w:p>
        </w:tc>
        <w:tc>
          <w:tcPr>
            <w:tcW w:w="1830"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sz w:val="22"/>
                <w:szCs w:val="22"/>
              </w:rPr>
            </w:pPr>
            <w:r w:rsidRPr="00C61B70">
              <w:rPr>
                <w:sz w:val="22"/>
                <w:szCs w:val="22"/>
              </w:rPr>
              <w:t>6.6</w:t>
            </w:r>
          </w:p>
        </w:tc>
      </w:tr>
      <w:tr w:rsidR="00AB7927" w:rsidRPr="00C61B70" w:rsidTr="00AB7927">
        <w:tc>
          <w:tcPr>
            <w:tcW w:w="4032" w:type="dxa"/>
            <w:tcBorders>
              <w:top w:val="nil"/>
              <w:left w:val="single" w:sz="8" w:space="0" w:color="auto"/>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left"/>
              <w:rPr>
                <w:rFonts w:eastAsiaTheme="minorHAnsi"/>
                <w:sz w:val="22"/>
                <w:szCs w:val="22"/>
              </w:rPr>
            </w:pPr>
            <w:r w:rsidRPr="00C61B70">
              <w:rPr>
                <w:sz w:val="22"/>
                <w:szCs w:val="22"/>
              </w:rPr>
              <w:t>Likelihood of Employment</w:t>
            </w:r>
          </w:p>
        </w:tc>
        <w:tc>
          <w:tcPr>
            <w:tcW w:w="1830"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sz w:val="22"/>
                <w:szCs w:val="22"/>
              </w:rPr>
            </w:pPr>
            <w:r w:rsidRPr="00C61B70">
              <w:rPr>
                <w:sz w:val="22"/>
                <w:szCs w:val="22"/>
              </w:rPr>
              <w:t>6.4</w:t>
            </w:r>
          </w:p>
        </w:tc>
        <w:tc>
          <w:tcPr>
            <w:tcW w:w="1830"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sz w:val="22"/>
                <w:szCs w:val="22"/>
              </w:rPr>
            </w:pPr>
            <w:r w:rsidRPr="00C61B70">
              <w:rPr>
                <w:sz w:val="22"/>
                <w:szCs w:val="22"/>
              </w:rPr>
              <w:t>8.9</w:t>
            </w:r>
          </w:p>
        </w:tc>
        <w:tc>
          <w:tcPr>
            <w:tcW w:w="1830"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sz w:val="22"/>
                <w:szCs w:val="22"/>
              </w:rPr>
            </w:pPr>
            <w:r w:rsidRPr="00C61B70">
              <w:rPr>
                <w:sz w:val="22"/>
                <w:szCs w:val="22"/>
              </w:rPr>
              <w:t>5.3</w:t>
            </w:r>
          </w:p>
        </w:tc>
      </w:tr>
      <w:tr w:rsidR="00AB7927" w:rsidRPr="00C61B70" w:rsidTr="00AB7927">
        <w:tc>
          <w:tcPr>
            <w:tcW w:w="4032" w:type="dxa"/>
            <w:tcBorders>
              <w:top w:val="nil"/>
              <w:left w:val="single" w:sz="8" w:space="0" w:color="auto"/>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left"/>
              <w:rPr>
                <w:rFonts w:eastAsiaTheme="minorHAnsi"/>
                <w:sz w:val="22"/>
                <w:szCs w:val="22"/>
              </w:rPr>
            </w:pPr>
            <w:r w:rsidRPr="00C61B70">
              <w:rPr>
                <w:sz w:val="22"/>
                <w:szCs w:val="22"/>
              </w:rPr>
              <w:t>UI Benefit Amounts Received</w:t>
            </w:r>
          </w:p>
        </w:tc>
        <w:tc>
          <w:tcPr>
            <w:tcW w:w="1830"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sz w:val="22"/>
                <w:szCs w:val="22"/>
              </w:rPr>
            </w:pPr>
            <w:r w:rsidRPr="00C61B70">
              <w:rPr>
                <w:sz w:val="22"/>
                <w:szCs w:val="22"/>
              </w:rPr>
              <w:t>$336</w:t>
            </w:r>
          </w:p>
        </w:tc>
        <w:tc>
          <w:tcPr>
            <w:tcW w:w="1830"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sz w:val="22"/>
                <w:szCs w:val="22"/>
              </w:rPr>
            </w:pPr>
            <w:r w:rsidRPr="00C61B70">
              <w:rPr>
                <w:sz w:val="22"/>
                <w:szCs w:val="22"/>
              </w:rPr>
              <w:t>$471</w:t>
            </w:r>
          </w:p>
        </w:tc>
        <w:tc>
          <w:tcPr>
            <w:tcW w:w="1830"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sz w:val="22"/>
                <w:szCs w:val="22"/>
              </w:rPr>
            </w:pPr>
            <w:r w:rsidRPr="00C61B70">
              <w:rPr>
                <w:sz w:val="22"/>
                <w:szCs w:val="22"/>
              </w:rPr>
              <w:t>$266</w:t>
            </w:r>
          </w:p>
        </w:tc>
      </w:tr>
      <w:tr w:rsidR="00AB7927" w:rsidRPr="00C61B70" w:rsidTr="00AB7927">
        <w:tc>
          <w:tcPr>
            <w:tcW w:w="4032" w:type="dxa"/>
            <w:tcBorders>
              <w:top w:val="nil"/>
              <w:left w:val="single" w:sz="8" w:space="0" w:color="auto"/>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left"/>
              <w:rPr>
                <w:rFonts w:eastAsiaTheme="minorHAnsi"/>
                <w:sz w:val="22"/>
                <w:szCs w:val="22"/>
              </w:rPr>
            </w:pPr>
            <w:r w:rsidRPr="00C61B70">
              <w:rPr>
                <w:sz w:val="22"/>
                <w:szCs w:val="22"/>
              </w:rPr>
              <w:t>Total Earnings</w:t>
            </w:r>
          </w:p>
        </w:tc>
        <w:tc>
          <w:tcPr>
            <w:tcW w:w="1830"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sz w:val="22"/>
                <w:szCs w:val="22"/>
              </w:rPr>
            </w:pPr>
            <w:r w:rsidRPr="00C61B70">
              <w:rPr>
                <w:sz w:val="22"/>
                <w:szCs w:val="22"/>
              </w:rPr>
              <w:t>$2,519</w:t>
            </w:r>
          </w:p>
        </w:tc>
        <w:tc>
          <w:tcPr>
            <w:tcW w:w="1830"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sz w:val="22"/>
                <w:szCs w:val="22"/>
              </w:rPr>
            </w:pPr>
            <w:r w:rsidRPr="00C61B70">
              <w:rPr>
                <w:sz w:val="22"/>
                <w:szCs w:val="22"/>
              </w:rPr>
              <w:t>$3,529</w:t>
            </w:r>
          </w:p>
        </w:tc>
        <w:tc>
          <w:tcPr>
            <w:tcW w:w="1830"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line="240" w:lineRule="auto"/>
              <w:ind w:firstLine="0"/>
              <w:jc w:val="center"/>
              <w:rPr>
                <w:rFonts w:eastAsiaTheme="minorHAnsi"/>
                <w:sz w:val="22"/>
                <w:szCs w:val="22"/>
              </w:rPr>
            </w:pPr>
            <w:r w:rsidRPr="00C61B70">
              <w:rPr>
                <w:sz w:val="22"/>
                <w:szCs w:val="22"/>
              </w:rPr>
              <w:t>$1,997</w:t>
            </w:r>
          </w:p>
        </w:tc>
      </w:tr>
    </w:tbl>
    <w:p w:rsidR="00AB7927" w:rsidRPr="00C61B70" w:rsidRDefault="00AB7927" w:rsidP="003C161F">
      <w:pPr>
        <w:spacing w:after="200" w:line="360" w:lineRule="auto"/>
        <w:ind w:firstLine="0"/>
        <w:rPr>
          <w:rFonts w:eastAsiaTheme="minorHAnsi"/>
          <w:sz w:val="20"/>
        </w:rPr>
      </w:pPr>
      <w:r w:rsidRPr="00C61B70">
        <w:rPr>
          <w:smallCaps/>
          <w:sz w:val="20"/>
        </w:rPr>
        <w:lastRenderedPageBreak/>
        <w:t>Note</w:t>
      </w:r>
      <w:r w:rsidRPr="00C61B70">
        <w:rPr>
          <w:sz w:val="20"/>
        </w:rPr>
        <w:t xml:space="preserve">:  The calculations are based on the same assumptions as those in Table </w:t>
      </w:r>
      <w:r w:rsidR="00823DAE" w:rsidRPr="00C61B70">
        <w:rPr>
          <w:sz w:val="20"/>
        </w:rPr>
        <w:t>2</w:t>
      </w:r>
      <w:r w:rsidRPr="00C61B70">
        <w:rPr>
          <w:sz w:val="20"/>
        </w:rPr>
        <w:t>.  We also assume that the combined sample includes 1,</w:t>
      </w:r>
      <w:r w:rsidR="00823DAE" w:rsidRPr="00C61B70">
        <w:rPr>
          <w:sz w:val="20"/>
        </w:rPr>
        <w:t>420</w:t>
      </w:r>
      <w:r w:rsidRPr="00C61B70">
        <w:rPr>
          <w:sz w:val="20"/>
        </w:rPr>
        <w:t xml:space="preserve"> urban and </w:t>
      </w:r>
      <w:r w:rsidR="00823DAE" w:rsidRPr="00C61B70">
        <w:rPr>
          <w:sz w:val="20"/>
        </w:rPr>
        <w:t>560</w:t>
      </w:r>
      <w:r w:rsidRPr="00C61B70">
        <w:rPr>
          <w:sz w:val="20"/>
        </w:rPr>
        <w:t xml:space="preserve"> rural workers.</w:t>
      </w:r>
    </w:p>
    <w:p w:rsidR="00AB7927" w:rsidRPr="00C61B70" w:rsidRDefault="00AB7927" w:rsidP="003C161F">
      <w:pPr>
        <w:pStyle w:val="ParagraphLAST"/>
        <w:spacing w:after="200" w:line="240" w:lineRule="auto"/>
        <w:ind w:right="10" w:firstLine="0"/>
        <w:jc w:val="center"/>
        <w:rPr>
          <w:b/>
          <w:bCs/>
          <w:sz w:val="20"/>
        </w:rPr>
      </w:pPr>
      <w:r w:rsidRPr="00C61B70">
        <w:rPr>
          <w:b/>
          <w:bCs/>
          <w:sz w:val="20"/>
        </w:rPr>
        <w:t>TABLE 4</w:t>
      </w:r>
    </w:p>
    <w:p w:rsidR="00AB7927" w:rsidRPr="00C61B70" w:rsidRDefault="00AB7927" w:rsidP="003C161F">
      <w:pPr>
        <w:pStyle w:val="ParagraphLAST"/>
        <w:spacing w:after="200" w:line="240" w:lineRule="auto"/>
        <w:ind w:right="10"/>
        <w:jc w:val="center"/>
        <w:rPr>
          <w:b/>
          <w:bCs/>
          <w:sz w:val="20"/>
        </w:rPr>
      </w:pPr>
      <w:r w:rsidRPr="00C61B70">
        <w:rPr>
          <w:b/>
          <w:bCs/>
          <w:sz w:val="20"/>
        </w:rPr>
        <w:t>MINIMUM DETECTABLE EFFECTS FOR KEY LABOR MARKET OUTCOMES AT 18 MONTHS AFTER RANDOM ASSIGNMENT, BY SELECT PARTICIPANT CHARACTERISTICS</w:t>
      </w:r>
    </w:p>
    <w:tbl>
      <w:tblPr>
        <w:tblW w:w="0" w:type="auto"/>
        <w:tblCellMar>
          <w:left w:w="0" w:type="dxa"/>
          <w:right w:w="0" w:type="dxa"/>
        </w:tblCellMar>
        <w:tblLook w:val="04A0"/>
      </w:tblPr>
      <w:tblGrid>
        <w:gridCol w:w="2605"/>
        <w:gridCol w:w="1135"/>
        <w:gridCol w:w="2074"/>
        <w:gridCol w:w="2178"/>
        <w:gridCol w:w="1512"/>
      </w:tblGrid>
      <w:tr w:rsidR="00AB7927" w:rsidRPr="00C61B70" w:rsidTr="00AB7927">
        <w:trPr>
          <w:trHeight w:val="602"/>
        </w:trPr>
        <w:tc>
          <w:tcPr>
            <w:tcW w:w="0" w:type="auto"/>
            <w:tcBorders>
              <w:top w:val="single" w:sz="8" w:space="0" w:color="auto"/>
              <w:left w:val="single" w:sz="8" w:space="0" w:color="auto"/>
              <w:bottom w:val="single" w:sz="8" w:space="0" w:color="auto"/>
              <w:right w:val="single" w:sz="8" w:space="0" w:color="auto"/>
            </w:tcBorders>
            <w:shd w:val="clear" w:color="auto" w:fill="6D0000"/>
            <w:tcMar>
              <w:top w:w="72" w:type="dxa"/>
              <w:left w:w="72" w:type="dxa"/>
              <w:bottom w:w="72" w:type="dxa"/>
              <w:right w:w="72" w:type="dxa"/>
            </w:tcMar>
            <w:vAlign w:val="center"/>
          </w:tcPr>
          <w:p w:rsidR="00AB7927" w:rsidRPr="00C61B70" w:rsidRDefault="00AB7927" w:rsidP="003C161F">
            <w:pPr>
              <w:spacing w:after="200" w:line="240" w:lineRule="auto"/>
              <w:ind w:firstLine="0"/>
              <w:jc w:val="left"/>
              <w:rPr>
                <w:rFonts w:eastAsiaTheme="minorHAnsi"/>
                <w:b/>
                <w:bCs/>
                <w:sz w:val="22"/>
                <w:szCs w:val="22"/>
              </w:rPr>
            </w:pPr>
          </w:p>
        </w:tc>
        <w:tc>
          <w:tcPr>
            <w:tcW w:w="0" w:type="auto"/>
            <w:tcBorders>
              <w:top w:val="single" w:sz="8" w:space="0" w:color="auto"/>
              <w:left w:val="nil"/>
              <w:bottom w:val="single" w:sz="8" w:space="0" w:color="auto"/>
              <w:right w:val="single" w:sz="8" w:space="0" w:color="auto"/>
            </w:tcBorders>
            <w:shd w:val="clear" w:color="auto" w:fill="6D0000"/>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b/>
                <w:bCs/>
                <w:sz w:val="22"/>
                <w:szCs w:val="22"/>
              </w:rPr>
            </w:pPr>
            <w:r w:rsidRPr="00C61B70">
              <w:rPr>
                <w:b/>
                <w:bCs/>
                <w:sz w:val="22"/>
                <w:szCs w:val="22"/>
              </w:rPr>
              <w:t>Nonwhites</w:t>
            </w:r>
          </w:p>
        </w:tc>
        <w:tc>
          <w:tcPr>
            <w:tcW w:w="0" w:type="auto"/>
            <w:tcBorders>
              <w:top w:val="single" w:sz="8" w:space="0" w:color="auto"/>
              <w:left w:val="nil"/>
              <w:bottom w:val="single" w:sz="8" w:space="0" w:color="auto"/>
              <w:right w:val="single" w:sz="8" w:space="0" w:color="auto"/>
            </w:tcBorders>
            <w:shd w:val="clear" w:color="auto" w:fill="6D0000"/>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b/>
                <w:bCs/>
                <w:sz w:val="22"/>
                <w:szCs w:val="22"/>
              </w:rPr>
            </w:pPr>
            <w:r w:rsidRPr="00C61B70">
              <w:rPr>
                <w:b/>
                <w:bCs/>
                <w:sz w:val="22"/>
                <w:szCs w:val="22"/>
              </w:rPr>
              <w:t>High School Diploma or Less</w:t>
            </w:r>
          </w:p>
        </w:tc>
        <w:tc>
          <w:tcPr>
            <w:tcW w:w="2178" w:type="dxa"/>
            <w:tcBorders>
              <w:top w:val="single" w:sz="8" w:space="0" w:color="auto"/>
              <w:left w:val="nil"/>
              <w:bottom w:val="single" w:sz="8" w:space="0" w:color="auto"/>
              <w:right w:val="single" w:sz="8" w:space="0" w:color="auto"/>
            </w:tcBorders>
            <w:shd w:val="clear" w:color="auto" w:fill="6D0000"/>
            <w:tcMar>
              <w:top w:w="72" w:type="dxa"/>
              <w:left w:w="72" w:type="dxa"/>
              <w:bottom w:w="72" w:type="dxa"/>
              <w:right w:w="72" w:type="dxa"/>
            </w:tcMar>
            <w:hideMark/>
          </w:tcPr>
          <w:p w:rsidR="00AB7927" w:rsidRPr="00C61B70" w:rsidRDefault="00AB7927" w:rsidP="003C161F">
            <w:pPr>
              <w:spacing w:after="200" w:line="240" w:lineRule="auto"/>
              <w:ind w:firstLine="0"/>
              <w:jc w:val="center"/>
              <w:rPr>
                <w:rFonts w:eastAsiaTheme="minorHAnsi"/>
                <w:b/>
                <w:bCs/>
                <w:sz w:val="22"/>
                <w:szCs w:val="22"/>
              </w:rPr>
            </w:pPr>
            <w:r w:rsidRPr="00C61B70">
              <w:rPr>
                <w:b/>
                <w:bCs/>
                <w:sz w:val="22"/>
                <w:szCs w:val="22"/>
              </w:rPr>
              <w:t>Prior Self-Employment Experience</w:t>
            </w:r>
          </w:p>
        </w:tc>
        <w:tc>
          <w:tcPr>
            <w:tcW w:w="1512" w:type="dxa"/>
            <w:tcBorders>
              <w:top w:val="single" w:sz="8" w:space="0" w:color="auto"/>
              <w:left w:val="nil"/>
              <w:bottom w:val="single" w:sz="8" w:space="0" w:color="auto"/>
              <w:right w:val="single" w:sz="8" w:space="0" w:color="auto"/>
            </w:tcBorders>
            <w:shd w:val="clear" w:color="auto" w:fill="6D0000"/>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b/>
                <w:bCs/>
                <w:sz w:val="22"/>
                <w:szCs w:val="22"/>
              </w:rPr>
            </w:pPr>
            <w:r w:rsidRPr="00C61B70">
              <w:rPr>
                <w:b/>
                <w:bCs/>
                <w:sz w:val="22"/>
                <w:szCs w:val="22"/>
              </w:rPr>
              <w:t>Combined</w:t>
            </w:r>
          </w:p>
        </w:tc>
      </w:tr>
      <w:tr w:rsidR="00AB7927" w:rsidRPr="00C61B70" w:rsidTr="00AB7927">
        <w:tc>
          <w:tcPr>
            <w:tcW w:w="0" w:type="auto"/>
            <w:tcBorders>
              <w:top w:val="nil"/>
              <w:left w:val="single" w:sz="8" w:space="0" w:color="auto"/>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left"/>
              <w:rPr>
                <w:rFonts w:eastAsiaTheme="minorHAnsi"/>
                <w:sz w:val="22"/>
                <w:szCs w:val="22"/>
              </w:rPr>
            </w:pPr>
            <w:r w:rsidRPr="00C61B70">
              <w:rPr>
                <w:sz w:val="22"/>
                <w:szCs w:val="22"/>
              </w:rPr>
              <w:t>Projected Sample Size</w:t>
            </w:r>
          </w:p>
        </w:tc>
        <w:tc>
          <w:tcPr>
            <w:tcW w:w="0" w:type="auto"/>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990</w:t>
            </w:r>
          </w:p>
        </w:tc>
        <w:tc>
          <w:tcPr>
            <w:tcW w:w="0" w:type="auto"/>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1,386</w:t>
            </w:r>
          </w:p>
        </w:tc>
        <w:tc>
          <w:tcPr>
            <w:tcW w:w="2178"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495</w:t>
            </w:r>
          </w:p>
        </w:tc>
        <w:tc>
          <w:tcPr>
            <w:tcW w:w="1512"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1,980</w:t>
            </w:r>
          </w:p>
        </w:tc>
      </w:tr>
      <w:tr w:rsidR="00AB7927" w:rsidRPr="00C61B70" w:rsidTr="00AB7927">
        <w:tc>
          <w:tcPr>
            <w:tcW w:w="0" w:type="auto"/>
            <w:tcBorders>
              <w:top w:val="nil"/>
              <w:left w:val="single" w:sz="8" w:space="0" w:color="auto"/>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left"/>
              <w:rPr>
                <w:rFonts w:eastAsiaTheme="minorHAnsi"/>
                <w:sz w:val="22"/>
                <w:szCs w:val="22"/>
              </w:rPr>
            </w:pPr>
            <w:r w:rsidRPr="00C61B70">
              <w:rPr>
                <w:sz w:val="22"/>
                <w:szCs w:val="22"/>
              </w:rPr>
              <w:t>Likelihood of Starting a New Business</w:t>
            </w:r>
          </w:p>
        </w:tc>
        <w:tc>
          <w:tcPr>
            <w:tcW w:w="0" w:type="auto"/>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9.3</w:t>
            </w:r>
          </w:p>
        </w:tc>
        <w:tc>
          <w:tcPr>
            <w:tcW w:w="0" w:type="auto"/>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7.9</w:t>
            </w:r>
          </w:p>
        </w:tc>
        <w:tc>
          <w:tcPr>
            <w:tcW w:w="2178"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13.2</w:t>
            </w:r>
          </w:p>
        </w:tc>
        <w:tc>
          <w:tcPr>
            <w:tcW w:w="1512"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6.6</w:t>
            </w:r>
          </w:p>
        </w:tc>
      </w:tr>
      <w:tr w:rsidR="00AB7927" w:rsidRPr="00C61B70" w:rsidTr="00AB7927">
        <w:tc>
          <w:tcPr>
            <w:tcW w:w="0" w:type="auto"/>
            <w:tcBorders>
              <w:top w:val="nil"/>
              <w:left w:val="single" w:sz="8" w:space="0" w:color="auto"/>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left"/>
              <w:rPr>
                <w:rFonts w:eastAsiaTheme="minorHAnsi"/>
                <w:sz w:val="22"/>
                <w:szCs w:val="22"/>
              </w:rPr>
            </w:pPr>
            <w:r w:rsidRPr="00C61B70">
              <w:rPr>
                <w:sz w:val="22"/>
                <w:szCs w:val="22"/>
              </w:rPr>
              <w:t>Likelihood of Employment</w:t>
            </w:r>
          </w:p>
        </w:tc>
        <w:tc>
          <w:tcPr>
            <w:tcW w:w="0" w:type="auto"/>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6.7</w:t>
            </w:r>
          </w:p>
        </w:tc>
        <w:tc>
          <w:tcPr>
            <w:tcW w:w="0" w:type="auto"/>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5.7</w:t>
            </w:r>
          </w:p>
        </w:tc>
        <w:tc>
          <w:tcPr>
            <w:tcW w:w="2178"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9.5</w:t>
            </w:r>
          </w:p>
        </w:tc>
        <w:tc>
          <w:tcPr>
            <w:tcW w:w="1512"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5.3</w:t>
            </w:r>
          </w:p>
        </w:tc>
      </w:tr>
      <w:tr w:rsidR="00AB7927" w:rsidRPr="00C61B70" w:rsidTr="00AB7927">
        <w:tc>
          <w:tcPr>
            <w:tcW w:w="0" w:type="auto"/>
            <w:tcBorders>
              <w:top w:val="nil"/>
              <w:left w:val="single" w:sz="8" w:space="0" w:color="auto"/>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left"/>
              <w:rPr>
                <w:rFonts w:eastAsiaTheme="minorHAnsi"/>
                <w:sz w:val="22"/>
                <w:szCs w:val="22"/>
              </w:rPr>
            </w:pPr>
            <w:r w:rsidRPr="00C61B70">
              <w:rPr>
                <w:sz w:val="22"/>
                <w:szCs w:val="22"/>
              </w:rPr>
              <w:t>UI Benefit Amounts Received</w:t>
            </w:r>
          </w:p>
        </w:tc>
        <w:tc>
          <w:tcPr>
            <w:tcW w:w="0" w:type="auto"/>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$375</w:t>
            </w:r>
          </w:p>
        </w:tc>
        <w:tc>
          <w:tcPr>
            <w:tcW w:w="0" w:type="auto"/>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$317</w:t>
            </w:r>
          </w:p>
        </w:tc>
        <w:tc>
          <w:tcPr>
            <w:tcW w:w="2178"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$531</w:t>
            </w:r>
          </w:p>
        </w:tc>
        <w:tc>
          <w:tcPr>
            <w:tcW w:w="1512"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$266</w:t>
            </w:r>
          </w:p>
        </w:tc>
      </w:tr>
      <w:tr w:rsidR="00AB7927" w:rsidRPr="00C61B70" w:rsidTr="00AB7927">
        <w:tc>
          <w:tcPr>
            <w:tcW w:w="0" w:type="auto"/>
            <w:tcBorders>
              <w:top w:val="nil"/>
              <w:left w:val="single" w:sz="8" w:space="0" w:color="auto"/>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left"/>
              <w:rPr>
                <w:rFonts w:eastAsiaTheme="minorHAnsi"/>
                <w:sz w:val="22"/>
                <w:szCs w:val="22"/>
              </w:rPr>
            </w:pPr>
            <w:r w:rsidRPr="00C61B70">
              <w:rPr>
                <w:sz w:val="22"/>
                <w:szCs w:val="22"/>
              </w:rPr>
              <w:t>Total Earnings</w:t>
            </w:r>
          </w:p>
        </w:tc>
        <w:tc>
          <w:tcPr>
            <w:tcW w:w="0" w:type="auto"/>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$2,518</w:t>
            </w:r>
          </w:p>
        </w:tc>
        <w:tc>
          <w:tcPr>
            <w:tcW w:w="0" w:type="auto"/>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$2,128</w:t>
            </w:r>
          </w:p>
        </w:tc>
        <w:tc>
          <w:tcPr>
            <w:tcW w:w="2178"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$3,564</w:t>
            </w:r>
          </w:p>
        </w:tc>
        <w:tc>
          <w:tcPr>
            <w:tcW w:w="1512" w:type="dxa"/>
            <w:tcBorders>
              <w:top w:val="nil"/>
              <w:left w:val="nil"/>
              <w:bottom w:val="single" w:sz="8" w:space="0" w:color="auto"/>
              <w:right w:val="single" w:sz="8" w:space="0" w:color="auto"/>
            </w:tcBorders>
            <w:tcMar>
              <w:top w:w="72" w:type="dxa"/>
              <w:left w:w="72" w:type="dxa"/>
              <w:bottom w:w="72" w:type="dxa"/>
              <w:right w:w="72" w:type="dxa"/>
            </w:tcMar>
            <w:vAlign w:val="center"/>
            <w:hideMark/>
          </w:tcPr>
          <w:p w:rsidR="00AB7927" w:rsidRPr="00C61B70" w:rsidRDefault="00AB7927" w:rsidP="003C161F">
            <w:pPr>
              <w:spacing w:after="200" w:line="240" w:lineRule="auto"/>
              <w:ind w:firstLine="0"/>
              <w:jc w:val="center"/>
              <w:rPr>
                <w:rFonts w:eastAsiaTheme="minorHAnsi"/>
                <w:sz w:val="22"/>
                <w:szCs w:val="22"/>
              </w:rPr>
            </w:pPr>
            <w:r w:rsidRPr="00C61B70">
              <w:rPr>
                <w:sz w:val="22"/>
                <w:szCs w:val="22"/>
              </w:rPr>
              <w:t>$1,997</w:t>
            </w:r>
          </w:p>
        </w:tc>
      </w:tr>
    </w:tbl>
    <w:p w:rsidR="00AB7927" w:rsidRPr="00C61B70" w:rsidRDefault="00AB7927" w:rsidP="003C161F">
      <w:pPr>
        <w:spacing w:line="240" w:lineRule="auto"/>
        <w:ind w:firstLine="0"/>
        <w:rPr>
          <w:rFonts w:eastAsiaTheme="minorHAnsi"/>
          <w:b/>
          <w:bCs/>
        </w:rPr>
      </w:pPr>
      <w:r w:rsidRPr="00C61B70">
        <w:rPr>
          <w:smallCaps/>
          <w:sz w:val="20"/>
        </w:rPr>
        <w:t>Note</w:t>
      </w:r>
      <w:r w:rsidRPr="00C61B70">
        <w:rPr>
          <w:sz w:val="20"/>
        </w:rPr>
        <w:t>:  The calculations are based on the same assumptions as those in Table 3.  We also assume that the combined sample includes: 1) 990 nonwhites, 2) 1,386 workers with a high school diploma or less, and 3) 495 workers with prior self-employment experience.</w:t>
      </w:r>
    </w:p>
    <w:bookmarkEnd w:id="2"/>
    <w:p w:rsidR="003C161F" w:rsidRPr="00C61B70" w:rsidRDefault="003C161F" w:rsidP="003C161F">
      <w:pPr>
        <w:pStyle w:val="LastParagraph"/>
        <w:spacing w:after="200" w:line="360" w:lineRule="auto"/>
        <w:ind w:right="10"/>
      </w:pPr>
    </w:p>
    <w:p w:rsidR="00F631E3" w:rsidRPr="00B849FA" w:rsidRDefault="00DF7579" w:rsidP="00DF7579">
      <w:pPr>
        <w:pStyle w:val="LastParagraph"/>
        <w:spacing w:after="200" w:line="360" w:lineRule="auto"/>
        <w:ind w:right="10"/>
      </w:pPr>
      <w:r w:rsidRPr="00C61B70">
        <w:t xml:space="preserve">The MDE results show </w:t>
      </w:r>
      <w:proofErr w:type="gramStart"/>
      <w:r w:rsidRPr="00C61B70">
        <w:t>that,</w:t>
      </w:r>
      <w:proofErr w:type="gramEnd"/>
      <w:r w:rsidRPr="00C61B70">
        <w:t xml:space="preserve"> based on the projected sample sizes, this study may detect statistically significant impact estimates for key participant subgroups.  For example, as shown in Table 3, this study will detect whether the program’s impact on the likelihood of starting a new business was at least 7.9 percentage points for rural dislocated workers and at least 11.1</w:t>
      </w:r>
      <w:r>
        <w:t xml:space="preserve"> percentage </w:t>
      </w:r>
      <w:proofErr w:type="gramStart"/>
      <w:r>
        <w:t>point</w:t>
      </w:r>
      <w:proofErr w:type="gramEnd"/>
      <w:r>
        <w:t xml:space="preserve"> for older dislocated workers. Moreover, this study will detect whether the program led to an increase in total earnings by $2,519 for rural and by $3,529 for older workers, respectively.  </w:t>
      </w:r>
      <w:r w:rsidR="00F631E3" w:rsidRPr="00B849FA">
        <w:t xml:space="preserve">Previous analyses of self-employment programs suggest that program impacts may exceed these minimum detectable </w:t>
      </w:r>
      <w:r w:rsidR="00AB7927">
        <w:t>effects</w:t>
      </w:r>
      <w:r w:rsidR="00F631E3" w:rsidRPr="00B849FA">
        <w:t xml:space="preserve">.  For example, Benus et al (1995) found impacts of the Self-Employment Assistance program on the percentage self-employed of 22 percentage points in </w:t>
      </w:r>
      <w:smartTag w:uri="urn:schemas-microsoft-com:office:smarttags" w:element="State">
        <w:r w:rsidR="00F631E3" w:rsidRPr="00B849FA">
          <w:t>Massachusetts</w:t>
        </w:r>
      </w:smartTag>
      <w:r w:rsidR="00F631E3" w:rsidRPr="00B849FA">
        <w:t xml:space="preserve"> and 12 percentage points in </w:t>
      </w:r>
      <w:smartTag w:uri="urn:schemas-microsoft-com:office:smarttags" w:element="State">
        <w:r w:rsidR="00F631E3" w:rsidRPr="00B849FA">
          <w:t>Washington</w:t>
        </w:r>
      </w:smartTag>
      <w:r w:rsidR="00F631E3" w:rsidRPr="00B849FA">
        <w:t xml:space="preserve">, impacts on weeks employed of nine weeks in </w:t>
      </w:r>
      <w:smartTag w:uri="urn:schemas-microsoft-com:office:smarttags" w:element="State">
        <w:r w:rsidR="00F631E3" w:rsidRPr="00B849FA">
          <w:t>Massachusetts</w:t>
        </w:r>
      </w:smartTag>
      <w:r w:rsidR="00F631E3" w:rsidRPr="00B849FA">
        <w:t xml:space="preserve"> and five weeks in </w:t>
      </w:r>
      <w:smartTag w:uri="urn:schemas-microsoft-com:office:smarttags" w:element="State">
        <w:r w:rsidR="00F631E3" w:rsidRPr="00B849FA">
          <w:t>Washington</w:t>
        </w:r>
      </w:smartTag>
      <w:r w:rsidR="00F631E3" w:rsidRPr="00B849FA">
        <w:t xml:space="preserve">, and impacts on annual earnings of $6,000 in </w:t>
      </w:r>
      <w:smartTag w:uri="urn:schemas-microsoft-com:office:smarttags" w:element="State">
        <w:r w:rsidR="00F631E3" w:rsidRPr="00B849FA">
          <w:t>Massachusetts</w:t>
        </w:r>
      </w:smartTag>
      <w:r w:rsidR="00F631E3" w:rsidRPr="00B849FA">
        <w:t xml:space="preserve"> and $300 in </w:t>
      </w:r>
      <w:smartTag w:uri="urn:schemas-microsoft-com:office:smarttags" w:element="place">
        <w:smartTag w:uri="urn:schemas-microsoft-com:office:smarttags" w:element="State">
          <w:r w:rsidR="00F631E3" w:rsidRPr="00B849FA">
            <w:t>Washington</w:t>
          </w:r>
        </w:smartTag>
      </w:smartTag>
      <w:r w:rsidR="00F631E3" w:rsidRPr="00B849FA">
        <w:t xml:space="preserve">.   Except for the $300 earnings impact in </w:t>
      </w:r>
      <w:smartTag w:uri="urn:schemas-microsoft-com:office:smarttags" w:element="place">
        <w:smartTag w:uri="urn:schemas-microsoft-com:office:smarttags" w:element="State">
          <w:r w:rsidR="00F631E3" w:rsidRPr="00B849FA">
            <w:t>Washington</w:t>
          </w:r>
        </w:smartTag>
      </w:smartTag>
      <w:r w:rsidR="00F631E3" w:rsidRPr="00B849FA">
        <w:t xml:space="preserve">, we could detect these impacts even with smaller sample sizes.  </w:t>
      </w:r>
      <w:r>
        <w:t xml:space="preserve">Similarly, the MDEs in Table 4 indicate that this study is likely to detect significant impacts on key outcomes </w:t>
      </w:r>
      <w:r>
        <w:lastRenderedPageBreak/>
        <w:t>for various subgroups, including nonwhites, individuals with no more than a high school diploma, and those with prior self-employment experience.</w:t>
      </w:r>
    </w:p>
    <w:p w:rsidR="00F631E3" w:rsidRDefault="00F631E3" w:rsidP="003C161F">
      <w:pPr>
        <w:pStyle w:val="Heading4"/>
        <w:spacing w:after="200" w:line="360" w:lineRule="auto"/>
      </w:pPr>
      <w:r>
        <w:t>b.</w:t>
      </w:r>
      <w:r>
        <w:tab/>
        <w:t>Unusual Problems Requiring Specialized Sampling Procedures.</w:t>
      </w:r>
    </w:p>
    <w:p w:rsidR="00F631E3" w:rsidRDefault="00F631E3" w:rsidP="003C161F">
      <w:pPr>
        <w:pStyle w:val="LastParagraph"/>
        <w:spacing w:after="200" w:line="360" w:lineRule="auto"/>
        <w:ind w:right="10"/>
      </w:pPr>
      <w:r>
        <w:t xml:space="preserve">There are no unusual problems requiring specialized sampling procedures. </w:t>
      </w:r>
    </w:p>
    <w:p w:rsidR="00F631E3" w:rsidRDefault="00F631E3" w:rsidP="003C161F">
      <w:pPr>
        <w:pStyle w:val="Heading3"/>
        <w:spacing w:after="200" w:line="360" w:lineRule="auto"/>
        <w:ind w:left="0" w:right="10" w:firstLine="0"/>
      </w:pPr>
      <w:bookmarkStart w:id="4" w:name="_Toc21406408"/>
      <w:bookmarkStart w:id="5" w:name="_Toc295118815"/>
      <w:r>
        <w:t>3.</w:t>
      </w:r>
      <w:r>
        <w:tab/>
        <w:t>Methods to Maximize Response Rates and Data Reliability</w:t>
      </w:r>
      <w:bookmarkEnd w:id="4"/>
      <w:bookmarkEnd w:id="5"/>
    </w:p>
    <w:p w:rsidR="00F631E3" w:rsidRDefault="00F631E3" w:rsidP="003C161F">
      <w:pPr>
        <w:pStyle w:val="Heading4"/>
        <w:spacing w:after="200" w:line="360" w:lineRule="auto"/>
      </w:pPr>
      <w:bookmarkStart w:id="6" w:name="_Toc21406409"/>
      <w:r>
        <w:t>a.</w:t>
      </w:r>
      <w:r>
        <w:tab/>
        <w:t>Response Rates</w:t>
      </w:r>
      <w:bookmarkEnd w:id="6"/>
    </w:p>
    <w:p w:rsidR="00F631E3" w:rsidRDefault="00F631E3" w:rsidP="003C161F">
      <w:pPr>
        <w:spacing w:after="200" w:line="360" w:lineRule="auto"/>
        <w:ind w:right="10"/>
      </w:pPr>
      <w:r>
        <w:t>We expect to achieve an 80 percent response.  In the follow-up surveys for Project GATE, which consisted of three waves of surveys at 6, 18, and 60 months after random assignment, IMPAQ achieved an 82% completion rate in Wave 1, 88% in Wave 2, and 81% in Wave 3</w:t>
      </w:r>
      <w:r>
        <w:rPr>
          <w:rStyle w:val="FootnoteReference"/>
        </w:rPr>
        <w:footnoteReference w:id="3"/>
      </w:r>
      <w:r>
        <w:t xml:space="preserve">. Several strategies will be used to achieve this high response rate.  First, before the survey begins, an advance letter describing the purpose and sponsorship of the survey will be mailed to potential respondents (the letter is presented in </w:t>
      </w:r>
      <w:r w:rsidRPr="009A1A55">
        <w:t xml:space="preserve">Appendix </w:t>
      </w:r>
      <w:r>
        <w:t>C</w:t>
      </w:r>
      <w:r w:rsidRPr="009A1A55">
        <w:t>).</w:t>
      </w:r>
      <w:r>
        <w:t xml:space="preserve">  This advance letter will assure potential respondents that the caller is conducting a research survey and not soliciting donations or selling anything.  Letters will be sent approximately one week before the sample is released to the CATI call scheduler.  The letter will request up-to-date contact information and provide a toll-free call-in number.</w:t>
      </w:r>
    </w:p>
    <w:p w:rsidR="00F631E3" w:rsidRDefault="00F631E3" w:rsidP="003C161F">
      <w:pPr>
        <w:spacing w:after="200" w:line="360" w:lineRule="auto"/>
        <w:ind w:right="10"/>
      </w:pPr>
      <w:r>
        <w:t>Second, experienced interviewers will be recruited and extensively trained.  These interviewers will be thoroughly trained on data collection procedures, including methods for promoting cooperation among sample members.  Interviewers especially skilled at encouraging cooperation will be available to persuade reluctant respondents to participate and will be assigned to attempt conversions with respondents who initially refuse (except for hostile refusals).  The survey will be translated into Spanish and bilingual interviewers will be used to conduct surveys in Spanish.</w:t>
      </w:r>
    </w:p>
    <w:p w:rsidR="00F631E3" w:rsidRDefault="00F631E3" w:rsidP="003C161F">
      <w:pPr>
        <w:spacing w:after="200" w:line="360" w:lineRule="auto"/>
        <w:ind w:right="10"/>
      </w:pPr>
      <w:r>
        <w:t xml:space="preserve">Third, call scheduling in CATI will allow respondents to select the time most convenient for them to be surveyed.  </w:t>
      </w:r>
    </w:p>
    <w:p w:rsidR="00F631E3" w:rsidRDefault="00F631E3" w:rsidP="003C161F">
      <w:pPr>
        <w:spacing w:after="200" w:line="360" w:lineRule="auto"/>
        <w:ind w:right="10"/>
      </w:pPr>
      <w:r>
        <w:lastRenderedPageBreak/>
        <w:t xml:space="preserve">Fourth, detailed contact information provided by sample members will be used to help locate sample members for the follow-up surveys.  This information will include not only an address and telephone number but also an e-mail address and cell phone number, if available, and the names and addresses of three relatives or other individuals who will know how to contact them.  If these sources do not provide sufficient information to contact the sample member, extensive use will be made of various on-line databases to try to locate sample members who have moved. </w:t>
      </w:r>
    </w:p>
    <w:p w:rsidR="00F631E3" w:rsidRDefault="00F631E3" w:rsidP="003C161F">
      <w:pPr>
        <w:spacing w:after="200" w:line="360" w:lineRule="auto"/>
      </w:pPr>
      <w:r>
        <w:t xml:space="preserve">Finally, a </w:t>
      </w:r>
      <w:r w:rsidRPr="003A0CBF">
        <w:t>$15</w:t>
      </w:r>
      <w:r>
        <w:t xml:space="preserve"> incentive will be used to encourage participation.  Past research (Singer 2002, Singer et al. 1999a and 1999b) indicate that incentive payments help boost survey response rates.  They are particularly valuable in panel studies like this one where respondents are contacted and surveyed.</w:t>
      </w:r>
    </w:p>
    <w:p w:rsidR="00F631E3" w:rsidRDefault="00F631E3" w:rsidP="003C161F">
      <w:pPr>
        <w:spacing w:after="200" w:line="360" w:lineRule="auto"/>
      </w:pPr>
      <w:r>
        <w:t xml:space="preserve">When the survey is completed we will conduct an analysis of non-response to assess whether the survey sample is representative of the initial population of GATE II applicants.  In particular we will examine whether any differences in response rates between program and control group members may affect the findings. Quarterly wage record data on post random assignment earnings, not subject to non-response, will be used to examine differences in earnings.  Sample weights will be assigned to adjust for differences between responders and non-respondents in important background characteristics.  </w:t>
      </w:r>
    </w:p>
    <w:p w:rsidR="00F631E3" w:rsidRDefault="00F631E3" w:rsidP="003C161F">
      <w:pPr>
        <w:spacing w:after="200" w:line="360" w:lineRule="auto"/>
      </w:pPr>
      <w:r>
        <w:t>Two kinds of bias arise from missing data in the surveys.  “Non-contact bias” results from the failure to locate the respondent despite repeated telephone calls and other locating efforts.  This may be for various reasons such as the respondent having died, moved, or become incarcerated.  “Non-response bias” results from the respondent’s failure to answer a particular question, either because the respondent refused to answer, or the respondent did not know the answer.</w:t>
      </w:r>
    </w:p>
    <w:p w:rsidR="00F631E3" w:rsidRPr="00B849FA" w:rsidRDefault="00F631E3" w:rsidP="003C161F">
      <w:pPr>
        <w:spacing w:after="200" w:line="360" w:lineRule="auto"/>
      </w:pPr>
      <w:r w:rsidRPr="00B849FA">
        <w:t xml:space="preserve">Adjusting for non-contact bias involves </w:t>
      </w:r>
      <w:r w:rsidRPr="00C61B70">
        <w:t xml:space="preserve">estimating a logistic regression model of the probability that a sample member responded to the survey </w:t>
      </w:r>
      <w:r w:rsidR="00B87BFA" w:rsidRPr="00C61B70">
        <w:t>and us</w:t>
      </w:r>
      <w:r w:rsidR="0094578E" w:rsidRPr="00C61B70">
        <w:t>ing</w:t>
      </w:r>
      <w:r w:rsidR="00B87BFA" w:rsidRPr="00C61B70">
        <w:t xml:space="preserve"> the </w:t>
      </w:r>
      <w:r w:rsidR="004B2E2B" w:rsidRPr="00C61B70">
        <w:t>predicted</w:t>
      </w:r>
      <w:r w:rsidR="00B87BFA" w:rsidRPr="00C61B70">
        <w:t xml:space="preserve"> probability </w:t>
      </w:r>
      <w:r w:rsidR="004B2E2B" w:rsidRPr="00C61B70">
        <w:t xml:space="preserve">of survey response </w:t>
      </w:r>
      <w:r w:rsidR="00B87BFA" w:rsidRPr="00C61B70">
        <w:t>to construct appropriate weights for each respondent</w:t>
      </w:r>
      <w:r w:rsidRPr="00C61B70">
        <w:t>. The initial logistic regression model will be estimated using all available applicant</w:t>
      </w:r>
      <w:r w:rsidR="00C61B70">
        <w:t>s</w:t>
      </w:r>
      <w:r w:rsidRPr="00B849FA">
        <w:t xml:space="preserve"> socioeconomic and prior employment characteristics.  The model can be expressed by the following equation:</w:t>
      </w:r>
    </w:p>
    <w:p w:rsidR="00F631E3" w:rsidRPr="003D0357" w:rsidRDefault="00EF714E" w:rsidP="003C161F">
      <w:pPr>
        <w:spacing w:after="200" w:line="360" w:lineRule="auto"/>
      </w:pPr>
      <m:oMathPara>
        <m:oMath>
          <m:r>
            <w:rPr>
              <w:rFonts w:ascii="Cambria Math"/>
            </w:rPr>
            <w:lastRenderedPageBreak/>
            <m:t>P(S=1</m:t>
          </m:r>
          <m:d>
            <m:dPr>
              <m:begChr m:val="|"/>
              <m:ctrlPr>
                <w:rPr>
                  <w:rFonts w:ascii="Cambria Math" w:hAnsi="Cambria Math"/>
                  <w:i/>
                </w:rPr>
              </m:ctrlPr>
            </m:dPr>
            <m:e>
              <m:r>
                <w:rPr>
                  <w:rFonts w:ascii="Cambria Math" w:hAnsi="Cambria Math"/>
                </w:rPr>
                <m:t>X</m:t>
              </m:r>
            </m:e>
          </m:d>
          <m:r>
            <w:rPr>
              <w:rFonts w:ascii="Cambria Math"/>
            </w:rPr>
            <m:t>=f</m:t>
          </m:r>
          <m:d>
            <m:dPr>
              <m:ctrlPr>
                <w:rPr>
                  <w:rFonts w:ascii="Cambria Math" w:hAnsi="Cambria Math"/>
                  <w:i/>
                </w:rPr>
              </m:ctrlPr>
            </m:dPr>
            <m:e>
              <m:r>
                <w:rPr>
                  <w:rFonts w:ascii="Cambria Math" w:hAnsi="Cambria Math"/>
                </w:rPr>
                <m:t>X</m:t>
              </m:r>
            </m:e>
          </m:d>
          <m:r>
            <w:rPr>
              <w:rFonts w:ascii="Cambria Math"/>
            </w:rPr>
            <m:t>=</m:t>
          </m:r>
          <m:f>
            <m:fPr>
              <m:ctrlPr>
                <w:rPr>
                  <w:rFonts w:ascii="Cambria Math" w:hAnsi="Cambria Math"/>
                  <w:i/>
                </w:rPr>
              </m:ctrlPr>
            </m:fPr>
            <m:num>
              <m:r>
                <m:rPr>
                  <m:sty m:val="p"/>
                </m:rPr>
                <w:rPr>
                  <w:rFonts w:ascii="Cambria Math"/>
                </w:rPr>
                <m:t>exp</m:t>
              </m:r>
              <m:r>
                <m:rPr>
                  <m:sty m:val="p"/>
                </m:rPr>
                <w:rPr>
                  <w:rFonts w:ascii="Monaco" w:hAnsi="Monaco" w:cs="Monaco"/>
                </w:rPr>
                <m:t>⁡</m:t>
              </m:r>
              <m:d>
                <m:dPr>
                  <m:ctrlPr>
                    <w:rPr>
                      <w:rFonts w:ascii="Cambria Math" w:hAnsi="Cambria Math"/>
                      <w:i/>
                    </w:rPr>
                  </m:ctrlPr>
                </m:dPr>
                <m:e>
                  <m:r>
                    <w:rPr>
                      <w:rFonts w:ascii="Cambria Math" w:hAnsi="Cambria Math"/>
                    </w:rPr>
                    <m:t>X</m:t>
                  </m:r>
                  <m:r>
                    <w:rPr>
                      <w:rFonts w:ascii="Cambria Math"/>
                    </w:rPr>
                    <m:t>∙</m:t>
                  </m:r>
                  <m:r>
                    <w:rPr>
                      <w:rFonts w:ascii="Cambria Math" w:hAnsi="Cambria Math"/>
                    </w:rPr>
                    <m:t>b</m:t>
                  </m:r>
                </m:e>
              </m:d>
            </m:num>
            <m:den>
              <m:r>
                <w:rPr>
                  <w:rFonts w:ascii="Cambria Math"/>
                </w:rPr>
                <m:t>1+</m:t>
              </m:r>
              <m:r>
                <m:rPr>
                  <m:sty m:val="p"/>
                </m:rPr>
                <w:rPr>
                  <w:rFonts w:ascii="Cambria Math"/>
                </w:rPr>
                <m:t>exp</m:t>
              </m:r>
              <m:r>
                <m:rPr>
                  <m:sty m:val="p"/>
                </m:rPr>
                <w:rPr>
                  <w:rFonts w:ascii="Monaco" w:hAnsi="Monaco" w:cs="Monaco"/>
                </w:rPr>
                <m:t>⁡</m:t>
              </m:r>
              <m:d>
                <m:dPr>
                  <m:ctrlPr>
                    <w:rPr>
                      <w:rFonts w:ascii="Cambria Math" w:hAnsi="Cambria Math"/>
                      <w:i/>
                    </w:rPr>
                  </m:ctrlPr>
                </m:dPr>
                <m:e>
                  <m:r>
                    <w:rPr>
                      <w:rFonts w:ascii="Cambria Math" w:hAnsi="Cambria Math"/>
                    </w:rPr>
                    <m:t>X</m:t>
                  </m:r>
                  <m:r>
                    <w:rPr>
                      <w:rFonts w:ascii="Cambria Math"/>
                    </w:rPr>
                    <m:t>∙</m:t>
                  </m:r>
                  <m:r>
                    <w:rPr>
                      <w:rFonts w:ascii="Cambria Math" w:hAnsi="Cambria Math"/>
                    </w:rPr>
                    <m:t>b</m:t>
                  </m:r>
                </m:e>
              </m:d>
            </m:den>
          </m:f>
        </m:oMath>
      </m:oMathPara>
    </w:p>
    <w:p w:rsidR="00F631E3" w:rsidRPr="003D0357" w:rsidRDefault="00F631E3" w:rsidP="003C161F">
      <w:pPr>
        <w:spacing w:after="200" w:line="360" w:lineRule="auto"/>
        <w:ind w:right="10" w:firstLine="360"/>
      </w:pPr>
      <w:r w:rsidRPr="003D0357">
        <w:t>The dependent variable in this model (</w:t>
      </w:r>
      <w:r w:rsidRPr="003D0357">
        <w:rPr>
          <w:i/>
        </w:rPr>
        <w:t>S</w:t>
      </w:r>
      <w:r w:rsidRPr="003D0357">
        <w:t>) is the likelihood that the participant responds to the survey.  S equals 1 if the participant responds to the survey and 0 otherwise.  The initial model includes all available participant characteristics (</w:t>
      </w:r>
      <w:r w:rsidRPr="003D0357">
        <w:rPr>
          <w:i/>
        </w:rPr>
        <w:t>X</w:t>
      </w:r>
      <w:r w:rsidRPr="003D0357">
        <w:t xml:space="preserve">) </w:t>
      </w:r>
      <w:r w:rsidR="001D6B7C" w:rsidRPr="003D0357">
        <w:t>collected by states through the</w:t>
      </w:r>
      <w:r w:rsidRPr="003D0357">
        <w:t xml:space="preserve"> </w:t>
      </w:r>
      <w:r w:rsidR="001D6B7C" w:rsidRPr="003D0357">
        <w:t xml:space="preserve">program application form, including: gender, race, </w:t>
      </w:r>
      <w:proofErr w:type="gramStart"/>
      <w:r w:rsidR="001D6B7C" w:rsidRPr="003D0357">
        <w:t>education</w:t>
      </w:r>
      <w:proofErr w:type="gramEnd"/>
      <w:r w:rsidR="001D6B7C" w:rsidRPr="003D0357">
        <w:t>, tenure with prior employer, prior wages, industry, and occupation</w:t>
      </w:r>
      <w:r w:rsidRPr="003D0357">
        <w:t xml:space="preserve">.  </w:t>
      </w:r>
      <w:r w:rsidR="001D6B7C" w:rsidRPr="003D0357">
        <w:t xml:space="preserve">Inclusion of all available baseline characteristics in the model is important for identifying which variables are strong predictors of non-response.  </w:t>
      </w:r>
      <w:r w:rsidRPr="003D0357">
        <w:t xml:space="preserve">To identify the </w:t>
      </w:r>
      <w:r w:rsidR="001D6B7C" w:rsidRPr="003D0357">
        <w:t xml:space="preserve">final </w:t>
      </w:r>
      <w:r w:rsidRPr="003D0357">
        <w:t>set of covariates for the non-response model</w:t>
      </w:r>
      <w:r w:rsidR="001D6B7C" w:rsidRPr="003D0357">
        <w:t xml:space="preserve"> (i.e., the variables that are strong predictors of non-response)</w:t>
      </w:r>
      <w:proofErr w:type="gramStart"/>
      <w:r w:rsidRPr="003D0357">
        <w:t>,</w:t>
      </w:r>
      <w:proofErr w:type="gramEnd"/>
      <w:r w:rsidRPr="003D0357">
        <w:t xml:space="preserve"> we will use the following measures of predictive ability and goodness of fit:</w:t>
      </w:r>
    </w:p>
    <w:p w:rsidR="00F631E3" w:rsidRPr="003D0357" w:rsidRDefault="00F631E3" w:rsidP="003C161F">
      <w:pPr>
        <w:pStyle w:val="ListParagraph"/>
        <w:numPr>
          <w:ilvl w:val="0"/>
          <w:numId w:val="2"/>
        </w:numPr>
        <w:spacing w:after="200" w:line="360" w:lineRule="auto"/>
        <w:ind w:right="10"/>
      </w:pPr>
      <w:r w:rsidRPr="003D0357">
        <w:rPr>
          <w:b/>
          <w:i/>
        </w:rPr>
        <w:t>McFadden’s Pseudo R-squared statistic</w:t>
      </w:r>
      <w:r w:rsidRPr="003D0357">
        <w:t xml:space="preserve"> – This measure captures the percent of the variation in the likelihood of responding to the survey that is explained by participant characteristics.  This statistic is constructed as follows:</w:t>
      </w:r>
      <w:r w:rsidRPr="003D0357">
        <w:rPr>
          <w:rStyle w:val="FootnoteReference"/>
        </w:rPr>
        <w:footnoteReference w:id="4"/>
      </w:r>
    </w:p>
    <w:p w:rsidR="00F631E3" w:rsidRPr="003D0357" w:rsidRDefault="00D63E45" w:rsidP="003C161F">
      <w:pPr>
        <w:pStyle w:val="ListParagraph"/>
        <w:spacing w:after="200" w:line="360" w:lineRule="auto"/>
        <w:ind w:firstLine="0"/>
        <w:rPr>
          <w:rFonts w:cs="Calibri"/>
        </w:rPr>
      </w:pPr>
      <m:oMathPara>
        <m:oMath>
          <m:sSup>
            <m:sSupPr>
              <m:ctrlPr>
                <w:rPr>
                  <w:rFonts w:ascii="Cambria Math" w:hAnsi="Cambria Math" w:cs="Calibri"/>
                  <w:i/>
                </w:rPr>
              </m:ctrlPr>
            </m:sSupPr>
            <m:e>
              <m:r>
                <w:rPr>
                  <w:rFonts w:ascii="Cambria Math" w:hAnsi="Cambria Math" w:cs="Calibri"/>
                </w:rPr>
                <m:t>R</m:t>
              </m:r>
            </m:e>
            <m:sup>
              <m:r>
                <w:rPr>
                  <w:rFonts w:ascii="Cambria Math" w:hAnsi="Cambria Math" w:cs="Calibri"/>
                </w:rPr>
                <m:t>2</m:t>
              </m:r>
            </m:sup>
          </m:sSup>
          <m:r>
            <w:rPr>
              <w:rFonts w:ascii="Cambria Math" w:hAnsi="Cambria Math" w:cs="Calibri"/>
            </w:rPr>
            <m:t>=</m:t>
          </m:r>
          <m:r>
            <w:rPr>
              <w:rFonts w:ascii="Cambria Math" w:cs="Calibri"/>
            </w:rPr>
            <m:t>1</m:t>
          </m:r>
          <m:r>
            <w:rPr>
              <w:rFonts w:ascii="Cambria Math" w:cs="Calibri"/>
            </w:rPr>
            <m:t>-</m:t>
          </m:r>
          <m:f>
            <m:fPr>
              <m:ctrlPr>
                <w:rPr>
                  <w:rFonts w:ascii="Cambria Math" w:hAnsi="Cambria Math" w:cs="Calibri"/>
                  <w:i/>
                </w:rPr>
              </m:ctrlPr>
            </m:fPr>
            <m:num>
              <m:r>
                <m:rPr>
                  <m:sty m:val="p"/>
                </m:rPr>
                <w:rPr>
                  <w:rFonts w:ascii="Cambria Math" w:hAnsi="Cambria Math" w:cs="Calibri"/>
                </w:rPr>
                <m:t>ln</m:t>
              </m:r>
              <m:r>
                <m:rPr>
                  <m:sty m:val="p"/>
                </m:rPr>
                <w:rPr>
                  <w:rFonts w:ascii="Monaco" w:hAnsi="Monaco" w:cs="Monaco"/>
                </w:rPr>
                <m:t>⁡</m:t>
              </m:r>
              <m:r>
                <w:rPr>
                  <w:rFonts w:ascii="Cambria Math" w:hAnsi="Cambria Math" w:cs="Calibri"/>
                </w:rPr>
                <m:t>(</m:t>
              </m:r>
              <m:acc>
                <m:accPr>
                  <m:ctrlPr>
                    <w:rPr>
                      <w:rFonts w:ascii="Cambria Math" w:hAnsi="Cambria Math" w:cs="Calibri"/>
                      <w:i/>
                    </w:rPr>
                  </m:ctrlPr>
                </m:accPr>
                <m:e>
                  <m:r>
                    <w:rPr>
                      <w:rFonts w:ascii="Cambria Math" w:hAnsi="Cambria Math" w:cs="Calibri"/>
                    </w:rPr>
                    <m:t>L</m:t>
                  </m:r>
                </m:e>
              </m:acc>
              <m:d>
                <m:dPr>
                  <m:ctrlPr>
                    <w:rPr>
                      <w:rFonts w:ascii="Cambria Math" w:hAnsi="Cambria Math" w:cs="Calibri"/>
                      <w:i/>
                    </w:rPr>
                  </m:ctrlPr>
                </m:dPr>
                <m:e>
                  <m:sSub>
                    <m:sSubPr>
                      <m:ctrlPr>
                        <w:rPr>
                          <w:rFonts w:ascii="Cambria Math" w:hAnsi="Cambria Math" w:cs="Calibri"/>
                          <w:i/>
                        </w:rPr>
                      </m:ctrlPr>
                    </m:sSubPr>
                    <m:e>
                      <m:r>
                        <w:rPr>
                          <w:rFonts w:ascii="Cambria Math" w:hAnsi="Cambria Math" w:cs="Calibri"/>
                        </w:rPr>
                        <m:t>M</m:t>
                      </m:r>
                    </m:e>
                    <m:sub>
                      <m:r>
                        <w:rPr>
                          <w:rFonts w:ascii="Cambria Math" w:hAnsi="Cambria Math" w:cs="Calibri"/>
                        </w:rPr>
                        <m:t>Full</m:t>
                      </m:r>
                    </m:sub>
                  </m:sSub>
                </m:e>
              </m:d>
              <m:r>
                <w:rPr>
                  <w:rFonts w:ascii="Cambria Math" w:hAnsi="Cambria Math" w:cs="Calibri"/>
                </w:rPr>
                <m:t>)</m:t>
              </m:r>
            </m:num>
            <m:den>
              <m:r>
                <m:rPr>
                  <m:sty m:val="p"/>
                </m:rPr>
                <w:rPr>
                  <w:rFonts w:ascii="Cambria Math" w:hAnsi="Cambria Math" w:cs="Calibri"/>
                </w:rPr>
                <m:t>ln</m:t>
              </m:r>
              <m:r>
                <m:rPr>
                  <m:sty m:val="p"/>
                </m:rPr>
                <w:rPr>
                  <w:rFonts w:ascii="Monaco" w:hAnsi="Monaco" w:cs="Monaco"/>
                </w:rPr>
                <m:t>⁡</m:t>
              </m:r>
              <m:r>
                <w:rPr>
                  <w:rFonts w:ascii="Cambria Math" w:hAnsi="Cambria Math" w:cs="Calibri"/>
                </w:rPr>
                <m:t>(</m:t>
              </m:r>
              <m:acc>
                <m:accPr>
                  <m:ctrlPr>
                    <w:rPr>
                      <w:rFonts w:ascii="Cambria Math" w:hAnsi="Cambria Math" w:cs="Calibri"/>
                      <w:i/>
                    </w:rPr>
                  </m:ctrlPr>
                </m:accPr>
                <m:e>
                  <m:r>
                    <w:rPr>
                      <w:rFonts w:ascii="Cambria Math" w:hAnsi="Cambria Math" w:cs="Calibri"/>
                    </w:rPr>
                    <m:t>L</m:t>
                  </m:r>
                </m:e>
              </m:acc>
              <m:d>
                <m:dPr>
                  <m:ctrlPr>
                    <w:rPr>
                      <w:rFonts w:ascii="Cambria Math" w:hAnsi="Cambria Math" w:cs="Calibri"/>
                      <w:i/>
                    </w:rPr>
                  </m:ctrlPr>
                </m:dPr>
                <m:e>
                  <m:sSub>
                    <m:sSubPr>
                      <m:ctrlPr>
                        <w:rPr>
                          <w:rFonts w:ascii="Cambria Math" w:hAnsi="Cambria Math" w:cs="Calibri"/>
                          <w:i/>
                        </w:rPr>
                      </m:ctrlPr>
                    </m:sSubPr>
                    <m:e>
                      <m:r>
                        <w:rPr>
                          <w:rFonts w:ascii="Cambria Math" w:hAnsi="Cambria Math" w:cs="Calibri"/>
                        </w:rPr>
                        <m:t>M</m:t>
                      </m:r>
                    </m:e>
                    <m:sub>
                      <m:r>
                        <w:rPr>
                          <w:rFonts w:ascii="Cambria Math" w:hAnsi="Cambria Math" w:cs="Calibri"/>
                        </w:rPr>
                        <m:t>Intercept</m:t>
                      </m:r>
                    </m:sub>
                  </m:sSub>
                </m:e>
              </m:d>
              <m:r>
                <w:rPr>
                  <w:rFonts w:ascii="Cambria Math" w:hAnsi="Cambria Math" w:cs="Calibri"/>
                </w:rPr>
                <m:t>)</m:t>
              </m:r>
            </m:den>
          </m:f>
        </m:oMath>
      </m:oMathPara>
    </w:p>
    <w:p w:rsidR="00F631E3" w:rsidRPr="003D0357" w:rsidRDefault="00F631E3" w:rsidP="003C161F">
      <w:pPr>
        <w:pStyle w:val="ListParagraph"/>
        <w:numPr>
          <w:ilvl w:val="0"/>
          <w:numId w:val="2"/>
        </w:numPr>
        <w:spacing w:after="200" w:line="360" w:lineRule="auto"/>
        <w:ind w:right="10"/>
      </w:pPr>
      <w:proofErr w:type="spellStart"/>
      <w:r w:rsidRPr="003D0357">
        <w:rPr>
          <w:b/>
          <w:i/>
        </w:rPr>
        <w:t>Akaike’s</w:t>
      </w:r>
      <w:proofErr w:type="spellEnd"/>
      <w:r w:rsidRPr="003D0357">
        <w:rPr>
          <w:b/>
          <w:i/>
        </w:rPr>
        <w:t xml:space="preserve"> Information Criterion (</w:t>
      </w:r>
      <w:proofErr w:type="spellStart"/>
      <w:r w:rsidRPr="003D0357">
        <w:rPr>
          <w:b/>
          <w:i/>
        </w:rPr>
        <w:t>Akaike</w:t>
      </w:r>
      <w:proofErr w:type="spellEnd"/>
      <w:r w:rsidRPr="003D0357">
        <w:rPr>
          <w:b/>
          <w:i/>
        </w:rPr>
        <w:t xml:space="preserve"> 1974)</w:t>
      </w:r>
      <w:r w:rsidRPr="003D0357">
        <w:t xml:space="preserve"> – This statistic measures the efficiency of the model in predicting the outcome based on the number of covariates.  This statistic is constructed as follows:</w:t>
      </w:r>
      <w:r w:rsidRPr="003D0357">
        <w:rPr>
          <w:rStyle w:val="FootnoteReference"/>
        </w:rPr>
        <w:footnoteReference w:id="5"/>
      </w:r>
    </w:p>
    <w:p w:rsidR="00F631E3" w:rsidRPr="003D0357" w:rsidRDefault="00EF714E" w:rsidP="003C161F">
      <w:pPr>
        <w:pStyle w:val="ListParagraph"/>
        <w:spacing w:after="200" w:line="360" w:lineRule="auto"/>
        <w:ind w:firstLine="0"/>
        <w:rPr>
          <w:rFonts w:cs="Calibri"/>
        </w:rPr>
      </w:pPr>
      <m:oMathPara>
        <m:oMath>
          <m:r>
            <w:rPr>
              <w:rFonts w:ascii="Cambria Math" w:hAnsi="Cambria Math" w:cs="Calibri"/>
            </w:rPr>
            <m:t>AIC=2k-2</m:t>
          </m:r>
          <m:r>
            <m:rPr>
              <m:sty m:val="p"/>
            </m:rPr>
            <w:rPr>
              <w:rFonts w:ascii="Cambria Math" w:hAnsi="Cambria Math" w:cs="Calibri"/>
            </w:rPr>
            <m:t>ln</m:t>
          </m:r>
          <m:r>
            <m:rPr>
              <m:sty m:val="p"/>
            </m:rPr>
            <w:rPr>
              <w:rFonts w:ascii="Monaco" w:hAnsi="Monaco" w:cs="Monaco"/>
            </w:rPr>
            <m:t>⁡</m:t>
          </m:r>
          <m:r>
            <w:rPr>
              <w:rFonts w:ascii="Cambria Math" w:hAnsi="Cambria Math" w:cs="Calibri"/>
            </w:rPr>
            <m:t>(</m:t>
          </m:r>
          <m:sSub>
            <m:sSubPr>
              <m:ctrlPr>
                <w:rPr>
                  <w:rFonts w:ascii="Cambria Math" w:hAnsi="Cambria Math" w:cs="Calibri"/>
                  <w:i/>
                </w:rPr>
              </m:ctrlPr>
            </m:sSubPr>
            <m:e>
              <m:acc>
                <m:accPr>
                  <m:ctrlPr>
                    <w:rPr>
                      <w:rFonts w:ascii="Cambria Math" w:hAnsi="Cambria Math" w:cs="Calibri"/>
                      <w:i/>
                    </w:rPr>
                  </m:ctrlPr>
                </m:accPr>
                <m:e>
                  <m:r>
                    <w:rPr>
                      <w:rFonts w:ascii="Cambria Math" w:hAnsi="Cambria Math" w:cs="Calibri"/>
                    </w:rPr>
                    <m:t>L</m:t>
                  </m:r>
                </m:e>
              </m:acc>
            </m:e>
            <m:sub>
              <m:r>
                <w:rPr>
                  <w:rFonts w:ascii="Cambria Math" w:hAnsi="Cambria Math" w:cs="Calibri"/>
                </w:rPr>
                <m:t>k</m:t>
              </m:r>
            </m:sub>
          </m:sSub>
          <m:r>
            <w:rPr>
              <w:rFonts w:ascii="Cambria Math" w:hAnsi="Cambria Math" w:cs="Calibri"/>
            </w:rPr>
            <m:t>)</m:t>
          </m:r>
        </m:oMath>
      </m:oMathPara>
    </w:p>
    <w:p w:rsidR="00F631E3" w:rsidRPr="003D0357" w:rsidRDefault="00F631E3" w:rsidP="003C161F">
      <w:pPr>
        <w:spacing w:after="200" w:line="360" w:lineRule="auto"/>
        <w:ind w:right="10" w:firstLine="360"/>
      </w:pPr>
      <w:r w:rsidRPr="003D0357">
        <w:t>These statistics will be used to assess which set of observable characteristics are strong predictors of survey non-response.  Once we identify this set of characteristics, we will estimate the final version of the model using these characteristics.  Once this model is estimated, we will use the results to calculate the predicted likelihood of survey response based on each participant’s characteristics, as follows:</w:t>
      </w:r>
    </w:p>
    <w:p w:rsidR="00F631E3" w:rsidRPr="003D0357" w:rsidRDefault="00D63E45" w:rsidP="003C161F">
      <w:pPr>
        <w:spacing w:after="200" w:line="360" w:lineRule="auto"/>
        <w:rPr>
          <w:rFonts w:cs="Calibri"/>
        </w:rPr>
      </w:pPr>
      <m:oMathPara>
        <m:oMath>
          <m:sSub>
            <m:sSubPr>
              <m:ctrlPr>
                <w:rPr>
                  <w:rFonts w:ascii="Cambria Math" w:hAnsi="Cambria Math" w:cs="Calibri"/>
                  <w:i/>
                </w:rPr>
              </m:ctrlPr>
            </m:sSubPr>
            <m:e>
              <m:r>
                <w:rPr>
                  <w:rFonts w:ascii="Cambria Math" w:hAnsi="Cambria Math" w:cs="Calibri"/>
                </w:rPr>
                <m:t>w</m:t>
              </m:r>
            </m:e>
            <m:sub>
              <m:r>
                <w:rPr>
                  <w:rFonts w:ascii="Cambria Math" w:hAnsi="Cambria Math" w:cs="Calibri"/>
                </w:rPr>
                <m:t>i</m:t>
              </m:r>
            </m:sub>
          </m:sSub>
          <m:r>
            <w:rPr>
              <w:rFonts w:ascii="Cambria Math" w:cs="Calibri"/>
            </w:rPr>
            <m:t>=</m:t>
          </m:r>
          <m:f>
            <m:fPr>
              <m:ctrlPr>
                <w:rPr>
                  <w:rFonts w:ascii="Cambria Math" w:hAnsi="Cambria Math" w:cs="Calibri"/>
                  <w:i/>
                </w:rPr>
              </m:ctrlPr>
            </m:fPr>
            <m:num>
              <m:r>
                <w:rPr>
                  <w:rFonts w:ascii="Cambria Math" w:cs="Calibri"/>
                </w:rPr>
                <m:t>1</m:t>
              </m:r>
            </m:num>
            <m:den>
              <m:r>
                <w:rPr>
                  <w:rFonts w:ascii="Cambria Math" w:cs="Calibri"/>
                </w:rPr>
                <m:t>f</m:t>
              </m:r>
              <m:d>
                <m:dPr>
                  <m:ctrlPr>
                    <w:rPr>
                      <w:rFonts w:ascii="Cambria Math" w:hAnsi="Cambria Math" w:cs="Calibri"/>
                      <w:i/>
                    </w:rPr>
                  </m:ctrlPr>
                </m:dPr>
                <m:e>
                  <m:r>
                    <w:rPr>
                      <w:rFonts w:ascii="Cambria Math" w:hAnsi="Cambria Math" w:cs="Calibri"/>
                    </w:rPr>
                    <m:t>X∙</m:t>
                  </m:r>
                  <m:acc>
                    <m:accPr>
                      <m:ctrlPr>
                        <w:rPr>
                          <w:rFonts w:ascii="Cambria Math" w:hAnsi="Cambria Math" w:cs="Calibri"/>
                          <w:i/>
                        </w:rPr>
                      </m:ctrlPr>
                    </m:accPr>
                    <m:e>
                      <m:r>
                        <w:rPr>
                          <w:rFonts w:ascii="Cambria Math" w:hAnsi="Cambria Math" w:cs="Calibri"/>
                        </w:rPr>
                        <m:t>b</m:t>
                      </m:r>
                    </m:e>
                  </m:acc>
                </m:e>
              </m:d>
            </m:den>
          </m:f>
        </m:oMath>
      </m:oMathPara>
    </w:p>
    <w:p w:rsidR="00F631E3" w:rsidRPr="00B849FA" w:rsidRDefault="00F631E3" w:rsidP="003C161F">
      <w:pPr>
        <w:spacing w:after="200" w:line="360" w:lineRule="auto"/>
      </w:pPr>
      <w:r w:rsidRPr="00B849FA">
        <w:lastRenderedPageBreak/>
        <w:t>In words, the survey non-response weight for each participant is the inverse of the predicted probability of response</w:t>
      </w:r>
      <w:proofErr w:type="gramStart"/>
      <w:r w:rsidRPr="00B849FA">
        <w:t xml:space="preserve">, </w:t>
      </w:r>
      <m:oMath>
        <w:proofErr w:type="gramEnd"/>
        <m:r>
          <w:rPr>
            <w:rFonts w:ascii="Cambria Math" w:cs="Calibri"/>
            <w:color w:val="660066"/>
          </w:rPr>
          <m:t>f</m:t>
        </m:r>
        <m:d>
          <m:dPr>
            <m:ctrlPr>
              <w:rPr>
                <w:rFonts w:ascii="Cambria Math" w:hAnsi="Cambria Math" w:cs="Calibri"/>
                <w:i/>
                <w:color w:val="660066"/>
              </w:rPr>
            </m:ctrlPr>
          </m:dPr>
          <m:e>
            <m:r>
              <w:rPr>
                <w:rFonts w:ascii="Cambria Math" w:hAnsi="Cambria Math" w:cs="Calibri"/>
                <w:color w:val="660066"/>
              </w:rPr>
              <m:t>X∙</m:t>
            </m:r>
            <m:acc>
              <m:accPr>
                <m:ctrlPr>
                  <w:rPr>
                    <w:rFonts w:ascii="Cambria Math" w:hAnsi="Cambria Math" w:cs="Calibri"/>
                    <w:i/>
                    <w:color w:val="660066"/>
                  </w:rPr>
                </m:ctrlPr>
              </m:accPr>
              <m:e>
                <m:r>
                  <w:rPr>
                    <w:rFonts w:ascii="Cambria Math" w:hAnsi="Cambria Math" w:cs="Calibri"/>
                    <w:color w:val="660066"/>
                  </w:rPr>
                  <m:t>b</m:t>
                </m:r>
              </m:e>
            </m:acc>
          </m:e>
        </m:d>
      </m:oMath>
      <w:r w:rsidRPr="00B849FA">
        <w:t xml:space="preserve">.  These weights will be used in the analyses to make the sample representative of all program applicants.  This method is a widely accepted practice in program evaluations for controlling for survey non-response and for making estimation results representative of all program applicants (McConnell et al., 2006; </w:t>
      </w:r>
      <w:proofErr w:type="spellStart"/>
      <w:r w:rsidRPr="00B849FA">
        <w:t>Trenholm</w:t>
      </w:r>
      <w:proofErr w:type="spellEnd"/>
      <w:r w:rsidRPr="00B849FA">
        <w:t xml:space="preserve"> et al., 2007; Benus et al., 2009). </w:t>
      </w:r>
    </w:p>
    <w:p w:rsidR="00F631E3" w:rsidRDefault="00F631E3" w:rsidP="003C161F">
      <w:pPr>
        <w:pStyle w:val="Heading4"/>
        <w:spacing w:after="200" w:line="360" w:lineRule="auto"/>
      </w:pPr>
      <w:bookmarkStart w:id="7" w:name="_Toc21406410"/>
      <w:r>
        <w:t>b.</w:t>
      </w:r>
      <w:r>
        <w:tab/>
        <w:t>Reliability of Data Collection</w:t>
      </w:r>
      <w:bookmarkEnd w:id="7"/>
    </w:p>
    <w:p w:rsidR="00F631E3" w:rsidRDefault="00F631E3" w:rsidP="003C161F">
      <w:pPr>
        <w:spacing w:after="200" w:line="360" w:lineRule="auto"/>
      </w:pPr>
      <w:r>
        <w:t xml:space="preserve">The draft questionnaire borrowed heavily from questionnaires developed for other U.S. Department of Labor studies, including </w:t>
      </w:r>
      <w:r>
        <w:rPr>
          <w:i/>
        </w:rPr>
        <w:t>the Growing America</w:t>
      </w:r>
      <w:r w:rsidRPr="0059615C">
        <w:rPr>
          <w:i/>
        </w:rPr>
        <w:t xml:space="preserve"> Through Entrepreneurship (GATE) Demonstration</w:t>
      </w:r>
      <w:r>
        <w:rPr>
          <w:i/>
        </w:rPr>
        <w:t xml:space="preserve"> </w:t>
      </w:r>
      <w:r>
        <w:t>(</w:t>
      </w:r>
      <w:r>
        <w:rPr>
          <w:rStyle w:val="e-03"/>
        </w:rPr>
        <w:t>OMB Number:</w:t>
      </w:r>
      <w:r>
        <w:t xml:space="preserve"> 1205—0444)</w:t>
      </w:r>
      <w:r w:rsidRPr="0059615C">
        <w:rPr>
          <w:i/>
        </w:rPr>
        <w:t>;</w:t>
      </w:r>
      <w:r>
        <w:t xml:space="preserve"> the </w:t>
      </w:r>
      <w:r>
        <w:rPr>
          <w:i/>
          <w:iCs/>
        </w:rPr>
        <w:t>UI Self-Employment Demonstration Follow-up Survey</w:t>
      </w:r>
      <w:r>
        <w:t xml:space="preserve">; </w:t>
      </w:r>
      <w:r>
        <w:rPr>
          <w:i/>
          <w:iCs/>
        </w:rPr>
        <w:t>Comprehensive Assessment of Self-Employment Assistance Programs</w:t>
      </w:r>
      <w:r>
        <w:t xml:space="preserve"> (OMB Number 1205-0412); </w:t>
      </w:r>
      <w:r>
        <w:rPr>
          <w:i/>
          <w:iCs/>
        </w:rPr>
        <w:t>1992 Economic Census Characteristics of Business Owners Survey</w:t>
      </w:r>
      <w:r>
        <w:t xml:space="preserve"> (OMB Number 0640-0022); the </w:t>
      </w:r>
      <w:r>
        <w:rPr>
          <w:i/>
          <w:iCs/>
        </w:rPr>
        <w:t>Job Search Assistance Experiment Survey</w:t>
      </w:r>
      <w:r>
        <w:t xml:space="preserve"> (OMB Number 1205-0367), and the </w:t>
      </w:r>
      <w:r>
        <w:rPr>
          <w:i/>
          <w:iCs/>
        </w:rPr>
        <w:t>Survey of UI Recipients</w:t>
      </w:r>
      <w:r>
        <w:t xml:space="preserve"> (OMB Number 1205-0405).  The survey also drew from the non-federally funded study, the </w:t>
      </w:r>
      <w:r w:rsidRPr="000815FE">
        <w:rPr>
          <w:i/>
        </w:rPr>
        <w:t>Work First New Jersey Evaluation</w:t>
      </w:r>
      <w:r>
        <w:t xml:space="preserve">.  As a result, most of the questions in this survey have been thoroughly tested on large samples, all of which had prior OMB review and approval.  </w:t>
      </w:r>
    </w:p>
    <w:p w:rsidR="00F631E3" w:rsidRDefault="00F631E3" w:rsidP="003C161F">
      <w:pPr>
        <w:spacing w:after="200" w:line="360" w:lineRule="auto"/>
        <w:ind w:right="10"/>
      </w:pPr>
      <w:r>
        <w:t>The questions were designed to ensure that they would be easily understood by respondents.  Revisions were made to the draft questionnaire based on an internal review, a review by technical advisors to GATE II, a review by DOL, and a pretest.</w:t>
      </w:r>
    </w:p>
    <w:p w:rsidR="00F631E3" w:rsidRDefault="00F631E3" w:rsidP="003C161F">
      <w:pPr>
        <w:spacing w:after="200" w:line="360" w:lineRule="auto"/>
        <w:ind w:right="10"/>
      </w:pPr>
      <w:r>
        <w:t xml:space="preserve">The use of CATI to conduct the survey also helps ensure the reliability of the data.  A CATI system controls question branching (reducing item </w:t>
      </w:r>
      <w:proofErr w:type="spellStart"/>
      <w:r>
        <w:t>nonresponse</w:t>
      </w:r>
      <w:proofErr w:type="spellEnd"/>
      <w:r>
        <w:t xml:space="preserve"> due to interviewer error), modifies wording (providing memory aids and probes and personalizing questions), and constructs complex sequences that are not possible to produce or are less accurate in hard-copy surveys.  The probes, verifications, and consistency checks are built into the system; thus, the CATI system standardizes the procedures.  These procedures ensure the reliability of the data collection methods and the data collected through those methods.</w:t>
      </w:r>
    </w:p>
    <w:p w:rsidR="00F631E3" w:rsidRDefault="00F631E3" w:rsidP="003C161F">
      <w:pPr>
        <w:pStyle w:val="ParagraphLAST"/>
        <w:spacing w:after="200" w:line="360" w:lineRule="auto"/>
        <w:ind w:right="10"/>
      </w:pPr>
      <w:r>
        <w:t xml:space="preserve">Lastly, IMPAQ International will monitor each interviewer’s work using silent call-monitoring equipment and video monitors that display the interviewer’s screen for real-time monitoring by supervisors.  </w:t>
      </w:r>
    </w:p>
    <w:p w:rsidR="00F631E3" w:rsidRDefault="00F631E3" w:rsidP="003C161F">
      <w:pPr>
        <w:pStyle w:val="Heading3"/>
        <w:spacing w:after="200" w:line="360" w:lineRule="auto"/>
        <w:ind w:right="10"/>
      </w:pPr>
      <w:bookmarkStart w:id="8" w:name="_Toc21406411"/>
      <w:bookmarkStart w:id="9" w:name="_Toc295118816"/>
      <w:r w:rsidRPr="004C6EC9">
        <w:lastRenderedPageBreak/>
        <w:t>4.</w:t>
      </w:r>
      <w:r w:rsidRPr="004C6EC9">
        <w:tab/>
        <w:t>Tests of Procedures or Methods</w:t>
      </w:r>
      <w:bookmarkEnd w:id="8"/>
      <w:bookmarkEnd w:id="9"/>
    </w:p>
    <w:p w:rsidR="00F631E3" w:rsidRDefault="00F631E3" w:rsidP="003C161F">
      <w:pPr>
        <w:pStyle w:val="NormalSS"/>
        <w:spacing w:after="200" w:line="360" w:lineRule="auto"/>
      </w:pPr>
      <w:r>
        <w:rPr>
          <w:b/>
          <w:bCs/>
        </w:rPr>
        <w:t xml:space="preserve">Pretest Procedures and Sample.  </w:t>
      </w:r>
      <w:r w:rsidRPr="003F2CA7">
        <w:rPr>
          <w:bCs/>
        </w:rPr>
        <w:t>The survey</w:t>
      </w:r>
      <w:r>
        <w:rPr>
          <w:b/>
          <w:bCs/>
        </w:rPr>
        <w:t xml:space="preserve"> </w:t>
      </w:r>
      <w:r>
        <w:rPr>
          <w:bCs/>
        </w:rPr>
        <w:t xml:space="preserve">instrument in this OMB package is virtually identical to the 18-month (Wave 2) follow-up survey instrument that OMB approved for use by IMPAQ in Project GATE in 2005.  </w:t>
      </w:r>
      <w:r>
        <w:t xml:space="preserve">IMPAQ conducted a pretest of that follow-up survey instrument using printed versions of the questionnaire.  Each pretest was monitored to determine if the respondent’s answers were consistent with the intent of the question.  The pretest also enabled IMPAQ to check the accuracy of the internal skip patterns of the survey, the instructions to interviewers, the ease with which interviewers could read question wording, and the apparent ability of respondents to follow the wording and sequence of questions.  Project staff monitored all pretest surveys and took extensive notes on question wording, skip logic, and the overall flow of the instrument. </w:t>
      </w:r>
    </w:p>
    <w:p w:rsidR="00F631E3" w:rsidRDefault="00F631E3" w:rsidP="003C161F">
      <w:pPr>
        <w:pStyle w:val="NormalSS"/>
        <w:spacing w:after="200" w:line="360" w:lineRule="auto"/>
      </w:pPr>
      <w:r w:rsidRPr="000E4F91">
        <w:t xml:space="preserve">The pretest sample was drawn from two states that subsequently administered the GATE II demonstration – </w:t>
      </w:r>
      <w:smartTag w:uri="urn:schemas-microsoft-com:office:smarttags" w:element="State">
        <w:r w:rsidRPr="000E4F91">
          <w:t>North Carolina</w:t>
        </w:r>
      </w:smartTag>
      <w:r w:rsidRPr="000E4F91">
        <w:t xml:space="preserve"> and </w:t>
      </w:r>
      <w:smartTag w:uri="urn:schemas-microsoft-com:office:smarttags" w:element="place">
        <w:smartTag w:uri="urn:schemas-microsoft-com:office:smarttags" w:element="State">
          <w:r w:rsidRPr="000E4F91">
            <w:t>Virginia</w:t>
          </w:r>
        </w:smartTag>
      </w:smartTag>
      <w:r w:rsidRPr="000E4F91">
        <w:t>.  We chose this sample to ensure some variety in program context and in personal experiences of respondents.</w:t>
      </w:r>
      <w:r>
        <w:t xml:space="preserve">  </w:t>
      </w:r>
    </w:p>
    <w:p w:rsidR="00F631E3" w:rsidRDefault="00F631E3" w:rsidP="003C161F">
      <w:pPr>
        <w:pStyle w:val="NormalSS"/>
        <w:spacing w:after="200" w:line="360" w:lineRule="auto"/>
      </w:pPr>
      <w:r>
        <w:rPr>
          <w:b/>
          <w:bCs/>
        </w:rPr>
        <w:t xml:space="preserve">Pretest Results. </w:t>
      </w:r>
      <w:r>
        <w:t xml:space="preserve"> As a result of the pretest, minor question-wording modifications and sequence changes were made to the instrument.  </w:t>
      </w:r>
    </w:p>
    <w:p w:rsidR="00F631E3" w:rsidRDefault="00F631E3" w:rsidP="003C161F">
      <w:pPr>
        <w:pStyle w:val="NormalSS"/>
        <w:numPr>
          <w:ilvl w:val="0"/>
          <w:numId w:val="1"/>
        </w:numPr>
        <w:spacing w:after="200" w:line="360" w:lineRule="auto"/>
      </w:pPr>
      <w:r>
        <w:t>In S</w:t>
      </w:r>
      <w:r w:rsidRPr="003F2CA7">
        <w:t>ection B</w:t>
      </w:r>
      <w:r>
        <w:t xml:space="preserve">, which deals with self-employment services, we removed a duplicate question and minor changes were made to clarify the skip logic for a few additional questions.  </w:t>
      </w:r>
    </w:p>
    <w:p w:rsidR="00F631E3" w:rsidRDefault="00F631E3" w:rsidP="003C161F">
      <w:pPr>
        <w:pStyle w:val="NormalSS"/>
        <w:numPr>
          <w:ilvl w:val="0"/>
          <w:numId w:val="1"/>
        </w:numPr>
        <w:spacing w:after="200" w:line="360" w:lineRule="auto"/>
      </w:pPr>
      <w:r>
        <w:t>In S</w:t>
      </w:r>
      <w:r w:rsidRPr="003F2CA7">
        <w:t>ection C</w:t>
      </w:r>
      <w:r>
        <w:t xml:space="preserve">, which deals with self-employment experience, minor changes were made to clarify the skip logic and how respondents were asked about their income. </w:t>
      </w:r>
    </w:p>
    <w:p w:rsidR="00F631E3" w:rsidRDefault="00F631E3" w:rsidP="003C161F">
      <w:pPr>
        <w:pStyle w:val="NormalSS"/>
        <w:numPr>
          <w:ilvl w:val="0"/>
          <w:numId w:val="1"/>
        </w:numPr>
        <w:spacing w:after="200" w:line="360" w:lineRule="auto"/>
      </w:pPr>
      <w:r>
        <w:t>Minor wording changes were made in S</w:t>
      </w:r>
      <w:r w:rsidRPr="003F2CA7">
        <w:t>ection D</w:t>
      </w:r>
      <w:r>
        <w:t>, employment, working for someone else.</w:t>
      </w:r>
    </w:p>
    <w:p w:rsidR="00F631E3" w:rsidRDefault="00F631E3" w:rsidP="003C161F">
      <w:pPr>
        <w:pStyle w:val="NormalSS"/>
        <w:numPr>
          <w:ilvl w:val="0"/>
          <w:numId w:val="1"/>
        </w:numPr>
        <w:spacing w:after="200" w:line="360" w:lineRule="auto"/>
      </w:pPr>
      <w:r>
        <w:t>In Section E, Income Sources and Amounts, questions were added to get a better understanding of respondents’ unemployment compensation benefits.</w:t>
      </w:r>
    </w:p>
    <w:p w:rsidR="00F631E3" w:rsidRDefault="00F631E3" w:rsidP="003C161F">
      <w:pPr>
        <w:pStyle w:val="NormalSS"/>
        <w:numPr>
          <w:ilvl w:val="0"/>
          <w:numId w:val="1"/>
        </w:numPr>
        <w:spacing w:after="200" w:line="360" w:lineRule="auto"/>
      </w:pPr>
      <w:r>
        <w:t xml:space="preserve">Minor wording changes were also made to Sections </w:t>
      </w:r>
      <w:r w:rsidRPr="003F2CA7">
        <w:t>F and G</w:t>
      </w:r>
      <w:r>
        <w:t>.</w:t>
      </w:r>
    </w:p>
    <w:p w:rsidR="00F631E3" w:rsidRDefault="00F631E3" w:rsidP="003C161F">
      <w:pPr>
        <w:pStyle w:val="ParagraphLAST"/>
        <w:spacing w:after="200" w:line="360" w:lineRule="auto"/>
      </w:pPr>
      <w:r>
        <w:t xml:space="preserve">Administration time in the pretest, adjusted for the expected efficiencies to be achieved in CATI operations, was found to be consistent with survey plans.  Administration time in the </w:t>
      </w:r>
      <w:r>
        <w:lastRenderedPageBreak/>
        <w:t>pretest completions averaged 30</w:t>
      </w:r>
      <w:r w:rsidRPr="003F2CA7">
        <w:t xml:space="preserve"> minutes</w:t>
      </w:r>
      <w:r>
        <w:t>.  IMPAQ’s actual experience administering the 18-month survey in Project GATE to over 3,000 respondents in 2005 through 2007 showed that the average time required to complete a survey was 25 minutes.  The response time varied, depending on the specific skip patterns appropriate to the respondent’s individual circumstances.  The current survey instrument has several additional questions which increases the average time required from 25 minutes to 30 minutes per survey.</w:t>
      </w:r>
    </w:p>
    <w:p w:rsidR="00F631E3" w:rsidRDefault="00F631E3" w:rsidP="003C161F">
      <w:pPr>
        <w:pStyle w:val="Heading3"/>
        <w:spacing w:after="200" w:line="360" w:lineRule="auto"/>
        <w:ind w:right="10"/>
      </w:pPr>
      <w:bookmarkStart w:id="10" w:name="_Toc21406412"/>
      <w:bookmarkStart w:id="11" w:name="_Toc295118817"/>
      <w:r>
        <w:t>5.</w:t>
      </w:r>
      <w:r>
        <w:tab/>
        <w:t>Individuals Consulted on Statistical Methods</w:t>
      </w:r>
      <w:bookmarkEnd w:id="10"/>
      <w:bookmarkEnd w:id="11"/>
    </w:p>
    <w:p w:rsidR="00F631E3" w:rsidRDefault="00F631E3" w:rsidP="003C161F">
      <w:pPr>
        <w:spacing w:after="200" w:line="360" w:lineRule="auto"/>
        <w:ind w:right="10"/>
      </w:pPr>
      <w:r>
        <w:t>The following persons outside of ETA contributed to, reviewed, and/or approved the design, instrumentation and sampling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2"/>
        <w:gridCol w:w="3516"/>
        <w:gridCol w:w="2868"/>
      </w:tblGrid>
      <w:tr w:rsidR="00F631E3" w:rsidTr="003C161F">
        <w:tc>
          <w:tcPr>
            <w:tcW w:w="3192" w:type="dxa"/>
            <w:tcBorders>
              <w:top w:val="single" w:sz="4" w:space="0" w:color="auto"/>
              <w:left w:val="single" w:sz="4" w:space="0" w:color="auto"/>
            </w:tcBorders>
            <w:shd w:val="clear" w:color="auto" w:fill="CCCCCC"/>
          </w:tcPr>
          <w:p w:rsidR="00F631E3" w:rsidRDefault="00F631E3" w:rsidP="003C161F">
            <w:pPr>
              <w:spacing w:line="240" w:lineRule="auto"/>
              <w:ind w:right="14" w:firstLine="0"/>
              <w:jc w:val="center"/>
            </w:pPr>
            <w:r>
              <w:t>Name</w:t>
            </w:r>
          </w:p>
        </w:tc>
        <w:tc>
          <w:tcPr>
            <w:tcW w:w="3516" w:type="dxa"/>
            <w:tcBorders>
              <w:top w:val="single" w:sz="4" w:space="0" w:color="auto"/>
            </w:tcBorders>
            <w:shd w:val="clear" w:color="auto" w:fill="CCCCCC"/>
            <w:vAlign w:val="center"/>
          </w:tcPr>
          <w:p w:rsidR="00F631E3" w:rsidRDefault="00F631E3" w:rsidP="003C161F">
            <w:pPr>
              <w:spacing w:line="240" w:lineRule="auto"/>
              <w:ind w:right="14" w:firstLine="0"/>
              <w:jc w:val="center"/>
            </w:pPr>
            <w:r>
              <w:t>Affiliation</w:t>
            </w:r>
          </w:p>
        </w:tc>
        <w:tc>
          <w:tcPr>
            <w:tcW w:w="2868" w:type="dxa"/>
            <w:tcBorders>
              <w:top w:val="single" w:sz="4" w:space="0" w:color="auto"/>
              <w:right w:val="single" w:sz="4" w:space="0" w:color="auto"/>
            </w:tcBorders>
            <w:shd w:val="clear" w:color="auto" w:fill="CCCCCC"/>
            <w:vAlign w:val="center"/>
          </w:tcPr>
          <w:p w:rsidR="00F631E3" w:rsidRDefault="00F631E3" w:rsidP="003C161F">
            <w:pPr>
              <w:spacing w:line="240" w:lineRule="auto"/>
              <w:ind w:right="14" w:firstLine="0"/>
              <w:jc w:val="center"/>
            </w:pPr>
            <w:r>
              <w:t>Telephone Number</w:t>
            </w:r>
          </w:p>
        </w:tc>
      </w:tr>
      <w:tr w:rsidR="00F631E3" w:rsidTr="003C161F">
        <w:trPr>
          <w:trHeight w:val="432"/>
        </w:trPr>
        <w:tc>
          <w:tcPr>
            <w:tcW w:w="3192" w:type="dxa"/>
            <w:tcBorders>
              <w:left w:val="single" w:sz="4" w:space="0" w:color="auto"/>
              <w:bottom w:val="nil"/>
            </w:tcBorders>
            <w:vAlign w:val="center"/>
          </w:tcPr>
          <w:p w:rsidR="00F631E3" w:rsidRDefault="00F631E3" w:rsidP="003C161F">
            <w:pPr>
              <w:spacing w:line="240" w:lineRule="auto"/>
              <w:ind w:right="14" w:firstLine="0"/>
              <w:jc w:val="center"/>
            </w:pPr>
            <w:r>
              <w:t>Jacob Benus (Project Director)</w:t>
            </w:r>
          </w:p>
        </w:tc>
        <w:tc>
          <w:tcPr>
            <w:tcW w:w="3516" w:type="dxa"/>
            <w:tcBorders>
              <w:bottom w:val="nil"/>
            </w:tcBorders>
            <w:vAlign w:val="center"/>
          </w:tcPr>
          <w:p w:rsidR="00F631E3" w:rsidRDefault="00F631E3" w:rsidP="003C161F">
            <w:pPr>
              <w:spacing w:line="240" w:lineRule="auto"/>
              <w:ind w:right="14" w:firstLine="0"/>
              <w:jc w:val="center"/>
            </w:pPr>
            <w:r>
              <w:t>IMPAQ International</w:t>
            </w:r>
          </w:p>
        </w:tc>
        <w:tc>
          <w:tcPr>
            <w:tcW w:w="2868" w:type="dxa"/>
            <w:tcBorders>
              <w:bottom w:val="nil"/>
              <w:right w:val="single" w:sz="4" w:space="0" w:color="auto"/>
            </w:tcBorders>
            <w:vAlign w:val="center"/>
          </w:tcPr>
          <w:p w:rsidR="00F631E3" w:rsidRDefault="00F631E3" w:rsidP="003C161F">
            <w:pPr>
              <w:pStyle w:val="Center"/>
              <w:spacing w:line="240" w:lineRule="auto"/>
              <w:ind w:right="14"/>
            </w:pPr>
            <w:r>
              <w:t>(443) 367-0088</w:t>
            </w:r>
          </w:p>
        </w:tc>
      </w:tr>
      <w:tr w:rsidR="00F631E3" w:rsidTr="003C161F">
        <w:trPr>
          <w:trHeight w:val="432"/>
        </w:trPr>
        <w:tc>
          <w:tcPr>
            <w:tcW w:w="3192" w:type="dxa"/>
            <w:tcBorders>
              <w:top w:val="nil"/>
              <w:left w:val="single" w:sz="4" w:space="0" w:color="auto"/>
              <w:bottom w:val="nil"/>
            </w:tcBorders>
            <w:vAlign w:val="center"/>
          </w:tcPr>
          <w:p w:rsidR="00F631E3" w:rsidRDefault="00F631E3" w:rsidP="003C161F">
            <w:pPr>
              <w:spacing w:line="240" w:lineRule="auto"/>
              <w:ind w:right="14" w:firstLine="0"/>
              <w:jc w:val="center"/>
            </w:pPr>
            <w:r>
              <w:t>Ted Shen</w:t>
            </w:r>
          </w:p>
        </w:tc>
        <w:tc>
          <w:tcPr>
            <w:tcW w:w="3516" w:type="dxa"/>
            <w:tcBorders>
              <w:top w:val="nil"/>
              <w:bottom w:val="nil"/>
            </w:tcBorders>
            <w:vAlign w:val="center"/>
          </w:tcPr>
          <w:p w:rsidR="00F631E3" w:rsidRDefault="00F631E3" w:rsidP="003C161F">
            <w:pPr>
              <w:spacing w:line="240" w:lineRule="auto"/>
              <w:ind w:right="14" w:firstLine="0"/>
              <w:jc w:val="center"/>
            </w:pPr>
            <w:r>
              <w:t>IMPAQ International</w:t>
            </w:r>
          </w:p>
        </w:tc>
        <w:tc>
          <w:tcPr>
            <w:tcW w:w="2868" w:type="dxa"/>
            <w:tcBorders>
              <w:top w:val="nil"/>
              <w:bottom w:val="nil"/>
              <w:right w:val="single" w:sz="4" w:space="0" w:color="auto"/>
            </w:tcBorders>
            <w:vAlign w:val="center"/>
          </w:tcPr>
          <w:p w:rsidR="00F631E3" w:rsidRDefault="00F631E3" w:rsidP="003C161F">
            <w:pPr>
              <w:pStyle w:val="Center"/>
              <w:spacing w:line="240" w:lineRule="auto"/>
              <w:ind w:right="14"/>
            </w:pPr>
            <w:r>
              <w:t>(443) 367-0088</w:t>
            </w:r>
          </w:p>
        </w:tc>
      </w:tr>
      <w:tr w:rsidR="00F631E3" w:rsidTr="003C161F">
        <w:trPr>
          <w:trHeight w:val="432"/>
        </w:trPr>
        <w:tc>
          <w:tcPr>
            <w:tcW w:w="3192" w:type="dxa"/>
            <w:tcBorders>
              <w:top w:val="nil"/>
              <w:left w:val="single" w:sz="4" w:space="0" w:color="auto"/>
              <w:bottom w:val="nil"/>
            </w:tcBorders>
            <w:vAlign w:val="center"/>
          </w:tcPr>
          <w:p w:rsidR="00F631E3" w:rsidRDefault="00F631E3" w:rsidP="003C161F">
            <w:pPr>
              <w:spacing w:line="240" w:lineRule="auto"/>
              <w:ind w:right="14" w:firstLine="0"/>
              <w:jc w:val="center"/>
            </w:pPr>
            <w:r>
              <w:t>Ben Hansen</w:t>
            </w:r>
          </w:p>
        </w:tc>
        <w:tc>
          <w:tcPr>
            <w:tcW w:w="3516" w:type="dxa"/>
            <w:tcBorders>
              <w:top w:val="nil"/>
              <w:bottom w:val="nil"/>
            </w:tcBorders>
            <w:vAlign w:val="center"/>
          </w:tcPr>
          <w:p w:rsidR="00F631E3" w:rsidRDefault="00F631E3" w:rsidP="003C161F">
            <w:pPr>
              <w:spacing w:line="240" w:lineRule="auto"/>
              <w:ind w:right="14" w:firstLine="0"/>
              <w:jc w:val="center"/>
            </w:pPr>
            <w:r>
              <w:t>IMPAQ International</w:t>
            </w:r>
          </w:p>
        </w:tc>
        <w:tc>
          <w:tcPr>
            <w:tcW w:w="2868" w:type="dxa"/>
            <w:tcBorders>
              <w:top w:val="nil"/>
              <w:bottom w:val="nil"/>
              <w:right w:val="single" w:sz="4" w:space="0" w:color="auto"/>
            </w:tcBorders>
            <w:vAlign w:val="center"/>
          </w:tcPr>
          <w:p w:rsidR="00F631E3" w:rsidRDefault="00F631E3" w:rsidP="003C161F">
            <w:pPr>
              <w:pStyle w:val="Center"/>
              <w:spacing w:line="240" w:lineRule="auto"/>
              <w:ind w:right="14"/>
            </w:pPr>
            <w:r>
              <w:t>(443) 367-0088</w:t>
            </w:r>
          </w:p>
        </w:tc>
      </w:tr>
      <w:tr w:rsidR="00F631E3" w:rsidTr="003C161F">
        <w:trPr>
          <w:trHeight w:val="432"/>
        </w:trPr>
        <w:tc>
          <w:tcPr>
            <w:tcW w:w="3192" w:type="dxa"/>
            <w:tcBorders>
              <w:top w:val="nil"/>
              <w:left w:val="single" w:sz="4" w:space="0" w:color="auto"/>
              <w:bottom w:val="single" w:sz="4" w:space="0" w:color="auto"/>
            </w:tcBorders>
            <w:vAlign w:val="center"/>
          </w:tcPr>
          <w:p w:rsidR="00F631E3" w:rsidRDefault="00F631E3" w:rsidP="003C161F">
            <w:pPr>
              <w:spacing w:line="240" w:lineRule="auto"/>
              <w:ind w:right="14" w:firstLine="0"/>
              <w:jc w:val="center"/>
            </w:pPr>
            <w:r>
              <w:t>Terry Johnson</w:t>
            </w:r>
          </w:p>
        </w:tc>
        <w:tc>
          <w:tcPr>
            <w:tcW w:w="3516" w:type="dxa"/>
            <w:tcBorders>
              <w:top w:val="nil"/>
              <w:bottom w:val="single" w:sz="4" w:space="0" w:color="auto"/>
            </w:tcBorders>
            <w:vAlign w:val="center"/>
          </w:tcPr>
          <w:p w:rsidR="00F631E3" w:rsidRDefault="00F631E3" w:rsidP="003C161F">
            <w:pPr>
              <w:spacing w:line="240" w:lineRule="auto"/>
              <w:ind w:right="14" w:firstLine="0"/>
              <w:jc w:val="center"/>
            </w:pPr>
            <w:r>
              <w:t>Battelle Memorial Institute</w:t>
            </w:r>
          </w:p>
        </w:tc>
        <w:tc>
          <w:tcPr>
            <w:tcW w:w="2868" w:type="dxa"/>
            <w:tcBorders>
              <w:top w:val="nil"/>
              <w:bottom w:val="single" w:sz="4" w:space="0" w:color="auto"/>
              <w:right w:val="single" w:sz="4" w:space="0" w:color="auto"/>
            </w:tcBorders>
            <w:vAlign w:val="center"/>
          </w:tcPr>
          <w:p w:rsidR="00F631E3" w:rsidRDefault="00F631E3" w:rsidP="003C161F">
            <w:pPr>
              <w:spacing w:line="240" w:lineRule="auto"/>
              <w:ind w:right="14" w:firstLine="0"/>
              <w:jc w:val="center"/>
            </w:pPr>
            <w:r>
              <w:t>(206) 525 3130</w:t>
            </w:r>
          </w:p>
        </w:tc>
      </w:tr>
    </w:tbl>
    <w:p w:rsidR="00F631E3" w:rsidRDefault="00F631E3" w:rsidP="003C161F">
      <w:pPr>
        <w:pStyle w:val="Heading1"/>
        <w:spacing w:after="0"/>
        <w:ind w:right="10"/>
      </w:pPr>
      <w:r>
        <w:br w:type="page"/>
      </w:r>
      <w:bookmarkStart w:id="12" w:name="_Toc295118818"/>
      <w:r>
        <w:lastRenderedPageBreak/>
        <w:t>References</w:t>
      </w:r>
      <w:bookmarkEnd w:id="12"/>
    </w:p>
    <w:p w:rsidR="00F631E3" w:rsidRPr="00066304" w:rsidRDefault="00F631E3" w:rsidP="003C161F">
      <w:pPr>
        <w:pStyle w:val="Greferences"/>
        <w:spacing w:after="0"/>
        <w:rPr>
          <w:rFonts w:ascii="Times New Roman" w:hAnsi="Times New Roman"/>
          <w:szCs w:val="24"/>
        </w:rPr>
      </w:pPr>
      <w:proofErr w:type="spellStart"/>
      <w:r w:rsidRPr="00066304">
        <w:rPr>
          <w:rFonts w:ascii="Times New Roman" w:hAnsi="Times New Roman"/>
          <w:szCs w:val="24"/>
        </w:rPr>
        <w:t>Agrest</w:t>
      </w:r>
      <w:proofErr w:type="spellEnd"/>
      <w:r w:rsidRPr="00066304">
        <w:rPr>
          <w:rFonts w:ascii="Times New Roman" w:hAnsi="Times New Roman"/>
          <w:szCs w:val="24"/>
        </w:rPr>
        <w:t xml:space="preserve">, Alan (1996).  </w:t>
      </w:r>
      <w:proofErr w:type="gramStart"/>
      <w:r w:rsidRPr="00066304">
        <w:rPr>
          <w:rFonts w:ascii="Times New Roman" w:hAnsi="Times New Roman"/>
          <w:i/>
          <w:szCs w:val="24"/>
        </w:rPr>
        <w:t>An Introduction to Categorical Analysis</w:t>
      </w:r>
      <w:r w:rsidRPr="00066304">
        <w:rPr>
          <w:rFonts w:ascii="Times New Roman" w:hAnsi="Times New Roman"/>
          <w:szCs w:val="24"/>
        </w:rPr>
        <w:t>.</w:t>
      </w:r>
      <w:proofErr w:type="gramEnd"/>
      <w:r w:rsidRPr="00066304">
        <w:rPr>
          <w:rFonts w:ascii="Times New Roman" w:hAnsi="Times New Roman"/>
          <w:szCs w:val="24"/>
        </w:rPr>
        <w:t xml:space="preserve"> </w:t>
      </w:r>
      <w:proofErr w:type="gramStart"/>
      <w:r w:rsidRPr="00066304">
        <w:rPr>
          <w:rFonts w:ascii="Times New Roman" w:hAnsi="Times New Roman"/>
          <w:szCs w:val="24"/>
        </w:rPr>
        <w:t>Hoboken, New Jersey, John Wiley and Sons, Inc.</w:t>
      </w:r>
      <w:proofErr w:type="gramEnd"/>
      <w:r w:rsidRPr="00066304">
        <w:rPr>
          <w:rFonts w:ascii="Times New Roman" w:hAnsi="Times New Roman"/>
          <w:szCs w:val="24"/>
        </w:rPr>
        <w:t xml:space="preserve"> </w:t>
      </w:r>
    </w:p>
    <w:p w:rsidR="00F631E3" w:rsidRPr="00066304" w:rsidRDefault="00F631E3" w:rsidP="003C161F">
      <w:pPr>
        <w:pStyle w:val="Greferences"/>
        <w:spacing w:after="0"/>
        <w:rPr>
          <w:rFonts w:ascii="Times New Roman" w:hAnsi="Times New Roman"/>
          <w:szCs w:val="24"/>
        </w:rPr>
      </w:pPr>
    </w:p>
    <w:p w:rsidR="00F631E3" w:rsidRDefault="00F631E3" w:rsidP="003C161F">
      <w:pPr>
        <w:pStyle w:val="Greferences"/>
        <w:spacing w:after="0"/>
        <w:rPr>
          <w:rFonts w:ascii="Times New Roman" w:hAnsi="Times New Roman"/>
          <w:szCs w:val="24"/>
        </w:rPr>
      </w:pPr>
      <w:proofErr w:type="spellStart"/>
      <w:r w:rsidRPr="00066304">
        <w:rPr>
          <w:rFonts w:ascii="Times New Roman" w:hAnsi="Times New Roman"/>
          <w:szCs w:val="24"/>
        </w:rPr>
        <w:t>Akaike</w:t>
      </w:r>
      <w:proofErr w:type="spellEnd"/>
      <w:r w:rsidRPr="00066304">
        <w:rPr>
          <w:rFonts w:ascii="Times New Roman" w:hAnsi="Times New Roman"/>
          <w:szCs w:val="24"/>
        </w:rPr>
        <w:t xml:space="preserve">, </w:t>
      </w:r>
      <w:proofErr w:type="spellStart"/>
      <w:r w:rsidRPr="00066304">
        <w:rPr>
          <w:rFonts w:ascii="Times New Roman" w:hAnsi="Times New Roman"/>
          <w:szCs w:val="24"/>
        </w:rPr>
        <w:t>Hirotsugu</w:t>
      </w:r>
      <w:proofErr w:type="spellEnd"/>
      <w:r w:rsidRPr="00066304">
        <w:rPr>
          <w:rFonts w:ascii="Times New Roman" w:hAnsi="Times New Roman"/>
          <w:szCs w:val="24"/>
        </w:rPr>
        <w:t xml:space="preserve"> (1974).  “A New Look at the Statistical Model Identification.”  </w:t>
      </w:r>
      <w:proofErr w:type="gramStart"/>
      <w:r w:rsidRPr="00066304">
        <w:rPr>
          <w:rFonts w:ascii="Times New Roman" w:hAnsi="Times New Roman"/>
          <w:i/>
          <w:iCs/>
          <w:szCs w:val="24"/>
        </w:rPr>
        <w:t>IEEE Transactions on Automatic Control</w:t>
      </w:r>
      <w:r w:rsidRPr="00066304">
        <w:rPr>
          <w:rFonts w:ascii="Times New Roman" w:hAnsi="Times New Roman"/>
          <w:szCs w:val="24"/>
        </w:rPr>
        <w:t>, 19(6).</w:t>
      </w:r>
      <w:proofErr w:type="gramEnd"/>
    </w:p>
    <w:p w:rsidR="00F631E3" w:rsidRPr="00066304" w:rsidRDefault="00F631E3" w:rsidP="003C161F">
      <w:pPr>
        <w:pStyle w:val="Greferences"/>
        <w:spacing w:after="0"/>
        <w:rPr>
          <w:rFonts w:ascii="Times New Roman" w:hAnsi="Times New Roman"/>
          <w:szCs w:val="24"/>
        </w:rPr>
      </w:pPr>
    </w:p>
    <w:p w:rsidR="00F631E3" w:rsidRDefault="00F631E3" w:rsidP="003C161F">
      <w:pPr>
        <w:pStyle w:val="References"/>
        <w:spacing w:after="0"/>
        <w:ind w:right="10"/>
      </w:pPr>
      <w:proofErr w:type="gramStart"/>
      <w:r>
        <w:t xml:space="preserve">Benus, Jacob M., Terry R. Johnson, Michelle Wood, </w:t>
      </w:r>
      <w:proofErr w:type="spellStart"/>
      <w:r>
        <w:t>Neelima</w:t>
      </w:r>
      <w:proofErr w:type="spellEnd"/>
      <w:r>
        <w:t xml:space="preserve"> Grover, and Theodore Shen.</w:t>
      </w:r>
      <w:proofErr w:type="gramEnd"/>
      <w:r>
        <w:t xml:space="preserve"> “Self-Employment Programs:  A New Reemployment Strategy, Final Report on the UI Self-Employment Demonstration.” </w:t>
      </w:r>
      <w:proofErr w:type="gramStart"/>
      <w:r>
        <w:t>Unemployment Insurance Occasional Paper No. 95-4.</w:t>
      </w:r>
      <w:proofErr w:type="gramEnd"/>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lace">
        <w:smartTag w:uri="urn:schemas-microsoft-com:office:smarttags" w:element="country-region">
          <w:r>
            <w:t>U.S.</w:t>
          </w:r>
        </w:smartTag>
      </w:smartTag>
      <w:r>
        <w:t xml:space="preserve"> Department of Labor, Employment and Training Administration, 1995.</w:t>
      </w:r>
    </w:p>
    <w:p w:rsidR="00F631E3" w:rsidRPr="00FC6795" w:rsidRDefault="00F631E3" w:rsidP="003C161F">
      <w:pPr>
        <w:pStyle w:val="Greferences"/>
        <w:spacing w:after="0"/>
        <w:rPr>
          <w:rFonts w:ascii="Times New Roman" w:hAnsi="Times New Roman"/>
          <w:color w:val="660066"/>
          <w:szCs w:val="24"/>
        </w:rPr>
      </w:pPr>
      <w:proofErr w:type="gramStart"/>
      <w:r w:rsidRPr="00FC6795">
        <w:rPr>
          <w:rFonts w:ascii="Times New Roman" w:hAnsi="Times New Roman"/>
          <w:color w:val="660066"/>
        </w:rPr>
        <w:t>Bloom, Howard S., (1995).</w:t>
      </w:r>
      <w:proofErr w:type="gramEnd"/>
      <w:r w:rsidRPr="00FC6795">
        <w:rPr>
          <w:rFonts w:ascii="Times New Roman" w:hAnsi="Times New Roman"/>
          <w:color w:val="660066"/>
        </w:rPr>
        <w:t xml:space="preserve"> </w:t>
      </w:r>
      <w:proofErr w:type="gramStart"/>
      <w:r w:rsidRPr="00FC6795">
        <w:rPr>
          <w:rFonts w:ascii="Times New Roman" w:hAnsi="Times New Roman"/>
          <w:color w:val="660066"/>
        </w:rPr>
        <w:t>Minimum Detectable Effects.</w:t>
      </w:r>
      <w:proofErr w:type="gramEnd"/>
      <w:r w:rsidRPr="00FC6795">
        <w:rPr>
          <w:rFonts w:ascii="Times New Roman" w:hAnsi="Times New Roman"/>
          <w:color w:val="660066"/>
        </w:rPr>
        <w:t xml:space="preserve"> Evaluation Review 19(5) 547-556</w:t>
      </w:r>
      <w:r w:rsidRPr="00FC6795">
        <w:rPr>
          <w:rFonts w:ascii="Cambria" w:hAnsi="Cambria"/>
          <w:color w:val="660066"/>
        </w:rPr>
        <w:t>.</w:t>
      </w:r>
    </w:p>
    <w:p w:rsidR="00F631E3" w:rsidRDefault="00F631E3" w:rsidP="003C161F">
      <w:pPr>
        <w:pStyle w:val="Greferences"/>
        <w:spacing w:after="0"/>
        <w:rPr>
          <w:rFonts w:ascii="Times New Roman" w:hAnsi="Times New Roman"/>
          <w:szCs w:val="24"/>
        </w:rPr>
      </w:pPr>
    </w:p>
    <w:p w:rsidR="00F631E3" w:rsidRPr="00066304" w:rsidRDefault="00F631E3" w:rsidP="003C161F">
      <w:pPr>
        <w:pStyle w:val="Greferences"/>
        <w:spacing w:after="0"/>
        <w:rPr>
          <w:rFonts w:ascii="Times New Roman" w:hAnsi="Times New Roman"/>
          <w:szCs w:val="24"/>
        </w:rPr>
      </w:pPr>
      <w:proofErr w:type="spellStart"/>
      <w:proofErr w:type="gramStart"/>
      <w:r w:rsidRPr="00066304">
        <w:rPr>
          <w:rFonts w:ascii="Times New Roman" w:hAnsi="Times New Roman"/>
          <w:szCs w:val="24"/>
        </w:rPr>
        <w:t>Hosmer</w:t>
      </w:r>
      <w:proofErr w:type="spellEnd"/>
      <w:r w:rsidRPr="00066304">
        <w:rPr>
          <w:rFonts w:ascii="Times New Roman" w:hAnsi="Times New Roman"/>
          <w:szCs w:val="24"/>
        </w:rPr>
        <w:t xml:space="preserve">, D.W. Jr. and S. </w:t>
      </w:r>
      <w:proofErr w:type="spellStart"/>
      <w:r w:rsidRPr="00066304">
        <w:rPr>
          <w:rFonts w:ascii="Times New Roman" w:hAnsi="Times New Roman"/>
          <w:szCs w:val="24"/>
        </w:rPr>
        <w:t>Lemeshow</w:t>
      </w:r>
      <w:proofErr w:type="spellEnd"/>
      <w:r w:rsidRPr="00066304">
        <w:rPr>
          <w:rFonts w:ascii="Times New Roman" w:hAnsi="Times New Roman"/>
          <w:szCs w:val="24"/>
        </w:rPr>
        <w:t xml:space="preserve"> (1989).</w:t>
      </w:r>
      <w:proofErr w:type="gramEnd"/>
      <w:r w:rsidRPr="00066304">
        <w:rPr>
          <w:rFonts w:ascii="Times New Roman" w:hAnsi="Times New Roman"/>
          <w:szCs w:val="24"/>
        </w:rPr>
        <w:t xml:space="preserve">  </w:t>
      </w:r>
      <w:proofErr w:type="gramStart"/>
      <w:r w:rsidRPr="00066304">
        <w:rPr>
          <w:rFonts w:ascii="Times New Roman" w:hAnsi="Times New Roman"/>
          <w:i/>
          <w:iCs/>
          <w:szCs w:val="24"/>
        </w:rPr>
        <w:t>Applied Logistic Regression</w:t>
      </w:r>
      <w:r w:rsidRPr="00066304">
        <w:rPr>
          <w:rFonts w:ascii="Times New Roman" w:hAnsi="Times New Roman"/>
          <w:szCs w:val="24"/>
        </w:rPr>
        <w:t>.</w:t>
      </w:r>
      <w:proofErr w:type="gramEnd"/>
      <w:r w:rsidRPr="00066304">
        <w:rPr>
          <w:rFonts w:ascii="Times New Roman" w:hAnsi="Times New Roman"/>
          <w:szCs w:val="24"/>
        </w:rPr>
        <w:t xml:space="preserve">  </w:t>
      </w:r>
      <w:smartTag w:uri="urn:schemas-microsoft-com:office:smarttags" w:element="place">
        <w:smartTag w:uri="urn:schemas-microsoft-com:office:smarttags" w:element="City">
          <w:r w:rsidRPr="00066304">
            <w:rPr>
              <w:rFonts w:ascii="Times New Roman" w:hAnsi="Times New Roman"/>
              <w:szCs w:val="24"/>
            </w:rPr>
            <w:t>New York</w:t>
          </w:r>
        </w:smartTag>
        <w:r w:rsidRPr="00066304">
          <w:rPr>
            <w:rFonts w:ascii="Times New Roman" w:hAnsi="Times New Roman"/>
            <w:szCs w:val="24"/>
          </w:rPr>
          <w:t xml:space="preserve">, </w:t>
        </w:r>
        <w:smartTag w:uri="urn:schemas-microsoft-com:office:smarttags" w:element="State">
          <w:r w:rsidRPr="00066304">
            <w:rPr>
              <w:rFonts w:ascii="Times New Roman" w:hAnsi="Times New Roman"/>
              <w:szCs w:val="24"/>
            </w:rPr>
            <w:t>New York</w:t>
          </w:r>
        </w:smartTag>
      </w:smartTag>
      <w:r w:rsidRPr="00066304">
        <w:rPr>
          <w:rFonts w:ascii="Times New Roman" w:hAnsi="Times New Roman"/>
          <w:szCs w:val="24"/>
        </w:rPr>
        <w:t>:  John Wiley and Sons, Inc.</w:t>
      </w:r>
    </w:p>
    <w:p w:rsidR="00F631E3" w:rsidRPr="006273F0" w:rsidRDefault="00F631E3" w:rsidP="003C161F">
      <w:pPr>
        <w:pStyle w:val="Greferences"/>
        <w:spacing w:after="0"/>
        <w:rPr>
          <w:rFonts w:ascii="Calibri" w:hAnsi="Calibri"/>
          <w:szCs w:val="24"/>
        </w:rPr>
      </w:pPr>
    </w:p>
    <w:p w:rsidR="00F631E3" w:rsidRDefault="00F631E3" w:rsidP="003C161F">
      <w:pPr>
        <w:pStyle w:val="Greferences"/>
        <w:spacing w:after="0"/>
        <w:rPr>
          <w:rFonts w:ascii="Times New Roman" w:hAnsi="Times New Roman"/>
          <w:szCs w:val="24"/>
        </w:rPr>
      </w:pPr>
      <w:proofErr w:type="gramStart"/>
      <w:r w:rsidRPr="00066304">
        <w:rPr>
          <w:rFonts w:ascii="Times New Roman" w:hAnsi="Times New Roman"/>
          <w:szCs w:val="24"/>
        </w:rPr>
        <w:t>Little, R.J.A. and Rubin, D.B. (2002).</w:t>
      </w:r>
      <w:proofErr w:type="gramEnd"/>
      <w:r w:rsidRPr="00066304">
        <w:rPr>
          <w:rFonts w:ascii="Times New Roman" w:hAnsi="Times New Roman"/>
          <w:szCs w:val="24"/>
        </w:rPr>
        <w:t xml:space="preserve">  </w:t>
      </w:r>
      <w:proofErr w:type="gramStart"/>
      <w:r w:rsidRPr="00066304">
        <w:rPr>
          <w:rFonts w:ascii="Times New Roman" w:hAnsi="Times New Roman"/>
          <w:i/>
          <w:iCs/>
          <w:szCs w:val="24"/>
        </w:rPr>
        <w:t>Statistical Analysis with Missing Data</w:t>
      </w:r>
      <w:r w:rsidRPr="00066304">
        <w:rPr>
          <w:rFonts w:ascii="Times New Roman" w:hAnsi="Times New Roman"/>
          <w:szCs w:val="24"/>
        </w:rPr>
        <w:t>.</w:t>
      </w:r>
      <w:proofErr w:type="gramEnd"/>
      <w:r w:rsidRPr="00066304">
        <w:rPr>
          <w:rFonts w:ascii="Times New Roman" w:hAnsi="Times New Roman"/>
          <w:szCs w:val="24"/>
        </w:rPr>
        <w:t xml:space="preserve">  </w:t>
      </w:r>
      <w:smartTag w:uri="urn:schemas-microsoft-com:office:smarttags" w:element="place">
        <w:smartTag w:uri="urn:schemas-microsoft-com:office:smarttags" w:element="State">
          <w:r w:rsidRPr="00066304">
            <w:rPr>
              <w:rFonts w:ascii="Times New Roman" w:hAnsi="Times New Roman"/>
              <w:szCs w:val="24"/>
            </w:rPr>
            <w:t>New York</w:t>
          </w:r>
        </w:smartTag>
      </w:smartTag>
      <w:r w:rsidRPr="00066304">
        <w:rPr>
          <w:rFonts w:ascii="Times New Roman" w:hAnsi="Times New Roman"/>
          <w:szCs w:val="24"/>
        </w:rPr>
        <w:t xml:space="preserve">:  Wiley.  </w:t>
      </w:r>
    </w:p>
    <w:p w:rsidR="00F631E3" w:rsidRPr="00066304" w:rsidRDefault="00F631E3" w:rsidP="003C161F">
      <w:pPr>
        <w:pStyle w:val="Greferences"/>
        <w:spacing w:after="0"/>
        <w:rPr>
          <w:rFonts w:ascii="Times New Roman" w:hAnsi="Times New Roman"/>
          <w:szCs w:val="24"/>
        </w:rPr>
      </w:pPr>
    </w:p>
    <w:p w:rsidR="00F631E3" w:rsidRDefault="00F631E3" w:rsidP="003C161F">
      <w:pPr>
        <w:pStyle w:val="References"/>
        <w:spacing w:after="0"/>
        <w:ind w:right="10"/>
      </w:pPr>
      <w:proofErr w:type="spellStart"/>
      <w:proofErr w:type="gramStart"/>
      <w:r>
        <w:t>Needels</w:t>
      </w:r>
      <w:proofErr w:type="spellEnd"/>
      <w:r>
        <w:t>, Karen, Walter Corson, and Walter Nicholson.</w:t>
      </w:r>
      <w:proofErr w:type="gramEnd"/>
      <w:r>
        <w:t xml:space="preserve"> “Left Out of the Boom Economy:  UI Recipients in the Late 1990s.” ETA Occasional Papers 2002-2003,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lace">
        <w:smartTag w:uri="urn:schemas-microsoft-com:office:smarttags" w:element="country-region">
          <w:r>
            <w:t>U.S.</w:t>
          </w:r>
        </w:smartTag>
      </w:smartTag>
      <w:r>
        <w:t xml:space="preserve"> Department of Labor, Employment and Training Administration, 2002.</w:t>
      </w:r>
    </w:p>
    <w:p w:rsidR="00F631E3" w:rsidRDefault="00F631E3" w:rsidP="003C161F">
      <w:pPr>
        <w:spacing w:line="240" w:lineRule="auto"/>
        <w:ind w:left="432" w:right="10" w:hanging="432"/>
      </w:pPr>
      <w:r>
        <w:t xml:space="preserve">Singer, Eleanor.  </w:t>
      </w:r>
      <w:proofErr w:type="gramStart"/>
      <w:r>
        <w:t xml:space="preserve">“The Use of Incentives to Reduce </w:t>
      </w:r>
      <w:proofErr w:type="spellStart"/>
      <w:r>
        <w:t>Nonresponse</w:t>
      </w:r>
      <w:proofErr w:type="spellEnd"/>
      <w:r>
        <w:t xml:space="preserve"> in Household Surveys.”</w:t>
      </w:r>
      <w:proofErr w:type="gramEnd"/>
      <w:r>
        <w:t xml:space="preserve">  </w:t>
      </w:r>
      <w:proofErr w:type="gramStart"/>
      <w:r>
        <w:t xml:space="preserve">In </w:t>
      </w:r>
      <w:r>
        <w:rPr>
          <w:i/>
          <w:iCs/>
        </w:rPr>
        <w:t xml:space="preserve">Survey </w:t>
      </w:r>
      <w:proofErr w:type="spellStart"/>
      <w:r>
        <w:rPr>
          <w:i/>
          <w:iCs/>
        </w:rPr>
        <w:t>Nonresponse</w:t>
      </w:r>
      <w:proofErr w:type="spellEnd"/>
      <w:r>
        <w:t>.</w:t>
      </w:r>
      <w:proofErr w:type="gramEnd"/>
      <w:r>
        <w:t xml:space="preserve">  </w:t>
      </w:r>
      <w:proofErr w:type="gramStart"/>
      <w:r>
        <w:t xml:space="preserve">Edited by R. Groves, D. </w:t>
      </w:r>
      <w:proofErr w:type="spellStart"/>
      <w:r>
        <w:t>Dillman</w:t>
      </w:r>
      <w:proofErr w:type="spellEnd"/>
      <w:r>
        <w:t>, J. Eltinge, and R. Little.</w:t>
      </w:r>
      <w:proofErr w:type="gramEnd"/>
      <w:r>
        <w:t xml:space="preserve">  </w:t>
      </w:r>
      <w:smartTag w:uri="urn:schemas-microsoft-com:office:smarttags" w:element="place">
        <w:smartTag w:uri="urn:schemas-microsoft-com:office:smarttags" w:element="State">
          <w:r>
            <w:t>New York</w:t>
          </w:r>
        </w:smartTag>
      </w:smartTag>
      <w:r>
        <w:t>:  John Wiley and Sons, 2002.</w:t>
      </w:r>
    </w:p>
    <w:p w:rsidR="00F631E3" w:rsidRDefault="00F631E3" w:rsidP="003C161F">
      <w:pPr>
        <w:spacing w:line="240" w:lineRule="auto"/>
        <w:ind w:left="432" w:right="10" w:hanging="432"/>
      </w:pPr>
    </w:p>
    <w:p w:rsidR="00F631E3" w:rsidRDefault="00F631E3" w:rsidP="003C161F">
      <w:pPr>
        <w:pStyle w:val="NormalSS"/>
        <w:ind w:left="432" w:right="10" w:hanging="432"/>
      </w:pPr>
      <w:proofErr w:type="gramStart"/>
      <w:r>
        <w:t xml:space="preserve">Singer, Eleanor, John Van </w:t>
      </w:r>
      <w:proofErr w:type="spellStart"/>
      <w:r>
        <w:t>Hoewyk</w:t>
      </w:r>
      <w:proofErr w:type="spellEnd"/>
      <w:r>
        <w:t xml:space="preserve">, Nancy </w:t>
      </w:r>
      <w:proofErr w:type="spellStart"/>
      <w:r>
        <w:t>Gebler</w:t>
      </w:r>
      <w:proofErr w:type="spellEnd"/>
      <w:r>
        <w:t xml:space="preserve">, </w:t>
      </w:r>
      <w:proofErr w:type="spellStart"/>
      <w:r>
        <w:t>Trivellore</w:t>
      </w:r>
      <w:proofErr w:type="spellEnd"/>
      <w:r>
        <w:t xml:space="preserve"> </w:t>
      </w:r>
      <w:proofErr w:type="spellStart"/>
      <w:r>
        <w:t>Raghunathan</w:t>
      </w:r>
      <w:proofErr w:type="spellEnd"/>
      <w:r>
        <w:t xml:space="preserve">, and Katherine </w:t>
      </w:r>
      <w:proofErr w:type="spellStart"/>
      <w:r>
        <w:t>McGonagle</w:t>
      </w:r>
      <w:proofErr w:type="spellEnd"/>
      <w:r>
        <w:t>.</w:t>
      </w:r>
      <w:proofErr w:type="gramEnd"/>
      <w:r>
        <w:t xml:space="preserve">  </w:t>
      </w:r>
      <w:proofErr w:type="gramStart"/>
      <w:r>
        <w:t>“The Effect of Incentives on Response Rates in Interviewer-Mediated Surveys.”</w:t>
      </w:r>
      <w:proofErr w:type="gramEnd"/>
      <w:r>
        <w:t xml:space="preserve">  </w:t>
      </w:r>
      <w:proofErr w:type="gramStart"/>
      <w:r>
        <w:rPr>
          <w:i/>
          <w:iCs/>
        </w:rPr>
        <w:t>Journal of Official Statistics</w:t>
      </w:r>
      <w:r>
        <w:t>, vol. 15, no. 2, 1999a.</w:t>
      </w:r>
      <w:proofErr w:type="gramEnd"/>
    </w:p>
    <w:p w:rsidR="00F631E3" w:rsidRDefault="00F631E3" w:rsidP="003C161F">
      <w:pPr>
        <w:pStyle w:val="NormalSS"/>
        <w:ind w:left="432" w:right="10" w:hanging="432"/>
      </w:pPr>
    </w:p>
    <w:p w:rsidR="00F631E3" w:rsidRDefault="00F631E3" w:rsidP="003C161F">
      <w:pPr>
        <w:pStyle w:val="NormalSS"/>
        <w:ind w:left="432" w:right="10" w:hanging="432"/>
      </w:pPr>
      <w:proofErr w:type="gramStart"/>
      <w:r>
        <w:t>Singer, Eleanor, Robert M. Groves, and Amy Corning.</w:t>
      </w:r>
      <w:proofErr w:type="gramEnd"/>
      <w:r>
        <w:t xml:space="preserve">  “Differential Incentives:  Beliefs </w:t>
      </w:r>
      <w:proofErr w:type="gramStart"/>
      <w:r>
        <w:t>About</w:t>
      </w:r>
      <w:proofErr w:type="gramEnd"/>
      <w:r>
        <w:t xml:space="preserve"> Practices, Perceptions of Equity, and Effects on Survey Participation.”  </w:t>
      </w:r>
      <w:proofErr w:type="gramStart"/>
      <w:r>
        <w:rPr>
          <w:i/>
          <w:iCs/>
        </w:rPr>
        <w:t>Public Opinion Quarterly.</w:t>
      </w:r>
      <w:proofErr w:type="gramEnd"/>
      <w:r>
        <w:t xml:space="preserve">  </w:t>
      </w:r>
      <w:proofErr w:type="gramStart"/>
      <w:r>
        <w:t>Vol. 63, 1999b.</w:t>
      </w:r>
      <w:proofErr w:type="gramEnd"/>
    </w:p>
    <w:p w:rsidR="00F631E3" w:rsidRDefault="00F631E3" w:rsidP="003C161F">
      <w:pPr>
        <w:pStyle w:val="NormalSS"/>
        <w:ind w:left="432" w:right="10" w:hanging="432"/>
      </w:pPr>
    </w:p>
    <w:p w:rsidR="00F631E3" w:rsidRDefault="00F631E3" w:rsidP="003C161F">
      <w:pPr>
        <w:pStyle w:val="NormalSS"/>
        <w:ind w:left="432" w:right="10" w:hanging="432"/>
        <w:rPr>
          <w:b/>
          <w:bCs/>
        </w:rPr>
      </w:pPr>
      <w:proofErr w:type="gramStart"/>
      <w:r>
        <w:t xml:space="preserve">Walker, Britton, and Amy </w:t>
      </w:r>
      <w:proofErr w:type="spellStart"/>
      <w:r>
        <w:t>Kays</w:t>
      </w:r>
      <w:proofErr w:type="spellEnd"/>
      <w:r>
        <w:t xml:space="preserve"> Blair.</w:t>
      </w:r>
      <w:proofErr w:type="gramEnd"/>
      <w:r>
        <w:t xml:space="preserve">  </w:t>
      </w:r>
      <w:proofErr w:type="gramStart"/>
      <w:r>
        <w:rPr>
          <w:i/>
          <w:iCs/>
        </w:rPr>
        <w:t xml:space="preserve">2002 Directory of U.S. </w:t>
      </w:r>
      <w:proofErr w:type="spellStart"/>
      <w:r>
        <w:rPr>
          <w:i/>
          <w:iCs/>
        </w:rPr>
        <w:t>Microenteprise</w:t>
      </w:r>
      <w:proofErr w:type="spellEnd"/>
      <w:r>
        <w:rPr>
          <w:i/>
          <w:iCs/>
        </w:rPr>
        <w:t xml:space="preserve"> Programs</w:t>
      </w:r>
      <w:r>
        <w:t>.</w:t>
      </w:r>
      <w:proofErr w:type="gramEnd"/>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The Aspen Institute, 2002.</w:t>
      </w:r>
    </w:p>
    <w:sectPr w:rsidR="00F631E3" w:rsidSect="004646D1">
      <w:footerReference w:type="default" r:id="rId9"/>
      <w:endnotePr>
        <w:numFmt w:val="decimal"/>
      </w:endnotePr>
      <w:pgSz w:w="12240" w:h="15840" w:code="1"/>
      <w:pgMar w:top="105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067" w:rsidRDefault="00F14067">
      <w:r>
        <w:separator/>
      </w:r>
    </w:p>
  </w:endnote>
  <w:endnote w:type="continuationSeparator" w:id="0">
    <w:p w:rsidR="00F14067" w:rsidRDefault="00F140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onaco">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51B" w:rsidRDefault="00D63E45">
    <w:pPr>
      <w:pStyle w:val="Footer"/>
      <w:tabs>
        <w:tab w:val="clear" w:pos="4320"/>
        <w:tab w:val="clear" w:pos="8640"/>
        <w:tab w:val="center" w:pos="4770"/>
        <w:tab w:val="left" w:pos="5040"/>
        <w:tab w:val="right" w:pos="9360"/>
      </w:tabs>
      <w:spacing w:before="360" w:line="240" w:lineRule="auto"/>
      <w:ind w:firstLine="0"/>
      <w:rPr>
        <w:rStyle w:val="PageNumber"/>
      </w:rPr>
    </w:pPr>
    <w:r>
      <w:rPr>
        <w:noProof/>
      </w:rPr>
      <w:pict>
        <v:line id="_x0000_s2049" style="position:absolute;left:0;text-align:left;z-index:251657728" from="-2.75pt,10.7pt" to="470.25pt,10.7pt"/>
      </w:pict>
    </w:r>
    <w:r w:rsidR="00BB351B">
      <w:rPr>
        <w:i/>
        <w:snapToGrid w:val="0"/>
        <w:sz w:val="22"/>
        <w:szCs w:val="22"/>
      </w:rPr>
      <w:t>IMPAQ</w:t>
    </w:r>
    <w:r w:rsidR="00BB351B">
      <w:rPr>
        <w:sz w:val="22"/>
        <w:szCs w:val="22"/>
      </w:rPr>
      <w:tab/>
    </w:r>
    <w:r>
      <w:rPr>
        <w:rStyle w:val="PageNumber"/>
        <w:sz w:val="22"/>
        <w:szCs w:val="22"/>
      </w:rPr>
      <w:fldChar w:fldCharType="begin"/>
    </w:r>
    <w:r w:rsidR="00BB351B">
      <w:rPr>
        <w:rStyle w:val="PageNumber"/>
        <w:sz w:val="22"/>
        <w:szCs w:val="22"/>
      </w:rPr>
      <w:instrText xml:space="preserve"> PAGE </w:instrText>
    </w:r>
    <w:r>
      <w:rPr>
        <w:rStyle w:val="PageNumber"/>
        <w:sz w:val="22"/>
        <w:szCs w:val="22"/>
      </w:rPr>
      <w:fldChar w:fldCharType="separate"/>
    </w:r>
    <w:r w:rsidR="00011407">
      <w:rPr>
        <w:rStyle w:val="PageNumber"/>
        <w:noProof/>
        <w:sz w:val="22"/>
        <w:szCs w:val="22"/>
      </w:rPr>
      <w:t>12</w:t>
    </w:r>
    <w:r>
      <w:rPr>
        <w:rStyle w:val="PageNumber"/>
        <w:sz w:val="22"/>
        <w:szCs w:val="22"/>
      </w:rPr>
      <w:fldChar w:fldCharType="end"/>
    </w:r>
    <w:r w:rsidR="00BB351B">
      <w:rPr>
        <w:rStyle w:val="PageNumber"/>
        <w:sz w:val="22"/>
        <w:szCs w:val="22"/>
      </w:rPr>
      <w:tab/>
    </w:r>
    <w:r w:rsidR="00BB351B">
      <w:rPr>
        <w:rStyle w:val="PageNumber"/>
        <w:sz w:val="22"/>
        <w:szCs w:val="22"/>
      </w:rPr>
      <w:tab/>
    </w:r>
    <w:r w:rsidR="00BB351B">
      <w:rPr>
        <w:rStyle w:val="PageNumber"/>
        <w:i/>
        <w:sz w:val="22"/>
        <w:szCs w:val="22"/>
      </w:rPr>
      <w:t>OMB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067" w:rsidRDefault="00F14067">
      <w:r>
        <w:separator/>
      </w:r>
    </w:p>
  </w:footnote>
  <w:footnote w:type="continuationSeparator" w:id="0">
    <w:p w:rsidR="00F14067" w:rsidRDefault="00F14067">
      <w:r>
        <w:continuationSeparator/>
      </w:r>
    </w:p>
  </w:footnote>
  <w:footnote w:id="1">
    <w:p w:rsidR="00BB351B" w:rsidRPr="00DF578A" w:rsidRDefault="00BB351B" w:rsidP="00F631E3">
      <w:pPr>
        <w:pStyle w:val="FootnoteText"/>
        <w:jc w:val="left"/>
        <w:rPr>
          <w:sz w:val="20"/>
        </w:rPr>
      </w:pPr>
      <w:r w:rsidRPr="00DF578A">
        <w:rPr>
          <w:rStyle w:val="FootnoteReference"/>
          <w:sz w:val="20"/>
        </w:rPr>
        <w:footnoteRef/>
      </w:r>
      <w:r w:rsidRPr="00DF578A">
        <w:rPr>
          <w:sz w:val="20"/>
        </w:rPr>
        <w:t xml:space="preserve"> Project GATE Final Report: </w:t>
      </w:r>
      <w:hyperlink r:id="rId1" w:history="1">
        <w:r w:rsidRPr="00DF578A">
          <w:rPr>
            <w:rStyle w:val="Hyperlink"/>
            <w:sz w:val="20"/>
          </w:rPr>
          <w:t>http://wdr.doleta.gov/research/FullText_Documents/Growing%20America%20Through%20Entrepreneurship%20-%20Final%20Evaluation%20of%20Project%20GATE.pdf</w:t>
        </w:r>
      </w:hyperlink>
    </w:p>
  </w:footnote>
  <w:footnote w:id="2">
    <w:p w:rsidR="00BB351B" w:rsidRDefault="00BB351B" w:rsidP="00F631E3">
      <w:pPr>
        <w:pStyle w:val="FootnoteText"/>
      </w:pPr>
      <w:r w:rsidRPr="00757D1E">
        <w:rPr>
          <w:rStyle w:val="FootnoteReference"/>
          <w:sz w:val="20"/>
        </w:rPr>
        <w:footnoteRef/>
      </w:r>
      <w:r w:rsidRPr="00757D1E">
        <w:rPr>
          <w:sz w:val="20"/>
        </w:rPr>
        <w:t xml:space="preserve"> As previously described, </w:t>
      </w:r>
      <w:smartTag w:uri="urn:schemas-microsoft-com:office:smarttags" w:element="place">
        <w:smartTag w:uri="urn:schemas-microsoft-com:office:smarttags" w:element="State">
          <w:r w:rsidRPr="00757D1E">
            <w:rPr>
              <w:sz w:val="20"/>
            </w:rPr>
            <w:t>Minnesota</w:t>
          </w:r>
        </w:smartTag>
      </w:smartTag>
      <w:r w:rsidRPr="00757D1E">
        <w:rPr>
          <w:sz w:val="20"/>
        </w:rPr>
        <w:t xml:space="preserve"> did not implement a random assignment design; every applicant who was eligible for GATE II was offered GATE II services. A quasi-experimental evaluation would have been possible, but lack of consent from comparison group members to participate in the evaluation study precluded obtaining adequate data for impact analysis.</w:t>
      </w:r>
    </w:p>
  </w:footnote>
  <w:footnote w:id="3">
    <w:p w:rsidR="00BB351B" w:rsidRDefault="00BB351B" w:rsidP="00F631E3">
      <w:pPr>
        <w:pStyle w:val="FootnoteText"/>
      </w:pPr>
      <w:r>
        <w:rPr>
          <w:rStyle w:val="FootnoteReference"/>
        </w:rPr>
        <w:footnoteRef/>
      </w:r>
      <w:r>
        <w:t xml:space="preserve"> </w:t>
      </w:r>
      <w:r w:rsidRPr="00F36AE3">
        <w:rPr>
          <w:sz w:val="20"/>
        </w:rPr>
        <w:t>http://wdr.doleta.gov/research/keyword.cfm?fuseaction=dsp_resultDetails&amp;pub_id=2444&amp;mp=y</w:t>
      </w:r>
    </w:p>
  </w:footnote>
  <w:footnote w:id="4">
    <w:p w:rsidR="00BB351B" w:rsidRDefault="00BB351B" w:rsidP="00F631E3">
      <w:pPr>
        <w:pStyle w:val="FootnoteText"/>
      </w:pPr>
      <w:r w:rsidRPr="00015B0F">
        <w:rPr>
          <w:rStyle w:val="FootnoteReference"/>
          <w:sz w:val="20"/>
        </w:rPr>
        <w:footnoteRef/>
      </w:r>
      <w:r w:rsidRPr="00015B0F">
        <w:rPr>
          <w:sz w:val="20"/>
        </w:rPr>
        <w:t xml:space="preserve"> Note:  is </w:t>
      </w:r>
      <w:r>
        <w:rPr>
          <w:sz w:val="20"/>
        </w:rPr>
        <w:t>the full model prediction using all control variables</w:t>
      </w:r>
      <w:proofErr w:type="gramStart"/>
      <w:r>
        <w:rPr>
          <w:sz w:val="20"/>
        </w:rPr>
        <w:t xml:space="preserve">; </w:t>
      </w:r>
      <w:r w:rsidRPr="00015B0F">
        <w:rPr>
          <w:sz w:val="20"/>
        </w:rPr>
        <w:t xml:space="preserve"> is</w:t>
      </w:r>
      <w:proofErr w:type="gramEnd"/>
      <w:r w:rsidRPr="00015B0F">
        <w:rPr>
          <w:sz w:val="20"/>
        </w:rPr>
        <w:t xml:space="preserve"> </w:t>
      </w:r>
      <w:r>
        <w:rPr>
          <w:sz w:val="20"/>
        </w:rPr>
        <w:t xml:space="preserve">the full model prediction </w:t>
      </w:r>
      <w:r w:rsidRPr="00015B0F">
        <w:rPr>
          <w:sz w:val="20"/>
        </w:rPr>
        <w:t>without predictors</w:t>
      </w:r>
      <w:r>
        <w:rPr>
          <w:sz w:val="20"/>
        </w:rPr>
        <w:t>;</w:t>
      </w:r>
      <w:r w:rsidRPr="00015B0F">
        <w:rPr>
          <w:sz w:val="20"/>
        </w:rPr>
        <w:t xml:space="preserve"> and  is </w:t>
      </w:r>
      <w:r>
        <w:rPr>
          <w:sz w:val="20"/>
        </w:rPr>
        <w:t xml:space="preserve">the </w:t>
      </w:r>
      <w:r w:rsidRPr="00015B0F">
        <w:rPr>
          <w:sz w:val="20"/>
        </w:rPr>
        <w:t>estimated likelihood</w:t>
      </w:r>
      <w:r>
        <w:rPr>
          <w:sz w:val="20"/>
        </w:rPr>
        <w:t xml:space="preserve"> of response based on the </w:t>
      </w:r>
      <w:proofErr w:type="spellStart"/>
      <w:r>
        <w:rPr>
          <w:sz w:val="20"/>
        </w:rPr>
        <w:t>logit</w:t>
      </w:r>
      <w:proofErr w:type="spellEnd"/>
      <w:r>
        <w:rPr>
          <w:sz w:val="20"/>
        </w:rPr>
        <w:t xml:space="preserve"> model</w:t>
      </w:r>
      <w:r w:rsidRPr="00015B0F">
        <w:rPr>
          <w:sz w:val="20"/>
        </w:rPr>
        <w:t>.</w:t>
      </w:r>
    </w:p>
  </w:footnote>
  <w:footnote w:id="5">
    <w:p w:rsidR="00BB351B" w:rsidRDefault="00BB351B" w:rsidP="00F631E3">
      <w:pPr>
        <w:pStyle w:val="FootnoteText"/>
      </w:pPr>
      <w:r w:rsidRPr="00015B0F">
        <w:rPr>
          <w:rStyle w:val="FootnoteReference"/>
          <w:sz w:val="20"/>
        </w:rPr>
        <w:footnoteRef/>
      </w:r>
      <w:r w:rsidRPr="00015B0F">
        <w:rPr>
          <w:sz w:val="20"/>
        </w:rPr>
        <w:t xml:space="preserve"> Note:  is </w:t>
      </w:r>
      <w:r>
        <w:rPr>
          <w:sz w:val="20"/>
        </w:rPr>
        <w:t xml:space="preserve">the number of parameters in the estimated model; </w:t>
      </w:r>
      <w:proofErr w:type="gramStart"/>
      <w:r>
        <w:rPr>
          <w:sz w:val="20"/>
        </w:rPr>
        <w:t xml:space="preserve">and </w:t>
      </w:r>
      <w:r w:rsidRPr="00015B0F">
        <w:rPr>
          <w:sz w:val="20"/>
        </w:rPr>
        <w:t xml:space="preserve"> is</w:t>
      </w:r>
      <w:proofErr w:type="gramEnd"/>
      <w:r w:rsidRPr="00015B0F">
        <w:rPr>
          <w:sz w:val="20"/>
        </w:rPr>
        <w:t xml:space="preserve"> </w:t>
      </w:r>
      <w:r>
        <w:rPr>
          <w:sz w:val="20"/>
        </w:rPr>
        <w:t>the maximum value of the likelihood function based on the estimated model</w:t>
      </w:r>
      <w:r w:rsidRPr="00015B0F">
        <w:rPr>
          <w:sz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939FF"/>
    <w:multiLevelType w:val="hybridMultilevel"/>
    <w:tmpl w:val="79647D5A"/>
    <w:lvl w:ilvl="0" w:tplc="EFA637F4">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571402"/>
    <w:multiLevelType w:val="hybridMultilevel"/>
    <w:tmpl w:val="95B0FEAA"/>
    <w:lvl w:ilvl="0" w:tplc="4C303FC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rsids>
    <w:rsidRoot w:val="00F631E3"/>
    <w:rsid w:val="00000154"/>
    <w:rsid w:val="000004CD"/>
    <w:rsid w:val="00000E45"/>
    <w:rsid w:val="00001A43"/>
    <w:rsid w:val="000027B3"/>
    <w:rsid w:val="00002894"/>
    <w:rsid w:val="00002C7D"/>
    <w:rsid w:val="00003CEA"/>
    <w:rsid w:val="000040E0"/>
    <w:rsid w:val="00004A13"/>
    <w:rsid w:val="00005AC1"/>
    <w:rsid w:val="0000702B"/>
    <w:rsid w:val="00010675"/>
    <w:rsid w:val="00010CCA"/>
    <w:rsid w:val="00011407"/>
    <w:rsid w:val="000119A1"/>
    <w:rsid w:val="00011D89"/>
    <w:rsid w:val="00012F43"/>
    <w:rsid w:val="0001348F"/>
    <w:rsid w:val="00014438"/>
    <w:rsid w:val="00015EA9"/>
    <w:rsid w:val="0001636F"/>
    <w:rsid w:val="0001651A"/>
    <w:rsid w:val="00016726"/>
    <w:rsid w:val="000175E7"/>
    <w:rsid w:val="00017FA6"/>
    <w:rsid w:val="00020296"/>
    <w:rsid w:val="000202BB"/>
    <w:rsid w:val="00020E63"/>
    <w:rsid w:val="0002163E"/>
    <w:rsid w:val="00023599"/>
    <w:rsid w:val="00025EAB"/>
    <w:rsid w:val="00030ABA"/>
    <w:rsid w:val="00030F22"/>
    <w:rsid w:val="00031CBD"/>
    <w:rsid w:val="000327BB"/>
    <w:rsid w:val="00032C19"/>
    <w:rsid w:val="00033154"/>
    <w:rsid w:val="00034786"/>
    <w:rsid w:val="00034999"/>
    <w:rsid w:val="00035EF3"/>
    <w:rsid w:val="000367C9"/>
    <w:rsid w:val="00037DA4"/>
    <w:rsid w:val="000402DF"/>
    <w:rsid w:val="00040C65"/>
    <w:rsid w:val="00041894"/>
    <w:rsid w:val="00042DDC"/>
    <w:rsid w:val="00044AA7"/>
    <w:rsid w:val="0004652E"/>
    <w:rsid w:val="000500F6"/>
    <w:rsid w:val="000501AD"/>
    <w:rsid w:val="00050DA3"/>
    <w:rsid w:val="000511E3"/>
    <w:rsid w:val="00052309"/>
    <w:rsid w:val="000528BC"/>
    <w:rsid w:val="000529DF"/>
    <w:rsid w:val="0005438A"/>
    <w:rsid w:val="00054D9E"/>
    <w:rsid w:val="00054F83"/>
    <w:rsid w:val="0005583C"/>
    <w:rsid w:val="00056B74"/>
    <w:rsid w:val="00056DA1"/>
    <w:rsid w:val="000576DD"/>
    <w:rsid w:val="0005794A"/>
    <w:rsid w:val="00060504"/>
    <w:rsid w:val="00060BB7"/>
    <w:rsid w:val="000610EB"/>
    <w:rsid w:val="000620B0"/>
    <w:rsid w:val="0006265F"/>
    <w:rsid w:val="0006273A"/>
    <w:rsid w:val="000668E0"/>
    <w:rsid w:val="0006738B"/>
    <w:rsid w:val="000712C3"/>
    <w:rsid w:val="0007137A"/>
    <w:rsid w:val="00071480"/>
    <w:rsid w:val="00071A8F"/>
    <w:rsid w:val="0007231F"/>
    <w:rsid w:val="00072998"/>
    <w:rsid w:val="00072C3B"/>
    <w:rsid w:val="00073550"/>
    <w:rsid w:val="0007472F"/>
    <w:rsid w:val="00075930"/>
    <w:rsid w:val="00076582"/>
    <w:rsid w:val="000769F0"/>
    <w:rsid w:val="00077737"/>
    <w:rsid w:val="00077926"/>
    <w:rsid w:val="00077957"/>
    <w:rsid w:val="00077DF4"/>
    <w:rsid w:val="00080B96"/>
    <w:rsid w:val="00080F4F"/>
    <w:rsid w:val="000817D9"/>
    <w:rsid w:val="00083617"/>
    <w:rsid w:val="0008367B"/>
    <w:rsid w:val="000841CA"/>
    <w:rsid w:val="00086D28"/>
    <w:rsid w:val="000870C6"/>
    <w:rsid w:val="0008714A"/>
    <w:rsid w:val="00087FEB"/>
    <w:rsid w:val="00090018"/>
    <w:rsid w:val="00090CF4"/>
    <w:rsid w:val="00090FC5"/>
    <w:rsid w:val="000910B6"/>
    <w:rsid w:val="000919D3"/>
    <w:rsid w:val="00093632"/>
    <w:rsid w:val="000938D7"/>
    <w:rsid w:val="000945EE"/>
    <w:rsid w:val="0009497E"/>
    <w:rsid w:val="00094CFE"/>
    <w:rsid w:val="0009610F"/>
    <w:rsid w:val="000969E5"/>
    <w:rsid w:val="000A132E"/>
    <w:rsid w:val="000A1C3F"/>
    <w:rsid w:val="000A322D"/>
    <w:rsid w:val="000A375F"/>
    <w:rsid w:val="000A394F"/>
    <w:rsid w:val="000A39DB"/>
    <w:rsid w:val="000A4D8E"/>
    <w:rsid w:val="000A551F"/>
    <w:rsid w:val="000A55C9"/>
    <w:rsid w:val="000A7306"/>
    <w:rsid w:val="000A7BDD"/>
    <w:rsid w:val="000B00B4"/>
    <w:rsid w:val="000B0F58"/>
    <w:rsid w:val="000B36D4"/>
    <w:rsid w:val="000B423F"/>
    <w:rsid w:val="000B4FF2"/>
    <w:rsid w:val="000B5446"/>
    <w:rsid w:val="000B55E8"/>
    <w:rsid w:val="000B600B"/>
    <w:rsid w:val="000B6BAF"/>
    <w:rsid w:val="000B6D2C"/>
    <w:rsid w:val="000B7B6B"/>
    <w:rsid w:val="000C0052"/>
    <w:rsid w:val="000C020A"/>
    <w:rsid w:val="000C02A7"/>
    <w:rsid w:val="000C0D85"/>
    <w:rsid w:val="000C1E7C"/>
    <w:rsid w:val="000C295D"/>
    <w:rsid w:val="000C29FC"/>
    <w:rsid w:val="000C38E6"/>
    <w:rsid w:val="000C3A39"/>
    <w:rsid w:val="000C3D39"/>
    <w:rsid w:val="000C48AF"/>
    <w:rsid w:val="000C5274"/>
    <w:rsid w:val="000C609D"/>
    <w:rsid w:val="000C7B40"/>
    <w:rsid w:val="000C7F5E"/>
    <w:rsid w:val="000D0562"/>
    <w:rsid w:val="000D0792"/>
    <w:rsid w:val="000D1765"/>
    <w:rsid w:val="000D2CF4"/>
    <w:rsid w:val="000D6DE2"/>
    <w:rsid w:val="000D7B25"/>
    <w:rsid w:val="000E049F"/>
    <w:rsid w:val="000E1259"/>
    <w:rsid w:val="000E3EC8"/>
    <w:rsid w:val="000E40C2"/>
    <w:rsid w:val="000E5799"/>
    <w:rsid w:val="000E6C33"/>
    <w:rsid w:val="000E73C5"/>
    <w:rsid w:val="000F08EF"/>
    <w:rsid w:val="000F1640"/>
    <w:rsid w:val="000F1D67"/>
    <w:rsid w:val="000F2932"/>
    <w:rsid w:val="000F3B7F"/>
    <w:rsid w:val="000F3E17"/>
    <w:rsid w:val="000F4405"/>
    <w:rsid w:val="000F4672"/>
    <w:rsid w:val="000F51C5"/>
    <w:rsid w:val="000F5F19"/>
    <w:rsid w:val="000F606A"/>
    <w:rsid w:val="000F63C4"/>
    <w:rsid w:val="000F68FD"/>
    <w:rsid w:val="000F6B1C"/>
    <w:rsid w:val="000F7E4E"/>
    <w:rsid w:val="00101761"/>
    <w:rsid w:val="00101D6A"/>
    <w:rsid w:val="001021CE"/>
    <w:rsid w:val="00102221"/>
    <w:rsid w:val="00102F3D"/>
    <w:rsid w:val="00103D1B"/>
    <w:rsid w:val="00104D2E"/>
    <w:rsid w:val="00105029"/>
    <w:rsid w:val="0010621A"/>
    <w:rsid w:val="00107A87"/>
    <w:rsid w:val="00107B2A"/>
    <w:rsid w:val="00111649"/>
    <w:rsid w:val="0011189A"/>
    <w:rsid w:val="00111DBE"/>
    <w:rsid w:val="001131D0"/>
    <w:rsid w:val="001158FF"/>
    <w:rsid w:val="00116AA1"/>
    <w:rsid w:val="00116EE2"/>
    <w:rsid w:val="0011700B"/>
    <w:rsid w:val="00117BD4"/>
    <w:rsid w:val="00121230"/>
    <w:rsid w:val="00121F4D"/>
    <w:rsid w:val="0012276F"/>
    <w:rsid w:val="0012337C"/>
    <w:rsid w:val="00123656"/>
    <w:rsid w:val="001239C6"/>
    <w:rsid w:val="001241FA"/>
    <w:rsid w:val="00124392"/>
    <w:rsid w:val="00124E16"/>
    <w:rsid w:val="001250B3"/>
    <w:rsid w:val="00125767"/>
    <w:rsid w:val="00125CFF"/>
    <w:rsid w:val="0012731C"/>
    <w:rsid w:val="00130A1F"/>
    <w:rsid w:val="00131388"/>
    <w:rsid w:val="00131BA2"/>
    <w:rsid w:val="00131ED8"/>
    <w:rsid w:val="00134C4C"/>
    <w:rsid w:val="00135E6C"/>
    <w:rsid w:val="0013682D"/>
    <w:rsid w:val="00136B38"/>
    <w:rsid w:val="00136C57"/>
    <w:rsid w:val="00137AD8"/>
    <w:rsid w:val="00137EE6"/>
    <w:rsid w:val="00140327"/>
    <w:rsid w:val="001410E4"/>
    <w:rsid w:val="00141B91"/>
    <w:rsid w:val="00142FCD"/>
    <w:rsid w:val="001441CD"/>
    <w:rsid w:val="00144503"/>
    <w:rsid w:val="00145109"/>
    <w:rsid w:val="00145407"/>
    <w:rsid w:val="001454E8"/>
    <w:rsid w:val="00145764"/>
    <w:rsid w:val="00145C01"/>
    <w:rsid w:val="00145F77"/>
    <w:rsid w:val="00146D99"/>
    <w:rsid w:val="001474A0"/>
    <w:rsid w:val="0015030A"/>
    <w:rsid w:val="001505AE"/>
    <w:rsid w:val="00151076"/>
    <w:rsid w:val="00153221"/>
    <w:rsid w:val="001532B6"/>
    <w:rsid w:val="00156137"/>
    <w:rsid w:val="0015692B"/>
    <w:rsid w:val="001572FD"/>
    <w:rsid w:val="00157F43"/>
    <w:rsid w:val="0016409E"/>
    <w:rsid w:val="00164B68"/>
    <w:rsid w:val="00164CA0"/>
    <w:rsid w:val="0016588E"/>
    <w:rsid w:val="00166DEA"/>
    <w:rsid w:val="001673F4"/>
    <w:rsid w:val="00167D4F"/>
    <w:rsid w:val="001718EA"/>
    <w:rsid w:val="00171FF1"/>
    <w:rsid w:val="00172375"/>
    <w:rsid w:val="0017484C"/>
    <w:rsid w:val="00175187"/>
    <w:rsid w:val="00176224"/>
    <w:rsid w:val="00180FAE"/>
    <w:rsid w:val="0018163B"/>
    <w:rsid w:val="001830C9"/>
    <w:rsid w:val="00185C5A"/>
    <w:rsid w:val="00185DBC"/>
    <w:rsid w:val="00187A0C"/>
    <w:rsid w:val="001902B2"/>
    <w:rsid w:val="00190CA2"/>
    <w:rsid w:val="00192FBD"/>
    <w:rsid w:val="0019322E"/>
    <w:rsid w:val="0019342C"/>
    <w:rsid w:val="00193898"/>
    <w:rsid w:val="00193ACC"/>
    <w:rsid w:val="00194060"/>
    <w:rsid w:val="0019462F"/>
    <w:rsid w:val="0019474A"/>
    <w:rsid w:val="001948D9"/>
    <w:rsid w:val="0019535B"/>
    <w:rsid w:val="00195EFF"/>
    <w:rsid w:val="00196089"/>
    <w:rsid w:val="00196C22"/>
    <w:rsid w:val="001A0372"/>
    <w:rsid w:val="001A06D1"/>
    <w:rsid w:val="001A2043"/>
    <w:rsid w:val="001A305B"/>
    <w:rsid w:val="001A33E4"/>
    <w:rsid w:val="001A33FC"/>
    <w:rsid w:val="001A345C"/>
    <w:rsid w:val="001A3C27"/>
    <w:rsid w:val="001A40B6"/>
    <w:rsid w:val="001A6D66"/>
    <w:rsid w:val="001A7077"/>
    <w:rsid w:val="001A7A37"/>
    <w:rsid w:val="001B02F1"/>
    <w:rsid w:val="001B0482"/>
    <w:rsid w:val="001B3A04"/>
    <w:rsid w:val="001B67DE"/>
    <w:rsid w:val="001B7066"/>
    <w:rsid w:val="001C06DF"/>
    <w:rsid w:val="001C2A7E"/>
    <w:rsid w:val="001C3934"/>
    <w:rsid w:val="001C3C1D"/>
    <w:rsid w:val="001C4427"/>
    <w:rsid w:val="001C463A"/>
    <w:rsid w:val="001C4CD2"/>
    <w:rsid w:val="001C5146"/>
    <w:rsid w:val="001C562F"/>
    <w:rsid w:val="001C6F87"/>
    <w:rsid w:val="001D058F"/>
    <w:rsid w:val="001D1098"/>
    <w:rsid w:val="001D132D"/>
    <w:rsid w:val="001D17FC"/>
    <w:rsid w:val="001D2421"/>
    <w:rsid w:val="001D2953"/>
    <w:rsid w:val="001D3E87"/>
    <w:rsid w:val="001D4230"/>
    <w:rsid w:val="001D43C2"/>
    <w:rsid w:val="001D4A17"/>
    <w:rsid w:val="001D5212"/>
    <w:rsid w:val="001D6549"/>
    <w:rsid w:val="001D6B7C"/>
    <w:rsid w:val="001D7195"/>
    <w:rsid w:val="001E0B01"/>
    <w:rsid w:val="001E0BD7"/>
    <w:rsid w:val="001E0EDE"/>
    <w:rsid w:val="001E1986"/>
    <w:rsid w:val="001E1ADA"/>
    <w:rsid w:val="001E2D2E"/>
    <w:rsid w:val="001E38A8"/>
    <w:rsid w:val="001E602D"/>
    <w:rsid w:val="001F043A"/>
    <w:rsid w:val="001F3940"/>
    <w:rsid w:val="001F4438"/>
    <w:rsid w:val="001F4D53"/>
    <w:rsid w:val="001F4F62"/>
    <w:rsid w:val="001F538D"/>
    <w:rsid w:val="001F56DD"/>
    <w:rsid w:val="001F7145"/>
    <w:rsid w:val="002008CC"/>
    <w:rsid w:val="00201872"/>
    <w:rsid w:val="002031B3"/>
    <w:rsid w:val="002040AE"/>
    <w:rsid w:val="00204E06"/>
    <w:rsid w:val="00205129"/>
    <w:rsid w:val="0020567F"/>
    <w:rsid w:val="002059F9"/>
    <w:rsid w:val="00205F85"/>
    <w:rsid w:val="002062ED"/>
    <w:rsid w:val="00207400"/>
    <w:rsid w:val="00207546"/>
    <w:rsid w:val="00207F9E"/>
    <w:rsid w:val="002106BA"/>
    <w:rsid w:val="002111C1"/>
    <w:rsid w:val="002111CA"/>
    <w:rsid w:val="00212EC9"/>
    <w:rsid w:val="00213A15"/>
    <w:rsid w:val="00215AB0"/>
    <w:rsid w:val="00216672"/>
    <w:rsid w:val="0021668B"/>
    <w:rsid w:val="002169C2"/>
    <w:rsid w:val="00216E55"/>
    <w:rsid w:val="002206CE"/>
    <w:rsid w:val="00220FAA"/>
    <w:rsid w:val="00221511"/>
    <w:rsid w:val="002222F2"/>
    <w:rsid w:val="002237E0"/>
    <w:rsid w:val="002243DC"/>
    <w:rsid w:val="002255A6"/>
    <w:rsid w:val="002258AA"/>
    <w:rsid w:val="00225C48"/>
    <w:rsid w:val="00225DDB"/>
    <w:rsid w:val="00225EE6"/>
    <w:rsid w:val="00226D54"/>
    <w:rsid w:val="002270A1"/>
    <w:rsid w:val="002273CA"/>
    <w:rsid w:val="00232243"/>
    <w:rsid w:val="00232407"/>
    <w:rsid w:val="00234068"/>
    <w:rsid w:val="00235233"/>
    <w:rsid w:val="00235264"/>
    <w:rsid w:val="00235735"/>
    <w:rsid w:val="00235B7C"/>
    <w:rsid w:val="00235E98"/>
    <w:rsid w:val="0023614F"/>
    <w:rsid w:val="00236C8F"/>
    <w:rsid w:val="002371D4"/>
    <w:rsid w:val="002375C8"/>
    <w:rsid w:val="00237C9C"/>
    <w:rsid w:val="00242CD0"/>
    <w:rsid w:val="00243F2F"/>
    <w:rsid w:val="00246146"/>
    <w:rsid w:val="00246462"/>
    <w:rsid w:val="002467AD"/>
    <w:rsid w:val="0025227B"/>
    <w:rsid w:val="002529AE"/>
    <w:rsid w:val="00253077"/>
    <w:rsid w:val="00253223"/>
    <w:rsid w:val="00254667"/>
    <w:rsid w:val="0025493E"/>
    <w:rsid w:val="002557A7"/>
    <w:rsid w:val="00256669"/>
    <w:rsid w:val="00256838"/>
    <w:rsid w:val="00256EAB"/>
    <w:rsid w:val="0026154A"/>
    <w:rsid w:val="00262040"/>
    <w:rsid w:val="0026224E"/>
    <w:rsid w:val="002629A9"/>
    <w:rsid w:val="0026425D"/>
    <w:rsid w:val="00267274"/>
    <w:rsid w:val="0026763E"/>
    <w:rsid w:val="00267FB1"/>
    <w:rsid w:val="00270884"/>
    <w:rsid w:val="00270EE8"/>
    <w:rsid w:val="00270F2E"/>
    <w:rsid w:val="0027150E"/>
    <w:rsid w:val="002722C0"/>
    <w:rsid w:val="0027291D"/>
    <w:rsid w:val="00274629"/>
    <w:rsid w:val="00274993"/>
    <w:rsid w:val="00274DA4"/>
    <w:rsid w:val="00275071"/>
    <w:rsid w:val="00275C25"/>
    <w:rsid w:val="00280FDB"/>
    <w:rsid w:val="00281A90"/>
    <w:rsid w:val="0028255F"/>
    <w:rsid w:val="0028297E"/>
    <w:rsid w:val="0028321E"/>
    <w:rsid w:val="00283B48"/>
    <w:rsid w:val="00283E11"/>
    <w:rsid w:val="002841A1"/>
    <w:rsid w:val="0028712D"/>
    <w:rsid w:val="00287B24"/>
    <w:rsid w:val="00290A9F"/>
    <w:rsid w:val="0029354C"/>
    <w:rsid w:val="0029401F"/>
    <w:rsid w:val="00294C9D"/>
    <w:rsid w:val="0029502A"/>
    <w:rsid w:val="0029538F"/>
    <w:rsid w:val="00296B51"/>
    <w:rsid w:val="002972C3"/>
    <w:rsid w:val="0029798F"/>
    <w:rsid w:val="002979B8"/>
    <w:rsid w:val="00297A19"/>
    <w:rsid w:val="002A0620"/>
    <w:rsid w:val="002A21EE"/>
    <w:rsid w:val="002A2F2A"/>
    <w:rsid w:val="002A67A7"/>
    <w:rsid w:val="002A6F6D"/>
    <w:rsid w:val="002B1355"/>
    <w:rsid w:val="002B1BC5"/>
    <w:rsid w:val="002B1C8E"/>
    <w:rsid w:val="002B1CC3"/>
    <w:rsid w:val="002B3BC2"/>
    <w:rsid w:val="002B3FD1"/>
    <w:rsid w:val="002B58FF"/>
    <w:rsid w:val="002C12A0"/>
    <w:rsid w:val="002C13FC"/>
    <w:rsid w:val="002C3E37"/>
    <w:rsid w:val="002C4C70"/>
    <w:rsid w:val="002C691F"/>
    <w:rsid w:val="002D1617"/>
    <w:rsid w:val="002D3FAC"/>
    <w:rsid w:val="002D400E"/>
    <w:rsid w:val="002D425C"/>
    <w:rsid w:val="002D4F16"/>
    <w:rsid w:val="002D5A10"/>
    <w:rsid w:val="002D5A62"/>
    <w:rsid w:val="002D6D5D"/>
    <w:rsid w:val="002D7B44"/>
    <w:rsid w:val="002D7ED7"/>
    <w:rsid w:val="002E04EF"/>
    <w:rsid w:val="002E0EFB"/>
    <w:rsid w:val="002E1FD0"/>
    <w:rsid w:val="002E2D63"/>
    <w:rsid w:val="002E2E75"/>
    <w:rsid w:val="002E2FD2"/>
    <w:rsid w:val="002E3444"/>
    <w:rsid w:val="002E4079"/>
    <w:rsid w:val="002E4A7F"/>
    <w:rsid w:val="002E6CE5"/>
    <w:rsid w:val="002E6EED"/>
    <w:rsid w:val="002E759D"/>
    <w:rsid w:val="002E7683"/>
    <w:rsid w:val="002E7CC5"/>
    <w:rsid w:val="002F253D"/>
    <w:rsid w:val="002F2D82"/>
    <w:rsid w:val="002F3456"/>
    <w:rsid w:val="002F3C24"/>
    <w:rsid w:val="002F3DF6"/>
    <w:rsid w:val="002F46D1"/>
    <w:rsid w:val="002F4855"/>
    <w:rsid w:val="002F4E0B"/>
    <w:rsid w:val="002F65FB"/>
    <w:rsid w:val="002F7B17"/>
    <w:rsid w:val="003016FA"/>
    <w:rsid w:val="0030176A"/>
    <w:rsid w:val="003035D9"/>
    <w:rsid w:val="00303DAF"/>
    <w:rsid w:val="003044CB"/>
    <w:rsid w:val="0030493D"/>
    <w:rsid w:val="00305123"/>
    <w:rsid w:val="00305577"/>
    <w:rsid w:val="00305980"/>
    <w:rsid w:val="00305FDE"/>
    <w:rsid w:val="0030715D"/>
    <w:rsid w:val="0030752C"/>
    <w:rsid w:val="003113B5"/>
    <w:rsid w:val="00311428"/>
    <w:rsid w:val="00312675"/>
    <w:rsid w:val="00312CF3"/>
    <w:rsid w:val="0031524F"/>
    <w:rsid w:val="0031604F"/>
    <w:rsid w:val="00316816"/>
    <w:rsid w:val="0031745D"/>
    <w:rsid w:val="0032297D"/>
    <w:rsid w:val="00323B84"/>
    <w:rsid w:val="003247E6"/>
    <w:rsid w:val="00325EAD"/>
    <w:rsid w:val="00326613"/>
    <w:rsid w:val="00330014"/>
    <w:rsid w:val="00332467"/>
    <w:rsid w:val="003326C9"/>
    <w:rsid w:val="00332B5D"/>
    <w:rsid w:val="00333FDE"/>
    <w:rsid w:val="00334DA4"/>
    <w:rsid w:val="00334FCF"/>
    <w:rsid w:val="00336E10"/>
    <w:rsid w:val="0033745C"/>
    <w:rsid w:val="003408ED"/>
    <w:rsid w:val="003422EF"/>
    <w:rsid w:val="003457DA"/>
    <w:rsid w:val="003479C6"/>
    <w:rsid w:val="00347BB9"/>
    <w:rsid w:val="00347C3A"/>
    <w:rsid w:val="00347F7F"/>
    <w:rsid w:val="0035166C"/>
    <w:rsid w:val="00351E45"/>
    <w:rsid w:val="003529F7"/>
    <w:rsid w:val="00352E70"/>
    <w:rsid w:val="0035369D"/>
    <w:rsid w:val="003541A0"/>
    <w:rsid w:val="00361AB0"/>
    <w:rsid w:val="00361F83"/>
    <w:rsid w:val="003626EA"/>
    <w:rsid w:val="0036297A"/>
    <w:rsid w:val="003649F9"/>
    <w:rsid w:val="00364AD7"/>
    <w:rsid w:val="00366739"/>
    <w:rsid w:val="0037002A"/>
    <w:rsid w:val="00370B24"/>
    <w:rsid w:val="00374706"/>
    <w:rsid w:val="00377318"/>
    <w:rsid w:val="00381663"/>
    <w:rsid w:val="00381848"/>
    <w:rsid w:val="00383002"/>
    <w:rsid w:val="0038467D"/>
    <w:rsid w:val="0038468D"/>
    <w:rsid w:val="003847D6"/>
    <w:rsid w:val="00386020"/>
    <w:rsid w:val="00386577"/>
    <w:rsid w:val="00387E95"/>
    <w:rsid w:val="003901A3"/>
    <w:rsid w:val="003901A4"/>
    <w:rsid w:val="003903B5"/>
    <w:rsid w:val="0039255E"/>
    <w:rsid w:val="003934C6"/>
    <w:rsid w:val="003936F6"/>
    <w:rsid w:val="003956B0"/>
    <w:rsid w:val="00396918"/>
    <w:rsid w:val="003A0926"/>
    <w:rsid w:val="003A2286"/>
    <w:rsid w:val="003A3182"/>
    <w:rsid w:val="003A5876"/>
    <w:rsid w:val="003A5D64"/>
    <w:rsid w:val="003A661D"/>
    <w:rsid w:val="003A7ABB"/>
    <w:rsid w:val="003B0019"/>
    <w:rsid w:val="003B052A"/>
    <w:rsid w:val="003B08F5"/>
    <w:rsid w:val="003B2E5F"/>
    <w:rsid w:val="003B2E7A"/>
    <w:rsid w:val="003B3010"/>
    <w:rsid w:val="003B3911"/>
    <w:rsid w:val="003B3E8C"/>
    <w:rsid w:val="003B497B"/>
    <w:rsid w:val="003B69EB"/>
    <w:rsid w:val="003B7A35"/>
    <w:rsid w:val="003C0E84"/>
    <w:rsid w:val="003C0F31"/>
    <w:rsid w:val="003C161F"/>
    <w:rsid w:val="003C2A59"/>
    <w:rsid w:val="003C3CFE"/>
    <w:rsid w:val="003C5CCB"/>
    <w:rsid w:val="003C6C99"/>
    <w:rsid w:val="003C7515"/>
    <w:rsid w:val="003D0134"/>
    <w:rsid w:val="003D0357"/>
    <w:rsid w:val="003D13D0"/>
    <w:rsid w:val="003D1CB2"/>
    <w:rsid w:val="003D232C"/>
    <w:rsid w:val="003D2337"/>
    <w:rsid w:val="003D4CD8"/>
    <w:rsid w:val="003D59E0"/>
    <w:rsid w:val="003E020C"/>
    <w:rsid w:val="003E477D"/>
    <w:rsid w:val="003E59CD"/>
    <w:rsid w:val="003E64D1"/>
    <w:rsid w:val="003E6B2B"/>
    <w:rsid w:val="003F7156"/>
    <w:rsid w:val="00400CA9"/>
    <w:rsid w:val="004016A6"/>
    <w:rsid w:val="00401DDA"/>
    <w:rsid w:val="004027D4"/>
    <w:rsid w:val="00404053"/>
    <w:rsid w:val="004067A2"/>
    <w:rsid w:val="0040784F"/>
    <w:rsid w:val="00407AF6"/>
    <w:rsid w:val="00407B48"/>
    <w:rsid w:val="00407FBD"/>
    <w:rsid w:val="00410DD2"/>
    <w:rsid w:val="00410EF7"/>
    <w:rsid w:val="004112B6"/>
    <w:rsid w:val="00411544"/>
    <w:rsid w:val="00412194"/>
    <w:rsid w:val="004132E0"/>
    <w:rsid w:val="00413812"/>
    <w:rsid w:val="00413C6F"/>
    <w:rsid w:val="0041442A"/>
    <w:rsid w:val="00415002"/>
    <w:rsid w:val="004157B5"/>
    <w:rsid w:val="004166D1"/>
    <w:rsid w:val="004167D2"/>
    <w:rsid w:val="004179FC"/>
    <w:rsid w:val="00420304"/>
    <w:rsid w:val="0042067C"/>
    <w:rsid w:val="004208EE"/>
    <w:rsid w:val="00420C3A"/>
    <w:rsid w:val="0042122F"/>
    <w:rsid w:val="004217C2"/>
    <w:rsid w:val="00422ABC"/>
    <w:rsid w:val="004231BF"/>
    <w:rsid w:val="00423A96"/>
    <w:rsid w:val="00424CB4"/>
    <w:rsid w:val="0042588D"/>
    <w:rsid w:val="00426741"/>
    <w:rsid w:val="00426870"/>
    <w:rsid w:val="00427B9E"/>
    <w:rsid w:val="00432566"/>
    <w:rsid w:val="00432798"/>
    <w:rsid w:val="00433A99"/>
    <w:rsid w:val="00433F6A"/>
    <w:rsid w:val="004349F7"/>
    <w:rsid w:val="004351CA"/>
    <w:rsid w:val="00435380"/>
    <w:rsid w:val="004356BE"/>
    <w:rsid w:val="00436B5A"/>
    <w:rsid w:val="00437261"/>
    <w:rsid w:val="0043738A"/>
    <w:rsid w:val="0044093D"/>
    <w:rsid w:val="00440F50"/>
    <w:rsid w:val="004421B5"/>
    <w:rsid w:val="00442CE8"/>
    <w:rsid w:val="00442EB1"/>
    <w:rsid w:val="004434C3"/>
    <w:rsid w:val="004437EA"/>
    <w:rsid w:val="004458E8"/>
    <w:rsid w:val="0045011A"/>
    <w:rsid w:val="004517BE"/>
    <w:rsid w:val="00452297"/>
    <w:rsid w:val="0045361D"/>
    <w:rsid w:val="00453C58"/>
    <w:rsid w:val="004547BF"/>
    <w:rsid w:val="004577E9"/>
    <w:rsid w:val="004609BB"/>
    <w:rsid w:val="004637DC"/>
    <w:rsid w:val="00463C5F"/>
    <w:rsid w:val="004646D1"/>
    <w:rsid w:val="004648A3"/>
    <w:rsid w:val="00464AFF"/>
    <w:rsid w:val="00464F43"/>
    <w:rsid w:val="004665DC"/>
    <w:rsid w:val="00466DA0"/>
    <w:rsid w:val="00467930"/>
    <w:rsid w:val="00467DB8"/>
    <w:rsid w:val="00472AAD"/>
    <w:rsid w:val="00473A70"/>
    <w:rsid w:val="00473E3A"/>
    <w:rsid w:val="004742C9"/>
    <w:rsid w:val="0047501C"/>
    <w:rsid w:val="0047648C"/>
    <w:rsid w:val="00476568"/>
    <w:rsid w:val="00476829"/>
    <w:rsid w:val="00477556"/>
    <w:rsid w:val="00477CB5"/>
    <w:rsid w:val="004800F6"/>
    <w:rsid w:val="0048197F"/>
    <w:rsid w:val="00481DCA"/>
    <w:rsid w:val="004831AF"/>
    <w:rsid w:val="0048377B"/>
    <w:rsid w:val="00483F01"/>
    <w:rsid w:val="0048548D"/>
    <w:rsid w:val="00490CE7"/>
    <w:rsid w:val="00492129"/>
    <w:rsid w:val="00492DBB"/>
    <w:rsid w:val="00496102"/>
    <w:rsid w:val="004962C9"/>
    <w:rsid w:val="00496F0B"/>
    <w:rsid w:val="004A0117"/>
    <w:rsid w:val="004A0DE4"/>
    <w:rsid w:val="004A197B"/>
    <w:rsid w:val="004A2BE2"/>
    <w:rsid w:val="004A31DC"/>
    <w:rsid w:val="004A644B"/>
    <w:rsid w:val="004A69BC"/>
    <w:rsid w:val="004A6CA7"/>
    <w:rsid w:val="004B0665"/>
    <w:rsid w:val="004B0BF7"/>
    <w:rsid w:val="004B18D9"/>
    <w:rsid w:val="004B1DDC"/>
    <w:rsid w:val="004B2E2B"/>
    <w:rsid w:val="004B512A"/>
    <w:rsid w:val="004B58A3"/>
    <w:rsid w:val="004B5B00"/>
    <w:rsid w:val="004B751C"/>
    <w:rsid w:val="004C0E3B"/>
    <w:rsid w:val="004C28C1"/>
    <w:rsid w:val="004C2D59"/>
    <w:rsid w:val="004C36A6"/>
    <w:rsid w:val="004C51CD"/>
    <w:rsid w:val="004C5DAC"/>
    <w:rsid w:val="004C7835"/>
    <w:rsid w:val="004D120B"/>
    <w:rsid w:val="004D1437"/>
    <w:rsid w:val="004D29A3"/>
    <w:rsid w:val="004D3ABB"/>
    <w:rsid w:val="004D3C6F"/>
    <w:rsid w:val="004D4C1B"/>
    <w:rsid w:val="004D5B65"/>
    <w:rsid w:val="004D6459"/>
    <w:rsid w:val="004D70EF"/>
    <w:rsid w:val="004D7901"/>
    <w:rsid w:val="004E003E"/>
    <w:rsid w:val="004E005A"/>
    <w:rsid w:val="004E080A"/>
    <w:rsid w:val="004E1810"/>
    <w:rsid w:val="004E2672"/>
    <w:rsid w:val="004E3B07"/>
    <w:rsid w:val="004E494E"/>
    <w:rsid w:val="004E50D6"/>
    <w:rsid w:val="004E56D3"/>
    <w:rsid w:val="004E6189"/>
    <w:rsid w:val="004E6361"/>
    <w:rsid w:val="004E6F50"/>
    <w:rsid w:val="004E76FA"/>
    <w:rsid w:val="004F2BAC"/>
    <w:rsid w:val="004F2D45"/>
    <w:rsid w:val="004F315D"/>
    <w:rsid w:val="004F4C07"/>
    <w:rsid w:val="004F5AC2"/>
    <w:rsid w:val="004F62C5"/>
    <w:rsid w:val="004F7735"/>
    <w:rsid w:val="00501A05"/>
    <w:rsid w:val="00501C97"/>
    <w:rsid w:val="005051F7"/>
    <w:rsid w:val="00505D7E"/>
    <w:rsid w:val="00506530"/>
    <w:rsid w:val="00506F89"/>
    <w:rsid w:val="005073E5"/>
    <w:rsid w:val="00511BBA"/>
    <w:rsid w:val="0051217B"/>
    <w:rsid w:val="0051321F"/>
    <w:rsid w:val="00513AA3"/>
    <w:rsid w:val="00514256"/>
    <w:rsid w:val="0051510F"/>
    <w:rsid w:val="00516191"/>
    <w:rsid w:val="00517D26"/>
    <w:rsid w:val="005203FD"/>
    <w:rsid w:val="0052106A"/>
    <w:rsid w:val="00521873"/>
    <w:rsid w:val="00521ED9"/>
    <w:rsid w:val="00521F2F"/>
    <w:rsid w:val="00522AE2"/>
    <w:rsid w:val="00524360"/>
    <w:rsid w:val="00525B1B"/>
    <w:rsid w:val="0052646B"/>
    <w:rsid w:val="00526822"/>
    <w:rsid w:val="005268DD"/>
    <w:rsid w:val="00531E75"/>
    <w:rsid w:val="005322C1"/>
    <w:rsid w:val="00535159"/>
    <w:rsid w:val="005358A1"/>
    <w:rsid w:val="0053627E"/>
    <w:rsid w:val="005366E3"/>
    <w:rsid w:val="00537B17"/>
    <w:rsid w:val="005400B1"/>
    <w:rsid w:val="00540518"/>
    <w:rsid w:val="00541DD3"/>
    <w:rsid w:val="005420FE"/>
    <w:rsid w:val="005438A4"/>
    <w:rsid w:val="005439BF"/>
    <w:rsid w:val="00543F32"/>
    <w:rsid w:val="005449E4"/>
    <w:rsid w:val="00545263"/>
    <w:rsid w:val="00546292"/>
    <w:rsid w:val="00546723"/>
    <w:rsid w:val="00546744"/>
    <w:rsid w:val="00547BCE"/>
    <w:rsid w:val="00552940"/>
    <w:rsid w:val="0055388C"/>
    <w:rsid w:val="00553FE5"/>
    <w:rsid w:val="00554431"/>
    <w:rsid w:val="00554DAF"/>
    <w:rsid w:val="00555398"/>
    <w:rsid w:val="005572DA"/>
    <w:rsid w:val="00560266"/>
    <w:rsid w:val="00560BAA"/>
    <w:rsid w:val="00560BF0"/>
    <w:rsid w:val="00560DB1"/>
    <w:rsid w:val="00560F9E"/>
    <w:rsid w:val="0056192D"/>
    <w:rsid w:val="00561E0F"/>
    <w:rsid w:val="00561F52"/>
    <w:rsid w:val="00561FDA"/>
    <w:rsid w:val="00562553"/>
    <w:rsid w:val="005627EF"/>
    <w:rsid w:val="00563D11"/>
    <w:rsid w:val="0056457A"/>
    <w:rsid w:val="005645B5"/>
    <w:rsid w:val="00564AB6"/>
    <w:rsid w:val="00566FF5"/>
    <w:rsid w:val="00570FC7"/>
    <w:rsid w:val="005714A0"/>
    <w:rsid w:val="00571B2A"/>
    <w:rsid w:val="00572433"/>
    <w:rsid w:val="00573281"/>
    <w:rsid w:val="0057603C"/>
    <w:rsid w:val="00577837"/>
    <w:rsid w:val="00577E79"/>
    <w:rsid w:val="005805EE"/>
    <w:rsid w:val="005811CF"/>
    <w:rsid w:val="00582652"/>
    <w:rsid w:val="00582FAB"/>
    <w:rsid w:val="005836D9"/>
    <w:rsid w:val="005839B5"/>
    <w:rsid w:val="00583D2E"/>
    <w:rsid w:val="00583D6F"/>
    <w:rsid w:val="00583D90"/>
    <w:rsid w:val="00583EA1"/>
    <w:rsid w:val="00586E63"/>
    <w:rsid w:val="005875D1"/>
    <w:rsid w:val="005876B5"/>
    <w:rsid w:val="0058779B"/>
    <w:rsid w:val="00587E0B"/>
    <w:rsid w:val="00587F7E"/>
    <w:rsid w:val="00590AB9"/>
    <w:rsid w:val="00590C5B"/>
    <w:rsid w:val="0059122B"/>
    <w:rsid w:val="00591EA6"/>
    <w:rsid w:val="005934F7"/>
    <w:rsid w:val="005936D6"/>
    <w:rsid w:val="005941F9"/>
    <w:rsid w:val="00597254"/>
    <w:rsid w:val="005A19C8"/>
    <w:rsid w:val="005A23FA"/>
    <w:rsid w:val="005A34AC"/>
    <w:rsid w:val="005A3798"/>
    <w:rsid w:val="005A3D83"/>
    <w:rsid w:val="005A5070"/>
    <w:rsid w:val="005A5958"/>
    <w:rsid w:val="005B044F"/>
    <w:rsid w:val="005B13E3"/>
    <w:rsid w:val="005B15B4"/>
    <w:rsid w:val="005B227E"/>
    <w:rsid w:val="005B2D83"/>
    <w:rsid w:val="005B2D8F"/>
    <w:rsid w:val="005B3479"/>
    <w:rsid w:val="005B5D80"/>
    <w:rsid w:val="005B5F0B"/>
    <w:rsid w:val="005B645F"/>
    <w:rsid w:val="005B6EA3"/>
    <w:rsid w:val="005C119D"/>
    <w:rsid w:val="005C1353"/>
    <w:rsid w:val="005C13A3"/>
    <w:rsid w:val="005C2536"/>
    <w:rsid w:val="005C2BF2"/>
    <w:rsid w:val="005C2CA6"/>
    <w:rsid w:val="005C42A5"/>
    <w:rsid w:val="005C444B"/>
    <w:rsid w:val="005C4B85"/>
    <w:rsid w:val="005C5126"/>
    <w:rsid w:val="005C5301"/>
    <w:rsid w:val="005C5CDF"/>
    <w:rsid w:val="005C620A"/>
    <w:rsid w:val="005C7019"/>
    <w:rsid w:val="005C71A6"/>
    <w:rsid w:val="005C7EC4"/>
    <w:rsid w:val="005D078E"/>
    <w:rsid w:val="005D1546"/>
    <w:rsid w:val="005D1832"/>
    <w:rsid w:val="005D19A5"/>
    <w:rsid w:val="005D3705"/>
    <w:rsid w:val="005D6D55"/>
    <w:rsid w:val="005D7187"/>
    <w:rsid w:val="005D750F"/>
    <w:rsid w:val="005E0EF6"/>
    <w:rsid w:val="005E17A8"/>
    <w:rsid w:val="005E2802"/>
    <w:rsid w:val="005E5719"/>
    <w:rsid w:val="005E6586"/>
    <w:rsid w:val="005E6BFF"/>
    <w:rsid w:val="005E7E9C"/>
    <w:rsid w:val="005F0FF0"/>
    <w:rsid w:val="005F1174"/>
    <w:rsid w:val="005F310A"/>
    <w:rsid w:val="005F4C11"/>
    <w:rsid w:val="005F5409"/>
    <w:rsid w:val="005F666C"/>
    <w:rsid w:val="005F740C"/>
    <w:rsid w:val="00601330"/>
    <w:rsid w:val="00603589"/>
    <w:rsid w:val="006045F7"/>
    <w:rsid w:val="006047FE"/>
    <w:rsid w:val="00606190"/>
    <w:rsid w:val="0060638E"/>
    <w:rsid w:val="006063BE"/>
    <w:rsid w:val="006064A1"/>
    <w:rsid w:val="00606BCC"/>
    <w:rsid w:val="0060772D"/>
    <w:rsid w:val="0061151D"/>
    <w:rsid w:val="00611787"/>
    <w:rsid w:val="00612F67"/>
    <w:rsid w:val="00613DB6"/>
    <w:rsid w:val="006157EE"/>
    <w:rsid w:val="0062053E"/>
    <w:rsid w:val="00621CDF"/>
    <w:rsid w:val="00622A4F"/>
    <w:rsid w:val="00622BD1"/>
    <w:rsid w:val="00625307"/>
    <w:rsid w:val="0062531E"/>
    <w:rsid w:val="00626421"/>
    <w:rsid w:val="00627558"/>
    <w:rsid w:val="00630608"/>
    <w:rsid w:val="00631879"/>
    <w:rsid w:val="00631EC0"/>
    <w:rsid w:val="006344BE"/>
    <w:rsid w:val="00634700"/>
    <w:rsid w:val="00634870"/>
    <w:rsid w:val="0063583F"/>
    <w:rsid w:val="00635B51"/>
    <w:rsid w:val="00643330"/>
    <w:rsid w:val="00643C56"/>
    <w:rsid w:val="00643C7D"/>
    <w:rsid w:val="006442E0"/>
    <w:rsid w:val="00644F19"/>
    <w:rsid w:val="00644F7B"/>
    <w:rsid w:val="0064506C"/>
    <w:rsid w:val="00646EA4"/>
    <w:rsid w:val="0064748F"/>
    <w:rsid w:val="00650075"/>
    <w:rsid w:val="00650758"/>
    <w:rsid w:val="00650968"/>
    <w:rsid w:val="00650FB4"/>
    <w:rsid w:val="00652BC6"/>
    <w:rsid w:val="00654E18"/>
    <w:rsid w:val="00654F0C"/>
    <w:rsid w:val="0065536F"/>
    <w:rsid w:val="00655C69"/>
    <w:rsid w:val="00656E63"/>
    <w:rsid w:val="006603F1"/>
    <w:rsid w:val="00661E37"/>
    <w:rsid w:val="00661F1A"/>
    <w:rsid w:val="00662D12"/>
    <w:rsid w:val="006659F3"/>
    <w:rsid w:val="0066607F"/>
    <w:rsid w:val="0066624D"/>
    <w:rsid w:val="00670038"/>
    <w:rsid w:val="0067383B"/>
    <w:rsid w:val="00674437"/>
    <w:rsid w:val="00675B2B"/>
    <w:rsid w:val="00676587"/>
    <w:rsid w:val="00676F20"/>
    <w:rsid w:val="00677FE6"/>
    <w:rsid w:val="0068043D"/>
    <w:rsid w:val="0068102C"/>
    <w:rsid w:val="00681F27"/>
    <w:rsid w:val="006820D6"/>
    <w:rsid w:val="006841B1"/>
    <w:rsid w:val="00684F8E"/>
    <w:rsid w:val="00686680"/>
    <w:rsid w:val="006867DD"/>
    <w:rsid w:val="00690B89"/>
    <w:rsid w:val="006916CD"/>
    <w:rsid w:val="0069208E"/>
    <w:rsid w:val="00692D26"/>
    <w:rsid w:val="0069349C"/>
    <w:rsid w:val="006938E5"/>
    <w:rsid w:val="00694156"/>
    <w:rsid w:val="0069520E"/>
    <w:rsid w:val="0069522C"/>
    <w:rsid w:val="00697D0A"/>
    <w:rsid w:val="006A0071"/>
    <w:rsid w:val="006A0F20"/>
    <w:rsid w:val="006A1A6D"/>
    <w:rsid w:val="006A1A9B"/>
    <w:rsid w:val="006A1E60"/>
    <w:rsid w:val="006A391D"/>
    <w:rsid w:val="006A3A11"/>
    <w:rsid w:val="006A3C1B"/>
    <w:rsid w:val="006A40E3"/>
    <w:rsid w:val="006A51A9"/>
    <w:rsid w:val="006A5387"/>
    <w:rsid w:val="006A5484"/>
    <w:rsid w:val="006A5C50"/>
    <w:rsid w:val="006A5EE0"/>
    <w:rsid w:val="006A6CC6"/>
    <w:rsid w:val="006A7744"/>
    <w:rsid w:val="006B0F23"/>
    <w:rsid w:val="006B21C9"/>
    <w:rsid w:val="006B262F"/>
    <w:rsid w:val="006B30AE"/>
    <w:rsid w:val="006B358D"/>
    <w:rsid w:val="006B3E80"/>
    <w:rsid w:val="006B436D"/>
    <w:rsid w:val="006B4C8F"/>
    <w:rsid w:val="006B5A02"/>
    <w:rsid w:val="006B5CD6"/>
    <w:rsid w:val="006B5FFE"/>
    <w:rsid w:val="006B61D6"/>
    <w:rsid w:val="006C0C15"/>
    <w:rsid w:val="006C271A"/>
    <w:rsid w:val="006C3CF6"/>
    <w:rsid w:val="006C4699"/>
    <w:rsid w:val="006C4B1E"/>
    <w:rsid w:val="006D0899"/>
    <w:rsid w:val="006D19F6"/>
    <w:rsid w:val="006D1A29"/>
    <w:rsid w:val="006D1C8A"/>
    <w:rsid w:val="006D318B"/>
    <w:rsid w:val="006D4821"/>
    <w:rsid w:val="006D5498"/>
    <w:rsid w:val="006D58DA"/>
    <w:rsid w:val="006D7369"/>
    <w:rsid w:val="006E3804"/>
    <w:rsid w:val="006E3E20"/>
    <w:rsid w:val="006E541E"/>
    <w:rsid w:val="006E702F"/>
    <w:rsid w:val="006F0CAF"/>
    <w:rsid w:val="006F1086"/>
    <w:rsid w:val="006F18F0"/>
    <w:rsid w:val="006F2E4B"/>
    <w:rsid w:val="006F2EE2"/>
    <w:rsid w:val="006F326A"/>
    <w:rsid w:val="006F340D"/>
    <w:rsid w:val="006F37F8"/>
    <w:rsid w:val="006F402F"/>
    <w:rsid w:val="00701D27"/>
    <w:rsid w:val="00701E87"/>
    <w:rsid w:val="0070200A"/>
    <w:rsid w:val="00702C2F"/>
    <w:rsid w:val="0070302B"/>
    <w:rsid w:val="007031B4"/>
    <w:rsid w:val="00703A4C"/>
    <w:rsid w:val="00704C7C"/>
    <w:rsid w:val="00705391"/>
    <w:rsid w:val="00705B70"/>
    <w:rsid w:val="00706F10"/>
    <w:rsid w:val="00707016"/>
    <w:rsid w:val="0071018F"/>
    <w:rsid w:val="007101E2"/>
    <w:rsid w:val="0071154F"/>
    <w:rsid w:val="00711BEE"/>
    <w:rsid w:val="007149C3"/>
    <w:rsid w:val="00714A8A"/>
    <w:rsid w:val="00714E05"/>
    <w:rsid w:val="00715D52"/>
    <w:rsid w:val="00720322"/>
    <w:rsid w:val="00723E87"/>
    <w:rsid w:val="00724591"/>
    <w:rsid w:val="00725500"/>
    <w:rsid w:val="00730168"/>
    <w:rsid w:val="0073035E"/>
    <w:rsid w:val="00730461"/>
    <w:rsid w:val="00730CAC"/>
    <w:rsid w:val="00731495"/>
    <w:rsid w:val="007317EF"/>
    <w:rsid w:val="00733B9C"/>
    <w:rsid w:val="00734F7C"/>
    <w:rsid w:val="00735AF2"/>
    <w:rsid w:val="007360D6"/>
    <w:rsid w:val="00737AB6"/>
    <w:rsid w:val="007409D5"/>
    <w:rsid w:val="00740A0C"/>
    <w:rsid w:val="00740EAD"/>
    <w:rsid w:val="007416DD"/>
    <w:rsid w:val="00741D97"/>
    <w:rsid w:val="007422DE"/>
    <w:rsid w:val="007427B5"/>
    <w:rsid w:val="00742ECD"/>
    <w:rsid w:val="007436B3"/>
    <w:rsid w:val="007437D8"/>
    <w:rsid w:val="00743979"/>
    <w:rsid w:val="00743B57"/>
    <w:rsid w:val="00743B85"/>
    <w:rsid w:val="007456B8"/>
    <w:rsid w:val="00745A8B"/>
    <w:rsid w:val="007500C2"/>
    <w:rsid w:val="00750DF0"/>
    <w:rsid w:val="00750E5A"/>
    <w:rsid w:val="00750F44"/>
    <w:rsid w:val="00751761"/>
    <w:rsid w:val="00752071"/>
    <w:rsid w:val="00752312"/>
    <w:rsid w:val="0075290D"/>
    <w:rsid w:val="00752E80"/>
    <w:rsid w:val="00753531"/>
    <w:rsid w:val="00753596"/>
    <w:rsid w:val="00753F3B"/>
    <w:rsid w:val="007560D2"/>
    <w:rsid w:val="0075645C"/>
    <w:rsid w:val="00756DF3"/>
    <w:rsid w:val="007573BE"/>
    <w:rsid w:val="00760208"/>
    <w:rsid w:val="0076082C"/>
    <w:rsid w:val="00761698"/>
    <w:rsid w:val="007622D4"/>
    <w:rsid w:val="00762A41"/>
    <w:rsid w:val="00763369"/>
    <w:rsid w:val="0076382D"/>
    <w:rsid w:val="007653B3"/>
    <w:rsid w:val="00765726"/>
    <w:rsid w:val="00770C0B"/>
    <w:rsid w:val="00770E35"/>
    <w:rsid w:val="007714E5"/>
    <w:rsid w:val="00771CB2"/>
    <w:rsid w:val="007729E3"/>
    <w:rsid w:val="00772C08"/>
    <w:rsid w:val="00773259"/>
    <w:rsid w:val="0077341E"/>
    <w:rsid w:val="0077469D"/>
    <w:rsid w:val="00775425"/>
    <w:rsid w:val="007759B4"/>
    <w:rsid w:val="00776B9A"/>
    <w:rsid w:val="00776D94"/>
    <w:rsid w:val="00777723"/>
    <w:rsid w:val="00782A34"/>
    <w:rsid w:val="00782F91"/>
    <w:rsid w:val="00783BCC"/>
    <w:rsid w:val="00783BE9"/>
    <w:rsid w:val="00783C9F"/>
    <w:rsid w:val="00783DEB"/>
    <w:rsid w:val="007870E8"/>
    <w:rsid w:val="007879A3"/>
    <w:rsid w:val="00791356"/>
    <w:rsid w:val="007919DC"/>
    <w:rsid w:val="00793A1A"/>
    <w:rsid w:val="00795C2A"/>
    <w:rsid w:val="007960E6"/>
    <w:rsid w:val="00797227"/>
    <w:rsid w:val="007973D1"/>
    <w:rsid w:val="007A0319"/>
    <w:rsid w:val="007A1B17"/>
    <w:rsid w:val="007A58B7"/>
    <w:rsid w:val="007A60F2"/>
    <w:rsid w:val="007A727F"/>
    <w:rsid w:val="007B17F2"/>
    <w:rsid w:val="007B326C"/>
    <w:rsid w:val="007B45E5"/>
    <w:rsid w:val="007B5334"/>
    <w:rsid w:val="007B59B2"/>
    <w:rsid w:val="007B59F8"/>
    <w:rsid w:val="007B5A60"/>
    <w:rsid w:val="007B5E7D"/>
    <w:rsid w:val="007B6965"/>
    <w:rsid w:val="007B703D"/>
    <w:rsid w:val="007B716C"/>
    <w:rsid w:val="007B7881"/>
    <w:rsid w:val="007B7AA4"/>
    <w:rsid w:val="007B7CDB"/>
    <w:rsid w:val="007C0CB4"/>
    <w:rsid w:val="007C10BF"/>
    <w:rsid w:val="007C1252"/>
    <w:rsid w:val="007C1A87"/>
    <w:rsid w:val="007C4BFE"/>
    <w:rsid w:val="007C6A6E"/>
    <w:rsid w:val="007C6F23"/>
    <w:rsid w:val="007C711A"/>
    <w:rsid w:val="007C7715"/>
    <w:rsid w:val="007C7716"/>
    <w:rsid w:val="007C7B70"/>
    <w:rsid w:val="007D030D"/>
    <w:rsid w:val="007D10F8"/>
    <w:rsid w:val="007D16DF"/>
    <w:rsid w:val="007D22E6"/>
    <w:rsid w:val="007D25A7"/>
    <w:rsid w:val="007D3792"/>
    <w:rsid w:val="007D466B"/>
    <w:rsid w:val="007D4C94"/>
    <w:rsid w:val="007D5DB1"/>
    <w:rsid w:val="007D62ED"/>
    <w:rsid w:val="007D6A22"/>
    <w:rsid w:val="007D6EB1"/>
    <w:rsid w:val="007E0749"/>
    <w:rsid w:val="007E11F6"/>
    <w:rsid w:val="007E3330"/>
    <w:rsid w:val="007E69B4"/>
    <w:rsid w:val="007E709F"/>
    <w:rsid w:val="007F000C"/>
    <w:rsid w:val="007F0A09"/>
    <w:rsid w:val="007F1176"/>
    <w:rsid w:val="007F2232"/>
    <w:rsid w:val="007F2A26"/>
    <w:rsid w:val="007F40BB"/>
    <w:rsid w:val="007F5D07"/>
    <w:rsid w:val="007F5D8A"/>
    <w:rsid w:val="007F5E6A"/>
    <w:rsid w:val="007F6811"/>
    <w:rsid w:val="007F6878"/>
    <w:rsid w:val="007F6EA7"/>
    <w:rsid w:val="00800481"/>
    <w:rsid w:val="00800B92"/>
    <w:rsid w:val="00801840"/>
    <w:rsid w:val="008018FE"/>
    <w:rsid w:val="008026E2"/>
    <w:rsid w:val="0080499D"/>
    <w:rsid w:val="00806488"/>
    <w:rsid w:val="00807799"/>
    <w:rsid w:val="00810C9E"/>
    <w:rsid w:val="00810CDA"/>
    <w:rsid w:val="00810F41"/>
    <w:rsid w:val="00812872"/>
    <w:rsid w:val="00814058"/>
    <w:rsid w:val="008163D5"/>
    <w:rsid w:val="00816903"/>
    <w:rsid w:val="00816BF4"/>
    <w:rsid w:val="00817C5E"/>
    <w:rsid w:val="00820BC2"/>
    <w:rsid w:val="00820F7C"/>
    <w:rsid w:val="008216D2"/>
    <w:rsid w:val="00822148"/>
    <w:rsid w:val="0082259B"/>
    <w:rsid w:val="00822AF5"/>
    <w:rsid w:val="00822CA4"/>
    <w:rsid w:val="00822E7A"/>
    <w:rsid w:val="0082387E"/>
    <w:rsid w:val="00823DAE"/>
    <w:rsid w:val="00824DBB"/>
    <w:rsid w:val="00825783"/>
    <w:rsid w:val="008263E7"/>
    <w:rsid w:val="00826C27"/>
    <w:rsid w:val="0082721C"/>
    <w:rsid w:val="00827F24"/>
    <w:rsid w:val="008364CC"/>
    <w:rsid w:val="00837416"/>
    <w:rsid w:val="008400A5"/>
    <w:rsid w:val="00840F40"/>
    <w:rsid w:val="0084175D"/>
    <w:rsid w:val="00842248"/>
    <w:rsid w:val="008432BF"/>
    <w:rsid w:val="0084360A"/>
    <w:rsid w:val="00843D7F"/>
    <w:rsid w:val="008456C8"/>
    <w:rsid w:val="00845E4C"/>
    <w:rsid w:val="00846165"/>
    <w:rsid w:val="008461FA"/>
    <w:rsid w:val="0084688E"/>
    <w:rsid w:val="00847C6E"/>
    <w:rsid w:val="008501C8"/>
    <w:rsid w:val="0085081F"/>
    <w:rsid w:val="00850B3F"/>
    <w:rsid w:val="00850D2D"/>
    <w:rsid w:val="00850E44"/>
    <w:rsid w:val="00854713"/>
    <w:rsid w:val="00855A3F"/>
    <w:rsid w:val="00857EA8"/>
    <w:rsid w:val="008612FB"/>
    <w:rsid w:val="00861427"/>
    <w:rsid w:val="00861BA5"/>
    <w:rsid w:val="008626A7"/>
    <w:rsid w:val="00862D98"/>
    <w:rsid w:val="0086413C"/>
    <w:rsid w:val="0086416E"/>
    <w:rsid w:val="0086434C"/>
    <w:rsid w:val="00865AB4"/>
    <w:rsid w:val="00866006"/>
    <w:rsid w:val="00866BD5"/>
    <w:rsid w:val="00866C27"/>
    <w:rsid w:val="00866C54"/>
    <w:rsid w:val="00866FE0"/>
    <w:rsid w:val="00867315"/>
    <w:rsid w:val="00867883"/>
    <w:rsid w:val="00867B78"/>
    <w:rsid w:val="00870DEB"/>
    <w:rsid w:val="00870E77"/>
    <w:rsid w:val="00871CCF"/>
    <w:rsid w:val="00871DB7"/>
    <w:rsid w:val="008734EF"/>
    <w:rsid w:val="00875676"/>
    <w:rsid w:val="00876379"/>
    <w:rsid w:val="008763F2"/>
    <w:rsid w:val="008771A3"/>
    <w:rsid w:val="008773E7"/>
    <w:rsid w:val="00877F68"/>
    <w:rsid w:val="00882B84"/>
    <w:rsid w:val="00884CBD"/>
    <w:rsid w:val="00885744"/>
    <w:rsid w:val="008864EC"/>
    <w:rsid w:val="00886D5F"/>
    <w:rsid w:val="00887190"/>
    <w:rsid w:val="0089160A"/>
    <w:rsid w:val="008928E0"/>
    <w:rsid w:val="008929AD"/>
    <w:rsid w:val="00894D9C"/>
    <w:rsid w:val="008961D5"/>
    <w:rsid w:val="00896389"/>
    <w:rsid w:val="00896F5B"/>
    <w:rsid w:val="00897BC5"/>
    <w:rsid w:val="008A080A"/>
    <w:rsid w:val="008A0B9F"/>
    <w:rsid w:val="008A1553"/>
    <w:rsid w:val="008A1BAD"/>
    <w:rsid w:val="008A209B"/>
    <w:rsid w:val="008A23DA"/>
    <w:rsid w:val="008A2D6F"/>
    <w:rsid w:val="008A3C94"/>
    <w:rsid w:val="008A406A"/>
    <w:rsid w:val="008A5205"/>
    <w:rsid w:val="008A52DF"/>
    <w:rsid w:val="008A5559"/>
    <w:rsid w:val="008A55EF"/>
    <w:rsid w:val="008A7F61"/>
    <w:rsid w:val="008B0ADA"/>
    <w:rsid w:val="008B13B2"/>
    <w:rsid w:val="008B1DF0"/>
    <w:rsid w:val="008B201E"/>
    <w:rsid w:val="008B2EA2"/>
    <w:rsid w:val="008B3127"/>
    <w:rsid w:val="008B3189"/>
    <w:rsid w:val="008B3FA3"/>
    <w:rsid w:val="008B43F2"/>
    <w:rsid w:val="008B456F"/>
    <w:rsid w:val="008B457C"/>
    <w:rsid w:val="008B4DD8"/>
    <w:rsid w:val="008B50DD"/>
    <w:rsid w:val="008B5354"/>
    <w:rsid w:val="008B7BB6"/>
    <w:rsid w:val="008C1AC8"/>
    <w:rsid w:val="008C1FEF"/>
    <w:rsid w:val="008C2DFE"/>
    <w:rsid w:val="008C3ED5"/>
    <w:rsid w:val="008C51D5"/>
    <w:rsid w:val="008C53EB"/>
    <w:rsid w:val="008C677F"/>
    <w:rsid w:val="008C7567"/>
    <w:rsid w:val="008D0A72"/>
    <w:rsid w:val="008D16A8"/>
    <w:rsid w:val="008D4C8E"/>
    <w:rsid w:val="008D57A2"/>
    <w:rsid w:val="008D57A6"/>
    <w:rsid w:val="008D6D3A"/>
    <w:rsid w:val="008D72A9"/>
    <w:rsid w:val="008D73D5"/>
    <w:rsid w:val="008D7930"/>
    <w:rsid w:val="008E0427"/>
    <w:rsid w:val="008E0531"/>
    <w:rsid w:val="008E148F"/>
    <w:rsid w:val="008E1578"/>
    <w:rsid w:val="008E2F01"/>
    <w:rsid w:val="008E5415"/>
    <w:rsid w:val="008E72F3"/>
    <w:rsid w:val="008F33E3"/>
    <w:rsid w:val="008F373A"/>
    <w:rsid w:val="008F38B5"/>
    <w:rsid w:val="008F409F"/>
    <w:rsid w:val="008F42D9"/>
    <w:rsid w:val="008F4626"/>
    <w:rsid w:val="008F5168"/>
    <w:rsid w:val="008F51C8"/>
    <w:rsid w:val="008F5B3D"/>
    <w:rsid w:val="008F6581"/>
    <w:rsid w:val="0090048D"/>
    <w:rsid w:val="009006D0"/>
    <w:rsid w:val="00900B09"/>
    <w:rsid w:val="00901DBD"/>
    <w:rsid w:val="00902ABB"/>
    <w:rsid w:val="00903116"/>
    <w:rsid w:val="00903CAC"/>
    <w:rsid w:val="00904E85"/>
    <w:rsid w:val="00910C4E"/>
    <w:rsid w:val="0091185E"/>
    <w:rsid w:val="00911EB9"/>
    <w:rsid w:val="009125CB"/>
    <w:rsid w:val="00912A16"/>
    <w:rsid w:val="00913DFB"/>
    <w:rsid w:val="00914A70"/>
    <w:rsid w:val="00915284"/>
    <w:rsid w:val="009162FC"/>
    <w:rsid w:val="00924F73"/>
    <w:rsid w:val="009252E0"/>
    <w:rsid w:val="00925B09"/>
    <w:rsid w:val="00925FDD"/>
    <w:rsid w:val="00926563"/>
    <w:rsid w:val="00926B86"/>
    <w:rsid w:val="00927C35"/>
    <w:rsid w:val="0093135A"/>
    <w:rsid w:val="00931416"/>
    <w:rsid w:val="0093248F"/>
    <w:rsid w:val="009327FE"/>
    <w:rsid w:val="00932D76"/>
    <w:rsid w:val="009332BE"/>
    <w:rsid w:val="009337C5"/>
    <w:rsid w:val="00933940"/>
    <w:rsid w:val="00934165"/>
    <w:rsid w:val="0093517E"/>
    <w:rsid w:val="00935DE7"/>
    <w:rsid w:val="00936A2C"/>
    <w:rsid w:val="00936F32"/>
    <w:rsid w:val="009373BF"/>
    <w:rsid w:val="00937425"/>
    <w:rsid w:val="009378EB"/>
    <w:rsid w:val="00940A3F"/>
    <w:rsid w:val="0094182E"/>
    <w:rsid w:val="00941BDB"/>
    <w:rsid w:val="00941EBC"/>
    <w:rsid w:val="0094220F"/>
    <w:rsid w:val="009432C2"/>
    <w:rsid w:val="00943DF6"/>
    <w:rsid w:val="0094475A"/>
    <w:rsid w:val="00944D40"/>
    <w:rsid w:val="00945255"/>
    <w:rsid w:val="0094578E"/>
    <w:rsid w:val="00945F73"/>
    <w:rsid w:val="009467B0"/>
    <w:rsid w:val="00947638"/>
    <w:rsid w:val="00947CBC"/>
    <w:rsid w:val="00950CBB"/>
    <w:rsid w:val="009518F6"/>
    <w:rsid w:val="009523D5"/>
    <w:rsid w:val="00953A93"/>
    <w:rsid w:val="009566CB"/>
    <w:rsid w:val="00957A51"/>
    <w:rsid w:val="00960167"/>
    <w:rsid w:val="00961EB5"/>
    <w:rsid w:val="009643B3"/>
    <w:rsid w:val="0096546C"/>
    <w:rsid w:val="00967D37"/>
    <w:rsid w:val="0097162A"/>
    <w:rsid w:val="00972282"/>
    <w:rsid w:val="00972722"/>
    <w:rsid w:val="00972ADA"/>
    <w:rsid w:val="00973AF1"/>
    <w:rsid w:val="00973EF4"/>
    <w:rsid w:val="00973F7C"/>
    <w:rsid w:val="009743F1"/>
    <w:rsid w:val="0097671B"/>
    <w:rsid w:val="009807C1"/>
    <w:rsid w:val="009807C6"/>
    <w:rsid w:val="00980821"/>
    <w:rsid w:val="009810FD"/>
    <w:rsid w:val="0098128A"/>
    <w:rsid w:val="00981F7A"/>
    <w:rsid w:val="00982462"/>
    <w:rsid w:val="00982B4B"/>
    <w:rsid w:val="00983320"/>
    <w:rsid w:val="00983CE6"/>
    <w:rsid w:val="009932A8"/>
    <w:rsid w:val="00994140"/>
    <w:rsid w:val="00994BFB"/>
    <w:rsid w:val="00995371"/>
    <w:rsid w:val="0099546D"/>
    <w:rsid w:val="00995A29"/>
    <w:rsid w:val="00996444"/>
    <w:rsid w:val="00996618"/>
    <w:rsid w:val="00996A11"/>
    <w:rsid w:val="00996E7C"/>
    <w:rsid w:val="00997603"/>
    <w:rsid w:val="009A1D50"/>
    <w:rsid w:val="009A2079"/>
    <w:rsid w:val="009A2183"/>
    <w:rsid w:val="009A4660"/>
    <w:rsid w:val="009A5270"/>
    <w:rsid w:val="009A5866"/>
    <w:rsid w:val="009A620F"/>
    <w:rsid w:val="009B0077"/>
    <w:rsid w:val="009B02E6"/>
    <w:rsid w:val="009B1425"/>
    <w:rsid w:val="009B20FD"/>
    <w:rsid w:val="009B23A1"/>
    <w:rsid w:val="009B254B"/>
    <w:rsid w:val="009B2E4D"/>
    <w:rsid w:val="009B50AA"/>
    <w:rsid w:val="009B54C7"/>
    <w:rsid w:val="009B5E5E"/>
    <w:rsid w:val="009B7137"/>
    <w:rsid w:val="009B7CA0"/>
    <w:rsid w:val="009B7CBD"/>
    <w:rsid w:val="009C0959"/>
    <w:rsid w:val="009C0ADD"/>
    <w:rsid w:val="009C1869"/>
    <w:rsid w:val="009C3DA9"/>
    <w:rsid w:val="009C408A"/>
    <w:rsid w:val="009C4660"/>
    <w:rsid w:val="009C509C"/>
    <w:rsid w:val="009C5FDC"/>
    <w:rsid w:val="009C678A"/>
    <w:rsid w:val="009C6A5C"/>
    <w:rsid w:val="009C6B61"/>
    <w:rsid w:val="009C6F43"/>
    <w:rsid w:val="009C763D"/>
    <w:rsid w:val="009D0743"/>
    <w:rsid w:val="009D1B86"/>
    <w:rsid w:val="009D2136"/>
    <w:rsid w:val="009D3A8D"/>
    <w:rsid w:val="009D6012"/>
    <w:rsid w:val="009D6ECA"/>
    <w:rsid w:val="009D7520"/>
    <w:rsid w:val="009E0483"/>
    <w:rsid w:val="009E0498"/>
    <w:rsid w:val="009E0E2D"/>
    <w:rsid w:val="009E1AAF"/>
    <w:rsid w:val="009E225D"/>
    <w:rsid w:val="009E2483"/>
    <w:rsid w:val="009E3791"/>
    <w:rsid w:val="009E4CBD"/>
    <w:rsid w:val="009E5DD7"/>
    <w:rsid w:val="009E5FF3"/>
    <w:rsid w:val="009E6971"/>
    <w:rsid w:val="009E7A66"/>
    <w:rsid w:val="009F01E2"/>
    <w:rsid w:val="009F103F"/>
    <w:rsid w:val="009F16BF"/>
    <w:rsid w:val="009F1BBE"/>
    <w:rsid w:val="009F1E50"/>
    <w:rsid w:val="009F1F1A"/>
    <w:rsid w:val="009F2150"/>
    <w:rsid w:val="009F4E93"/>
    <w:rsid w:val="009F5997"/>
    <w:rsid w:val="009F5D61"/>
    <w:rsid w:val="00A0091F"/>
    <w:rsid w:val="00A00A2F"/>
    <w:rsid w:val="00A00D3A"/>
    <w:rsid w:val="00A02796"/>
    <w:rsid w:val="00A028A4"/>
    <w:rsid w:val="00A038E9"/>
    <w:rsid w:val="00A0404F"/>
    <w:rsid w:val="00A05019"/>
    <w:rsid w:val="00A052CE"/>
    <w:rsid w:val="00A0695E"/>
    <w:rsid w:val="00A0791C"/>
    <w:rsid w:val="00A116B2"/>
    <w:rsid w:val="00A13513"/>
    <w:rsid w:val="00A137DB"/>
    <w:rsid w:val="00A17027"/>
    <w:rsid w:val="00A17594"/>
    <w:rsid w:val="00A210C1"/>
    <w:rsid w:val="00A21A08"/>
    <w:rsid w:val="00A22955"/>
    <w:rsid w:val="00A23A60"/>
    <w:rsid w:val="00A24184"/>
    <w:rsid w:val="00A24606"/>
    <w:rsid w:val="00A25223"/>
    <w:rsid w:val="00A2551D"/>
    <w:rsid w:val="00A25B6D"/>
    <w:rsid w:val="00A25C8B"/>
    <w:rsid w:val="00A27091"/>
    <w:rsid w:val="00A27518"/>
    <w:rsid w:val="00A31E5A"/>
    <w:rsid w:val="00A31FB6"/>
    <w:rsid w:val="00A340BB"/>
    <w:rsid w:val="00A34316"/>
    <w:rsid w:val="00A34FE0"/>
    <w:rsid w:val="00A3634A"/>
    <w:rsid w:val="00A36C18"/>
    <w:rsid w:val="00A373E5"/>
    <w:rsid w:val="00A4015B"/>
    <w:rsid w:val="00A406DF"/>
    <w:rsid w:val="00A40A46"/>
    <w:rsid w:val="00A40F7A"/>
    <w:rsid w:val="00A42464"/>
    <w:rsid w:val="00A42B08"/>
    <w:rsid w:val="00A4334A"/>
    <w:rsid w:val="00A436FE"/>
    <w:rsid w:val="00A459EE"/>
    <w:rsid w:val="00A45AB5"/>
    <w:rsid w:val="00A464AD"/>
    <w:rsid w:val="00A46C81"/>
    <w:rsid w:val="00A47C90"/>
    <w:rsid w:val="00A52BD2"/>
    <w:rsid w:val="00A530CE"/>
    <w:rsid w:val="00A54F23"/>
    <w:rsid w:val="00A54FF0"/>
    <w:rsid w:val="00A5506E"/>
    <w:rsid w:val="00A55331"/>
    <w:rsid w:val="00A55957"/>
    <w:rsid w:val="00A56044"/>
    <w:rsid w:val="00A5709C"/>
    <w:rsid w:val="00A571DF"/>
    <w:rsid w:val="00A571E0"/>
    <w:rsid w:val="00A611DF"/>
    <w:rsid w:val="00A6139E"/>
    <w:rsid w:val="00A61E31"/>
    <w:rsid w:val="00A61FD9"/>
    <w:rsid w:val="00A62035"/>
    <w:rsid w:val="00A6209D"/>
    <w:rsid w:val="00A62935"/>
    <w:rsid w:val="00A62982"/>
    <w:rsid w:val="00A62DB0"/>
    <w:rsid w:val="00A6506D"/>
    <w:rsid w:val="00A659DF"/>
    <w:rsid w:val="00A65D44"/>
    <w:rsid w:val="00A7015A"/>
    <w:rsid w:val="00A70C9D"/>
    <w:rsid w:val="00A716F5"/>
    <w:rsid w:val="00A71B27"/>
    <w:rsid w:val="00A730D8"/>
    <w:rsid w:val="00A760EE"/>
    <w:rsid w:val="00A761DE"/>
    <w:rsid w:val="00A809D4"/>
    <w:rsid w:val="00A80C9D"/>
    <w:rsid w:val="00A80D00"/>
    <w:rsid w:val="00A815CC"/>
    <w:rsid w:val="00A82446"/>
    <w:rsid w:val="00A82572"/>
    <w:rsid w:val="00A843D0"/>
    <w:rsid w:val="00A84B74"/>
    <w:rsid w:val="00A84C04"/>
    <w:rsid w:val="00A859DA"/>
    <w:rsid w:val="00A86123"/>
    <w:rsid w:val="00A86A55"/>
    <w:rsid w:val="00A86AE3"/>
    <w:rsid w:val="00A877E3"/>
    <w:rsid w:val="00A91C91"/>
    <w:rsid w:val="00A91F6F"/>
    <w:rsid w:val="00A92DB3"/>
    <w:rsid w:val="00A92EA7"/>
    <w:rsid w:val="00A93949"/>
    <w:rsid w:val="00A93953"/>
    <w:rsid w:val="00A93EDD"/>
    <w:rsid w:val="00A94A7E"/>
    <w:rsid w:val="00A9502C"/>
    <w:rsid w:val="00A95F99"/>
    <w:rsid w:val="00A976C8"/>
    <w:rsid w:val="00A976F0"/>
    <w:rsid w:val="00AA0896"/>
    <w:rsid w:val="00AA0A97"/>
    <w:rsid w:val="00AA19A9"/>
    <w:rsid w:val="00AA1AF9"/>
    <w:rsid w:val="00AA3997"/>
    <w:rsid w:val="00AA51EC"/>
    <w:rsid w:val="00AA5B91"/>
    <w:rsid w:val="00AA7133"/>
    <w:rsid w:val="00AA740F"/>
    <w:rsid w:val="00AA7ABF"/>
    <w:rsid w:val="00AB0225"/>
    <w:rsid w:val="00AB093B"/>
    <w:rsid w:val="00AB15A3"/>
    <w:rsid w:val="00AB1782"/>
    <w:rsid w:val="00AB1D44"/>
    <w:rsid w:val="00AB27AA"/>
    <w:rsid w:val="00AB2E53"/>
    <w:rsid w:val="00AB30A7"/>
    <w:rsid w:val="00AB37B1"/>
    <w:rsid w:val="00AB3DB3"/>
    <w:rsid w:val="00AB42BC"/>
    <w:rsid w:val="00AB49FC"/>
    <w:rsid w:val="00AB4F84"/>
    <w:rsid w:val="00AB6D20"/>
    <w:rsid w:val="00AB7927"/>
    <w:rsid w:val="00AC04FF"/>
    <w:rsid w:val="00AC0538"/>
    <w:rsid w:val="00AC0D5D"/>
    <w:rsid w:val="00AC1E4E"/>
    <w:rsid w:val="00AC2691"/>
    <w:rsid w:val="00AC3E0D"/>
    <w:rsid w:val="00AC4FD1"/>
    <w:rsid w:val="00AC6964"/>
    <w:rsid w:val="00AC79C7"/>
    <w:rsid w:val="00AD00D5"/>
    <w:rsid w:val="00AD1979"/>
    <w:rsid w:val="00AD1A0E"/>
    <w:rsid w:val="00AD2072"/>
    <w:rsid w:val="00AD25A4"/>
    <w:rsid w:val="00AD3E8C"/>
    <w:rsid w:val="00AD4A69"/>
    <w:rsid w:val="00AD54DF"/>
    <w:rsid w:val="00AD6E3C"/>
    <w:rsid w:val="00AD7E49"/>
    <w:rsid w:val="00AE095E"/>
    <w:rsid w:val="00AE0BE5"/>
    <w:rsid w:val="00AE1449"/>
    <w:rsid w:val="00AE2A86"/>
    <w:rsid w:val="00AE2DEB"/>
    <w:rsid w:val="00AE3ADF"/>
    <w:rsid w:val="00AE69FE"/>
    <w:rsid w:val="00AE73E5"/>
    <w:rsid w:val="00AE7A87"/>
    <w:rsid w:val="00AF0C81"/>
    <w:rsid w:val="00AF0D9E"/>
    <w:rsid w:val="00AF16A8"/>
    <w:rsid w:val="00AF2839"/>
    <w:rsid w:val="00AF29FD"/>
    <w:rsid w:val="00AF501F"/>
    <w:rsid w:val="00AF51EC"/>
    <w:rsid w:val="00AF5839"/>
    <w:rsid w:val="00AF5D02"/>
    <w:rsid w:val="00AF6427"/>
    <w:rsid w:val="00AF6B7A"/>
    <w:rsid w:val="00B02172"/>
    <w:rsid w:val="00B034F9"/>
    <w:rsid w:val="00B03B3D"/>
    <w:rsid w:val="00B05C34"/>
    <w:rsid w:val="00B06848"/>
    <w:rsid w:val="00B06D37"/>
    <w:rsid w:val="00B12B89"/>
    <w:rsid w:val="00B12FBC"/>
    <w:rsid w:val="00B133B0"/>
    <w:rsid w:val="00B1468E"/>
    <w:rsid w:val="00B147EE"/>
    <w:rsid w:val="00B14FD9"/>
    <w:rsid w:val="00B15D06"/>
    <w:rsid w:val="00B16E9F"/>
    <w:rsid w:val="00B175FD"/>
    <w:rsid w:val="00B17C6B"/>
    <w:rsid w:val="00B17E9C"/>
    <w:rsid w:val="00B20365"/>
    <w:rsid w:val="00B2355F"/>
    <w:rsid w:val="00B24890"/>
    <w:rsid w:val="00B2525B"/>
    <w:rsid w:val="00B25A37"/>
    <w:rsid w:val="00B25FE2"/>
    <w:rsid w:val="00B26075"/>
    <w:rsid w:val="00B271CB"/>
    <w:rsid w:val="00B27426"/>
    <w:rsid w:val="00B32D34"/>
    <w:rsid w:val="00B3331F"/>
    <w:rsid w:val="00B33A5A"/>
    <w:rsid w:val="00B3502C"/>
    <w:rsid w:val="00B35333"/>
    <w:rsid w:val="00B363B9"/>
    <w:rsid w:val="00B401B1"/>
    <w:rsid w:val="00B40E5D"/>
    <w:rsid w:val="00B41CA1"/>
    <w:rsid w:val="00B42134"/>
    <w:rsid w:val="00B43172"/>
    <w:rsid w:val="00B431B7"/>
    <w:rsid w:val="00B43EB2"/>
    <w:rsid w:val="00B44BBE"/>
    <w:rsid w:val="00B45401"/>
    <w:rsid w:val="00B45CC2"/>
    <w:rsid w:val="00B471D3"/>
    <w:rsid w:val="00B47EAC"/>
    <w:rsid w:val="00B52017"/>
    <w:rsid w:val="00B52A53"/>
    <w:rsid w:val="00B53139"/>
    <w:rsid w:val="00B536C9"/>
    <w:rsid w:val="00B5481E"/>
    <w:rsid w:val="00B56578"/>
    <w:rsid w:val="00B579C6"/>
    <w:rsid w:val="00B60160"/>
    <w:rsid w:val="00B602D2"/>
    <w:rsid w:val="00B61B55"/>
    <w:rsid w:val="00B62B96"/>
    <w:rsid w:val="00B640D1"/>
    <w:rsid w:val="00B6455A"/>
    <w:rsid w:val="00B64BB4"/>
    <w:rsid w:val="00B66392"/>
    <w:rsid w:val="00B66B63"/>
    <w:rsid w:val="00B66D06"/>
    <w:rsid w:val="00B670BA"/>
    <w:rsid w:val="00B6732F"/>
    <w:rsid w:val="00B702FD"/>
    <w:rsid w:val="00B70339"/>
    <w:rsid w:val="00B703BB"/>
    <w:rsid w:val="00B70BD3"/>
    <w:rsid w:val="00B71984"/>
    <w:rsid w:val="00B71A67"/>
    <w:rsid w:val="00B71BE5"/>
    <w:rsid w:val="00B74776"/>
    <w:rsid w:val="00B747E7"/>
    <w:rsid w:val="00B74999"/>
    <w:rsid w:val="00B75552"/>
    <w:rsid w:val="00B812B4"/>
    <w:rsid w:val="00B8181A"/>
    <w:rsid w:val="00B8194B"/>
    <w:rsid w:val="00B82710"/>
    <w:rsid w:val="00B8360D"/>
    <w:rsid w:val="00B83985"/>
    <w:rsid w:val="00B85BF8"/>
    <w:rsid w:val="00B87278"/>
    <w:rsid w:val="00B87BFA"/>
    <w:rsid w:val="00B87FD6"/>
    <w:rsid w:val="00B9156C"/>
    <w:rsid w:val="00B9223A"/>
    <w:rsid w:val="00B93253"/>
    <w:rsid w:val="00B94349"/>
    <w:rsid w:val="00B951E3"/>
    <w:rsid w:val="00B955E2"/>
    <w:rsid w:val="00BA02FF"/>
    <w:rsid w:val="00BA1918"/>
    <w:rsid w:val="00BA2496"/>
    <w:rsid w:val="00BA2BAF"/>
    <w:rsid w:val="00BA3CB5"/>
    <w:rsid w:val="00BA3E49"/>
    <w:rsid w:val="00BA4183"/>
    <w:rsid w:val="00BA4A01"/>
    <w:rsid w:val="00BA4D03"/>
    <w:rsid w:val="00BA635A"/>
    <w:rsid w:val="00BB0A84"/>
    <w:rsid w:val="00BB11DC"/>
    <w:rsid w:val="00BB1FC1"/>
    <w:rsid w:val="00BB29DE"/>
    <w:rsid w:val="00BB351B"/>
    <w:rsid w:val="00BB4365"/>
    <w:rsid w:val="00BB4C27"/>
    <w:rsid w:val="00BB58AA"/>
    <w:rsid w:val="00BB7A5C"/>
    <w:rsid w:val="00BB7EAD"/>
    <w:rsid w:val="00BC0E10"/>
    <w:rsid w:val="00BC0F0D"/>
    <w:rsid w:val="00BC1378"/>
    <w:rsid w:val="00BC160B"/>
    <w:rsid w:val="00BC2664"/>
    <w:rsid w:val="00BC3217"/>
    <w:rsid w:val="00BC44FA"/>
    <w:rsid w:val="00BC456D"/>
    <w:rsid w:val="00BC4BFF"/>
    <w:rsid w:val="00BC5CC9"/>
    <w:rsid w:val="00BD048D"/>
    <w:rsid w:val="00BD157F"/>
    <w:rsid w:val="00BD196C"/>
    <w:rsid w:val="00BD49AD"/>
    <w:rsid w:val="00BD60CD"/>
    <w:rsid w:val="00BD65AE"/>
    <w:rsid w:val="00BD69C6"/>
    <w:rsid w:val="00BD7BF8"/>
    <w:rsid w:val="00BD7DE3"/>
    <w:rsid w:val="00BE1388"/>
    <w:rsid w:val="00BE1DB9"/>
    <w:rsid w:val="00BE2371"/>
    <w:rsid w:val="00BE2B36"/>
    <w:rsid w:val="00BE51B6"/>
    <w:rsid w:val="00BE795A"/>
    <w:rsid w:val="00BF0E3B"/>
    <w:rsid w:val="00BF2940"/>
    <w:rsid w:val="00BF4243"/>
    <w:rsid w:val="00BF59F6"/>
    <w:rsid w:val="00BF625E"/>
    <w:rsid w:val="00BF7F91"/>
    <w:rsid w:val="00C0101E"/>
    <w:rsid w:val="00C01650"/>
    <w:rsid w:val="00C017D3"/>
    <w:rsid w:val="00C020F2"/>
    <w:rsid w:val="00C02844"/>
    <w:rsid w:val="00C03F60"/>
    <w:rsid w:val="00C067B0"/>
    <w:rsid w:val="00C0737F"/>
    <w:rsid w:val="00C07A70"/>
    <w:rsid w:val="00C10DE4"/>
    <w:rsid w:val="00C14D16"/>
    <w:rsid w:val="00C16214"/>
    <w:rsid w:val="00C167FD"/>
    <w:rsid w:val="00C16E0C"/>
    <w:rsid w:val="00C20334"/>
    <w:rsid w:val="00C20A69"/>
    <w:rsid w:val="00C2144D"/>
    <w:rsid w:val="00C21B2B"/>
    <w:rsid w:val="00C224B6"/>
    <w:rsid w:val="00C22753"/>
    <w:rsid w:val="00C23504"/>
    <w:rsid w:val="00C235D1"/>
    <w:rsid w:val="00C23ACF"/>
    <w:rsid w:val="00C23F43"/>
    <w:rsid w:val="00C240FB"/>
    <w:rsid w:val="00C24EBF"/>
    <w:rsid w:val="00C24F03"/>
    <w:rsid w:val="00C2516A"/>
    <w:rsid w:val="00C25EDF"/>
    <w:rsid w:val="00C264FB"/>
    <w:rsid w:val="00C26E30"/>
    <w:rsid w:val="00C27809"/>
    <w:rsid w:val="00C27A3B"/>
    <w:rsid w:val="00C306C6"/>
    <w:rsid w:val="00C30AC6"/>
    <w:rsid w:val="00C32946"/>
    <w:rsid w:val="00C32E22"/>
    <w:rsid w:val="00C34F12"/>
    <w:rsid w:val="00C37B34"/>
    <w:rsid w:val="00C41C3D"/>
    <w:rsid w:val="00C41D43"/>
    <w:rsid w:val="00C42325"/>
    <w:rsid w:val="00C42651"/>
    <w:rsid w:val="00C42DDD"/>
    <w:rsid w:val="00C43457"/>
    <w:rsid w:val="00C449E1"/>
    <w:rsid w:val="00C44C2C"/>
    <w:rsid w:val="00C44CAF"/>
    <w:rsid w:val="00C464D7"/>
    <w:rsid w:val="00C4676A"/>
    <w:rsid w:val="00C470FF"/>
    <w:rsid w:val="00C51427"/>
    <w:rsid w:val="00C5212F"/>
    <w:rsid w:val="00C5244F"/>
    <w:rsid w:val="00C5473D"/>
    <w:rsid w:val="00C549C8"/>
    <w:rsid w:val="00C557B0"/>
    <w:rsid w:val="00C55FF5"/>
    <w:rsid w:val="00C560AF"/>
    <w:rsid w:val="00C562BA"/>
    <w:rsid w:val="00C61B70"/>
    <w:rsid w:val="00C62E7F"/>
    <w:rsid w:val="00C63328"/>
    <w:rsid w:val="00C63908"/>
    <w:rsid w:val="00C63B16"/>
    <w:rsid w:val="00C64715"/>
    <w:rsid w:val="00C6511F"/>
    <w:rsid w:val="00C6522F"/>
    <w:rsid w:val="00C65744"/>
    <w:rsid w:val="00C66DB7"/>
    <w:rsid w:val="00C7020E"/>
    <w:rsid w:val="00C70484"/>
    <w:rsid w:val="00C70D18"/>
    <w:rsid w:val="00C73701"/>
    <w:rsid w:val="00C7673F"/>
    <w:rsid w:val="00C768F2"/>
    <w:rsid w:val="00C7778C"/>
    <w:rsid w:val="00C77EB7"/>
    <w:rsid w:val="00C831E5"/>
    <w:rsid w:val="00C83FB3"/>
    <w:rsid w:val="00C84532"/>
    <w:rsid w:val="00C84A2F"/>
    <w:rsid w:val="00C85A05"/>
    <w:rsid w:val="00C90041"/>
    <w:rsid w:val="00C91113"/>
    <w:rsid w:val="00C92DCE"/>
    <w:rsid w:val="00C93895"/>
    <w:rsid w:val="00C93BF9"/>
    <w:rsid w:val="00C93DC1"/>
    <w:rsid w:val="00C942AC"/>
    <w:rsid w:val="00C94469"/>
    <w:rsid w:val="00C94CAC"/>
    <w:rsid w:val="00C95811"/>
    <w:rsid w:val="00C95BE1"/>
    <w:rsid w:val="00C960F1"/>
    <w:rsid w:val="00C970D5"/>
    <w:rsid w:val="00CA0514"/>
    <w:rsid w:val="00CA15EA"/>
    <w:rsid w:val="00CA1987"/>
    <w:rsid w:val="00CA1A5F"/>
    <w:rsid w:val="00CA2538"/>
    <w:rsid w:val="00CA257D"/>
    <w:rsid w:val="00CA261C"/>
    <w:rsid w:val="00CA28F2"/>
    <w:rsid w:val="00CA2D62"/>
    <w:rsid w:val="00CA3BD4"/>
    <w:rsid w:val="00CA5F9C"/>
    <w:rsid w:val="00CA6D2D"/>
    <w:rsid w:val="00CA7348"/>
    <w:rsid w:val="00CB00BE"/>
    <w:rsid w:val="00CB00D0"/>
    <w:rsid w:val="00CB1D24"/>
    <w:rsid w:val="00CB1E10"/>
    <w:rsid w:val="00CB2049"/>
    <w:rsid w:val="00CB2F84"/>
    <w:rsid w:val="00CB3CCB"/>
    <w:rsid w:val="00CB518C"/>
    <w:rsid w:val="00CB5ADC"/>
    <w:rsid w:val="00CB600C"/>
    <w:rsid w:val="00CB6D86"/>
    <w:rsid w:val="00CB7E62"/>
    <w:rsid w:val="00CC0723"/>
    <w:rsid w:val="00CC1342"/>
    <w:rsid w:val="00CC1A6D"/>
    <w:rsid w:val="00CC2B9F"/>
    <w:rsid w:val="00CC30CD"/>
    <w:rsid w:val="00CC479F"/>
    <w:rsid w:val="00CC5A1C"/>
    <w:rsid w:val="00CC6AB7"/>
    <w:rsid w:val="00CC73C7"/>
    <w:rsid w:val="00CC786E"/>
    <w:rsid w:val="00CC7B65"/>
    <w:rsid w:val="00CD052A"/>
    <w:rsid w:val="00CD23D7"/>
    <w:rsid w:val="00CD454E"/>
    <w:rsid w:val="00CD4A57"/>
    <w:rsid w:val="00CD5C00"/>
    <w:rsid w:val="00CD6F8D"/>
    <w:rsid w:val="00CD7144"/>
    <w:rsid w:val="00CE138E"/>
    <w:rsid w:val="00CE1584"/>
    <w:rsid w:val="00CE1CA2"/>
    <w:rsid w:val="00CE1DB2"/>
    <w:rsid w:val="00CE4C29"/>
    <w:rsid w:val="00CE64C0"/>
    <w:rsid w:val="00CE7DEF"/>
    <w:rsid w:val="00CF0BCD"/>
    <w:rsid w:val="00CF0F73"/>
    <w:rsid w:val="00CF18A0"/>
    <w:rsid w:val="00CF28C7"/>
    <w:rsid w:val="00CF2C78"/>
    <w:rsid w:val="00CF2D84"/>
    <w:rsid w:val="00CF39FF"/>
    <w:rsid w:val="00CF3B77"/>
    <w:rsid w:val="00CF40C5"/>
    <w:rsid w:val="00CF44A2"/>
    <w:rsid w:val="00CF44E2"/>
    <w:rsid w:val="00CF4D10"/>
    <w:rsid w:val="00CF6A97"/>
    <w:rsid w:val="00CF6B6F"/>
    <w:rsid w:val="00CF7E79"/>
    <w:rsid w:val="00D020A9"/>
    <w:rsid w:val="00D04557"/>
    <w:rsid w:val="00D04B10"/>
    <w:rsid w:val="00D04F23"/>
    <w:rsid w:val="00D053E7"/>
    <w:rsid w:val="00D0687B"/>
    <w:rsid w:val="00D07221"/>
    <w:rsid w:val="00D0794D"/>
    <w:rsid w:val="00D10124"/>
    <w:rsid w:val="00D1120F"/>
    <w:rsid w:val="00D11B8F"/>
    <w:rsid w:val="00D12F8C"/>
    <w:rsid w:val="00D155D8"/>
    <w:rsid w:val="00D158FC"/>
    <w:rsid w:val="00D15D08"/>
    <w:rsid w:val="00D17AAA"/>
    <w:rsid w:val="00D17B95"/>
    <w:rsid w:val="00D2092E"/>
    <w:rsid w:val="00D20F65"/>
    <w:rsid w:val="00D21CCD"/>
    <w:rsid w:val="00D22435"/>
    <w:rsid w:val="00D24035"/>
    <w:rsid w:val="00D262BB"/>
    <w:rsid w:val="00D26DF5"/>
    <w:rsid w:val="00D27C28"/>
    <w:rsid w:val="00D30692"/>
    <w:rsid w:val="00D30D3B"/>
    <w:rsid w:val="00D31288"/>
    <w:rsid w:val="00D31E18"/>
    <w:rsid w:val="00D33252"/>
    <w:rsid w:val="00D33445"/>
    <w:rsid w:val="00D33A76"/>
    <w:rsid w:val="00D340DA"/>
    <w:rsid w:val="00D35EE2"/>
    <w:rsid w:val="00D35F4F"/>
    <w:rsid w:val="00D373F0"/>
    <w:rsid w:val="00D37927"/>
    <w:rsid w:val="00D40344"/>
    <w:rsid w:val="00D446AD"/>
    <w:rsid w:val="00D44A4A"/>
    <w:rsid w:val="00D46799"/>
    <w:rsid w:val="00D474DE"/>
    <w:rsid w:val="00D507E9"/>
    <w:rsid w:val="00D512E9"/>
    <w:rsid w:val="00D52005"/>
    <w:rsid w:val="00D524DF"/>
    <w:rsid w:val="00D52A0A"/>
    <w:rsid w:val="00D53694"/>
    <w:rsid w:val="00D56D6B"/>
    <w:rsid w:val="00D60015"/>
    <w:rsid w:val="00D60394"/>
    <w:rsid w:val="00D60778"/>
    <w:rsid w:val="00D60E19"/>
    <w:rsid w:val="00D62944"/>
    <w:rsid w:val="00D63E45"/>
    <w:rsid w:val="00D643C3"/>
    <w:rsid w:val="00D651BE"/>
    <w:rsid w:val="00D66A03"/>
    <w:rsid w:val="00D67773"/>
    <w:rsid w:val="00D67BD8"/>
    <w:rsid w:val="00D7021A"/>
    <w:rsid w:val="00D70317"/>
    <w:rsid w:val="00D72841"/>
    <w:rsid w:val="00D72D8A"/>
    <w:rsid w:val="00D74BFD"/>
    <w:rsid w:val="00D758C5"/>
    <w:rsid w:val="00D77AE2"/>
    <w:rsid w:val="00D801BC"/>
    <w:rsid w:val="00D8131F"/>
    <w:rsid w:val="00D82DE0"/>
    <w:rsid w:val="00D835C5"/>
    <w:rsid w:val="00D83B6A"/>
    <w:rsid w:val="00D84296"/>
    <w:rsid w:val="00D853BC"/>
    <w:rsid w:val="00D86CA4"/>
    <w:rsid w:val="00D86DB3"/>
    <w:rsid w:val="00D87D61"/>
    <w:rsid w:val="00D90E00"/>
    <w:rsid w:val="00D90EAF"/>
    <w:rsid w:val="00D91B20"/>
    <w:rsid w:val="00D91BDE"/>
    <w:rsid w:val="00D9219E"/>
    <w:rsid w:val="00D92793"/>
    <w:rsid w:val="00D928E2"/>
    <w:rsid w:val="00D949F2"/>
    <w:rsid w:val="00D965F3"/>
    <w:rsid w:val="00D97566"/>
    <w:rsid w:val="00D97D05"/>
    <w:rsid w:val="00D97E41"/>
    <w:rsid w:val="00DA156B"/>
    <w:rsid w:val="00DA2CD4"/>
    <w:rsid w:val="00DA2FEC"/>
    <w:rsid w:val="00DA3E83"/>
    <w:rsid w:val="00DB0EDC"/>
    <w:rsid w:val="00DB1927"/>
    <w:rsid w:val="00DB2AA0"/>
    <w:rsid w:val="00DB3C54"/>
    <w:rsid w:val="00DB3F76"/>
    <w:rsid w:val="00DB5A4D"/>
    <w:rsid w:val="00DB68E4"/>
    <w:rsid w:val="00DB76CE"/>
    <w:rsid w:val="00DB7F9D"/>
    <w:rsid w:val="00DC0092"/>
    <w:rsid w:val="00DC0E96"/>
    <w:rsid w:val="00DC25BC"/>
    <w:rsid w:val="00DC2B7C"/>
    <w:rsid w:val="00DC31DC"/>
    <w:rsid w:val="00DC3BCC"/>
    <w:rsid w:val="00DC4835"/>
    <w:rsid w:val="00DC61F7"/>
    <w:rsid w:val="00DC6584"/>
    <w:rsid w:val="00DC65F6"/>
    <w:rsid w:val="00DC6D7C"/>
    <w:rsid w:val="00DD043C"/>
    <w:rsid w:val="00DD102D"/>
    <w:rsid w:val="00DD157D"/>
    <w:rsid w:val="00DD3274"/>
    <w:rsid w:val="00DD3649"/>
    <w:rsid w:val="00DD53B5"/>
    <w:rsid w:val="00DD54B6"/>
    <w:rsid w:val="00DD54C6"/>
    <w:rsid w:val="00DD7112"/>
    <w:rsid w:val="00DE188D"/>
    <w:rsid w:val="00DE37F2"/>
    <w:rsid w:val="00DE3A56"/>
    <w:rsid w:val="00DE3C3D"/>
    <w:rsid w:val="00DE4250"/>
    <w:rsid w:val="00DE4B92"/>
    <w:rsid w:val="00DE6333"/>
    <w:rsid w:val="00DE7D6B"/>
    <w:rsid w:val="00DF0383"/>
    <w:rsid w:val="00DF0C86"/>
    <w:rsid w:val="00DF14F8"/>
    <w:rsid w:val="00DF1872"/>
    <w:rsid w:val="00DF2B7B"/>
    <w:rsid w:val="00DF3413"/>
    <w:rsid w:val="00DF361B"/>
    <w:rsid w:val="00DF3FC2"/>
    <w:rsid w:val="00DF4620"/>
    <w:rsid w:val="00DF4F51"/>
    <w:rsid w:val="00DF578A"/>
    <w:rsid w:val="00DF74BE"/>
    <w:rsid w:val="00DF7579"/>
    <w:rsid w:val="00DF7749"/>
    <w:rsid w:val="00E01AF7"/>
    <w:rsid w:val="00E03480"/>
    <w:rsid w:val="00E04185"/>
    <w:rsid w:val="00E053A8"/>
    <w:rsid w:val="00E0566D"/>
    <w:rsid w:val="00E0700C"/>
    <w:rsid w:val="00E07066"/>
    <w:rsid w:val="00E076BA"/>
    <w:rsid w:val="00E1153F"/>
    <w:rsid w:val="00E134E2"/>
    <w:rsid w:val="00E1448F"/>
    <w:rsid w:val="00E173BA"/>
    <w:rsid w:val="00E17662"/>
    <w:rsid w:val="00E20C0C"/>
    <w:rsid w:val="00E20DBE"/>
    <w:rsid w:val="00E2320D"/>
    <w:rsid w:val="00E26307"/>
    <w:rsid w:val="00E2663E"/>
    <w:rsid w:val="00E279EE"/>
    <w:rsid w:val="00E27CC4"/>
    <w:rsid w:val="00E324B7"/>
    <w:rsid w:val="00E34EB0"/>
    <w:rsid w:val="00E37306"/>
    <w:rsid w:val="00E4004D"/>
    <w:rsid w:val="00E42715"/>
    <w:rsid w:val="00E42C5D"/>
    <w:rsid w:val="00E430E4"/>
    <w:rsid w:val="00E43AEB"/>
    <w:rsid w:val="00E44190"/>
    <w:rsid w:val="00E4486A"/>
    <w:rsid w:val="00E44AC4"/>
    <w:rsid w:val="00E45063"/>
    <w:rsid w:val="00E46E3E"/>
    <w:rsid w:val="00E506CA"/>
    <w:rsid w:val="00E5238B"/>
    <w:rsid w:val="00E54C31"/>
    <w:rsid w:val="00E558C3"/>
    <w:rsid w:val="00E60755"/>
    <w:rsid w:val="00E618BF"/>
    <w:rsid w:val="00E63845"/>
    <w:rsid w:val="00E63DA5"/>
    <w:rsid w:val="00E64E39"/>
    <w:rsid w:val="00E674A5"/>
    <w:rsid w:val="00E67AC1"/>
    <w:rsid w:val="00E7052D"/>
    <w:rsid w:val="00E706EE"/>
    <w:rsid w:val="00E71309"/>
    <w:rsid w:val="00E71628"/>
    <w:rsid w:val="00E735F9"/>
    <w:rsid w:val="00E73959"/>
    <w:rsid w:val="00E75634"/>
    <w:rsid w:val="00E758FE"/>
    <w:rsid w:val="00E75F35"/>
    <w:rsid w:val="00E76F23"/>
    <w:rsid w:val="00E77AA6"/>
    <w:rsid w:val="00E77D45"/>
    <w:rsid w:val="00E80521"/>
    <w:rsid w:val="00E808A7"/>
    <w:rsid w:val="00E826F2"/>
    <w:rsid w:val="00E83900"/>
    <w:rsid w:val="00E84A9A"/>
    <w:rsid w:val="00E84B27"/>
    <w:rsid w:val="00E85D21"/>
    <w:rsid w:val="00E876F4"/>
    <w:rsid w:val="00E9120A"/>
    <w:rsid w:val="00E917B9"/>
    <w:rsid w:val="00E91B15"/>
    <w:rsid w:val="00E91B75"/>
    <w:rsid w:val="00E92B46"/>
    <w:rsid w:val="00E93A8E"/>
    <w:rsid w:val="00E9495F"/>
    <w:rsid w:val="00E95676"/>
    <w:rsid w:val="00EA0970"/>
    <w:rsid w:val="00EA1A04"/>
    <w:rsid w:val="00EA1AE3"/>
    <w:rsid w:val="00EA3446"/>
    <w:rsid w:val="00EA3499"/>
    <w:rsid w:val="00EA35DD"/>
    <w:rsid w:val="00EA49BD"/>
    <w:rsid w:val="00EA5680"/>
    <w:rsid w:val="00EA5A4A"/>
    <w:rsid w:val="00EA5A4F"/>
    <w:rsid w:val="00EA5EAB"/>
    <w:rsid w:val="00EA6F65"/>
    <w:rsid w:val="00EA7945"/>
    <w:rsid w:val="00EA7D2C"/>
    <w:rsid w:val="00EB055F"/>
    <w:rsid w:val="00EB1F34"/>
    <w:rsid w:val="00EB2172"/>
    <w:rsid w:val="00EB2249"/>
    <w:rsid w:val="00EB3302"/>
    <w:rsid w:val="00EB3829"/>
    <w:rsid w:val="00EB4468"/>
    <w:rsid w:val="00EB61D3"/>
    <w:rsid w:val="00EB6E29"/>
    <w:rsid w:val="00EB7A4F"/>
    <w:rsid w:val="00EB7D07"/>
    <w:rsid w:val="00EB7DB7"/>
    <w:rsid w:val="00EC015D"/>
    <w:rsid w:val="00EC078A"/>
    <w:rsid w:val="00EC080F"/>
    <w:rsid w:val="00EC0B72"/>
    <w:rsid w:val="00EC22AA"/>
    <w:rsid w:val="00EC2780"/>
    <w:rsid w:val="00EC430A"/>
    <w:rsid w:val="00EC6DF6"/>
    <w:rsid w:val="00EC74D3"/>
    <w:rsid w:val="00EC7AAD"/>
    <w:rsid w:val="00ED1A66"/>
    <w:rsid w:val="00ED2E8E"/>
    <w:rsid w:val="00ED47AD"/>
    <w:rsid w:val="00ED4F5D"/>
    <w:rsid w:val="00ED53F6"/>
    <w:rsid w:val="00ED5B8E"/>
    <w:rsid w:val="00ED673B"/>
    <w:rsid w:val="00EE2029"/>
    <w:rsid w:val="00EE2A5F"/>
    <w:rsid w:val="00EE336A"/>
    <w:rsid w:val="00EE3682"/>
    <w:rsid w:val="00EE4132"/>
    <w:rsid w:val="00EE512A"/>
    <w:rsid w:val="00EE54EE"/>
    <w:rsid w:val="00EE56B8"/>
    <w:rsid w:val="00EE56E9"/>
    <w:rsid w:val="00EE56F8"/>
    <w:rsid w:val="00EE63B8"/>
    <w:rsid w:val="00EE72E9"/>
    <w:rsid w:val="00EE7347"/>
    <w:rsid w:val="00EF06CC"/>
    <w:rsid w:val="00EF186B"/>
    <w:rsid w:val="00EF1903"/>
    <w:rsid w:val="00EF1DCC"/>
    <w:rsid w:val="00EF3007"/>
    <w:rsid w:val="00EF3D4B"/>
    <w:rsid w:val="00EF478E"/>
    <w:rsid w:val="00EF55A0"/>
    <w:rsid w:val="00EF57A8"/>
    <w:rsid w:val="00EF5A9A"/>
    <w:rsid w:val="00EF6023"/>
    <w:rsid w:val="00EF714E"/>
    <w:rsid w:val="00F006EF"/>
    <w:rsid w:val="00F007CE"/>
    <w:rsid w:val="00F01A1F"/>
    <w:rsid w:val="00F022A5"/>
    <w:rsid w:val="00F02353"/>
    <w:rsid w:val="00F030E2"/>
    <w:rsid w:val="00F03870"/>
    <w:rsid w:val="00F05636"/>
    <w:rsid w:val="00F059DE"/>
    <w:rsid w:val="00F060BF"/>
    <w:rsid w:val="00F060DF"/>
    <w:rsid w:val="00F06994"/>
    <w:rsid w:val="00F06FEE"/>
    <w:rsid w:val="00F0755A"/>
    <w:rsid w:val="00F07775"/>
    <w:rsid w:val="00F10271"/>
    <w:rsid w:val="00F103A2"/>
    <w:rsid w:val="00F10882"/>
    <w:rsid w:val="00F10CA4"/>
    <w:rsid w:val="00F10CB9"/>
    <w:rsid w:val="00F10E2F"/>
    <w:rsid w:val="00F11A0C"/>
    <w:rsid w:val="00F12B6C"/>
    <w:rsid w:val="00F13B8A"/>
    <w:rsid w:val="00F13C4D"/>
    <w:rsid w:val="00F14067"/>
    <w:rsid w:val="00F14A0A"/>
    <w:rsid w:val="00F14A10"/>
    <w:rsid w:val="00F151BE"/>
    <w:rsid w:val="00F169E8"/>
    <w:rsid w:val="00F205B9"/>
    <w:rsid w:val="00F22A4C"/>
    <w:rsid w:val="00F22CFB"/>
    <w:rsid w:val="00F24FD6"/>
    <w:rsid w:val="00F27886"/>
    <w:rsid w:val="00F317D7"/>
    <w:rsid w:val="00F3259A"/>
    <w:rsid w:val="00F33367"/>
    <w:rsid w:val="00F33559"/>
    <w:rsid w:val="00F3395A"/>
    <w:rsid w:val="00F35314"/>
    <w:rsid w:val="00F36B22"/>
    <w:rsid w:val="00F36E18"/>
    <w:rsid w:val="00F376E1"/>
    <w:rsid w:val="00F405D3"/>
    <w:rsid w:val="00F40B53"/>
    <w:rsid w:val="00F42A87"/>
    <w:rsid w:val="00F43E46"/>
    <w:rsid w:val="00F445F8"/>
    <w:rsid w:val="00F44CBB"/>
    <w:rsid w:val="00F44E6D"/>
    <w:rsid w:val="00F46EC9"/>
    <w:rsid w:val="00F50FD1"/>
    <w:rsid w:val="00F51A68"/>
    <w:rsid w:val="00F51F34"/>
    <w:rsid w:val="00F523D1"/>
    <w:rsid w:val="00F52B17"/>
    <w:rsid w:val="00F52EAB"/>
    <w:rsid w:val="00F54497"/>
    <w:rsid w:val="00F548E3"/>
    <w:rsid w:val="00F558AF"/>
    <w:rsid w:val="00F56B31"/>
    <w:rsid w:val="00F56E5D"/>
    <w:rsid w:val="00F571DF"/>
    <w:rsid w:val="00F57A3B"/>
    <w:rsid w:val="00F6024B"/>
    <w:rsid w:val="00F608CE"/>
    <w:rsid w:val="00F60961"/>
    <w:rsid w:val="00F60A76"/>
    <w:rsid w:val="00F61AD4"/>
    <w:rsid w:val="00F6220E"/>
    <w:rsid w:val="00F622EA"/>
    <w:rsid w:val="00F627DA"/>
    <w:rsid w:val="00F62F21"/>
    <w:rsid w:val="00F631E3"/>
    <w:rsid w:val="00F64329"/>
    <w:rsid w:val="00F660AA"/>
    <w:rsid w:val="00F67561"/>
    <w:rsid w:val="00F70C69"/>
    <w:rsid w:val="00F72A94"/>
    <w:rsid w:val="00F73214"/>
    <w:rsid w:val="00F7583E"/>
    <w:rsid w:val="00F7593C"/>
    <w:rsid w:val="00F76115"/>
    <w:rsid w:val="00F76293"/>
    <w:rsid w:val="00F76FDA"/>
    <w:rsid w:val="00F77CD3"/>
    <w:rsid w:val="00F81138"/>
    <w:rsid w:val="00F82DC2"/>
    <w:rsid w:val="00F83007"/>
    <w:rsid w:val="00F832BE"/>
    <w:rsid w:val="00F84107"/>
    <w:rsid w:val="00F84126"/>
    <w:rsid w:val="00F849DC"/>
    <w:rsid w:val="00F8539B"/>
    <w:rsid w:val="00F85475"/>
    <w:rsid w:val="00F85B69"/>
    <w:rsid w:val="00F8649F"/>
    <w:rsid w:val="00F8718E"/>
    <w:rsid w:val="00F87455"/>
    <w:rsid w:val="00F876E2"/>
    <w:rsid w:val="00F87FCF"/>
    <w:rsid w:val="00F9002C"/>
    <w:rsid w:val="00F9028B"/>
    <w:rsid w:val="00F913C0"/>
    <w:rsid w:val="00F92CCA"/>
    <w:rsid w:val="00F92D65"/>
    <w:rsid w:val="00F92D8A"/>
    <w:rsid w:val="00F92ED9"/>
    <w:rsid w:val="00F93A76"/>
    <w:rsid w:val="00F93B78"/>
    <w:rsid w:val="00F946A6"/>
    <w:rsid w:val="00F95BEF"/>
    <w:rsid w:val="00F974A0"/>
    <w:rsid w:val="00F974AD"/>
    <w:rsid w:val="00F9765E"/>
    <w:rsid w:val="00F97875"/>
    <w:rsid w:val="00FA046F"/>
    <w:rsid w:val="00FA19FA"/>
    <w:rsid w:val="00FA1BFD"/>
    <w:rsid w:val="00FA1C4A"/>
    <w:rsid w:val="00FA2541"/>
    <w:rsid w:val="00FA2CE0"/>
    <w:rsid w:val="00FA4769"/>
    <w:rsid w:val="00FA4801"/>
    <w:rsid w:val="00FB1F7A"/>
    <w:rsid w:val="00FB4EBB"/>
    <w:rsid w:val="00FB59E4"/>
    <w:rsid w:val="00FB609F"/>
    <w:rsid w:val="00FC0F47"/>
    <w:rsid w:val="00FC0FDC"/>
    <w:rsid w:val="00FC28DD"/>
    <w:rsid w:val="00FC3802"/>
    <w:rsid w:val="00FC3ADA"/>
    <w:rsid w:val="00FC433A"/>
    <w:rsid w:val="00FC6D12"/>
    <w:rsid w:val="00FC6F01"/>
    <w:rsid w:val="00FC7DC7"/>
    <w:rsid w:val="00FC7E3E"/>
    <w:rsid w:val="00FD0368"/>
    <w:rsid w:val="00FD0CF0"/>
    <w:rsid w:val="00FD4B21"/>
    <w:rsid w:val="00FD4FFF"/>
    <w:rsid w:val="00FD5B09"/>
    <w:rsid w:val="00FD61E5"/>
    <w:rsid w:val="00FD6F65"/>
    <w:rsid w:val="00FD735F"/>
    <w:rsid w:val="00FE03A4"/>
    <w:rsid w:val="00FE04B0"/>
    <w:rsid w:val="00FE0F98"/>
    <w:rsid w:val="00FE1CDC"/>
    <w:rsid w:val="00FE3008"/>
    <w:rsid w:val="00FE576E"/>
    <w:rsid w:val="00FE6410"/>
    <w:rsid w:val="00FE7E9A"/>
    <w:rsid w:val="00FF0383"/>
    <w:rsid w:val="00FF03F8"/>
    <w:rsid w:val="00FF1E73"/>
    <w:rsid w:val="00FF4C83"/>
    <w:rsid w:val="00FF5807"/>
    <w:rsid w:val="00FF663F"/>
    <w:rsid w:val="00FF6775"/>
    <w:rsid w:val="00FF6803"/>
    <w:rsid w:val="00FF73AA"/>
    <w:rsid w:val="00FF7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1E3"/>
    <w:pPr>
      <w:tabs>
        <w:tab w:val="left" w:pos="432"/>
      </w:tabs>
      <w:spacing w:line="480" w:lineRule="auto"/>
      <w:ind w:firstLine="432"/>
      <w:jc w:val="both"/>
    </w:pPr>
    <w:rPr>
      <w:sz w:val="24"/>
    </w:rPr>
  </w:style>
  <w:style w:type="paragraph" w:styleId="Heading1">
    <w:name w:val="heading 1"/>
    <w:basedOn w:val="Normal"/>
    <w:next w:val="Normal"/>
    <w:link w:val="Heading1Char"/>
    <w:qFormat/>
    <w:rsid w:val="00F631E3"/>
    <w:pPr>
      <w:spacing w:after="840" w:line="240" w:lineRule="auto"/>
      <w:ind w:firstLine="0"/>
      <w:jc w:val="center"/>
      <w:outlineLvl w:val="0"/>
    </w:pPr>
    <w:rPr>
      <w:b/>
      <w:caps/>
    </w:rPr>
  </w:style>
  <w:style w:type="paragraph" w:styleId="Heading3">
    <w:name w:val="heading 3"/>
    <w:basedOn w:val="Normal"/>
    <w:next w:val="Normal"/>
    <w:link w:val="Heading3Char"/>
    <w:qFormat/>
    <w:rsid w:val="00F631E3"/>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F631E3"/>
    <w:pPr>
      <w:spacing w:after="240" w:line="240" w:lineRule="auto"/>
      <w:ind w:left="432" w:hanging="432"/>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631E3"/>
    <w:rPr>
      <w:b/>
      <w:caps/>
      <w:sz w:val="24"/>
      <w:lang w:val="en-US" w:eastAsia="en-US" w:bidi="ar-SA"/>
    </w:rPr>
  </w:style>
  <w:style w:type="character" w:customStyle="1" w:styleId="Heading3Char">
    <w:name w:val="Heading 3 Char"/>
    <w:basedOn w:val="DefaultParagraphFont"/>
    <w:link w:val="Heading3"/>
    <w:semiHidden/>
    <w:locked/>
    <w:rsid w:val="00F631E3"/>
    <w:rPr>
      <w:b/>
      <w:sz w:val="24"/>
      <w:lang w:val="en-US" w:eastAsia="en-US" w:bidi="ar-SA"/>
    </w:rPr>
  </w:style>
  <w:style w:type="character" w:customStyle="1" w:styleId="Heading4Char">
    <w:name w:val="Heading 4 Char"/>
    <w:aliases w:val="Heading 4 (business proposal only) Char"/>
    <w:basedOn w:val="DefaultParagraphFont"/>
    <w:link w:val="Heading4"/>
    <w:semiHidden/>
    <w:locked/>
    <w:rsid w:val="00F631E3"/>
    <w:rPr>
      <w:b/>
      <w:sz w:val="24"/>
      <w:lang w:val="en-US" w:eastAsia="en-US" w:bidi="ar-SA"/>
    </w:rPr>
  </w:style>
  <w:style w:type="paragraph" w:styleId="TOC1">
    <w:name w:val="toc 1"/>
    <w:basedOn w:val="Normal"/>
    <w:next w:val="Normal"/>
    <w:autoRedefine/>
    <w:rsid w:val="00F631E3"/>
    <w:pPr>
      <w:tabs>
        <w:tab w:val="clear" w:pos="432"/>
      </w:tabs>
      <w:spacing w:line="240" w:lineRule="auto"/>
      <w:ind w:firstLine="0"/>
      <w:jc w:val="left"/>
    </w:pPr>
  </w:style>
  <w:style w:type="paragraph" w:customStyle="1" w:styleId="NormalSS">
    <w:name w:val="NormalSS"/>
    <w:basedOn w:val="Normal"/>
    <w:rsid w:val="00F631E3"/>
    <w:pPr>
      <w:spacing w:line="240" w:lineRule="auto"/>
    </w:pPr>
  </w:style>
  <w:style w:type="paragraph" w:styleId="Footer">
    <w:name w:val="footer"/>
    <w:basedOn w:val="Normal"/>
    <w:link w:val="FooterChar"/>
    <w:semiHidden/>
    <w:rsid w:val="00F631E3"/>
    <w:pPr>
      <w:tabs>
        <w:tab w:val="center" w:pos="4320"/>
        <w:tab w:val="right" w:pos="8640"/>
      </w:tabs>
    </w:pPr>
  </w:style>
  <w:style w:type="character" w:customStyle="1" w:styleId="FooterChar">
    <w:name w:val="Footer Char"/>
    <w:basedOn w:val="DefaultParagraphFont"/>
    <w:link w:val="Footer"/>
    <w:semiHidden/>
    <w:locked/>
    <w:rsid w:val="00F631E3"/>
    <w:rPr>
      <w:sz w:val="24"/>
      <w:lang w:val="en-US" w:eastAsia="en-US" w:bidi="ar-SA"/>
    </w:rPr>
  </w:style>
  <w:style w:type="character" w:styleId="PageNumber">
    <w:name w:val="page number"/>
    <w:basedOn w:val="DefaultParagraphFont"/>
    <w:semiHidden/>
    <w:rsid w:val="00F631E3"/>
    <w:rPr>
      <w:rFonts w:cs="Times New Roman"/>
    </w:rPr>
  </w:style>
  <w:style w:type="paragraph" w:customStyle="1" w:styleId="ParagraphLAST">
    <w:name w:val="Paragraph (LAST)"/>
    <w:basedOn w:val="Normal"/>
    <w:next w:val="Normal"/>
    <w:rsid w:val="00F631E3"/>
    <w:pPr>
      <w:spacing w:after="240"/>
    </w:pPr>
  </w:style>
  <w:style w:type="paragraph" w:customStyle="1" w:styleId="Center">
    <w:name w:val="Center"/>
    <w:basedOn w:val="Normal"/>
    <w:rsid w:val="00F631E3"/>
    <w:pPr>
      <w:ind w:firstLine="0"/>
      <w:jc w:val="center"/>
    </w:pPr>
  </w:style>
  <w:style w:type="paragraph" w:styleId="FootnoteText">
    <w:name w:val="footnote text"/>
    <w:basedOn w:val="Normal"/>
    <w:link w:val="FootnoteTextChar"/>
    <w:semiHidden/>
    <w:rsid w:val="00F631E3"/>
    <w:pPr>
      <w:spacing w:after="240" w:line="240" w:lineRule="auto"/>
    </w:pPr>
  </w:style>
  <w:style w:type="character" w:customStyle="1" w:styleId="FootnoteTextChar">
    <w:name w:val="Footnote Text Char"/>
    <w:basedOn w:val="DefaultParagraphFont"/>
    <w:link w:val="FootnoteText"/>
    <w:semiHidden/>
    <w:locked/>
    <w:rsid w:val="00F631E3"/>
    <w:rPr>
      <w:sz w:val="24"/>
      <w:lang w:val="en-US" w:eastAsia="en-US" w:bidi="ar-SA"/>
    </w:rPr>
  </w:style>
  <w:style w:type="character" w:styleId="FootnoteReference">
    <w:name w:val="footnote reference"/>
    <w:basedOn w:val="DefaultParagraphFont"/>
    <w:semiHidden/>
    <w:rsid w:val="00F631E3"/>
    <w:rPr>
      <w:rFonts w:cs="Times New Roman"/>
      <w:spacing w:val="0"/>
      <w:position w:val="0"/>
      <w:u w:color="000080"/>
      <w:effect w:val="none"/>
      <w:vertAlign w:val="superscript"/>
    </w:rPr>
  </w:style>
  <w:style w:type="paragraph" w:customStyle="1" w:styleId="References">
    <w:name w:val="References"/>
    <w:basedOn w:val="Normal"/>
    <w:next w:val="Normal"/>
    <w:rsid w:val="00F631E3"/>
    <w:pPr>
      <w:spacing w:after="240" w:line="240" w:lineRule="auto"/>
      <w:ind w:left="432" w:hanging="432"/>
    </w:pPr>
  </w:style>
  <w:style w:type="paragraph" w:customStyle="1" w:styleId="LastParagraph">
    <w:name w:val="Last Paragraph"/>
    <w:basedOn w:val="Normal"/>
    <w:next w:val="Normal"/>
    <w:rsid w:val="00F631E3"/>
    <w:pPr>
      <w:spacing w:after="240"/>
    </w:pPr>
  </w:style>
  <w:style w:type="character" w:styleId="Hyperlink">
    <w:name w:val="Hyperlink"/>
    <w:basedOn w:val="DefaultParagraphFont"/>
    <w:rsid w:val="00F631E3"/>
    <w:rPr>
      <w:rFonts w:cs="Times New Roman"/>
      <w:color w:val="0000FF"/>
      <w:u w:val="single"/>
    </w:rPr>
  </w:style>
  <w:style w:type="character" w:customStyle="1" w:styleId="e-03">
    <w:name w:val="e-03"/>
    <w:basedOn w:val="DefaultParagraphFont"/>
    <w:rsid w:val="00F631E3"/>
    <w:rPr>
      <w:rFonts w:cs="Times New Roman"/>
    </w:rPr>
  </w:style>
  <w:style w:type="paragraph" w:customStyle="1" w:styleId="Greferences">
    <w:name w:val="G_references"/>
    <w:basedOn w:val="Normal"/>
    <w:rsid w:val="00F631E3"/>
    <w:pPr>
      <w:spacing w:after="240" w:line="240" w:lineRule="auto"/>
      <w:ind w:left="432" w:hanging="432"/>
      <w:jc w:val="left"/>
    </w:pPr>
    <w:rPr>
      <w:rFonts w:ascii="Garamond" w:hAnsi="Garamond"/>
    </w:rPr>
  </w:style>
  <w:style w:type="paragraph" w:styleId="ListParagraph">
    <w:name w:val="List Paragraph"/>
    <w:basedOn w:val="Normal"/>
    <w:qFormat/>
    <w:rsid w:val="00F631E3"/>
    <w:pPr>
      <w:ind w:left="720"/>
      <w:contextualSpacing/>
    </w:pPr>
  </w:style>
  <w:style w:type="paragraph" w:styleId="BalloonText">
    <w:name w:val="Balloon Text"/>
    <w:basedOn w:val="Normal"/>
    <w:link w:val="BalloonTextChar"/>
    <w:rsid w:val="00B85BF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85B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266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dr.doleta.gov/research/FullText_Documents/Growing%20America%20Through%20Entrepreneurship%20-%20Final%20Evaluation%20of%20Project%20G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19799-A239-458D-9F7C-13E83ACD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3697</Words>
  <Characters>20956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B</vt:lpstr>
    </vt:vector>
  </TitlesOfParts>
  <Company>Employment &amp; Training Administration</Company>
  <LinksUpToDate>false</LinksUpToDate>
  <CharactersWithSpaces>24604</CharactersWithSpaces>
  <SharedDoc>false</SharedDoc>
  <HLinks>
    <vt:vector size="6" baseType="variant">
      <vt:variant>
        <vt:i4>3670088</vt:i4>
      </vt:variant>
      <vt:variant>
        <vt:i4>0</vt:i4>
      </vt:variant>
      <vt:variant>
        <vt:i4>0</vt:i4>
      </vt:variant>
      <vt:variant>
        <vt:i4>5</vt:i4>
      </vt:variant>
      <vt:variant>
        <vt:lpwstr>http://wdr.doleta.gov/research/FullText_Documents/Growing America Through Entrepreneurship - Final Evaluation of Project GATE.pdf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naradzay.bonnie</dc:creator>
  <cp:lastModifiedBy>Naradzay.Bonnie</cp:lastModifiedBy>
  <cp:revision>2</cp:revision>
  <cp:lastPrinted>2011-11-03T18:47:00Z</cp:lastPrinted>
  <dcterms:created xsi:type="dcterms:W3CDTF">2012-05-09T15:13:00Z</dcterms:created>
  <dcterms:modified xsi:type="dcterms:W3CDTF">2012-05-09T15:13:00Z</dcterms:modified>
</cp:coreProperties>
</file>