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75" w:rsidRPr="00580366" w:rsidRDefault="00974975" w:rsidP="008A7475">
      <w:pPr>
        <w:tabs>
          <w:tab w:val="left" w:pos="1260"/>
        </w:tabs>
        <w:spacing w:after="120" w:line="240" w:lineRule="auto"/>
        <w:rPr>
          <w:rFonts w:ascii="Arial" w:hAnsi="Arial" w:cs="Arial"/>
          <w:sz w:val="24"/>
          <w:szCs w:val="24"/>
        </w:rPr>
      </w:pPr>
      <w:r w:rsidRPr="00580366">
        <w:rPr>
          <w:rFonts w:ascii="Arial" w:hAnsi="Arial" w:cs="Arial"/>
          <w:sz w:val="24"/>
          <w:szCs w:val="24"/>
        </w:rPr>
        <w:t>Date:</w:t>
      </w:r>
      <w:r w:rsidRPr="00580366">
        <w:rPr>
          <w:rFonts w:ascii="Arial" w:hAnsi="Arial" w:cs="Arial"/>
          <w:sz w:val="24"/>
          <w:szCs w:val="24"/>
        </w:rPr>
        <w:tab/>
      </w:r>
      <w:r w:rsidRPr="00580366">
        <w:rPr>
          <w:rFonts w:ascii="Arial" w:hAnsi="Arial" w:cs="Arial"/>
          <w:sz w:val="24"/>
          <w:szCs w:val="24"/>
        </w:rPr>
        <w:fldChar w:fldCharType="begin"/>
      </w:r>
      <w:r w:rsidRPr="00580366">
        <w:rPr>
          <w:rFonts w:ascii="Arial" w:hAnsi="Arial" w:cs="Arial"/>
          <w:sz w:val="24"/>
          <w:szCs w:val="24"/>
        </w:rPr>
        <w:instrText xml:space="preserve"> DATE \@ "MMMM d, yyyy" </w:instrText>
      </w:r>
      <w:r w:rsidRPr="00580366">
        <w:rPr>
          <w:rFonts w:ascii="Arial" w:hAnsi="Arial" w:cs="Arial"/>
          <w:sz w:val="24"/>
          <w:szCs w:val="24"/>
        </w:rPr>
        <w:fldChar w:fldCharType="separate"/>
      </w:r>
      <w:r w:rsidR="00A15381">
        <w:rPr>
          <w:rFonts w:ascii="Arial" w:hAnsi="Arial" w:cs="Arial"/>
          <w:noProof/>
          <w:sz w:val="24"/>
          <w:szCs w:val="24"/>
        </w:rPr>
        <w:t>December 12, 2012</w:t>
      </w:r>
      <w:r w:rsidRPr="00580366">
        <w:rPr>
          <w:rFonts w:ascii="Arial" w:hAnsi="Arial" w:cs="Arial"/>
          <w:sz w:val="24"/>
          <w:szCs w:val="24"/>
        </w:rPr>
        <w:fldChar w:fldCharType="end"/>
      </w:r>
    </w:p>
    <w:p w:rsidR="0010062A" w:rsidRPr="00580366" w:rsidRDefault="0010062A" w:rsidP="008A7475">
      <w:pPr>
        <w:tabs>
          <w:tab w:val="left" w:pos="1260"/>
        </w:tabs>
        <w:spacing w:after="120" w:line="240" w:lineRule="auto"/>
        <w:rPr>
          <w:rFonts w:ascii="Arial" w:hAnsi="Arial" w:cs="Arial"/>
          <w:sz w:val="24"/>
          <w:szCs w:val="24"/>
        </w:rPr>
      </w:pPr>
      <w:r w:rsidRPr="00580366">
        <w:rPr>
          <w:rFonts w:ascii="Arial" w:hAnsi="Arial" w:cs="Arial"/>
          <w:sz w:val="24"/>
          <w:szCs w:val="24"/>
        </w:rPr>
        <w:t>To:</w:t>
      </w:r>
      <w:r w:rsidRPr="00580366">
        <w:rPr>
          <w:rFonts w:ascii="Arial" w:hAnsi="Arial" w:cs="Arial"/>
          <w:sz w:val="24"/>
          <w:szCs w:val="24"/>
        </w:rPr>
        <w:tab/>
        <w:t>Shelly Martinez</w:t>
      </w:r>
      <w:r w:rsidR="00301133" w:rsidRPr="00580366">
        <w:rPr>
          <w:rFonts w:ascii="Arial" w:hAnsi="Arial" w:cs="Arial"/>
          <w:sz w:val="24"/>
          <w:szCs w:val="24"/>
        </w:rPr>
        <w:t>, OMB</w:t>
      </w:r>
    </w:p>
    <w:p w:rsidR="0010062A" w:rsidRPr="00580366" w:rsidRDefault="0010062A" w:rsidP="008A7475">
      <w:pPr>
        <w:tabs>
          <w:tab w:val="left" w:pos="1260"/>
        </w:tabs>
        <w:spacing w:after="120" w:line="240" w:lineRule="auto"/>
        <w:rPr>
          <w:rFonts w:ascii="Arial" w:hAnsi="Arial" w:cs="Arial"/>
          <w:sz w:val="24"/>
          <w:szCs w:val="24"/>
        </w:rPr>
      </w:pPr>
      <w:r w:rsidRPr="00580366">
        <w:rPr>
          <w:rFonts w:ascii="Arial" w:hAnsi="Arial" w:cs="Arial"/>
          <w:sz w:val="24"/>
          <w:szCs w:val="24"/>
        </w:rPr>
        <w:t>From:</w:t>
      </w:r>
      <w:r w:rsidRPr="00580366">
        <w:rPr>
          <w:rFonts w:ascii="Arial" w:hAnsi="Arial" w:cs="Arial"/>
          <w:sz w:val="24"/>
          <w:szCs w:val="24"/>
        </w:rPr>
        <w:tab/>
        <w:t>Sharon Boivin</w:t>
      </w:r>
      <w:r w:rsidR="00301133" w:rsidRPr="00580366">
        <w:rPr>
          <w:rFonts w:ascii="Arial" w:hAnsi="Arial" w:cs="Arial"/>
          <w:sz w:val="24"/>
          <w:szCs w:val="24"/>
        </w:rPr>
        <w:t>, NCES</w:t>
      </w:r>
    </w:p>
    <w:p w:rsidR="0010062A" w:rsidRPr="00580366" w:rsidRDefault="00301133" w:rsidP="008A7475">
      <w:pPr>
        <w:tabs>
          <w:tab w:val="left" w:pos="1260"/>
        </w:tabs>
        <w:spacing w:after="120" w:line="240" w:lineRule="auto"/>
        <w:rPr>
          <w:rFonts w:ascii="Arial" w:hAnsi="Arial" w:cs="Arial"/>
          <w:sz w:val="24"/>
          <w:szCs w:val="24"/>
        </w:rPr>
      </w:pPr>
      <w:r w:rsidRPr="00580366">
        <w:rPr>
          <w:rFonts w:ascii="Arial" w:hAnsi="Arial" w:cs="Arial"/>
          <w:sz w:val="24"/>
          <w:szCs w:val="24"/>
        </w:rPr>
        <w:t>Through</w:t>
      </w:r>
      <w:r w:rsidR="0010062A" w:rsidRPr="00580366">
        <w:rPr>
          <w:rFonts w:ascii="Arial" w:hAnsi="Arial" w:cs="Arial"/>
          <w:sz w:val="24"/>
          <w:szCs w:val="24"/>
        </w:rPr>
        <w:t>:</w:t>
      </w:r>
      <w:r w:rsidR="0010062A" w:rsidRPr="00580366">
        <w:rPr>
          <w:rFonts w:ascii="Arial" w:hAnsi="Arial" w:cs="Arial"/>
          <w:sz w:val="24"/>
          <w:szCs w:val="24"/>
        </w:rPr>
        <w:tab/>
        <w:t>Kashka Kubzdela</w:t>
      </w:r>
      <w:r w:rsidRPr="00580366">
        <w:rPr>
          <w:rFonts w:ascii="Arial" w:hAnsi="Arial" w:cs="Arial"/>
          <w:sz w:val="24"/>
          <w:szCs w:val="24"/>
        </w:rPr>
        <w:t>, NCES</w:t>
      </w:r>
    </w:p>
    <w:p w:rsidR="0010062A" w:rsidRPr="00580366" w:rsidRDefault="0010062A" w:rsidP="008A7475">
      <w:pPr>
        <w:tabs>
          <w:tab w:val="left" w:pos="1260"/>
        </w:tabs>
        <w:spacing w:after="120" w:line="240" w:lineRule="auto"/>
        <w:ind w:left="1260" w:hanging="1260"/>
        <w:rPr>
          <w:rFonts w:ascii="Arial" w:hAnsi="Arial" w:cs="Arial"/>
          <w:sz w:val="24"/>
          <w:szCs w:val="24"/>
        </w:rPr>
      </w:pPr>
      <w:r w:rsidRPr="00580366">
        <w:rPr>
          <w:rFonts w:ascii="Arial" w:hAnsi="Arial" w:cs="Arial"/>
          <w:sz w:val="24"/>
          <w:szCs w:val="24"/>
        </w:rPr>
        <w:t>Re:</w:t>
      </w:r>
      <w:r w:rsidRPr="00580366">
        <w:rPr>
          <w:rFonts w:ascii="Arial" w:hAnsi="Arial" w:cs="Arial"/>
          <w:sz w:val="24"/>
          <w:szCs w:val="24"/>
        </w:rPr>
        <w:tab/>
      </w:r>
      <w:r w:rsidR="00A15381">
        <w:rPr>
          <w:rFonts w:ascii="Arial" w:hAnsi="Arial" w:cs="Arial"/>
          <w:sz w:val="24"/>
          <w:szCs w:val="24"/>
        </w:rPr>
        <w:t xml:space="preserve">Changes in the </w:t>
      </w:r>
      <w:bookmarkStart w:id="0" w:name="_GoBack"/>
      <w:bookmarkEnd w:id="0"/>
      <w:r w:rsidR="00974975" w:rsidRPr="00580366">
        <w:rPr>
          <w:rFonts w:ascii="Arial" w:hAnsi="Arial" w:cs="Arial"/>
          <w:sz w:val="24"/>
          <w:szCs w:val="24"/>
        </w:rPr>
        <w:t xml:space="preserve">National Adult Training and Education Survey (NATES) 2013 Pilot Test </w:t>
      </w:r>
      <w:r w:rsidR="00A15381">
        <w:rPr>
          <w:rFonts w:ascii="Arial" w:hAnsi="Arial" w:cs="Arial"/>
          <w:sz w:val="24"/>
          <w:szCs w:val="24"/>
        </w:rPr>
        <w:t>Resubmission</w:t>
      </w:r>
      <w:r w:rsidRPr="00580366">
        <w:rPr>
          <w:rFonts w:ascii="Arial" w:hAnsi="Arial" w:cs="Arial"/>
          <w:sz w:val="24"/>
          <w:szCs w:val="24"/>
        </w:rPr>
        <w:t xml:space="preserve"> </w:t>
      </w:r>
      <w:r w:rsidR="00974975" w:rsidRPr="00580366">
        <w:rPr>
          <w:rFonts w:ascii="Arial" w:hAnsi="Arial" w:cs="Arial"/>
          <w:sz w:val="24"/>
          <w:szCs w:val="24"/>
        </w:rPr>
        <w:t>(OMB# 1850-0803 v.</w:t>
      </w:r>
      <w:r w:rsidR="00CF003B">
        <w:rPr>
          <w:rFonts w:ascii="Arial" w:hAnsi="Arial" w:cs="Arial"/>
          <w:sz w:val="24"/>
          <w:szCs w:val="24"/>
        </w:rPr>
        <w:t>74</w:t>
      </w:r>
      <w:r w:rsidR="00974975" w:rsidRPr="00580366">
        <w:rPr>
          <w:rFonts w:ascii="Arial" w:hAnsi="Arial" w:cs="Arial"/>
          <w:sz w:val="24"/>
          <w:szCs w:val="24"/>
        </w:rPr>
        <w:t>)</w:t>
      </w:r>
    </w:p>
    <w:p w:rsidR="00301133" w:rsidRPr="00CF003B" w:rsidRDefault="00301133" w:rsidP="00580366">
      <w:pPr>
        <w:spacing w:after="120" w:line="240" w:lineRule="auto"/>
        <w:rPr>
          <w:rFonts w:ascii="Arial" w:hAnsi="Arial" w:cs="Arial"/>
        </w:rPr>
      </w:pPr>
    </w:p>
    <w:p w:rsidR="00CF003B" w:rsidRPr="00CF003B" w:rsidRDefault="0010062A" w:rsidP="00D13447">
      <w:pPr>
        <w:rPr>
          <w:rFonts w:ascii="Arial" w:hAnsi="Arial" w:cs="Arial"/>
        </w:rPr>
      </w:pPr>
      <w:r w:rsidRPr="00CF003B">
        <w:rPr>
          <w:rFonts w:ascii="Arial" w:hAnsi="Arial" w:cs="Arial"/>
        </w:rPr>
        <w:t>Th</w:t>
      </w:r>
      <w:r w:rsidR="00CF003B" w:rsidRPr="00CF003B">
        <w:rPr>
          <w:rFonts w:ascii="Arial" w:hAnsi="Arial" w:cs="Arial"/>
        </w:rPr>
        <w:t>is memo accompan</w:t>
      </w:r>
      <w:r w:rsidR="00714D02">
        <w:rPr>
          <w:rFonts w:ascii="Arial" w:hAnsi="Arial" w:cs="Arial"/>
        </w:rPr>
        <w:t>ies</w:t>
      </w:r>
      <w:r w:rsidR="00CF003B" w:rsidRPr="00CF003B">
        <w:rPr>
          <w:rFonts w:ascii="Arial" w:hAnsi="Arial" w:cs="Arial"/>
        </w:rPr>
        <w:t xml:space="preserve"> the second set of clearance documents for the National Adult Training and Education Survey (NATES) 2013 Pilot Test (OMB# 1850-0803 v.74) and outlines the changes that were made from the previously approved set of clearance documents for this study (OMB# 1850-0803 v.72 approved on September 24, 2012).</w:t>
      </w:r>
    </w:p>
    <w:p w:rsidR="0010062A" w:rsidRPr="00CF003B" w:rsidRDefault="00CF003B" w:rsidP="00D13447">
      <w:pPr>
        <w:rPr>
          <w:rFonts w:ascii="Arial" w:hAnsi="Arial" w:cs="Arial"/>
        </w:rPr>
      </w:pPr>
      <w:r w:rsidRPr="00CF003B">
        <w:rPr>
          <w:rFonts w:ascii="Arial" w:hAnsi="Arial" w:cs="Arial"/>
        </w:rPr>
        <w:t>The changes consist of i</w:t>
      </w:r>
      <w:r w:rsidR="0010062A" w:rsidRPr="00CF003B">
        <w:rPr>
          <w:rFonts w:ascii="Arial" w:hAnsi="Arial" w:cs="Arial"/>
        </w:rPr>
        <w:t>mprove</w:t>
      </w:r>
      <w:r w:rsidRPr="00CF003B">
        <w:rPr>
          <w:rFonts w:ascii="Arial" w:hAnsi="Arial" w:cs="Arial"/>
        </w:rPr>
        <w:t xml:space="preserve">ments to the </w:t>
      </w:r>
      <w:r w:rsidR="0062559E" w:rsidRPr="00CF003B">
        <w:rPr>
          <w:rFonts w:ascii="Arial" w:hAnsi="Arial" w:cs="Arial"/>
        </w:rPr>
        <w:t xml:space="preserve">sample design for the </w:t>
      </w:r>
      <w:r w:rsidR="0010062A" w:rsidRPr="00CF003B">
        <w:rPr>
          <w:rFonts w:ascii="Arial" w:hAnsi="Arial" w:cs="Arial"/>
        </w:rPr>
        <w:t>NHES screener test being conducted as part of the pilot</w:t>
      </w:r>
      <w:r w:rsidR="001E7FDA">
        <w:rPr>
          <w:rFonts w:ascii="Arial" w:hAnsi="Arial" w:cs="Arial"/>
        </w:rPr>
        <w:t xml:space="preserve"> and </w:t>
      </w:r>
      <w:r w:rsidRPr="00CF003B">
        <w:rPr>
          <w:rFonts w:ascii="Arial" w:hAnsi="Arial" w:cs="Arial"/>
        </w:rPr>
        <w:t xml:space="preserve">improvements </w:t>
      </w:r>
      <w:r w:rsidR="0010062A" w:rsidRPr="00CF003B">
        <w:rPr>
          <w:rFonts w:ascii="Arial" w:hAnsi="Arial" w:cs="Arial"/>
        </w:rPr>
        <w:t>to the NATES topical questionnaire.</w:t>
      </w:r>
      <w:r w:rsidR="008A7475" w:rsidRPr="00CF003B">
        <w:rPr>
          <w:rFonts w:ascii="Arial" w:hAnsi="Arial" w:cs="Arial"/>
        </w:rPr>
        <w:t xml:space="preserve"> Th</w:t>
      </w:r>
      <w:r w:rsidRPr="00CF003B">
        <w:rPr>
          <w:rFonts w:ascii="Arial" w:hAnsi="Arial" w:cs="Arial"/>
        </w:rPr>
        <w:t>ese changes have</w:t>
      </w:r>
      <w:r w:rsidR="006F0A3A" w:rsidRPr="00CF003B">
        <w:rPr>
          <w:rFonts w:ascii="Arial" w:hAnsi="Arial" w:cs="Arial"/>
        </w:rPr>
        <w:t xml:space="preserve"> </w:t>
      </w:r>
      <w:r w:rsidR="008A7475" w:rsidRPr="00CF003B">
        <w:rPr>
          <w:rFonts w:ascii="Arial" w:hAnsi="Arial" w:cs="Arial"/>
        </w:rPr>
        <w:t>an associated increase in respondent burden</w:t>
      </w:r>
      <w:r w:rsidRPr="00CF003B">
        <w:rPr>
          <w:rFonts w:ascii="Arial" w:hAnsi="Arial" w:cs="Arial"/>
        </w:rPr>
        <w:t xml:space="preserve"> (</w:t>
      </w:r>
      <w:r w:rsidR="00732032">
        <w:rPr>
          <w:rFonts w:ascii="Arial" w:hAnsi="Arial" w:cs="Arial"/>
        </w:rPr>
        <w:t xml:space="preserve">700 additional respondents asked to complete </w:t>
      </w:r>
      <w:r w:rsidRPr="00CF003B">
        <w:rPr>
          <w:rFonts w:ascii="Arial" w:hAnsi="Arial" w:cs="Arial"/>
        </w:rPr>
        <w:t xml:space="preserve">the </w:t>
      </w:r>
      <w:r w:rsidR="00732032">
        <w:rPr>
          <w:rFonts w:ascii="Arial" w:hAnsi="Arial" w:cs="Arial"/>
        </w:rPr>
        <w:t xml:space="preserve">3-minute </w:t>
      </w:r>
      <w:r w:rsidRPr="00CF003B">
        <w:rPr>
          <w:rFonts w:ascii="Arial" w:hAnsi="Arial" w:cs="Arial"/>
        </w:rPr>
        <w:t>screener)</w:t>
      </w:r>
      <w:r w:rsidR="008A7475" w:rsidRPr="00CF003B">
        <w:rPr>
          <w:rFonts w:ascii="Arial" w:hAnsi="Arial" w:cs="Arial"/>
        </w:rPr>
        <w:t>, but no change to the cost to the federal government.</w:t>
      </w:r>
    </w:p>
    <w:p w:rsidR="00824715" w:rsidRPr="00CF003B" w:rsidRDefault="00824715" w:rsidP="00D13447">
      <w:pPr>
        <w:rPr>
          <w:rFonts w:ascii="Arial" w:hAnsi="Arial" w:cs="Arial"/>
          <w:i/>
        </w:rPr>
      </w:pPr>
      <w:r w:rsidRPr="00CF003B">
        <w:rPr>
          <w:rFonts w:ascii="Arial" w:hAnsi="Arial" w:cs="Arial"/>
          <w:i/>
        </w:rPr>
        <w:t>NATES/NHES Screener Test</w:t>
      </w:r>
    </w:p>
    <w:p w:rsidR="0010062A" w:rsidRPr="00CF003B" w:rsidRDefault="0010062A" w:rsidP="00D13447">
      <w:pPr>
        <w:rPr>
          <w:rFonts w:ascii="Arial" w:hAnsi="Arial" w:cs="Arial"/>
        </w:rPr>
      </w:pPr>
      <w:r w:rsidRPr="00CF003B">
        <w:rPr>
          <w:rFonts w:ascii="Arial" w:hAnsi="Arial" w:cs="Arial"/>
        </w:rPr>
        <w:t xml:space="preserve">After discussions with Andy Zukerberg </w:t>
      </w:r>
      <w:r w:rsidR="00EE0B6C" w:rsidRPr="00CF003B">
        <w:rPr>
          <w:rFonts w:ascii="Arial" w:hAnsi="Arial" w:cs="Arial"/>
        </w:rPr>
        <w:t xml:space="preserve">of NCES </w:t>
      </w:r>
      <w:r w:rsidRPr="00CF003B">
        <w:rPr>
          <w:rFonts w:ascii="Arial" w:hAnsi="Arial" w:cs="Arial"/>
        </w:rPr>
        <w:t xml:space="preserve">and </w:t>
      </w:r>
      <w:r w:rsidR="00EE0B6C" w:rsidRPr="00CF003B">
        <w:rPr>
          <w:rFonts w:ascii="Arial" w:hAnsi="Arial" w:cs="Arial"/>
        </w:rPr>
        <w:t xml:space="preserve">the </w:t>
      </w:r>
      <w:r w:rsidRPr="00CF003B">
        <w:rPr>
          <w:rFonts w:ascii="Arial" w:hAnsi="Arial" w:cs="Arial"/>
        </w:rPr>
        <w:t>Census</w:t>
      </w:r>
      <w:r w:rsidR="00EE0B6C" w:rsidRPr="00CF003B">
        <w:rPr>
          <w:rFonts w:ascii="Arial" w:hAnsi="Arial" w:cs="Arial"/>
        </w:rPr>
        <w:t xml:space="preserve"> Bureau</w:t>
      </w:r>
      <w:r w:rsidRPr="00CF003B">
        <w:rPr>
          <w:rFonts w:ascii="Arial" w:hAnsi="Arial" w:cs="Arial"/>
        </w:rPr>
        <w:t>, we are requesting approval to increase the screener test sample</w:t>
      </w:r>
      <w:r w:rsidR="00AD67BB" w:rsidRPr="00CF003B">
        <w:rPr>
          <w:rFonts w:ascii="Arial" w:hAnsi="Arial" w:cs="Arial"/>
        </w:rPr>
        <w:t xml:space="preserve"> size </w:t>
      </w:r>
      <w:r w:rsidR="00040CF6" w:rsidRPr="00CF003B">
        <w:rPr>
          <w:rFonts w:ascii="Arial" w:hAnsi="Arial" w:cs="Arial"/>
        </w:rPr>
        <w:t xml:space="preserve">from 500 </w:t>
      </w:r>
      <w:r w:rsidR="00AD67BB" w:rsidRPr="00CF003B">
        <w:rPr>
          <w:rFonts w:ascii="Arial" w:hAnsi="Arial" w:cs="Arial"/>
        </w:rPr>
        <w:t xml:space="preserve">to 1,200 cases and to split the sample between 720 respondents who will receive the new NATES screener that </w:t>
      </w:r>
      <w:r w:rsidR="00EE0B6C" w:rsidRPr="00CF003B">
        <w:rPr>
          <w:rFonts w:ascii="Arial" w:hAnsi="Arial" w:cs="Arial"/>
        </w:rPr>
        <w:t>enumerates</w:t>
      </w:r>
      <w:r w:rsidR="00AD67BB" w:rsidRPr="00CF003B">
        <w:rPr>
          <w:rFonts w:ascii="Arial" w:hAnsi="Arial" w:cs="Arial"/>
        </w:rPr>
        <w:t xml:space="preserve"> adults in the household and 480 respondents who will receive the original NHES screener</w:t>
      </w:r>
      <w:r w:rsidR="00040CF6" w:rsidRPr="00CF003B">
        <w:rPr>
          <w:rFonts w:ascii="Arial" w:hAnsi="Arial" w:cs="Arial"/>
        </w:rPr>
        <w:t xml:space="preserve"> (with no adult enumeration)</w:t>
      </w:r>
      <w:r w:rsidR="00AD67BB" w:rsidRPr="00CF003B">
        <w:rPr>
          <w:rFonts w:ascii="Arial" w:hAnsi="Arial" w:cs="Arial"/>
        </w:rPr>
        <w:t xml:space="preserve">. A concurrent administration of the two screener options will allow NCES to evaluate the direct effect of adding adult enumeration to the screener without the confounds of time and context that would result if we </w:t>
      </w:r>
      <w:r w:rsidR="00040CF6" w:rsidRPr="00CF003B">
        <w:rPr>
          <w:rFonts w:ascii="Arial" w:hAnsi="Arial" w:cs="Arial"/>
        </w:rPr>
        <w:t xml:space="preserve">were </w:t>
      </w:r>
      <w:r w:rsidR="00AD67BB" w:rsidRPr="00CF003B">
        <w:rPr>
          <w:rFonts w:ascii="Arial" w:hAnsi="Arial" w:cs="Arial"/>
        </w:rPr>
        <w:t xml:space="preserve">to compare the response rates on the NATES screener to the original response rate achieved by the NHES screener in its full scale administration in 2012. Increasing the test sample size from 500 to 1,200 respondents will provide enough power to compare response rates </w:t>
      </w:r>
      <w:r w:rsidR="00040CF6" w:rsidRPr="00CF003B">
        <w:rPr>
          <w:rFonts w:ascii="Arial" w:hAnsi="Arial" w:cs="Arial"/>
        </w:rPr>
        <w:t>in this</w:t>
      </w:r>
      <w:r w:rsidR="00AD67BB" w:rsidRPr="00CF003B">
        <w:rPr>
          <w:rFonts w:ascii="Arial" w:hAnsi="Arial" w:cs="Arial"/>
        </w:rPr>
        <w:t xml:space="preserve"> </w:t>
      </w:r>
      <w:r w:rsidR="00EE0B6C" w:rsidRPr="00CF003B">
        <w:rPr>
          <w:rFonts w:ascii="Arial" w:hAnsi="Arial" w:cs="Arial"/>
        </w:rPr>
        <w:t>more robust</w:t>
      </w:r>
      <w:r w:rsidR="00AD67BB" w:rsidRPr="00CF003B">
        <w:rPr>
          <w:rFonts w:ascii="Arial" w:hAnsi="Arial" w:cs="Arial"/>
        </w:rPr>
        <w:t xml:space="preserve"> test of the NATES screener.</w:t>
      </w:r>
      <w:r w:rsidR="00824715" w:rsidRPr="00CF003B">
        <w:rPr>
          <w:rFonts w:ascii="Arial" w:hAnsi="Arial" w:cs="Arial"/>
        </w:rPr>
        <w:t xml:space="preserve"> This </w:t>
      </w:r>
      <w:r w:rsidR="00040CF6" w:rsidRPr="00CF003B">
        <w:rPr>
          <w:rFonts w:ascii="Arial" w:hAnsi="Arial" w:cs="Arial"/>
        </w:rPr>
        <w:t xml:space="preserve">increase in sample size </w:t>
      </w:r>
      <w:r w:rsidR="00824715" w:rsidRPr="00CF003B">
        <w:rPr>
          <w:rFonts w:ascii="Arial" w:hAnsi="Arial" w:cs="Arial"/>
        </w:rPr>
        <w:t>change</w:t>
      </w:r>
      <w:r w:rsidR="00EE0B6C" w:rsidRPr="00CF003B">
        <w:rPr>
          <w:rFonts w:ascii="Arial" w:hAnsi="Arial" w:cs="Arial"/>
        </w:rPr>
        <w:t>s</w:t>
      </w:r>
      <w:r w:rsidR="00824715" w:rsidRPr="00CF003B">
        <w:rPr>
          <w:rFonts w:ascii="Arial" w:hAnsi="Arial" w:cs="Arial"/>
        </w:rPr>
        <w:t xml:space="preserve"> the burden estimates as follows</w:t>
      </w:r>
      <w:r w:rsidR="00580366" w:rsidRPr="00CF003B">
        <w:rPr>
          <w:rFonts w:ascii="Arial" w:hAnsi="Arial" w:cs="Arial"/>
        </w:rPr>
        <w:t xml:space="preserve"> (cells affected by the change are highlighted in yellow)</w:t>
      </w:r>
      <w:r w:rsidR="00824715" w:rsidRPr="00CF003B">
        <w:rPr>
          <w:rFonts w:ascii="Arial" w:hAnsi="Arial" w:cs="Arial"/>
        </w:rPr>
        <w:t>:</w:t>
      </w:r>
    </w:p>
    <w:p w:rsidR="00824715" w:rsidRPr="00CF003B" w:rsidRDefault="00824715" w:rsidP="00580366">
      <w:pPr>
        <w:spacing w:after="120" w:line="240" w:lineRule="auto"/>
        <w:rPr>
          <w:rFonts w:ascii="Arial" w:hAnsi="Arial" w:cs="Arial"/>
          <w:b/>
          <w:i/>
        </w:rPr>
      </w:pPr>
      <w:r w:rsidRPr="00CF003B">
        <w:rPr>
          <w:rFonts w:ascii="Arial" w:hAnsi="Arial" w:cs="Arial"/>
          <w:b/>
          <w:i/>
        </w:rPr>
        <w:t>Original Burden Estimate:</w:t>
      </w:r>
    </w:p>
    <w:p w:rsidR="00824715" w:rsidRPr="00824715" w:rsidRDefault="00824715" w:rsidP="00824715">
      <w:pPr>
        <w:spacing w:after="0" w:line="240" w:lineRule="auto"/>
        <w:rPr>
          <w:rFonts w:ascii="Times New Roman" w:eastAsia="Times New Roman" w:hAnsi="Times New Roman"/>
          <w:b/>
          <w:bCs/>
          <w:sz w:val="24"/>
          <w:szCs w:val="24"/>
        </w:rPr>
      </w:pPr>
      <w:r w:rsidRPr="00824715">
        <w:rPr>
          <w:rFonts w:ascii="Times New Roman" w:eastAsia="Times New Roman" w:hAnsi="Times New Roman"/>
          <w:b/>
          <w:bCs/>
          <w:sz w:val="24"/>
          <w:szCs w:val="24"/>
        </w:rPr>
        <w:t>Table 1.</w:t>
      </w:r>
      <w:r w:rsidRPr="00824715">
        <w:rPr>
          <w:rFonts w:ascii="Cambria Math" w:eastAsia="Times New Roman" w:hAnsi="Cambria Math" w:cs="Cambria Math"/>
          <w:b/>
          <w:bCs/>
          <w:sz w:val="24"/>
          <w:szCs w:val="24"/>
        </w:rPr>
        <w:t> </w:t>
      </w:r>
      <w:r w:rsidRPr="00824715">
        <w:rPr>
          <w:rFonts w:ascii="Cambria Math" w:eastAsia="Times New Roman" w:hAnsi="Cambria Math" w:cs="Cambria Math"/>
          <w:b/>
          <w:bCs/>
          <w:sz w:val="24"/>
          <w:szCs w:val="24"/>
        </w:rPr>
        <w:t> </w:t>
      </w:r>
      <w:r w:rsidRPr="00824715">
        <w:rPr>
          <w:rFonts w:ascii="Times New Roman" w:eastAsia="Times New Roman" w:hAnsi="Times New Roman"/>
          <w:b/>
          <w:bCs/>
          <w:sz w:val="24"/>
          <w:szCs w:val="24"/>
        </w:rPr>
        <w:t>Estimated response burden for the NATES Pilot</w:t>
      </w:r>
    </w:p>
    <w:tbl>
      <w:tblPr>
        <w:tblW w:w="5000" w:type="pct"/>
        <w:tblLook w:val="04A0" w:firstRow="1" w:lastRow="0" w:firstColumn="1" w:lastColumn="0" w:noHBand="0" w:noVBand="1"/>
      </w:tblPr>
      <w:tblGrid>
        <w:gridCol w:w="2018"/>
        <w:gridCol w:w="1150"/>
        <w:gridCol w:w="1620"/>
        <w:gridCol w:w="1802"/>
        <w:gridCol w:w="1977"/>
        <w:gridCol w:w="1873"/>
      </w:tblGrid>
      <w:tr w:rsidR="00824715" w:rsidRPr="00824715" w:rsidTr="0021398F">
        <w:trPr>
          <w:trHeight w:val="144"/>
        </w:trPr>
        <w:tc>
          <w:tcPr>
            <w:tcW w:w="966"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Instrument</w:t>
            </w:r>
          </w:p>
        </w:tc>
        <w:tc>
          <w:tcPr>
            <w:tcW w:w="5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Unit</w:t>
            </w:r>
            <w:r w:rsidRPr="00824715">
              <w:rPr>
                <w:rFonts w:ascii="Times New Roman" w:eastAsia="Times New Roman" w:hAnsi="Times New Roman"/>
                <w:color w:val="000000"/>
                <w:sz w:val="20"/>
                <w:szCs w:val="20"/>
                <w:vertAlign w:val="superscript"/>
              </w:rPr>
              <w:t>1</w:t>
            </w:r>
            <w:r w:rsidRPr="00824715">
              <w:rPr>
                <w:rFonts w:ascii="Times New Roman" w:eastAsia="Times New Roman" w:hAnsi="Times New Roman"/>
                <w:color w:val="000000"/>
                <w:sz w:val="20"/>
                <w:szCs w:val="20"/>
              </w:rPr>
              <w:t xml:space="preserve"> sample size</w:t>
            </w:r>
          </w:p>
        </w:tc>
        <w:tc>
          <w:tcPr>
            <w:tcW w:w="776" w:type="pct"/>
            <w:tcBorders>
              <w:top w:val="single" w:sz="8" w:space="0" w:color="000000"/>
              <w:left w:val="single" w:sz="8" w:space="0" w:color="000000"/>
              <w:bottom w:val="single" w:sz="8" w:space="0" w:color="000000"/>
              <w:right w:val="single" w:sz="8" w:space="0" w:color="000000"/>
            </w:tcBorders>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Expected response rate (%)</w:t>
            </w:r>
          </w:p>
        </w:tc>
        <w:tc>
          <w:tcPr>
            <w:tcW w:w="863"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Expected number of completed units</w:t>
            </w:r>
            <w:r w:rsidRPr="00824715">
              <w:rPr>
                <w:rFonts w:ascii="Times New Roman" w:eastAsia="Times New Roman" w:hAnsi="Times New Roman"/>
                <w:color w:val="000000"/>
                <w:sz w:val="20"/>
                <w:szCs w:val="20"/>
                <w:vertAlign w:val="superscript"/>
              </w:rPr>
              <w:t>2</w:t>
            </w:r>
            <w:r w:rsidRPr="00824715">
              <w:rPr>
                <w:rFonts w:ascii="Times New Roman" w:eastAsia="Times New Roman" w:hAnsi="Times New Roman"/>
                <w:color w:val="000000"/>
                <w:sz w:val="20"/>
                <w:szCs w:val="20"/>
              </w:rPr>
              <w:t xml:space="preserve"> </w:t>
            </w:r>
          </w:p>
        </w:tc>
        <w:tc>
          <w:tcPr>
            <w:tcW w:w="947"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Avg. unit completion time  (</w:t>
            </w:r>
            <w:proofErr w:type="spellStart"/>
            <w:r w:rsidRPr="00824715">
              <w:rPr>
                <w:rFonts w:ascii="Times New Roman" w:eastAsia="Times New Roman" w:hAnsi="Times New Roman"/>
                <w:color w:val="000000"/>
                <w:sz w:val="20"/>
                <w:szCs w:val="20"/>
              </w:rPr>
              <w:t>mins</w:t>
            </w:r>
            <w:proofErr w:type="spellEnd"/>
            <w:r w:rsidRPr="00824715">
              <w:rPr>
                <w:rFonts w:ascii="Times New Roman" w:eastAsia="Times New Roman" w:hAnsi="Times New Roman"/>
                <w:color w:val="000000"/>
                <w:sz w:val="20"/>
                <w:szCs w:val="20"/>
              </w:rPr>
              <w:t>)</w:t>
            </w:r>
          </w:p>
        </w:tc>
        <w:tc>
          <w:tcPr>
            <w:tcW w:w="897" w:type="pct"/>
            <w:tcBorders>
              <w:top w:val="single" w:sz="8" w:space="0" w:color="000000"/>
              <w:left w:val="nil"/>
              <w:bottom w:val="single" w:sz="4" w:space="0" w:color="auto"/>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 xml:space="preserve"> Total burden hours</w:t>
            </w:r>
          </w:p>
        </w:tc>
      </w:tr>
      <w:tr w:rsidR="00824715" w:rsidRPr="00824715" w:rsidTr="0021398F">
        <w:trPr>
          <w:trHeight w:val="144"/>
        </w:trPr>
        <w:tc>
          <w:tcPr>
            <w:tcW w:w="966"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Mail Screener</w:t>
            </w:r>
          </w:p>
        </w:tc>
        <w:tc>
          <w:tcPr>
            <w:tcW w:w="551" w:type="pct"/>
            <w:tcBorders>
              <w:top w:val="nil"/>
              <w:left w:val="single" w:sz="8" w:space="0" w:color="000000"/>
              <w:right w:val="single" w:sz="8" w:space="0" w:color="000000"/>
            </w:tcBorders>
            <w:shd w:val="clear" w:color="auto" w:fill="auto"/>
            <w:vAlign w:val="center"/>
          </w:tcPr>
          <w:p w:rsidR="00824715" w:rsidRPr="00580366" w:rsidRDefault="00824715" w:rsidP="00824715">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500</w:t>
            </w:r>
          </w:p>
        </w:tc>
        <w:tc>
          <w:tcPr>
            <w:tcW w:w="776"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60</w:t>
            </w:r>
          </w:p>
        </w:tc>
        <w:tc>
          <w:tcPr>
            <w:tcW w:w="863" w:type="pct"/>
            <w:tcBorders>
              <w:top w:val="nil"/>
              <w:left w:val="single" w:sz="8" w:space="0" w:color="000000"/>
              <w:right w:val="single" w:sz="8" w:space="0" w:color="000000"/>
            </w:tcBorders>
            <w:shd w:val="clear" w:color="auto" w:fill="auto"/>
            <w:vAlign w:val="center"/>
          </w:tcPr>
          <w:p w:rsidR="00824715" w:rsidRPr="00580366" w:rsidRDefault="00824715" w:rsidP="00824715">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270</w:t>
            </w:r>
          </w:p>
        </w:tc>
        <w:tc>
          <w:tcPr>
            <w:tcW w:w="947"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3</w:t>
            </w:r>
          </w:p>
        </w:tc>
        <w:tc>
          <w:tcPr>
            <w:tcW w:w="897" w:type="pct"/>
            <w:tcBorders>
              <w:top w:val="single" w:sz="4" w:space="0" w:color="auto"/>
              <w:left w:val="single" w:sz="8" w:space="0" w:color="000000"/>
              <w:right w:val="single" w:sz="8" w:space="0" w:color="000000"/>
            </w:tcBorders>
            <w:shd w:val="clear" w:color="auto" w:fill="auto"/>
            <w:vAlign w:val="center"/>
          </w:tcPr>
          <w:p w:rsidR="00824715" w:rsidRPr="00580366" w:rsidRDefault="00824715" w:rsidP="00824715">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14</w:t>
            </w:r>
          </w:p>
        </w:tc>
      </w:tr>
      <w:tr w:rsidR="00824715" w:rsidRPr="00824715" w:rsidTr="0021398F">
        <w:trPr>
          <w:trHeight w:val="144"/>
        </w:trPr>
        <w:tc>
          <w:tcPr>
            <w:tcW w:w="966"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Topical Survey</w:t>
            </w:r>
            <w:r w:rsidRPr="00824715">
              <w:rPr>
                <w:rFonts w:ascii="Times New Roman" w:eastAsia="Times New Roman" w:hAnsi="Times New Roman"/>
                <w:color w:val="000000"/>
                <w:sz w:val="20"/>
                <w:szCs w:val="20"/>
                <w:vertAlign w:val="superscript"/>
              </w:rPr>
              <w:t>3</w:t>
            </w:r>
          </w:p>
        </w:tc>
        <w:tc>
          <w:tcPr>
            <w:tcW w:w="551"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10,000</w:t>
            </w:r>
          </w:p>
        </w:tc>
        <w:tc>
          <w:tcPr>
            <w:tcW w:w="776"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65</w:t>
            </w:r>
          </w:p>
        </w:tc>
        <w:tc>
          <w:tcPr>
            <w:tcW w:w="863"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 xml:space="preserve">5,850 </w:t>
            </w:r>
            <w:r w:rsidRPr="00824715">
              <w:rPr>
                <w:rFonts w:ascii="Times New Roman" w:eastAsia="Times New Roman" w:hAnsi="Times New Roman"/>
                <w:color w:val="000000"/>
                <w:sz w:val="18"/>
                <w:szCs w:val="18"/>
              </w:rPr>
              <w:t>(8,775 individual responses)</w:t>
            </w:r>
          </w:p>
        </w:tc>
        <w:tc>
          <w:tcPr>
            <w:tcW w:w="947"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22.5</w:t>
            </w:r>
          </w:p>
        </w:tc>
        <w:tc>
          <w:tcPr>
            <w:tcW w:w="897" w:type="pct"/>
            <w:tcBorders>
              <w:top w:val="nil"/>
              <w:left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2,194</w:t>
            </w:r>
          </w:p>
        </w:tc>
      </w:tr>
      <w:tr w:rsidR="00824715" w:rsidRPr="00824715" w:rsidTr="0021398F">
        <w:trPr>
          <w:trHeight w:val="144"/>
        </w:trPr>
        <w:tc>
          <w:tcPr>
            <w:tcW w:w="966"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Nonresponse Survey</w:t>
            </w:r>
          </w:p>
        </w:tc>
        <w:tc>
          <w:tcPr>
            <w:tcW w:w="551"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1,670</w:t>
            </w:r>
          </w:p>
        </w:tc>
        <w:tc>
          <w:tcPr>
            <w:tcW w:w="776" w:type="pct"/>
            <w:tcBorders>
              <w:top w:val="nil"/>
              <w:left w:val="single" w:sz="8" w:space="0" w:color="000000"/>
              <w:bottom w:val="single" w:sz="4"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60</w:t>
            </w:r>
          </w:p>
        </w:tc>
        <w:tc>
          <w:tcPr>
            <w:tcW w:w="863"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1,000</w:t>
            </w:r>
          </w:p>
        </w:tc>
        <w:tc>
          <w:tcPr>
            <w:tcW w:w="947"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5</w:t>
            </w:r>
          </w:p>
        </w:tc>
        <w:tc>
          <w:tcPr>
            <w:tcW w:w="897"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83</w:t>
            </w:r>
          </w:p>
        </w:tc>
      </w:tr>
      <w:tr w:rsidR="00824715" w:rsidRPr="00824715" w:rsidTr="0021398F">
        <w:trPr>
          <w:trHeight w:val="144"/>
        </w:trPr>
        <w:tc>
          <w:tcPr>
            <w:tcW w:w="966" w:type="pct"/>
            <w:tcBorders>
              <w:top w:val="single" w:sz="4" w:space="0" w:color="auto"/>
              <w:left w:val="single" w:sz="8" w:space="0" w:color="000000"/>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Total</w:t>
            </w:r>
          </w:p>
        </w:tc>
        <w:tc>
          <w:tcPr>
            <w:tcW w:w="551" w:type="pct"/>
            <w:tcBorders>
              <w:top w:val="single" w:sz="4" w:space="0" w:color="auto"/>
              <w:left w:val="nil"/>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NA</w:t>
            </w:r>
          </w:p>
        </w:tc>
        <w:tc>
          <w:tcPr>
            <w:tcW w:w="776" w:type="pct"/>
            <w:tcBorders>
              <w:top w:val="single" w:sz="4" w:space="0" w:color="000000"/>
              <w:left w:val="nil"/>
              <w:bottom w:val="single" w:sz="8" w:space="0" w:color="000000"/>
              <w:right w:val="single" w:sz="8" w:space="0" w:color="000000"/>
            </w:tcBorders>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NA</w:t>
            </w:r>
          </w:p>
        </w:tc>
        <w:tc>
          <w:tcPr>
            <w:tcW w:w="863" w:type="pct"/>
            <w:tcBorders>
              <w:top w:val="single" w:sz="4" w:space="0" w:color="auto"/>
              <w:left w:val="single" w:sz="8" w:space="0" w:color="000000"/>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 xml:space="preserve">7,120 </w:t>
            </w:r>
            <w:r w:rsidRPr="00824715">
              <w:rPr>
                <w:rFonts w:ascii="Times New Roman" w:eastAsia="Times New Roman" w:hAnsi="Times New Roman"/>
                <w:color w:val="000000"/>
                <w:sz w:val="18"/>
                <w:szCs w:val="18"/>
              </w:rPr>
              <w:t>(10,045 individual responses)</w:t>
            </w:r>
          </w:p>
        </w:tc>
        <w:tc>
          <w:tcPr>
            <w:tcW w:w="947" w:type="pct"/>
            <w:tcBorders>
              <w:top w:val="single" w:sz="4" w:space="0" w:color="auto"/>
              <w:left w:val="nil"/>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NA</w:t>
            </w:r>
          </w:p>
        </w:tc>
        <w:tc>
          <w:tcPr>
            <w:tcW w:w="897" w:type="pct"/>
            <w:tcBorders>
              <w:top w:val="single" w:sz="4" w:space="0" w:color="auto"/>
              <w:left w:val="nil"/>
              <w:bottom w:val="single" w:sz="8" w:space="0" w:color="000000"/>
              <w:right w:val="single" w:sz="8" w:space="0" w:color="000000"/>
            </w:tcBorders>
            <w:shd w:val="clear" w:color="auto" w:fill="auto"/>
            <w:vAlign w:val="center"/>
          </w:tcPr>
          <w:p w:rsidR="00824715" w:rsidRPr="00824715" w:rsidRDefault="00824715" w:rsidP="00824715">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2,291</w:t>
            </w:r>
          </w:p>
        </w:tc>
      </w:tr>
      <w:tr w:rsidR="00824715" w:rsidRPr="00824715" w:rsidTr="0021398F">
        <w:trPr>
          <w:trHeight w:val="144"/>
        </w:trPr>
        <w:tc>
          <w:tcPr>
            <w:tcW w:w="5000" w:type="pct"/>
            <w:gridSpan w:val="6"/>
            <w:tcBorders>
              <w:top w:val="single" w:sz="8" w:space="0" w:color="000000"/>
              <w:left w:val="nil"/>
              <w:bottom w:val="nil"/>
              <w:right w:val="nil"/>
            </w:tcBorders>
          </w:tcPr>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vertAlign w:val="superscript"/>
              </w:rPr>
              <w:t>1</w:t>
            </w:r>
            <w:r w:rsidRPr="00824715">
              <w:rPr>
                <w:rFonts w:ascii="Times New Roman" w:eastAsia="Times New Roman" w:hAnsi="Times New Roman"/>
                <w:color w:val="000000"/>
                <w:sz w:val="20"/>
                <w:szCs w:val="20"/>
              </w:rPr>
              <w:t xml:space="preserve"> Unit = Household</w:t>
            </w:r>
          </w:p>
          <w:p w:rsidR="00824715" w:rsidRPr="00824715" w:rsidRDefault="00824715" w:rsidP="00824715">
            <w:pPr>
              <w:spacing w:after="0" w:line="240" w:lineRule="auto"/>
              <w:rPr>
                <w:rFonts w:ascii="Times New Roman" w:eastAsia="Times New Roman" w:hAnsi="Times New Roman"/>
                <w:color w:val="000000"/>
                <w:sz w:val="20"/>
                <w:szCs w:val="20"/>
                <w:vertAlign w:val="superscript"/>
              </w:rPr>
            </w:pPr>
            <w:r w:rsidRPr="00824715">
              <w:rPr>
                <w:rFonts w:ascii="Times New Roman" w:eastAsia="Times New Roman" w:hAnsi="Times New Roman"/>
                <w:color w:val="000000"/>
                <w:sz w:val="20"/>
                <w:szCs w:val="20"/>
                <w:vertAlign w:val="superscript"/>
              </w:rPr>
              <w:t>2</w:t>
            </w:r>
            <w:r w:rsidRPr="00824715">
              <w:rPr>
                <w:rFonts w:ascii="Times New Roman" w:eastAsia="Times New Roman" w:hAnsi="Times New Roman"/>
                <w:color w:val="000000"/>
                <w:sz w:val="20"/>
                <w:szCs w:val="20"/>
              </w:rPr>
              <w:t xml:space="preserve"> Approximately 10 percent of the address sample is expected to be undeliverable.</w:t>
            </w:r>
          </w:p>
          <w:p w:rsidR="00824715" w:rsidRPr="00824715" w:rsidRDefault="00824715" w:rsidP="00824715">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vertAlign w:val="superscript"/>
              </w:rPr>
              <w:t>3</w:t>
            </w:r>
            <w:r w:rsidRPr="00824715">
              <w:rPr>
                <w:rFonts w:ascii="Times New Roman" w:eastAsia="Times New Roman" w:hAnsi="Times New Roman"/>
                <w:color w:val="000000"/>
                <w:sz w:val="20"/>
                <w:szCs w:val="20"/>
              </w:rPr>
              <w:t xml:space="preserve"> Based on NCES testing, it takes an average of 15 minutes for a person to complete the questionnaire. Each sampled unit will receive either 3 individual questionnaires or a booklet that includes the full set of questionnaire items for up to three eligible household members. The average unit completion time is estimated to be 22.5 minutes based on the expectation that on average responding units will complete one and a half questionnaires.</w:t>
            </w:r>
          </w:p>
        </w:tc>
      </w:tr>
    </w:tbl>
    <w:p w:rsidR="006E6F9A" w:rsidRDefault="006E6F9A" w:rsidP="00824715">
      <w:pPr>
        <w:rPr>
          <w:rFonts w:ascii="Arial" w:hAnsi="Arial" w:cs="Arial"/>
          <w:b/>
          <w:i/>
        </w:rPr>
      </w:pPr>
    </w:p>
    <w:p w:rsidR="00824715" w:rsidRPr="00824715" w:rsidRDefault="00580366" w:rsidP="00580366">
      <w:pPr>
        <w:spacing w:after="120" w:line="240" w:lineRule="auto"/>
        <w:rPr>
          <w:rFonts w:ascii="Arial" w:hAnsi="Arial" w:cs="Arial"/>
          <w:b/>
          <w:i/>
        </w:rPr>
      </w:pPr>
      <w:r>
        <w:rPr>
          <w:rFonts w:ascii="Arial" w:hAnsi="Arial" w:cs="Arial"/>
          <w:b/>
          <w:i/>
        </w:rPr>
        <w:br w:type="page"/>
      </w:r>
      <w:r w:rsidR="00824715" w:rsidRPr="00824715">
        <w:rPr>
          <w:rFonts w:ascii="Arial" w:hAnsi="Arial" w:cs="Arial"/>
          <w:b/>
          <w:i/>
        </w:rPr>
        <w:lastRenderedPageBreak/>
        <w:t>Revised Burden Estimate:</w:t>
      </w:r>
    </w:p>
    <w:p w:rsidR="00824715" w:rsidRPr="00824715" w:rsidRDefault="00824715" w:rsidP="00824715">
      <w:pPr>
        <w:spacing w:after="0" w:line="240" w:lineRule="auto"/>
        <w:rPr>
          <w:rFonts w:ascii="Times New Roman" w:eastAsia="Times New Roman" w:hAnsi="Times New Roman"/>
          <w:b/>
          <w:bCs/>
          <w:sz w:val="24"/>
          <w:szCs w:val="24"/>
        </w:rPr>
      </w:pPr>
      <w:r w:rsidRPr="00824715">
        <w:rPr>
          <w:rFonts w:ascii="Times New Roman" w:eastAsia="Times New Roman" w:hAnsi="Times New Roman"/>
          <w:b/>
          <w:bCs/>
          <w:sz w:val="24"/>
          <w:szCs w:val="24"/>
        </w:rPr>
        <w:t>Table 1</w:t>
      </w:r>
      <w:r>
        <w:rPr>
          <w:rFonts w:ascii="Times New Roman" w:eastAsia="Times New Roman" w:hAnsi="Times New Roman"/>
          <w:b/>
          <w:bCs/>
          <w:sz w:val="24"/>
          <w:szCs w:val="24"/>
        </w:rPr>
        <w:t xml:space="preserve"> (Revised)</w:t>
      </w:r>
      <w:r w:rsidRPr="00824715">
        <w:rPr>
          <w:rFonts w:ascii="Times New Roman" w:eastAsia="Times New Roman" w:hAnsi="Times New Roman"/>
          <w:b/>
          <w:bCs/>
          <w:sz w:val="24"/>
          <w:szCs w:val="24"/>
        </w:rPr>
        <w:t>.</w:t>
      </w:r>
      <w:r w:rsidRPr="00824715">
        <w:rPr>
          <w:rFonts w:ascii="Cambria Math" w:eastAsia="Times New Roman" w:hAnsi="Cambria Math" w:cs="Cambria Math"/>
          <w:b/>
          <w:bCs/>
          <w:sz w:val="24"/>
          <w:szCs w:val="24"/>
        </w:rPr>
        <w:t> </w:t>
      </w:r>
      <w:r w:rsidRPr="00824715">
        <w:rPr>
          <w:rFonts w:ascii="Times New Roman" w:eastAsia="Times New Roman" w:hAnsi="Times New Roman"/>
          <w:b/>
          <w:bCs/>
          <w:sz w:val="24"/>
          <w:szCs w:val="24"/>
        </w:rPr>
        <w:t>Estimated response burden for the NATES Pilot</w:t>
      </w:r>
    </w:p>
    <w:tbl>
      <w:tblPr>
        <w:tblW w:w="5000" w:type="pct"/>
        <w:tblLook w:val="04A0" w:firstRow="1" w:lastRow="0" w:firstColumn="1" w:lastColumn="0" w:noHBand="0" w:noVBand="1"/>
      </w:tblPr>
      <w:tblGrid>
        <w:gridCol w:w="2018"/>
        <w:gridCol w:w="1150"/>
        <w:gridCol w:w="1620"/>
        <w:gridCol w:w="1802"/>
        <w:gridCol w:w="1977"/>
        <w:gridCol w:w="1873"/>
      </w:tblGrid>
      <w:tr w:rsidR="00824715" w:rsidRPr="00824715" w:rsidTr="0021398F">
        <w:trPr>
          <w:trHeight w:val="144"/>
        </w:trPr>
        <w:tc>
          <w:tcPr>
            <w:tcW w:w="966"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Instrument</w:t>
            </w:r>
          </w:p>
        </w:tc>
        <w:tc>
          <w:tcPr>
            <w:tcW w:w="5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Unit</w:t>
            </w:r>
            <w:r w:rsidRPr="00824715">
              <w:rPr>
                <w:rFonts w:ascii="Times New Roman" w:eastAsia="Times New Roman" w:hAnsi="Times New Roman"/>
                <w:color w:val="000000"/>
                <w:sz w:val="20"/>
                <w:szCs w:val="20"/>
                <w:vertAlign w:val="superscript"/>
              </w:rPr>
              <w:t>1</w:t>
            </w:r>
            <w:r w:rsidRPr="00824715">
              <w:rPr>
                <w:rFonts w:ascii="Times New Roman" w:eastAsia="Times New Roman" w:hAnsi="Times New Roman"/>
                <w:color w:val="000000"/>
                <w:sz w:val="20"/>
                <w:szCs w:val="20"/>
              </w:rPr>
              <w:t xml:space="preserve"> sample size</w:t>
            </w:r>
          </w:p>
        </w:tc>
        <w:tc>
          <w:tcPr>
            <w:tcW w:w="776" w:type="pct"/>
            <w:tcBorders>
              <w:top w:val="single" w:sz="8" w:space="0" w:color="000000"/>
              <w:left w:val="single" w:sz="8" w:space="0" w:color="000000"/>
              <w:bottom w:val="single" w:sz="8" w:space="0" w:color="000000"/>
              <w:right w:val="single" w:sz="8" w:space="0" w:color="000000"/>
            </w:tcBorders>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Expected response rate (%)</w:t>
            </w:r>
          </w:p>
        </w:tc>
        <w:tc>
          <w:tcPr>
            <w:tcW w:w="863"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Expected number of completed units</w:t>
            </w:r>
            <w:r w:rsidRPr="00824715">
              <w:rPr>
                <w:rFonts w:ascii="Times New Roman" w:eastAsia="Times New Roman" w:hAnsi="Times New Roman"/>
                <w:color w:val="000000"/>
                <w:sz w:val="20"/>
                <w:szCs w:val="20"/>
                <w:vertAlign w:val="superscript"/>
              </w:rPr>
              <w:t>2</w:t>
            </w:r>
            <w:r w:rsidRPr="00824715">
              <w:rPr>
                <w:rFonts w:ascii="Times New Roman" w:eastAsia="Times New Roman" w:hAnsi="Times New Roman"/>
                <w:color w:val="000000"/>
                <w:sz w:val="20"/>
                <w:szCs w:val="20"/>
              </w:rPr>
              <w:t xml:space="preserve"> </w:t>
            </w:r>
          </w:p>
        </w:tc>
        <w:tc>
          <w:tcPr>
            <w:tcW w:w="947" w:type="pct"/>
            <w:tcBorders>
              <w:top w:val="single" w:sz="8" w:space="0" w:color="000000"/>
              <w:left w:val="single" w:sz="8" w:space="0" w:color="000000"/>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Avg. unit completion time  (</w:t>
            </w:r>
            <w:proofErr w:type="spellStart"/>
            <w:r w:rsidRPr="00824715">
              <w:rPr>
                <w:rFonts w:ascii="Times New Roman" w:eastAsia="Times New Roman" w:hAnsi="Times New Roman"/>
                <w:color w:val="000000"/>
                <w:sz w:val="20"/>
                <w:szCs w:val="20"/>
              </w:rPr>
              <w:t>mins</w:t>
            </w:r>
            <w:proofErr w:type="spellEnd"/>
            <w:r w:rsidRPr="00824715">
              <w:rPr>
                <w:rFonts w:ascii="Times New Roman" w:eastAsia="Times New Roman" w:hAnsi="Times New Roman"/>
                <w:color w:val="000000"/>
                <w:sz w:val="20"/>
                <w:szCs w:val="20"/>
              </w:rPr>
              <w:t>)</w:t>
            </w:r>
          </w:p>
        </w:tc>
        <w:tc>
          <w:tcPr>
            <w:tcW w:w="897" w:type="pct"/>
            <w:tcBorders>
              <w:top w:val="single" w:sz="8" w:space="0" w:color="000000"/>
              <w:left w:val="nil"/>
              <w:bottom w:val="single" w:sz="4" w:space="0" w:color="auto"/>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 xml:space="preserve"> Total burden hours</w:t>
            </w:r>
          </w:p>
        </w:tc>
      </w:tr>
      <w:tr w:rsidR="00824715" w:rsidRPr="00824715" w:rsidTr="0021398F">
        <w:trPr>
          <w:trHeight w:val="144"/>
        </w:trPr>
        <w:tc>
          <w:tcPr>
            <w:tcW w:w="966"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Mail Screener</w:t>
            </w:r>
          </w:p>
        </w:tc>
        <w:tc>
          <w:tcPr>
            <w:tcW w:w="551" w:type="pct"/>
            <w:tcBorders>
              <w:top w:val="nil"/>
              <w:left w:val="single" w:sz="8" w:space="0" w:color="000000"/>
              <w:right w:val="single" w:sz="8" w:space="0" w:color="000000"/>
            </w:tcBorders>
            <w:shd w:val="clear" w:color="auto" w:fill="auto"/>
            <w:vAlign w:val="center"/>
          </w:tcPr>
          <w:p w:rsidR="00824715" w:rsidRPr="00580366" w:rsidRDefault="00824715" w:rsidP="00824715">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1,200</w:t>
            </w:r>
          </w:p>
        </w:tc>
        <w:tc>
          <w:tcPr>
            <w:tcW w:w="776"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60</w:t>
            </w:r>
          </w:p>
        </w:tc>
        <w:tc>
          <w:tcPr>
            <w:tcW w:w="863" w:type="pct"/>
            <w:tcBorders>
              <w:top w:val="nil"/>
              <w:left w:val="single" w:sz="8" w:space="0" w:color="000000"/>
              <w:right w:val="single" w:sz="8" w:space="0" w:color="000000"/>
            </w:tcBorders>
            <w:shd w:val="clear" w:color="auto" w:fill="auto"/>
            <w:vAlign w:val="center"/>
          </w:tcPr>
          <w:p w:rsidR="00824715" w:rsidRPr="00580366" w:rsidRDefault="00824715" w:rsidP="0021398F">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720</w:t>
            </w:r>
          </w:p>
        </w:tc>
        <w:tc>
          <w:tcPr>
            <w:tcW w:w="947"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3</w:t>
            </w:r>
          </w:p>
        </w:tc>
        <w:tc>
          <w:tcPr>
            <w:tcW w:w="897" w:type="pct"/>
            <w:tcBorders>
              <w:top w:val="single" w:sz="4" w:space="0" w:color="auto"/>
              <w:left w:val="single" w:sz="8" w:space="0" w:color="000000"/>
              <w:right w:val="single" w:sz="8" w:space="0" w:color="000000"/>
            </w:tcBorders>
            <w:shd w:val="clear" w:color="auto" w:fill="auto"/>
            <w:vAlign w:val="center"/>
          </w:tcPr>
          <w:p w:rsidR="00824715" w:rsidRPr="00580366" w:rsidRDefault="00824715" w:rsidP="00824715">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36</w:t>
            </w:r>
          </w:p>
        </w:tc>
      </w:tr>
      <w:tr w:rsidR="00824715" w:rsidRPr="00824715" w:rsidTr="0021398F">
        <w:trPr>
          <w:trHeight w:val="144"/>
        </w:trPr>
        <w:tc>
          <w:tcPr>
            <w:tcW w:w="966"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Topical Survey</w:t>
            </w:r>
            <w:r w:rsidRPr="00824715">
              <w:rPr>
                <w:rFonts w:ascii="Times New Roman" w:eastAsia="Times New Roman" w:hAnsi="Times New Roman"/>
                <w:color w:val="000000"/>
                <w:sz w:val="20"/>
                <w:szCs w:val="20"/>
                <w:vertAlign w:val="superscript"/>
              </w:rPr>
              <w:t>3</w:t>
            </w:r>
          </w:p>
        </w:tc>
        <w:tc>
          <w:tcPr>
            <w:tcW w:w="551"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10,000</w:t>
            </w:r>
          </w:p>
        </w:tc>
        <w:tc>
          <w:tcPr>
            <w:tcW w:w="776"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65</w:t>
            </w:r>
          </w:p>
        </w:tc>
        <w:tc>
          <w:tcPr>
            <w:tcW w:w="863"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 xml:space="preserve">5,850 </w:t>
            </w:r>
            <w:r w:rsidRPr="00824715">
              <w:rPr>
                <w:rFonts w:ascii="Times New Roman" w:eastAsia="Times New Roman" w:hAnsi="Times New Roman"/>
                <w:color w:val="000000"/>
                <w:sz w:val="18"/>
                <w:szCs w:val="18"/>
              </w:rPr>
              <w:t>(8,775 individual responses)</w:t>
            </w:r>
          </w:p>
        </w:tc>
        <w:tc>
          <w:tcPr>
            <w:tcW w:w="947"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22.5</w:t>
            </w:r>
          </w:p>
        </w:tc>
        <w:tc>
          <w:tcPr>
            <w:tcW w:w="897" w:type="pct"/>
            <w:tcBorders>
              <w:top w:val="nil"/>
              <w:left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2,194</w:t>
            </w:r>
          </w:p>
        </w:tc>
      </w:tr>
      <w:tr w:rsidR="00824715" w:rsidRPr="00824715" w:rsidTr="0021398F">
        <w:trPr>
          <w:trHeight w:val="144"/>
        </w:trPr>
        <w:tc>
          <w:tcPr>
            <w:tcW w:w="966"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Nonresponse Survey</w:t>
            </w:r>
          </w:p>
        </w:tc>
        <w:tc>
          <w:tcPr>
            <w:tcW w:w="551"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1,670</w:t>
            </w:r>
          </w:p>
        </w:tc>
        <w:tc>
          <w:tcPr>
            <w:tcW w:w="776" w:type="pct"/>
            <w:tcBorders>
              <w:top w:val="nil"/>
              <w:left w:val="single" w:sz="8" w:space="0" w:color="000000"/>
              <w:bottom w:val="single" w:sz="4"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60</w:t>
            </w:r>
          </w:p>
        </w:tc>
        <w:tc>
          <w:tcPr>
            <w:tcW w:w="863"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1,000</w:t>
            </w:r>
          </w:p>
        </w:tc>
        <w:tc>
          <w:tcPr>
            <w:tcW w:w="947"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5</w:t>
            </w:r>
          </w:p>
        </w:tc>
        <w:tc>
          <w:tcPr>
            <w:tcW w:w="897" w:type="pct"/>
            <w:tcBorders>
              <w:top w:val="nil"/>
              <w:left w:val="single" w:sz="8" w:space="0" w:color="000000"/>
              <w:bottom w:val="single" w:sz="4" w:space="0" w:color="auto"/>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83</w:t>
            </w:r>
          </w:p>
        </w:tc>
      </w:tr>
      <w:tr w:rsidR="00824715" w:rsidRPr="00824715" w:rsidTr="0021398F">
        <w:trPr>
          <w:trHeight w:val="144"/>
        </w:trPr>
        <w:tc>
          <w:tcPr>
            <w:tcW w:w="966" w:type="pct"/>
            <w:tcBorders>
              <w:top w:val="single" w:sz="4" w:space="0" w:color="auto"/>
              <w:left w:val="single" w:sz="8" w:space="0" w:color="000000"/>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Total</w:t>
            </w:r>
          </w:p>
        </w:tc>
        <w:tc>
          <w:tcPr>
            <w:tcW w:w="551" w:type="pct"/>
            <w:tcBorders>
              <w:top w:val="single" w:sz="4" w:space="0" w:color="auto"/>
              <w:left w:val="nil"/>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NA</w:t>
            </w:r>
          </w:p>
        </w:tc>
        <w:tc>
          <w:tcPr>
            <w:tcW w:w="776" w:type="pct"/>
            <w:tcBorders>
              <w:top w:val="single" w:sz="4" w:space="0" w:color="000000"/>
              <w:left w:val="nil"/>
              <w:bottom w:val="single" w:sz="8" w:space="0" w:color="000000"/>
              <w:right w:val="single" w:sz="8" w:space="0" w:color="000000"/>
            </w:tcBorders>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NA</w:t>
            </w:r>
          </w:p>
        </w:tc>
        <w:tc>
          <w:tcPr>
            <w:tcW w:w="863" w:type="pct"/>
            <w:tcBorders>
              <w:top w:val="single" w:sz="4" w:space="0" w:color="auto"/>
              <w:left w:val="single" w:sz="8" w:space="0" w:color="000000"/>
              <w:bottom w:val="single" w:sz="8" w:space="0" w:color="000000"/>
              <w:right w:val="single" w:sz="8" w:space="0" w:color="000000"/>
            </w:tcBorders>
            <w:shd w:val="clear" w:color="auto" w:fill="auto"/>
            <w:vAlign w:val="center"/>
          </w:tcPr>
          <w:p w:rsidR="00824715" w:rsidRPr="00824715" w:rsidRDefault="00824715" w:rsidP="00A15381">
            <w:pPr>
              <w:spacing w:after="0" w:line="240" w:lineRule="auto"/>
              <w:jc w:val="right"/>
              <w:rPr>
                <w:rFonts w:ascii="Times New Roman" w:eastAsia="Times New Roman" w:hAnsi="Times New Roman"/>
                <w:color w:val="000000"/>
                <w:sz w:val="20"/>
                <w:szCs w:val="20"/>
              </w:rPr>
            </w:pPr>
            <w:r w:rsidRPr="00A15381">
              <w:rPr>
                <w:rFonts w:ascii="Times New Roman" w:eastAsia="Times New Roman" w:hAnsi="Times New Roman"/>
                <w:color w:val="000000"/>
                <w:sz w:val="20"/>
                <w:szCs w:val="20"/>
                <w:highlight w:val="yellow"/>
              </w:rPr>
              <w:t>7,</w:t>
            </w:r>
            <w:r w:rsidR="00A15381" w:rsidRPr="00A15381">
              <w:rPr>
                <w:rFonts w:ascii="Times New Roman" w:eastAsia="Times New Roman" w:hAnsi="Times New Roman"/>
                <w:color w:val="000000"/>
                <w:sz w:val="20"/>
                <w:szCs w:val="20"/>
                <w:highlight w:val="yellow"/>
              </w:rPr>
              <w:t>570</w:t>
            </w:r>
            <w:r w:rsidRPr="00A15381">
              <w:rPr>
                <w:rFonts w:ascii="Times New Roman" w:eastAsia="Times New Roman" w:hAnsi="Times New Roman"/>
                <w:color w:val="000000"/>
                <w:sz w:val="20"/>
                <w:szCs w:val="20"/>
                <w:highlight w:val="yellow"/>
              </w:rPr>
              <w:t xml:space="preserve"> </w:t>
            </w:r>
            <w:r w:rsidRPr="00A15381">
              <w:rPr>
                <w:rFonts w:ascii="Times New Roman" w:eastAsia="Times New Roman" w:hAnsi="Times New Roman"/>
                <w:color w:val="000000"/>
                <w:sz w:val="18"/>
                <w:szCs w:val="18"/>
                <w:highlight w:val="yellow"/>
              </w:rPr>
              <w:t>(10,</w:t>
            </w:r>
            <w:r w:rsidR="00A15381" w:rsidRPr="00A15381">
              <w:rPr>
                <w:rFonts w:ascii="Times New Roman" w:eastAsia="Times New Roman" w:hAnsi="Times New Roman"/>
                <w:color w:val="000000"/>
                <w:sz w:val="18"/>
                <w:szCs w:val="18"/>
                <w:highlight w:val="yellow"/>
              </w:rPr>
              <w:t>49</w:t>
            </w:r>
            <w:r w:rsidRPr="00A15381">
              <w:rPr>
                <w:rFonts w:ascii="Times New Roman" w:eastAsia="Times New Roman" w:hAnsi="Times New Roman"/>
                <w:color w:val="000000"/>
                <w:sz w:val="18"/>
                <w:szCs w:val="18"/>
                <w:highlight w:val="yellow"/>
              </w:rPr>
              <w:t>5</w:t>
            </w:r>
            <w:r w:rsidRPr="00824715">
              <w:rPr>
                <w:rFonts w:ascii="Times New Roman" w:eastAsia="Times New Roman" w:hAnsi="Times New Roman"/>
                <w:color w:val="000000"/>
                <w:sz w:val="18"/>
                <w:szCs w:val="18"/>
              </w:rPr>
              <w:t xml:space="preserve"> individual responses)</w:t>
            </w:r>
          </w:p>
        </w:tc>
        <w:tc>
          <w:tcPr>
            <w:tcW w:w="947" w:type="pct"/>
            <w:tcBorders>
              <w:top w:val="single" w:sz="4" w:space="0" w:color="auto"/>
              <w:left w:val="nil"/>
              <w:bottom w:val="single" w:sz="8" w:space="0" w:color="000000"/>
              <w:right w:val="single" w:sz="8" w:space="0" w:color="000000"/>
            </w:tcBorders>
            <w:shd w:val="clear" w:color="auto" w:fill="auto"/>
            <w:vAlign w:val="center"/>
          </w:tcPr>
          <w:p w:rsidR="00824715" w:rsidRPr="00824715" w:rsidRDefault="00824715" w:rsidP="0021398F">
            <w:pPr>
              <w:spacing w:after="0" w:line="240" w:lineRule="auto"/>
              <w:jc w:val="right"/>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rPr>
              <w:t>NA</w:t>
            </w:r>
          </w:p>
        </w:tc>
        <w:tc>
          <w:tcPr>
            <w:tcW w:w="897" w:type="pct"/>
            <w:tcBorders>
              <w:top w:val="single" w:sz="4" w:space="0" w:color="auto"/>
              <w:left w:val="nil"/>
              <w:bottom w:val="single" w:sz="8" w:space="0" w:color="000000"/>
              <w:right w:val="single" w:sz="8" w:space="0" w:color="000000"/>
            </w:tcBorders>
            <w:shd w:val="clear" w:color="auto" w:fill="auto"/>
            <w:vAlign w:val="center"/>
          </w:tcPr>
          <w:p w:rsidR="00824715" w:rsidRPr="00580366" w:rsidRDefault="00824715" w:rsidP="0021398F">
            <w:pPr>
              <w:spacing w:after="0" w:line="240" w:lineRule="auto"/>
              <w:jc w:val="right"/>
              <w:rPr>
                <w:rFonts w:ascii="Times New Roman" w:eastAsia="Times New Roman" w:hAnsi="Times New Roman"/>
                <w:color w:val="000000"/>
                <w:sz w:val="20"/>
                <w:szCs w:val="20"/>
                <w:highlight w:val="yellow"/>
              </w:rPr>
            </w:pPr>
            <w:r w:rsidRPr="00580366">
              <w:rPr>
                <w:rFonts w:ascii="Times New Roman" w:eastAsia="Times New Roman" w:hAnsi="Times New Roman"/>
                <w:color w:val="000000"/>
                <w:sz w:val="20"/>
                <w:szCs w:val="20"/>
                <w:highlight w:val="yellow"/>
              </w:rPr>
              <w:t>2,313</w:t>
            </w:r>
          </w:p>
        </w:tc>
      </w:tr>
      <w:tr w:rsidR="00824715" w:rsidRPr="00824715" w:rsidTr="0021398F">
        <w:trPr>
          <w:trHeight w:val="144"/>
        </w:trPr>
        <w:tc>
          <w:tcPr>
            <w:tcW w:w="5000" w:type="pct"/>
            <w:gridSpan w:val="6"/>
            <w:tcBorders>
              <w:top w:val="single" w:sz="8" w:space="0" w:color="000000"/>
              <w:left w:val="nil"/>
              <w:bottom w:val="nil"/>
              <w:right w:val="nil"/>
            </w:tcBorders>
          </w:tcPr>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vertAlign w:val="superscript"/>
              </w:rPr>
              <w:t>1</w:t>
            </w:r>
            <w:r w:rsidRPr="00824715">
              <w:rPr>
                <w:rFonts w:ascii="Times New Roman" w:eastAsia="Times New Roman" w:hAnsi="Times New Roman"/>
                <w:color w:val="000000"/>
                <w:sz w:val="20"/>
                <w:szCs w:val="20"/>
              </w:rPr>
              <w:t xml:space="preserve"> Unit = Household</w:t>
            </w:r>
          </w:p>
          <w:p w:rsidR="00824715" w:rsidRPr="00824715" w:rsidRDefault="00824715" w:rsidP="0021398F">
            <w:pPr>
              <w:spacing w:after="0" w:line="240" w:lineRule="auto"/>
              <w:rPr>
                <w:rFonts w:ascii="Times New Roman" w:eastAsia="Times New Roman" w:hAnsi="Times New Roman"/>
                <w:color w:val="000000"/>
                <w:sz w:val="20"/>
                <w:szCs w:val="20"/>
                <w:vertAlign w:val="superscript"/>
              </w:rPr>
            </w:pPr>
            <w:r w:rsidRPr="00824715">
              <w:rPr>
                <w:rFonts w:ascii="Times New Roman" w:eastAsia="Times New Roman" w:hAnsi="Times New Roman"/>
                <w:color w:val="000000"/>
                <w:sz w:val="20"/>
                <w:szCs w:val="20"/>
                <w:vertAlign w:val="superscript"/>
              </w:rPr>
              <w:t>2</w:t>
            </w:r>
            <w:r w:rsidRPr="00824715">
              <w:rPr>
                <w:rFonts w:ascii="Times New Roman" w:eastAsia="Times New Roman" w:hAnsi="Times New Roman"/>
                <w:color w:val="000000"/>
                <w:sz w:val="20"/>
                <w:szCs w:val="20"/>
              </w:rPr>
              <w:t xml:space="preserve"> Approximately 10 percent of the address sample is expected to be undeliverable.</w:t>
            </w:r>
          </w:p>
          <w:p w:rsidR="00824715" w:rsidRPr="00824715" w:rsidRDefault="00824715" w:rsidP="0021398F">
            <w:pPr>
              <w:spacing w:after="0" w:line="240" w:lineRule="auto"/>
              <w:rPr>
                <w:rFonts w:ascii="Times New Roman" w:eastAsia="Times New Roman" w:hAnsi="Times New Roman"/>
                <w:color w:val="000000"/>
                <w:sz w:val="20"/>
                <w:szCs w:val="20"/>
              </w:rPr>
            </w:pPr>
            <w:r w:rsidRPr="00824715">
              <w:rPr>
                <w:rFonts w:ascii="Times New Roman" w:eastAsia="Times New Roman" w:hAnsi="Times New Roman"/>
                <w:color w:val="000000"/>
                <w:sz w:val="20"/>
                <w:szCs w:val="20"/>
                <w:vertAlign w:val="superscript"/>
              </w:rPr>
              <w:t>3</w:t>
            </w:r>
            <w:r w:rsidRPr="00824715">
              <w:rPr>
                <w:rFonts w:ascii="Times New Roman" w:eastAsia="Times New Roman" w:hAnsi="Times New Roman"/>
                <w:color w:val="000000"/>
                <w:sz w:val="20"/>
                <w:szCs w:val="20"/>
              </w:rPr>
              <w:t xml:space="preserve"> Based on NCES testing, it takes an average of 15 minutes for a person to complete the questionnaire. Each sampled unit will receive either 3 individual questionnaires or a booklet that includes the full set of questionnaire items for up to three eligible household members. The average unit completion time is estimated to be 22.5 minutes based on the expectation that on average responding units will complete one and a half questionnaires.</w:t>
            </w:r>
          </w:p>
        </w:tc>
      </w:tr>
    </w:tbl>
    <w:p w:rsidR="00AD67BB" w:rsidRDefault="00AD67BB" w:rsidP="00D13447">
      <w:pPr>
        <w:rPr>
          <w:rFonts w:ascii="Arial" w:hAnsi="Arial" w:cs="Arial"/>
        </w:rPr>
      </w:pPr>
    </w:p>
    <w:p w:rsidR="00824715" w:rsidRPr="00CF003B" w:rsidRDefault="00824715" w:rsidP="00D13447">
      <w:pPr>
        <w:rPr>
          <w:rFonts w:ascii="Arial" w:hAnsi="Arial" w:cs="Arial"/>
          <w:i/>
        </w:rPr>
      </w:pPr>
      <w:r w:rsidRPr="00CF003B">
        <w:rPr>
          <w:rFonts w:ascii="Arial" w:hAnsi="Arial" w:cs="Arial"/>
          <w:i/>
        </w:rPr>
        <w:t>NATES Topical Questionnaire</w:t>
      </w:r>
    </w:p>
    <w:p w:rsidR="0089034E" w:rsidRPr="00CF003B" w:rsidRDefault="00824715" w:rsidP="0089034E">
      <w:pPr>
        <w:rPr>
          <w:rFonts w:ascii="Arial" w:hAnsi="Arial" w:cs="Arial"/>
          <w:b/>
        </w:rPr>
      </w:pPr>
      <w:r w:rsidRPr="00CF003B">
        <w:rPr>
          <w:rFonts w:ascii="Arial" w:hAnsi="Arial" w:cs="Arial"/>
        </w:rPr>
        <w:t>While working with Census to finalize the questionnaire, we identified a few issues that we felt needed to be addressed prior to printing</w:t>
      </w:r>
      <w:r w:rsidR="00F22B3D" w:rsidRPr="00CF003B">
        <w:rPr>
          <w:rFonts w:ascii="Arial" w:hAnsi="Arial" w:cs="Arial"/>
        </w:rPr>
        <w:t xml:space="preserve"> the questionnaire</w:t>
      </w:r>
      <w:r w:rsidR="00527921" w:rsidRPr="00CF003B">
        <w:rPr>
          <w:rFonts w:ascii="Arial" w:hAnsi="Arial" w:cs="Arial"/>
        </w:rPr>
        <w:t>.</w:t>
      </w:r>
      <w:r w:rsidRPr="00CF003B">
        <w:rPr>
          <w:rFonts w:ascii="Arial" w:hAnsi="Arial" w:cs="Arial"/>
        </w:rPr>
        <w:t xml:space="preserve"> The following table </w:t>
      </w:r>
      <w:r w:rsidR="00263F2A" w:rsidRPr="00CF003B">
        <w:rPr>
          <w:rFonts w:ascii="Arial" w:hAnsi="Arial" w:cs="Arial"/>
        </w:rPr>
        <w:t>summarizes the changes</w:t>
      </w:r>
      <w:r w:rsidR="00F22B3D" w:rsidRPr="00CF003B">
        <w:rPr>
          <w:rFonts w:ascii="Arial" w:hAnsi="Arial" w:cs="Arial"/>
        </w:rPr>
        <w:t>, other than typos or formatting,</w:t>
      </w:r>
      <w:r w:rsidR="00263F2A" w:rsidRPr="00CF003B">
        <w:rPr>
          <w:rFonts w:ascii="Arial" w:hAnsi="Arial" w:cs="Arial"/>
        </w:rPr>
        <w:t xml:space="preserve"> that </w:t>
      </w:r>
      <w:r w:rsidRPr="00CF003B">
        <w:rPr>
          <w:rFonts w:ascii="Arial" w:hAnsi="Arial" w:cs="Arial"/>
        </w:rPr>
        <w:t>are reflected in the revised questionnaire: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351"/>
        <w:gridCol w:w="7991"/>
      </w:tblGrid>
      <w:tr w:rsidR="0089034E" w:rsidRPr="000F47CF" w:rsidTr="006C3124">
        <w:trPr>
          <w:tblHeader/>
        </w:trPr>
        <w:tc>
          <w:tcPr>
            <w:tcW w:w="526" w:type="pct"/>
            <w:shd w:val="clear" w:color="auto" w:fill="auto"/>
            <w:vAlign w:val="center"/>
          </w:tcPr>
          <w:p w:rsidR="0089034E" w:rsidRPr="00CF003B" w:rsidRDefault="0089034E" w:rsidP="001E74E0">
            <w:pPr>
              <w:spacing w:after="0" w:line="240" w:lineRule="auto"/>
              <w:jc w:val="center"/>
              <w:rPr>
                <w:rFonts w:ascii="Arial" w:hAnsi="Arial" w:cs="Arial"/>
                <w:b/>
              </w:rPr>
            </w:pPr>
            <w:r w:rsidRPr="00CF003B">
              <w:rPr>
                <w:rFonts w:ascii="Arial" w:hAnsi="Arial" w:cs="Arial"/>
                <w:b/>
              </w:rPr>
              <w:t>Page number</w:t>
            </w:r>
          </w:p>
        </w:tc>
        <w:tc>
          <w:tcPr>
            <w:tcW w:w="647" w:type="pct"/>
            <w:shd w:val="clear" w:color="auto" w:fill="auto"/>
            <w:vAlign w:val="center"/>
          </w:tcPr>
          <w:p w:rsidR="0089034E" w:rsidRPr="00CF003B" w:rsidRDefault="0089034E" w:rsidP="001E74E0">
            <w:pPr>
              <w:spacing w:after="0" w:line="240" w:lineRule="auto"/>
              <w:jc w:val="center"/>
              <w:rPr>
                <w:rFonts w:ascii="Arial" w:hAnsi="Arial" w:cs="Arial"/>
                <w:b/>
              </w:rPr>
            </w:pPr>
            <w:r w:rsidRPr="00CF003B">
              <w:rPr>
                <w:rFonts w:ascii="Arial" w:hAnsi="Arial" w:cs="Arial"/>
                <w:b/>
              </w:rPr>
              <w:t>Question number</w:t>
            </w:r>
          </w:p>
        </w:tc>
        <w:tc>
          <w:tcPr>
            <w:tcW w:w="3828" w:type="pct"/>
            <w:shd w:val="clear" w:color="auto" w:fill="auto"/>
            <w:vAlign w:val="center"/>
          </w:tcPr>
          <w:p w:rsidR="0089034E" w:rsidRPr="00CF003B" w:rsidRDefault="0089034E" w:rsidP="001E74E0">
            <w:pPr>
              <w:spacing w:after="0" w:line="240" w:lineRule="auto"/>
              <w:jc w:val="center"/>
              <w:rPr>
                <w:rFonts w:ascii="Arial" w:hAnsi="Arial" w:cs="Arial"/>
                <w:b/>
              </w:rPr>
            </w:pPr>
            <w:r w:rsidRPr="00CF003B">
              <w:rPr>
                <w:rFonts w:ascii="Arial" w:hAnsi="Arial" w:cs="Arial"/>
                <w:b/>
              </w:rPr>
              <w:t>Change</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1</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Above A</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We are adding an “Introduction” header to improve instrument appearance and to make it clearer that this is a section the survey.</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1</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A</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We are adding the instruction “No one in your household needs to complete any other questionnaires.” in order to be consistent with question B.</w:t>
            </w:r>
          </w:p>
        </w:tc>
      </w:tr>
      <w:tr w:rsidR="0089034E" w:rsidRPr="000F47CF" w:rsidTr="006C3124">
        <w:tc>
          <w:tcPr>
            <w:tcW w:w="526" w:type="pct"/>
            <w:shd w:val="clear" w:color="auto" w:fill="auto"/>
            <w:vAlign w:val="center"/>
          </w:tcPr>
          <w:p w:rsidR="0089034E" w:rsidRPr="00CF003B" w:rsidRDefault="0089034E" w:rsidP="004D79D9">
            <w:pPr>
              <w:rPr>
                <w:rFonts w:ascii="Arial" w:hAnsi="Arial" w:cs="Arial"/>
              </w:rPr>
            </w:pPr>
            <w:r w:rsidRPr="00CF003B">
              <w:rPr>
                <w:rFonts w:ascii="Arial" w:hAnsi="Arial" w:cs="Arial"/>
              </w:rPr>
              <w:t>2</w:t>
            </w:r>
          </w:p>
        </w:tc>
        <w:tc>
          <w:tcPr>
            <w:tcW w:w="647" w:type="pct"/>
            <w:shd w:val="clear" w:color="auto" w:fill="auto"/>
            <w:vAlign w:val="center"/>
          </w:tcPr>
          <w:p w:rsidR="0089034E" w:rsidRPr="00CF003B" w:rsidRDefault="0089034E" w:rsidP="004D79D9">
            <w:pPr>
              <w:rPr>
                <w:rFonts w:ascii="Arial" w:hAnsi="Arial" w:cs="Arial"/>
              </w:rPr>
            </w:pPr>
            <w:r w:rsidRPr="00CF003B">
              <w:rPr>
                <w:rFonts w:ascii="Arial" w:hAnsi="Arial" w:cs="Arial"/>
              </w:rPr>
              <w:t>Q5</w:t>
            </w:r>
          </w:p>
        </w:tc>
        <w:tc>
          <w:tcPr>
            <w:tcW w:w="3828" w:type="pct"/>
            <w:shd w:val="clear" w:color="auto" w:fill="auto"/>
          </w:tcPr>
          <w:p w:rsidR="0089034E" w:rsidRPr="00CF003B" w:rsidRDefault="0089034E" w:rsidP="004D79D9">
            <w:pPr>
              <w:rPr>
                <w:rFonts w:ascii="Arial" w:hAnsi="Arial" w:cs="Arial"/>
              </w:rPr>
            </w:pPr>
            <w:r w:rsidRPr="00CF003B">
              <w:rPr>
                <w:rFonts w:ascii="Arial" w:hAnsi="Arial" w:cs="Arial"/>
              </w:rPr>
              <w:t>We knew at the end of cognitive lab work that at least one respondent found these response options confusing</w:t>
            </w:r>
            <w:r w:rsidR="009761F5" w:rsidRPr="00CF003B">
              <w:rPr>
                <w:rFonts w:ascii="Arial" w:hAnsi="Arial" w:cs="Arial"/>
              </w:rPr>
              <w:t>.  A</w:t>
            </w:r>
            <w:r w:rsidRPr="00CF003B">
              <w:rPr>
                <w:rFonts w:ascii="Arial" w:hAnsi="Arial" w:cs="Arial"/>
              </w:rPr>
              <w:t>t the time, our solution was to emphasize some of the text.  Upon further reflection, we feel that the following changes will better clarify the response options:</w:t>
            </w:r>
          </w:p>
          <w:p w:rsidR="0089034E" w:rsidRPr="00CF003B" w:rsidRDefault="0089034E" w:rsidP="004D79D9">
            <w:pPr>
              <w:spacing w:after="0" w:line="240" w:lineRule="auto"/>
              <w:rPr>
                <w:rFonts w:ascii="Arial" w:hAnsi="Arial" w:cs="Arial"/>
              </w:rPr>
            </w:pPr>
            <w:r w:rsidRPr="00CF003B">
              <w:rPr>
                <w:rFonts w:ascii="Arial" w:hAnsi="Arial" w:cs="Arial"/>
              </w:rPr>
              <w:t xml:space="preserve">Previous response options: </w:t>
            </w:r>
          </w:p>
          <w:p w:rsidR="0089034E" w:rsidRPr="00CF003B" w:rsidRDefault="0089034E" w:rsidP="004D79D9">
            <w:pPr>
              <w:spacing w:after="0" w:line="240" w:lineRule="auto"/>
              <w:rPr>
                <w:rFonts w:ascii="Arial" w:hAnsi="Arial" w:cs="Arial"/>
              </w:rPr>
            </w:pPr>
          </w:p>
          <w:p w:rsidR="0089034E" w:rsidRPr="00CF003B" w:rsidRDefault="0089034E" w:rsidP="004D79D9">
            <w:pPr>
              <w:spacing w:after="0" w:line="240" w:lineRule="auto"/>
              <w:rPr>
                <w:rFonts w:ascii="Arial" w:hAnsi="Arial" w:cs="Arial"/>
              </w:rPr>
            </w:pPr>
            <w:r w:rsidRPr="00CF003B">
              <w:rPr>
                <w:rFonts w:ascii="Arial" w:hAnsi="Arial" w:cs="Arial"/>
              </w:rPr>
              <w:t xml:space="preserve">__ </w:t>
            </w:r>
            <w:r w:rsidRPr="00CF003B">
              <w:rPr>
                <w:rFonts w:ascii="Arial" w:hAnsi="Arial" w:cs="Arial"/>
                <w:u w:val="single"/>
              </w:rPr>
              <w:t>ONE OR MORE</w:t>
            </w:r>
            <w:r w:rsidRPr="00CF003B">
              <w:rPr>
                <w:rFonts w:ascii="Arial" w:hAnsi="Arial" w:cs="Arial"/>
              </w:rPr>
              <w:t xml:space="preserve"> for work-related reasons </w:t>
            </w:r>
          </w:p>
          <w:p w:rsidR="0089034E" w:rsidRPr="00CF003B" w:rsidRDefault="0089034E" w:rsidP="001E74E0">
            <w:pPr>
              <w:spacing w:after="0" w:line="240" w:lineRule="auto"/>
              <w:rPr>
                <w:rFonts w:ascii="Arial" w:hAnsi="Arial" w:cs="Arial"/>
              </w:rPr>
            </w:pPr>
            <w:r w:rsidRPr="00CF003B">
              <w:rPr>
                <w:rFonts w:ascii="Arial" w:hAnsi="Arial" w:cs="Arial"/>
              </w:rPr>
              <w:t xml:space="preserve">__ </w:t>
            </w:r>
            <w:r w:rsidRPr="00CF003B">
              <w:rPr>
                <w:rFonts w:ascii="Arial" w:hAnsi="Arial" w:cs="Arial"/>
                <w:u w:val="single"/>
              </w:rPr>
              <w:t>ALL</w:t>
            </w:r>
            <w:r w:rsidRPr="00CF003B">
              <w:rPr>
                <w:rFonts w:ascii="Arial" w:hAnsi="Arial" w:cs="Arial"/>
              </w:rPr>
              <w:t xml:space="preserve"> for personal interest</w:t>
            </w:r>
            <w:r w:rsidR="001E74E0" w:rsidRPr="00CF003B">
              <w:rPr>
                <w:rFonts w:ascii="Arial" w:hAnsi="Arial" w:cs="Arial"/>
              </w:rPr>
              <w:t xml:space="preserve"> </w:t>
            </w:r>
          </w:p>
          <w:p w:rsidR="001E74E0" w:rsidRPr="00CF003B" w:rsidRDefault="001E74E0" w:rsidP="001E74E0">
            <w:pPr>
              <w:spacing w:after="0" w:line="240" w:lineRule="auto"/>
              <w:rPr>
                <w:rFonts w:ascii="Arial" w:hAnsi="Arial" w:cs="Arial"/>
              </w:rPr>
            </w:pPr>
          </w:p>
          <w:p w:rsidR="0089034E" w:rsidRPr="00CF003B" w:rsidRDefault="0089034E" w:rsidP="004D79D9">
            <w:pPr>
              <w:rPr>
                <w:rFonts w:ascii="Arial" w:hAnsi="Arial" w:cs="Arial"/>
              </w:rPr>
            </w:pPr>
            <w:r w:rsidRPr="00CF003B">
              <w:rPr>
                <w:rFonts w:ascii="Arial" w:hAnsi="Arial" w:cs="Arial"/>
              </w:rPr>
              <w:t>New response options:</w:t>
            </w:r>
          </w:p>
          <w:p w:rsidR="0089034E" w:rsidRPr="00CF003B" w:rsidRDefault="0089034E" w:rsidP="004D79D9">
            <w:pPr>
              <w:spacing w:after="0" w:line="240" w:lineRule="auto"/>
              <w:rPr>
                <w:rFonts w:ascii="Arial" w:hAnsi="Arial" w:cs="Arial"/>
              </w:rPr>
            </w:pPr>
            <w:r w:rsidRPr="00CF003B">
              <w:rPr>
                <w:rFonts w:ascii="Arial" w:hAnsi="Arial" w:cs="Arial"/>
              </w:rPr>
              <w:t xml:space="preserve">__ I got ONE OR MORE certifications or licenses for work-related </w:t>
            </w:r>
            <w:r w:rsidR="00040CF6" w:rsidRPr="00CF003B">
              <w:rPr>
                <w:rFonts w:ascii="Arial" w:hAnsi="Arial" w:cs="Arial"/>
              </w:rPr>
              <w:t>reasons</w:t>
            </w:r>
          </w:p>
          <w:p w:rsidR="0089034E" w:rsidRPr="00CF003B" w:rsidRDefault="0089034E" w:rsidP="004D79D9">
            <w:pPr>
              <w:rPr>
                <w:rFonts w:ascii="Arial" w:hAnsi="Arial" w:cs="Arial"/>
              </w:rPr>
            </w:pPr>
            <w:r w:rsidRPr="00CF003B">
              <w:rPr>
                <w:rFonts w:ascii="Arial" w:hAnsi="Arial" w:cs="Arial"/>
              </w:rPr>
              <w:t xml:space="preserve">__ I did NOT GET </w:t>
            </w:r>
            <w:r w:rsidRPr="00CF003B">
              <w:rPr>
                <w:rFonts w:ascii="Arial" w:hAnsi="Arial" w:cs="Arial"/>
                <w:caps/>
              </w:rPr>
              <w:t xml:space="preserve">ANY </w:t>
            </w:r>
            <w:r w:rsidRPr="00CF003B">
              <w:rPr>
                <w:rFonts w:ascii="Arial" w:hAnsi="Arial" w:cs="Arial"/>
              </w:rPr>
              <w:t>certifications or licenses for work-related reasons</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7</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Q28</w:t>
            </w:r>
          </w:p>
        </w:tc>
        <w:tc>
          <w:tcPr>
            <w:tcW w:w="3828" w:type="pct"/>
            <w:shd w:val="clear" w:color="auto" w:fill="auto"/>
          </w:tcPr>
          <w:p w:rsidR="0089034E" w:rsidRPr="00CF003B" w:rsidRDefault="0089034E" w:rsidP="001E74E0">
            <w:pPr>
              <w:spacing w:after="0" w:line="240" w:lineRule="auto"/>
              <w:rPr>
                <w:rFonts w:ascii="Arial" w:hAnsi="Arial" w:cs="Arial"/>
              </w:rPr>
            </w:pPr>
            <w:r w:rsidRPr="00CF003B">
              <w:rPr>
                <w:rFonts w:ascii="Arial" w:hAnsi="Arial" w:cs="Arial"/>
              </w:rPr>
              <w:t xml:space="preserve">We had changed the text of the stem during cognitive lab work, but had forgotten to change the response options to match the new stem.  </w:t>
            </w:r>
            <w:r w:rsidR="001E74E0" w:rsidRPr="00CF003B">
              <w:rPr>
                <w:rFonts w:ascii="Arial" w:hAnsi="Arial" w:cs="Arial"/>
              </w:rPr>
              <w:t>Thus</w:t>
            </w:r>
            <w:r w:rsidRPr="00CF003B">
              <w:rPr>
                <w:rFonts w:ascii="Arial" w:hAnsi="Arial" w:cs="Arial"/>
              </w:rPr>
              <w:t xml:space="preserve"> we are changing both response options from “For a job…” to “Related to a job…”</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9</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Instruction between Q37 and Q38</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 xml:space="preserve">We now realize this instruction will be missed by respondents who are told to skip to Q39; it is also not clear to which questions the instruction applies. The instruction is thus being moved to come after Q35 and expanded to read “The rest of this section asks about these college classes. If you are on a school break, please respond for the classes you were taking before you went on break.”  We are not putting this instruction before Q35 because Q35 was </w:t>
            </w:r>
            <w:r w:rsidRPr="00CF003B">
              <w:rPr>
                <w:rFonts w:ascii="Arial" w:hAnsi="Arial" w:cs="Arial"/>
              </w:rPr>
              <w:lastRenderedPageBreak/>
              <w:t>carefully crafted to capture all postsecondary education and the correct kinds of school breaks; we want all respondents to read that question first.</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lastRenderedPageBreak/>
              <w:t>11</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Q47</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We corrected an error in our definition of adult basic education, changing the first response option in this section from “Basic reading, writing or arithmetic (instruction for adults at the elementary or high school level)” to “Basic reading, writing or arithmetic (instruction for adults below the high school level)”</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12</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Q50</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To match the stem (and the rest of this section), we are changing the text in the last response option from “Not relevant—I was self-employed or not employed when I took the course or instruction” to “Not relevant—I was self-employed or not employed when I took the instruction or training.”</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13</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Q58</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We are deleting this skip because it is unnecessary, is easily missed, and adds complexity to an already complex survey section.</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14</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Q63-Q64</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We are concerned about respondents missing the skip on Q63, so we are exploring the option of reversing the order of Q63 and Q64 (which would then move the skip up to Q62). In consultation with Census, we will decide on the best ordering. (If we reverse the order, we will also modify the skip on Q60 accordingly.)</w:t>
            </w:r>
          </w:p>
        </w:tc>
      </w:tr>
      <w:tr w:rsidR="0089034E" w:rsidRPr="000F47CF" w:rsidTr="006C3124">
        <w:tc>
          <w:tcPr>
            <w:tcW w:w="526"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15</w:t>
            </w:r>
          </w:p>
        </w:tc>
        <w:tc>
          <w:tcPr>
            <w:tcW w:w="647" w:type="pct"/>
            <w:shd w:val="clear" w:color="auto" w:fill="auto"/>
            <w:vAlign w:val="center"/>
          </w:tcPr>
          <w:p w:rsidR="0089034E" w:rsidRPr="00CF003B" w:rsidRDefault="0089034E" w:rsidP="004D79D9">
            <w:pPr>
              <w:spacing w:after="0" w:line="240" w:lineRule="auto"/>
              <w:rPr>
                <w:rFonts w:ascii="Arial" w:hAnsi="Arial" w:cs="Arial"/>
              </w:rPr>
            </w:pPr>
            <w:r w:rsidRPr="00CF003B">
              <w:rPr>
                <w:rFonts w:ascii="Arial" w:hAnsi="Arial" w:cs="Arial"/>
              </w:rPr>
              <w:t>Q79</w:t>
            </w:r>
          </w:p>
        </w:tc>
        <w:tc>
          <w:tcPr>
            <w:tcW w:w="3828" w:type="pct"/>
            <w:shd w:val="clear" w:color="auto" w:fill="auto"/>
          </w:tcPr>
          <w:p w:rsidR="0089034E" w:rsidRPr="00CF003B" w:rsidRDefault="0089034E" w:rsidP="004D79D9">
            <w:pPr>
              <w:spacing w:after="0" w:line="240" w:lineRule="auto"/>
              <w:rPr>
                <w:rFonts w:ascii="Arial" w:hAnsi="Arial" w:cs="Arial"/>
              </w:rPr>
            </w:pPr>
            <w:r w:rsidRPr="00CF003B">
              <w:rPr>
                <w:rFonts w:ascii="Arial" w:hAnsi="Arial" w:cs="Arial"/>
              </w:rPr>
              <w:t>In order to generate “foreign born” counts that will parallel those in the ACS, we are separating the 2</w:t>
            </w:r>
            <w:r w:rsidRPr="00CF003B">
              <w:rPr>
                <w:rFonts w:ascii="Arial" w:hAnsi="Arial" w:cs="Arial"/>
                <w:vertAlign w:val="superscript"/>
              </w:rPr>
              <w:t>nd</w:t>
            </w:r>
            <w:r w:rsidRPr="00CF003B">
              <w:rPr>
                <w:rFonts w:ascii="Arial" w:hAnsi="Arial" w:cs="Arial"/>
              </w:rPr>
              <w:t xml:space="preserve"> response option into:</w:t>
            </w:r>
          </w:p>
          <w:p w:rsidR="0089034E" w:rsidRPr="00CF003B" w:rsidRDefault="0089034E" w:rsidP="004D79D9">
            <w:pPr>
              <w:spacing w:after="0" w:line="240" w:lineRule="auto"/>
              <w:rPr>
                <w:rFonts w:ascii="Arial" w:hAnsi="Arial" w:cs="Arial"/>
              </w:rPr>
            </w:pPr>
          </w:p>
          <w:p w:rsidR="0089034E" w:rsidRPr="00CF003B" w:rsidRDefault="0089034E" w:rsidP="004D79D9">
            <w:pPr>
              <w:spacing w:after="0" w:line="240" w:lineRule="auto"/>
              <w:rPr>
                <w:rFonts w:ascii="Arial" w:hAnsi="Arial" w:cs="Arial"/>
              </w:rPr>
            </w:pPr>
            <w:r w:rsidRPr="00CF003B">
              <w:rPr>
                <w:rFonts w:ascii="Arial" w:hAnsi="Arial" w:cs="Arial"/>
              </w:rPr>
              <w:t xml:space="preserve">___In a U.S. territory (Puerto Rico, Guam, American Samoa, U.S. Virgin Islands, or Northern Marianas) </w:t>
            </w:r>
            <w:r w:rsidRPr="00CF003B">
              <w:rPr>
                <w:rFonts w:ascii="Arial" w:hAnsi="Arial" w:cs="Arial"/>
              </w:rPr>
              <w:sym w:font="Wingdings" w:char="F0E0"/>
            </w:r>
            <w:r w:rsidRPr="00CF003B">
              <w:rPr>
                <w:rFonts w:ascii="Arial" w:hAnsi="Arial" w:cs="Arial"/>
              </w:rPr>
              <w:t xml:space="preserve"> Go to question 82</w:t>
            </w:r>
          </w:p>
          <w:p w:rsidR="0089034E" w:rsidRPr="00CF003B" w:rsidRDefault="0089034E" w:rsidP="004D79D9">
            <w:pPr>
              <w:spacing w:after="0" w:line="240" w:lineRule="auto"/>
              <w:rPr>
                <w:rFonts w:ascii="Arial" w:hAnsi="Arial" w:cs="Arial"/>
              </w:rPr>
            </w:pPr>
          </w:p>
          <w:p w:rsidR="0089034E" w:rsidRPr="00CF003B" w:rsidRDefault="0089034E" w:rsidP="004D79D9">
            <w:pPr>
              <w:spacing w:after="0" w:line="240" w:lineRule="auto"/>
              <w:rPr>
                <w:rFonts w:ascii="Arial" w:hAnsi="Arial" w:cs="Arial"/>
              </w:rPr>
            </w:pPr>
            <w:r w:rsidRPr="00CF003B">
              <w:rPr>
                <w:rFonts w:ascii="Arial" w:hAnsi="Arial" w:cs="Arial"/>
              </w:rPr>
              <w:t>___Outside the U.S. (in a foreign country)</w:t>
            </w:r>
          </w:p>
          <w:p w:rsidR="0089034E" w:rsidRPr="00CF003B" w:rsidRDefault="0089034E" w:rsidP="004D79D9">
            <w:pPr>
              <w:spacing w:after="0" w:line="240" w:lineRule="auto"/>
              <w:rPr>
                <w:rFonts w:ascii="Arial" w:hAnsi="Arial" w:cs="Arial"/>
              </w:rPr>
            </w:pPr>
          </w:p>
        </w:tc>
      </w:tr>
    </w:tbl>
    <w:p w:rsidR="00824715" w:rsidRPr="0047695F" w:rsidRDefault="00824715" w:rsidP="00263F2A">
      <w:pPr>
        <w:rPr>
          <w:sz w:val="24"/>
          <w:szCs w:val="24"/>
        </w:rPr>
      </w:pPr>
    </w:p>
    <w:sectPr w:rsidR="00824715" w:rsidRPr="0047695F" w:rsidSect="0030113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01F28"/>
    <w:multiLevelType w:val="hybridMultilevel"/>
    <w:tmpl w:val="C5EC9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2A"/>
    <w:rsid w:val="0002245D"/>
    <w:rsid w:val="00040CF6"/>
    <w:rsid w:val="00065215"/>
    <w:rsid w:val="000A672D"/>
    <w:rsid w:val="000D6525"/>
    <w:rsid w:val="000F47CF"/>
    <w:rsid w:val="0010062A"/>
    <w:rsid w:val="001E74E0"/>
    <w:rsid w:val="001E7FDA"/>
    <w:rsid w:val="0021398F"/>
    <w:rsid w:val="00263F2A"/>
    <w:rsid w:val="00301133"/>
    <w:rsid w:val="003C355E"/>
    <w:rsid w:val="00407390"/>
    <w:rsid w:val="0047695F"/>
    <w:rsid w:val="004D79D9"/>
    <w:rsid w:val="00527921"/>
    <w:rsid w:val="00580366"/>
    <w:rsid w:val="0062559E"/>
    <w:rsid w:val="006C3124"/>
    <w:rsid w:val="006E6F9A"/>
    <w:rsid w:val="006F0A3A"/>
    <w:rsid w:val="00714D02"/>
    <w:rsid w:val="00732032"/>
    <w:rsid w:val="007646A4"/>
    <w:rsid w:val="00824715"/>
    <w:rsid w:val="00852289"/>
    <w:rsid w:val="0089034E"/>
    <w:rsid w:val="008A7475"/>
    <w:rsid w:val="00956C8F"/>
    <w:rsid w:val="00974975"/>
    <w:rsid w:val="009761F5"/>
    <w:rsid w:val="00A15381"/>
    <w:rsid w:val="00AD67BB"/>
    <w:rsid w:val="00B37126"/>
    <w:rsid w:val="00CF003B"/>
    <w:rsid w:val="00D13447"/>
    <w:rsid w:val="00EE0B6C"/>
    <w:rsid w:val="00F2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aliases w:val="H2-Sec. Head,H2-Sec. He"/>
    <w:basedOn w:val="Normal"/>
    <w:next w:val="Normal"/>
    <w:link w:val="Heading2Char"/>
    <w:uiPriority w:val="99"/>
    <w:qFormat/>
    <w:rsid w:val="00824715"/>
    <w:pPr>
      <w:keepNext/>
      <w:tabs>
        <w:tab w:val="left" w:pos="1170"/>
        <w:tab w:val="right" w:pos="9270"/>
      </w:tabs>
      <w:spacing w:after="360" w:line="240" w:lineRule="atLeas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Sec. Head Char,H2-Sec. He Char"/>
    <w:link w:val="Heading2"/>
    <w:uiPriority w:val="99"/>
    <w:rsid w:val="00824715"/>
    <w:rPr>
      <w:rFonts w:ascii="Cambria" w:eastAsia="Times New Roman" w:hAnsi="Cambria"/>
      <w:b/>
      <w:bCs/>
      <w:i/>
      <w:iCs/>
      <w:sz w:val="28"/>
      <w:szCs w:val="28"/>
    </w:rPr>
  </w:style>
  <w:style w:type="paragraph" w:customStyle="1" w:styleId="TT-TableTitle">
    <w:name w:val="TT-Table Title"/>
    <w:autoRedefine/>
    <w:rsid w:val="00824715"/>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749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9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aliases w:val="H2-Sec. Head,H2-Sec. He"/>
    <w:basedOn w:val="Normal"/>
    <w:next w:val="Normal"/>
    <w:link w:val="Heading2Char"/>
    <w:uiPriority w:val="99"/>
    <w:qFormat/>
    <w:rsid w:val="00824715"/>
    <w:pPr>
      <w:keepNext/>
      <w:tabs>
        <w:tab w:val="left" w:pos="1170"/>
        <w:tab w:val="right" w:pos="9270"/>
      </w:tabs>
      <w:spacing w:after="360" w:line="240" w:lineRule="atLeas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Sec. Head Char,H2-Sec. He Char"/>
    <w:link w:val="Heading2"/>
    <w:uiPriority w:val="99"/>
    <w:rsid w:val="00824715"/>
    <w:rPr>
      <w:rFonts w:ascii="Cambria" w:eastAsia="Times New Roman" w:hAnsi="Cambria"/>
      <w:b/>
      <w:bCs/>
      <w:i/>
      <w:iCs/>
      <w:sz w:val="28"/>
      <w:szCs w:val="28"/>
    </w:rPr>
  </w:style>
  <w:style w:type="paragraph" w:customStyle="1" w:styleId="TT-TableTitle">
    <w:name w:val="TT-Table Title"/>
    <w:autoRedefine/>
    <w:rsid w:val="00824715"/>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749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8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Hudson</dc:creator>
  <cp:lastModifiedBy>kashka.kubzdela</cp:lastModifiedBy>
  <cp:revision>9</cp:revision>
  <dcterms:created xsi:type="dcterms:W3CDTF">2012-12-11T06:36:00Z</dcterms:created>
  <dcterms:modified xsi:type="dcterms:W3CDTF">2012-12-12T18:24:00Z</dcterms:modified>
</cp:coreProperties>
</file>