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49" w:rsidRPr="007956DF" w:rsidRDefault="00AC5FAF">
      <w:pPr>
        <w:jc w:val="center"/>
        <w:rPr>
          <w:b/>
          <w:bCs/>
          <w:color w:val="000000"/>
          <w:szCs w:val="24"/>
        </w:rPr>
      </w:pPr>
      <w:r w:rsidRPr="007956DF">
        <w:rPr>
          <w:b/>
          <w:szCs w:val="24"/>
          <w:lang w:val="en-CA"/>
        </w:rPr>
        <w:fldChar w:fldCharType="begin"/>
      </w:r>
      <w:r w:rsidR="00DD6281" w:rsidRPr="007956DF">
        <w:rPr>
          <w:b/>
          <w:szCs w:val="24"/>
          <w:lang w:val="en-CA"/>
        </w:rPr>
        <w:instrText xml:space="preserve"> SEQ CHAPTER \h \r 1</w:instrText>
      </w:r>
      <w:r w:rsidRPr="007956DF">
        <w:rPr>
          <w:b/>
          <w:szCs w:val="24"/>
          <w:lang w:val="en-CA"/>
        </w:rPr>
        <w:fldChar w:fldCharType="end"/>
      </w:r>
      <w:r w:rsidR="00DD6281" w:rsidRPr="007956DF">
        <w:rPr>
          <w:b/>
          <w:bCs/>
          <w:color w:val="000000"/>
          <w:szCs w:val="24"/>
        </w:rPr>
        <w:t>Supporting Statement for the</w:t>
      </w:r>
    </w:p>
    <w:p w:rsidR="00D56407" w:rsidRPr="007956DF" w:rsidRDefault="00F2018F">
      <w:pPr>
        <w:jc w:val="center"/>
        <w:rPr>
          <w:b/>
          <w:szCs w:val="24"/>
        </w:rPr>
      </w:pPr>
      <w:r w:rsidRPr="007956DF">
        <w:rPr>
          <w:b/>
          <w:szCs w:val="24"/>
        </w:rPr>
        <w:t>Recordkeeping</w:t>
      </w:r>
      <w:r w:rsidR="00DD61A2" w:rsidRPr="007956DF">
        <w:rPr>
          <w:b/>
          <w:szCs w:val="24"/>
        </w:rPr>
        <w:t xml:space="preserve"> and </w:t>
      </w:r>
      <w:r w:rsidR="004D7FD9">
        <w:rPr>
          <w:b/>
          <w:szCs w:val="24"/>
        </w:rPr>
        <w:t>Disclosure</w:t>
      </w:r>
      <w:r w:rsidRPr="007956DF">
        <w:rPr>
          <w:b/>
          <w:szCs w:val="24"/>
        </w:rPr>
        <w:t xml:space="preserve"> Requirements</w:t>
      </w:r>
      <w:r w:rsidR="0072098F" w:rsidRPr="007956DF">
        <w:rPr>
          <w:b/>
          <w:szCs w:val="24"/>
        </w:rPr>
        <w:t xml:space="preserve"> </w:t>
      </w:r>
      <w:r w:rsidR="004D4EBC" w:rsidRPr="007956DF">
        <w:rPr>
          <w:b/>
          <w:szCs w:val="24"/>
        </w:rPr>
        <w:t>Associated with</w:t>
      </w:r>
      <w:r w:rsidR="0072098F" w:rsidRPr="007956DF">
        <w:rPr>
          <w:b/>
          <w:szCs w:val="24"/>
        </w:rPr>
        <w:t xml:space="preserve"> Regulation</w:t>
      </w:r>
      <w:r w:rsidR="004D4EBC" w:rsidRPr="007956DF">
        <w:rPr>
          <w:b/>
          <w:szCs w:val="24"/>
        </w:rPr>
        <w:t> </w:t>
      </w:r>
      <w:r w:rsidRPr="007956DF">
        <w:rPr>
          <w:b/>
          <w:szCs w:val="24"/>
        </w:rPr>
        <w:t>II</w:t>
      </w:r>
    </w:p>
    <w:p w:rsidR="00CE5D08" w:rsidRPr="007956DF" w:rsidRDefault="0072098F" w:rsidP="00CE5D08">
      <w:pPr>
        <w:jc w:val="center"/>
        <w:rPr>
          <w:b/>
          <w:szCs w:val="24"/>
        </w:rPr>
      </w:pPr>
      <w:r w:rsidRPr="007956DF">
        <w:rPr>
          <w:b/>
          <w:szCs w:val="24"/>
        </w:rPr>
        <w:t>(</w:t>
      </w:r>
      <w:r w:rsidR="00F2018F" w:rsidRPr="007956DF">
        <w:rPr>
          <w:b/>
          <w:bCs/>
          <w:snapToGrid/>
          <w:szCs w:val="24"/>
        </w:rPr>
        <w:t>Debit Card Interchange Fees and Routing</w:t>
      </w:r>
      <w:r w:rsidRPr="007956DF">
        <w:rPr>
          <w:b/>
          <w:szCs w:val="24"/>
        </w:rPr>
        <w:t>)</w:t>
      </w:r>
      <w:r w:rsidR="00D56407" w:rsidRPr="007956DF">
        <w:rPr>
          <w:b/>
          <w:szCs w:val="24"/>
        </w:rPr>
        <w:t xml:space="preserve"> </w:t>
      </w:r>
    </w:p>
    <w:p w:rsidR="00D56407" w:rsidRPr="007956DF" w:rsidRDefault="00DD6281" w:rsidP="00CE5D08">
      <w:pPr>
        <w:jc w:val="center"/>
        <w:rPr>
          <w:b/>
          <w:szCs w:val="24"/>
        </w:rPr>
      </w:pPr>
      <w:r w:rsidRPr="007956DF">
        <w:rPr>
          <w:b/>
          <w:bCs/>
          <w:color w:val="000000"/>
          <w:szCs w:val="24"/>
        </w:rPr>
        <w:t>(Reg</w:t>
      </w:r>
      <w:r w:rsidR="00516AAF" w:rsidRPr="007956DF">
        <w:rPr>
          <w:b/>
          <w:szCs w:val="24"/>
        </w:rPr>
        <w:t> </w:t>
      </w:r>
      <w:r w:rsidR="00F2018F" w:rsidRPr="007956DF">
        <w:rPr>
          <w:b/>
          <w:bCs/>
          <w:color w:val="000000"/>
          <w:szCs w:val="24"/>
        </w:rPr>
        <w:t>II</w:t>
      </w:r>
      <w:r w:rsidRPr="007956DF">
        <w:rPr>
          <w:b/>
          <w:bCs/>
          <w:color w:val="000000"/>
          <w:szCs w:val="24"/>
        </w:rPr>
        <w:t>; OMB No.</w:t>
      </w:r>
      <w:r w:rsidR="00F2018F" w:rsidRPr="007956DF">
        <w:rPr>
          <w:b/>
          <w:bCs/>
          <w:color w:val="000000"/>
          <w:szCs w:val="24"/>
        </w:rPr>
        <w:t xml:space="preserve"> 7100-</w:t>
      </w:r>
      <w:r w:rsidRPr="007956DF">
        <w:rPr>
          <w:b/>
          <w:bCs/>
          <w:color w:val="000000"/>
          <w:szCs w:val="24"/>
        </w:rPr>
        <w:t xml:space="preserve"> to be obtained)</w:t>
      </w:r>
    </w:p>
    <w:p w:rsidR="000C7FBB" w:rsidRPr="007956DF" w:rsidRDefault="000C7FBB">
      <w:pPr>
        <w:jc w:val="center"/>
        <w:rPr>
          <w:b/>
          <w:bCs/>
          <w:color w:val="000000"/>
          <w:szCs w:val="24"/>
        </w:rPr>
      </w:pPr>
    </w:p>
    <w:p w:rsidR="00DD6281" w:rsidRPr="007956DF" w:rsidRDefault="00DF45F3">
      <w:pPr>
        <w:jc w:val="center"/>
        <w:rPr>
          <w:b/>
          <w:i/>
          <w:color w:val="000000"/>
          <w:szCs w:val="24"/>
        </w:rPr>
      </w:pPr>
      <w:r w:rsidRPr="007956DF">
        <w:rPr>
          <w:b/>
          <w:bCs/>
          <w:i/>
          <w:color w:val="000000"/>
          <w:szCs w:val="24"/>
        </w:rPr>
        <w:t>Fraud Prevention</w:t>
      </w:r>
      <w:r w:rsidR="00F2018F" w:rsidRPr="007956DF">
        <w:rPr>
          <w:b/>
          <w:bCs/>
          <w:i/>
          <w:color w:val="000000"/>
          <w:szCs w:val="24"/>
        </w:rPr>
        <w:t xml:space="preserve"> </w:t>
      </w:r>
      <w:r w:rsidR="007C44EF" w:rsidRPr="007956DF">
        <w:rPr>
          <w:b/>
          <w:bCs/>
          <w:i/>
          <w:color w:val="000000"/>
          <w:szCs w:val="24"/>
        </w:rPr>
        <w:t>(Docket No. R</w:t>
      </w:r>
      <w:r w:rsidR="00BB5D78" w:rsidRPr="007956DF">
        <w:rPr>
          <w:b/>
          <w:bCs/>
          <w:i/>
          <w:color w:val="000000"/>
          <w:szCs w:val="24"/>
        </w:rPr>
        <w:t>-</w:t>
      </w:r>
      <w:r w:rsidR="007C3B97" w:rsidRPr="007956DF">
        <w:rPr>
          <w:b/>
          <w:bCs/>
          <w:i/>
          <w:color w:val="000000"/>
          <w:szCs w:val="24"/>
        </w:rPr>
        <w:t>140</w:t>
      </w:r>
      <w:r w:rsidR="00F2018F" w:rsidRPr="007956DF">
        <w:rPr>
          <w:b/>
          <w:bCs/>
          <w:i/>
          <w:color w:val="000000"/>
          <w:szCs w:val="24"/>
        </w:rPr>
        <w:t>4</w:t>
      </w:r>
      <w:r w:rsidR="007C44EF" w:rsidRPr="007956DF">
        <w:rPr>
          <w:b/>
          <w:bCs/>
          <w:i/>
          <w:color w:val="000000"/>
          <w:szCs w:val="24"/>
        </w:rPr>
        <w:t>)</w:t>
      </w:r>
      <w:r w:rsidR="00D56407" w:rsidRPr="007956DF">
        <w:rPr>
          <w:b/>
          <w:bCs/>
          <w:i/>
          <w:color w:val="000000"/>
          <w:szCs w:val="24"/>
        </w:rPr>
        <w:t xml:space="preserve"> (RIN 7100-AD</w:t>
      </w:r>
      <w:r w:rsidR="007C3B97" w:rsidRPr="007956DF">
        <w:rPr>
          <w:b/>
          <w:bCs/>
          <w:i/>
          <w:color w:val="000000"/>
          <w:szCs w:val="24"/>
        </w:rPr>
        <w:t>6</w:t>
      </w:r>
      <w:r w:rsidR="00F2018F" w:rsidRPr="007956DF">
        <w:rPr>
          <w:b/>
          <w:bCs/>
          <w:i/>
          <w:color w:val="000000"/>
          <w:szCs w:val="24"/>
        </w:rPr>
        <w:t>3</w:t>
      </w:r>
      <w:r w:rsidR="00D56407" w:rsidRPr="007956DF">
        <w:rPr>
          <w:b/>
          <w:bCs/>
          <w:i/>
          <w:color w:val="000000"/>
          <w:szCs w:val="24"/>
        </w:rPr>
        <w:t>)</w:t>
      </w:r>
    </w:p>
    <w:p w:rsidR="00DD6281" w:rsidRPr="007956DF" w:rsidRDefault="00DD6281">
      <w:pPr>
        <w:jc w:val="both"/>
        <w:rPr>
          <w:i/>
          <w:color w:val="000000"/>
          <w:szCs w:val="24"/>
        </w:rPr>
      </w:pPr>
    </w:p>
    <w:p w:rsidR="00DD6281" w:rsidRPr="007956DF" w:rsidRDefault="00DD6281" w:rsidP="00F2018F">
      <w:pPr>
        <w:rPr>
          <w:color w:val="000000"/>
          <w:szCs w:val="24"/>
        </w:rPr>
      </w:pPr>
      <w:r w:rsidRPr="007956DF">
        <w:rPr>
          <w:b/>
          <w:bCs/>
          <w:color w:val="000000"/>
          <w:szCs w:val="24"/>
        </w:rPr>
        <w:t>Summary</w:t>
      </w:r>
    </w:p>
    <w:p w:rsidR="00DD6281" w:rsidRPr="007956DF" w:rsidRDefault="00DD6281" w:rsidP="00F2018F">
      <w:pPr>
        <w:rPr>
          <w:color w:val="000000"/>
          <w:szCs w:val="24"/>
        </w:rPr>
      </w:pPr>
    </w:p>
    <w:p w:rsidR="008454E6" w:rsidRPr="007956DF" w:rsidRDefault="00DD6281" w:rsidP="00F2018F">
      <w:pPr>
        <w:ind w:firstLine="720"/>
        <w:rPr>
          <w:szCs w:val="24"/>
        </w:rPr>
      </w:pPr>
      <w:r w:rsidRPr="007956DF">
        <w:rPr>
          <w:color w:val="000000"/>
          <w:szCs w:val="24"/>
        </w:rPr>
        <w:t>The Board of Governors of the Federal Reserve System</w:t>
      </w:r>
      <w:r w:rsidR="00E17085">
        <w:rPr>
          <w:color w:val="000000"/>
          <w:szCs w:val="24"/>
        </w:rPr>
        <w:t xml:space="preserve">, </w:t>
      </w:r>
      <w:r w:rsidRPr="007956DF">
        <w:rPr>
          <w:color w:val="000000"/>
          <w:szCs w:val="24"/>
        </w:rPr>
        <w:t xml:space="preserve">under delegated authority from the Office of Management and Budget (OMB), </w:t>
      </w:r>
      <w:r w:rsidR="006F6DAB" w:rsidRPr="007956DF">
        <w:rPr>
          <w:color w:val="000000"/>
          <w:szCs w:val="24"/>
        </w:rPr>
        <w:t>is</w:t>
      </w:r>
      <w:r w:rsidR="00CE5D08" w:rsidRPr="007956DF">
        <w:rPr>
          <w:color w:val="000000"/>
          <w:szCs w:val="24"/>
        </w:rPr>
        <w:t xml:space="preserve"> </w:t>
      </w:r>
      <w:r w:rsidRPr="007956DF">
        <w:rPr>
          <w:color w:val="000000"/>
          <w:szCs w:val="24"/>
        </w:rPr>
        <w:t>implement</w:t>
      </w:r>
      <w:r w:rsidR="006F6DAB" w:rsidRPr="007956DF">
        <w:rPr>
          <w:color w:val="000000"/>
          <w:szCs w:val="24"/>
        </w:rPr>
        <w:t>ing</w:t>
      </w:r>
      <w:r w:rsidRPr="007956DF">
        <w:rPr>
          <w:color w:val="000000"/>
          <w:szCs w:val="24"/>
        </w:rPr>
        <w:t xml:space="preserve"> the </w:t>
      </w:r>
      <w:r w:rsidR="006F6DAB" w:rsidRPr="007956DF">
        <w:rPr>
          <w:color w:val="000000"/>
          <w:szCs w:val="24"/>
        </w:rPr>
        <w:t>r</w:t>
      </w:r>
      <w:r w:rsidR="00F2018F" w:rsidRPr="007956DF">
        <w:rPr>
          <w:szCs w:val="24"/>
        </w:rPr>
        <w:t xml:space="preserve">ecordkeeping </w:t>
      </w:r>
      <w:r w:rsidR="00DD61A2" w:rsidRPr="007956DF">
        <w:rPr>
          <w:szCs w:val="24"/>
        </w:rPr>
        <w:t xml:space="preserve">and </w:t>
      </w:r>
      <w:r w:rsidR="004D7FD9">
        <w:rPr>
          <w:szCs w:val="24"/>
        </w:rPr>
        <w:t>disclosure</w:t>
      </w:r>
      <w:r w:rsidR="00DD61A2" w:rsidRPr="007956DF">
        <w:rPr>
          <w:szCs w:val="24"/>
        </w:rPr>
        <w:t xml:space="preserve"> </w:t>
      </w:r>
      <w:r w:rsidR="006F6DAB" w:rsidRPr="007956DF">
        <w:rPr>
          <w:szCs w:val="24"/>
        </w:rPr>
        <w:t>r</w:t>
      </w:r>
      <w:r w:rsidR="00F2018F" w:rsidRPr="007956DF">
        <w:rPr>
          <w:szCs w:val="24"/>
        </w:rPr>
        <w:t xml:space="preserve">equirements </w:t>
      </w:r>
      <w:r w:rsidR="006F6DAB" w:rsidRPr="007956DF">
        <w:rPr>
          <w:szCs w:val="24"/>
        </w:rPr>
        <w:t>a</w:t>
      </w:r>
      <w:r w:rsidR="00F2018F" w:rsidRPr="007956DF">
        <w:rPr>
          <w:szCs w:val="24"/>
        </w:rPr>
        <w:t>ssociated with Regulation II (</w:t>
      </w:r>
      <w:r w:rsidR="00F2018F" w:rsidRPr="007956DF">
        <w:rPr>
          <w:bCs/>
          <w:snapToGrid/>
          <w:szCs w:val="24"/>
        </w:rPr>
        <w:t>Debit Card Interchange Fees and Routing</w:t>
      </w:r>
      <w:r w:rsidR="00F2018F" w:rsidRPr="007956DF">
        <w:rPr>
          <w:szCs w:val="24"/>
        </w:rPr>
        <w:t xml:space="preserve">) </w:t>
      </w:r>
      <w:r w:rsidR="00F2018F" w:rsidRPr="007956DF">
        <w:rPr>
          <w:bCs/>
          <w:color w:val="000000"/>
          <w:szCs w:val="24"/>
        </w:rPr>
        <w:t>(Reg</w:t>
      </w:r>
      <w:r w:rsidR="00F2018F" w:rsidRPr="007956DF">
        <w:rPr>
          <w:szCs w:val="24"/>
        </w:rPr>
        <w:t> </w:t>
      </w:r>
      <w:r w:rsidR="00F2018F" w:rsidRPr="007956DF">
        <w:rPr>
          <w:bCs/>
          <w:color w:val="000000"/>
          <w:szCs w:val="24"/>
        </w:rPr>
        <w:t>II; OMB No. 7100- to be obtained)</w:t>
      </w:r>
      <w:r w:rsidRPr="007956DF">
        <w:rPr>
          <w:color w:val="000000"/>
          <w:szCs w:val="24"/>
        </w:rPr>
        <w:t xml:space="preserve">.  </w:t>
      </w:r>
      <w:r w:rsidRPr="007956DF">
        <w:rPr>
          <w:szCs w:val="24"/>
        </w:rPr>
        <w:t xml:space="preserve">The Paperwork Reduction Act (PRA) classifies reporting, recordkeeping, or disclosure requirements of a regulation as an </w:t>
      </w:r>
      <w:r w:rsidR="0074784D" w:rsidRPr="007956DF">
        <w:rPr>
          <w:szCs w:val="24"/>
        </w:rPr>
        <w:t>“</w:t>
      </w:r>
      <w:r w:rsidRPr="007956DF">
        <w:rPr>
          <w:szCs w:val="24"/>
        </w:rPr>
        <w:t>information collection.</w:t>
      </w:r>
      <w:r w:rsidR="0074784D" w:rsidRPr="007956DF">
        <w:rPr>
          <w:szCs w:val="24"/>
        </w:rPr>
        <w:t>”</w:t>
      </w:r>
      <w:r w:rsidR="0014788F" w:rsidRPr="007956DF">
        <w:rPr>
          <w:rStyle w:val="FootnoteReference"/>
          <w:szCs w:val="24"/>
        </w:rPr>
        <w:footnoteReference w:id="1"/>
      </w:r>
    </w:p>
    <w:p w:rsidR="008454E6" w:rsidRPr="007956DF" w:rsidRDefault="008454E6" w:rsidP="00F2018F">
      <w:pPr>
        <w:rPr>
          <w:color w:val="000000"/>
          <w:szCs w:val="24"/>
        </w:rPr>
      </w:pPr>
    </w:p>
    <w:p w:rsidR="00EF2ED0" w:rsidRDefault="007E67BB" w:rsidP="00640198">
      <w:pPr>
        <w:autoSpaceDE w:val="0"/>
        <w:autoSpaceDN w:val="0"/>
        <w:adjustRightInd w:val="0"/>
        <w:ind w:firstLine="720"/>
        <w:rPr>
          <w:snapToGrid/>
          <w:szCs w:val="24"/>
        </w:rPr>
      </w:pPr>
      <w:r w:rsidRPr="007956DF">
        <w:rPr>
          <w:color w:val="000000"/>
          <w:szCs w:val="24"/>
        </w:rPr>
        <w:t xml:space="preserve">On </w:t>
      </w:r>
      <w:r w:rsidR="00F2018F" w:rsidRPr="007956DF">
        <w:rPr>
          <w:color w:val="000000"/>
          <w:szCs w:val="24"/>
        </w:rPr>
        <w:t>July 20</w:t>
      </w:r>
      <w:r w:rsidR="007C3B97" w:rsidRPr="007956DF">
        <w:rPr>
          <w:color w:val="000000"/>
          <w:szCs w:val="24"/>
        </w:rPr>
        <w:t>, 2011</w:t>
      </w:r>
      <w:r w:rsidRPr="007956DF">
        <w:rPr>
          <w:color w:val="000000"/>
          <w:szCs w:val="24"/>
        </w:rPr>
        <w:t xml:space="preserve">, the </w:t>
      </w:r>
      <w:r w:rsidR="00E17085">
        <w:rPr>
          <w:color w:val="000000"/>
          <w:szCs w:val="24"/>
        </w:rPr>
        <w:t xml:space="preserve">Federal </w:t>
      </w:r>
      <w:r w:rsidR="00313EDC">
        <w:rPr>
          <w:color w:val="000000"/>
          <w:szCs w:val="24"/>
        </w:rPr>
        <w:t xml:space="preserve">Reserve </w:t>
      </w:r>
      <w:r w:rsidR="00313EDC" w:rsidRPr="007956DF">
        <w:rPr>
          <w:color w:val="000000"/>
          <w:szCs w:val="24"/>
        </w:rPr>
        <w:t>published</w:t>
      </w:r>
      <w:r w:rsidRPr="007956DF">
        <w:rPr>
          <w:color w:val="000000"/>
          <w:szCs w:val="24"/>
        </w:rPr>
        <w:t xml:space="preserve"> a notice of </w:t>
      </w:r>
      <w:r w:rsidR="00F2018F" w:rsidRPr="007956DF">
        <w:rPr>
          <w:color w:val="000000"/>
          <w:szCs w:val="24"/>
        </w:rPr>
        <w:t xml:space="preserve">interim final </w:t>
      </w:r>
      <w:r w:rsidRPr="007956DF">
        <w:rPr>
          <w:color w:val="000000"/>
          <w:szCs w:val="24"/>
        </w:rPr>
        <w:t xml:space="preserve">rulemaking </w:t>
      </w:r>
      <w:r w:rsidR="00C07978" w:rsidRPr="007956DF">
        <w:rPr>
          <w:color w:val="000000"/>
          <w:szCs w:val="24"/>
        </w:rPr>
        <w:t xml:space="preserve">(IFRM) </w:t>
      </w:r>
      <w:r w:rsidRPr="007956DF">
        <w:rPr>
          <w:color w:val="000000"/>
          <w:szCs w:val="24"/>
        </w:rPr>
        <w:t xml:space="preserve">in the </w:t>
      </w:r>
      <w:r w:rsidRPr="007956DF">
        <w:rPr>
          <w:i/>
          <w:color w:val="000000"/>
          <w:szCs w:val="24"/>
        </w:rPr>
        <w:t>Federal Register</w:t>
      </w:r>
      <w:r w:rsidRPr="007956DF">
        <w:rPr>
          <w:color w:val="000000"/>
          <w:szCs w:val="24"/>
        </w:rPr>
        <w:t xml:space="preserve"> for public comment</w:t>
      </w:r>
      <w:r w:rsidR="00AE6668" w:rsidRPr="007956DF">
        <w:rPr>
          <w:color w:val="000000"/>
          <w:szCs w:val="24"/>
        </w:rPr>
        <w:t xml:space="preserve"> (</w:t>
      </w:r>
      <w:r w:rsidR="00AE6668" w:rsidRPr="007956DF">
        <w:rPr>
          <w:szCs w:val="24"/>
        </w:rPr>
        <w:t>7</w:t>
      </w:r>
      <w:r w:rsidR="007C3B97" w:rsidRPr="007956DF">
        <w:rPr>
          <w:szCs w:val="24"/>
        </w:rPr>
        <w:t>6</w:t>
      </w:r>
      <w:r w:rsidR="00AE6668" w:rsidRPr="007956DF">
        <w:rPr>
          <w:szCs w:val="24"/>
        </w:rPr>
        <w:t xml:space="preserve"> FR </w:t>
      </w:r>
      <w:r w:rsidR="00F2018F" w:rsidRPr="007956DF">
        <w:rPr>
          <w:szCs w:val="24"/>
        </w:rPr>
        <w:t>43478</w:t>
      </w:r>
      <w:r w:rsidR="00AE6668" w:rsidRPr="007956DF">
        <w:rPr>
          <w:szCs w:val="24"/>
        </w:rPr>
        <w:t xml:space="preserve">).  The </w:t>
      </w:r>
      <w:r w:rsidR="00E17085">
        <w:rPr>
          <w:color w:val="000000"/>
          <w:szCs w:val="24"/>
        </w:rPr>
        <w:t xml:space="preserve">Federal Reserve </w:t>
      </w:r>
      <w:r w:rsidR="005F5C35" w:rsidRPr="007956DF">
        <w:rPr>
          <w:snapToGrid/>
          <w:szCs w:val="24"/>
        </w:rPr>
        <w:t xml:space="preserve"> </w:t>
      </w:r>
      <w:r w:rsidR="00F2018F" w:rsidRPr="007956DF">
        <w:rPr>
          <w:snapToGrid/>
          <w:szCs w:val="24"/>
        </w:rPr>
        <w:t>adopt</w:t>
      </w:r>
      <w:r w:rsidR="00BA4868">
        <w:rPr>
          <w:snapToGrid/>
          <w:szCs w:val="24"/>
        </w:rPr>
        <w:t>ed</w:t>
      </w:r>
      <w:r w:rsidR="00F2018F" w:rsidRPr="007956DF">
        <w:rPr>
          <w:snapToGrid/>
          <w:szCs w:val="24"/>
        </w:rPr>
        <w:t xml:space="preserve"> an </w:t>
      </w:r>
      <w:r w:rsidR="00C07978" w:rsidRPr="007956DF">
        <w:rPr>
          <w:snapToGrid/>
          <w:szCs w:val="24"/>
        </w:rPr>
        <w:t>IFRM</w:t>
      </w:r>
      <w:r w:rsidR="00F2018F" w:rsidRPr="007956DF">
        <w:rPr>
          <w:snapToGrid/>
          <w:szCs w:val="24"/>
        </w:rPr>
        <w:t xml:space="preserve"> and request</w:t>
      </w:r>
      <w:r w:rsidR="00313EDC">
        <w:rPr>
          <w:snapToGrid/>
          <w:szCs w:val="24"/>
        </w:rPr>
        <w:t>ed</w:t>
      </w:r>
      <w:r w:rsidR="00F2018F" w:rsidRPr="007956DF">
        <w:rPr>
          <w:snapToGrid/>
          <w:szCs w:val="24"/>
        </w:rPr>
        <w:t xml:space="preserve"> comment on provisions in Regulation II adopted in accordance with Section 920(a)(5) of the Electronic Fund Transfer Act</w:t>
      </w:r>
      <w:r w:rsidR="00C07978" w:rsidRPr="007956DF">
        <w:rPr>
          <w:snapToGrid/>
          <w:szCs w:val="24"/>
        </w:rPr>
        <w:t xml:space="preserve"> (EFTA)</w:t>
      </w:r>
      <w:r w:rsidR="00F2018F" w:rsidRPr="007956DF">
        <w:rPr>
          <w:snapToGrid/>
          <w:szCs w:val="24"/>
        </w:rPr>
        <w:t>, which governs adjustments to debit interchange transaction fees for fraud-prevention costs.</w:t>
      </w:r>
      <w:r w:rsidR="006F6DAB" w:rsidRPr="007956DF">
        <w:rPr>
          <w:snapToGrid/>
          <w:szCs w:val="24"/>
        </w:rPr>
        <w:t xml:space="preserve">  </w:t>
      </w:r>
      <w:r w:rsidR="00442D0D" w:rsidRPr="007956DF">
        <w:rPr>
          <w:szCs w:val="24"/>
        </w:rPr>
        <w:t>The information collection</w:t>
      </w:r>
      <w:r w:rsidR="003731E5" w:rsidRPr="007956DF">
        <w:rPr>
          <w:szCs w:val="24"/>
        </w:rPr>
        <w:t>s</w:t>
      </w:r>
      <w:r w:rsidR="00442D0D" w:rsidRPr="007956DF">
        <w:rPr>
          <w:szCs w:val="24"/>
        </w:rPr>
        <w:t xml:space="preserve"> associated with the </w:t>
      </w:r>
      <w:r w:rsidR="00C07978" w:rsidRPr="007956DF">
        <w:rPr>
          <w:szCs w:val="24"/>
        </w:rPr>
        <w:t>IFRM</w:t>
      </w:r>
      <w:r w:rsidR="00442D0D" w:rsidRPr="007956DF">
        <w:rPr>
          <w:szCs w:val="24"/>
        </w:rPr>
        <w:t xml:space="preserve"> </w:t>
      </w:r>
      <w:r w:rsidR="003731E5" w:rsidRPr="007956DF">
        <w:rPr>
          <w:szCs w:val="24"/>
        </w:rPr>
        <w:t>are</w:t>
      </w:r>
      <w:r w:rsidR="00442D0D" w:rsidRPr="007956DF">
        <w:rPr>
          <w:szCs w:val="24"/>
        </w:rPr>
        <w:t xml:space="preserve"> located in section 235.4 of Regulation II</w:t>
      </w:r>
      <w:r w:rsidR="006A7EB6" w:rsidRPr="007956DF">
        <w:rPr>
          <w:szCs w:val="24"/>
        </w:rPr>
        <w:t xml:space="preserve"> (12 CFR </w:t>
      </w:r>
      <w:proofErr w:type="gramStart"/>
      <w:r w:rsidR="006A7EB6" w:rsidRPr="007956DF">
        <w:rPr>
          <w:szCs w:val="24"/>
        </w:rPr>
        <w:t>part</w:t>
      </w:r>
      <w:proofErr w:type="gramEnd"/>
      <w:r w:rsidR="006A7EB6" w:rsidRPr="007956DF">
        <w:rPr>
          <w:szCs w:val="24"/>
        </w:rPr>
        <w:t xml:space="preserve"> 235)</w:t>
      </w:r>
      <w:r w:rsidR="00442D0D" w:rsidRPr="007956DF">
        <w:rPr>
          <w:szCs w:val="24"/>
        </w:rPr>
        <w:t xml:space="preserve">.  </w:t>
      </w:r>
      <w:r w:rsidR="00F2018F" w:rsidRPr="007956DF">
        <w:rPr>
          <w:snapToGrid/>
          <w:szCs w:val="24"/>
        </w:rPr>
        <w:t>The provisions allow an issuer to receive an adjustment of 1</w:t>
      </w:r>
      <w:r w:rsidR="009D45F8" w:rsidRPr="007956DF">
        <w:rPr>
          <w:snapToGrid/>
          <w:szCs w:val="24"/>
        </w:rPr>
        <w:t xml:space="preserve"> </w:t>
      </w:r>
      <w:r w:rsidR="00F2018F" w:rsidRPr="007956DF">
        <w:rPr>
          <w:snapToGrid/>
          <w:szCs w:val="24"/>
        </w:rPr>
        <w:t>cent to its interchange transaction fee if the issuer develops, implements, and updates policies and procedures reasonably designed to identify and prevent fraudulent electronic debit transactions; monitor the incidence of</w:t>
      </w:r>
      <w:r w:rsidR="00313EDC">
        <w:rPr>
          <w:snapToGrid/>
          <w:szCs w:val="24"/>
        </w:rPr>
        <w:t>,</w:t>
      </w:r>
      <w:r w:rsidR="00F2018F" w:rsidRPr="007956DF">
        <w:rPr>
          <w:snapToGrid/>
          <w:szCs w:val="24"/>
        </w:rPr>
        <w:t xml:space="preserve"> reimbursements received for, and losses incurred from fraudulent electronic debit transactions; respond appropriately to suspicious electronic debit transactions so as to limit the fraud losses that may occur and prevent the occurrence of future fraudulent electronic debit transactions; and secure debit card and cardholder data.</w:t>
      </w:r>
      <w:r w:rsidR="006F6DAB" w:rsidRPr="007956DF">
        <w:rPr>
          <w:snapToGrid/>
          <w:szCs w:val="24"/>
        </w:rPr>
        <w:t xml:space="preserve">  </w:t>
      </w:r>
      <w:r w:rsidR="00F2018F" w:rsidRPr="007956DF">
        <w:rPr>
          <w:snapToGrid/>
          <w:szCs w:val="24"/>
        </w:rPr>
        <w:t xml:space="preserve">If an issuer meets these standards and wishes to receive the adjustment, it must </w:t>
      </w:r>
      <w:r w:rsidR="00313EDC">
        <w:rPr>
          <w:snapToGrid/>
          <w:szCs w:val="24"/>
        </w:rPr>
        <w:t>notify</w:t>
      </w:r>
      <w:r w:rsidR="00F2018F" w:rsidRPr="007956DF">
        <w:rPr>
          <w:snapToGrid/>
          <w:szCs w:val="24"/>
        </w:rPr>
        <w:t xml:space="preserve"> its eligibility to receive the fraud-prevention adjustment to the </w:t>
      </w:r>
      <w:proofErr w:type="gramStart"/>
      <w:r w:rsidR="00F2018F" w:rsidRPr="007956DF">
        <w:rPr>
          <w:snapToGrid/>
          <w:szCs w:val="24"/>
        </w:rPr>
        <w:t>payment</w:t>
      </w:r>
      <w:proofErr w:type="gramEnd"/>
      <w:r w:rsidR="00F2018F" w:rsidRPr="007956DF">
        <w:rPr>
          <w:snapToGrid/>
          <w:szCs w:val="24"/>
        </w:rPr>
        <w:t xml:space="preserve"> card networks in which the issuer participates.</w:t>
      </w:r>
      <w:r w:rsidR="00442D0D" w:rsidRPr="007956DF">
        <w:rPr>
          <w:snapToGrid/>
          <w:szCs w:val="24"/>
        </w:rPr>
        <w:t xml:space="preserve">  </w:t>
      </w:r>
      <w:r w:rsidR="00EF2ED0" w:rsidRPr="007956DF">
        <w:rPr>
          <w:snapToGrid/>
          <w:szCs w:val="24"/>
        </w:rPr>
        <w:t>The IFRM</w:t>
      </w:r>
      <w:r w:rsidR="00EF2ED0">
        <w:rPr>
          <w:snapToGrid/>
          <w:szCs w:val="24"/>
        </w:rPr>
        <w:t xml:space="preserve"> was effective October 1, 2011, t</w:t>
      </w:r>
      <w:r w:rsidR="00E5155E" w:rsidRPr="007956DF">
        <w:rPr>
          <w:color w:val="000000"/>
          <w:szCs w:val="24"/>
        </w:rPr>
        <w:t xml:space="preserve">he comment period </w:t>
      </w:r>
      <w:r w:rsidR="00E5155E" w:rsidRPr="007956DF">
        <w:rPr>
          <w:szCs w:val="24"/>
        </w:rPr>
        <w:t>expire</w:t>
      </w:r>
      <w:r w:rsidR="00C07978" w:rsidRPr="007956DF">
        <w:rPr>
          <w:szCs w:val="24"/>
        </w:rPr>
        <w:t>d</w:t>
      </w:r>
      <w:r w:rsidR="00E5155E" w:rsidRPr="007956DF">
        <w:rPr>
          <w:szCs w:val="24"/>
        </w:rPr>
        <w:t xml:space="preserve"> on </w:t>
      </w:r>
      <w:r w:rsidR="00442D0D" w:rsidRPr="007956DF">
        <w:rPr>
          <w:szCs w:val="24"/>
        </w:rPr>
        <w:t>September 30</w:t>
      </w:r>
      <w:r w:rsidR="00E5155E" w:rsidRPr="007956DF">
        <w:rPr>
          <w:szCs w:val="24"/>
        </w:rPr>
        <w:t>, 2011</w:t>
      </w:r>
      <w:r w:rsidR="00442D0D" w:rsidRPr="007956DF">
        <w:rPr>
          <w:szCs w:val="24"/>
        </w:rPr>
        <w:t>.</w:t>
      </w:r>
      <w:r w:rsidR="00EA612A" w:rsidRPr="007956DF">
        <w:rPr>
          <w:szCs w:val="24"/>
        </w:rPr>
        <w:t xml:space="preserve">  </w:t>
      </w:r>
      <w:r w:rsidR="000C51DC">
        <w:rPr>
          <w:snapToGrid/>
          <w:szCs w:val="24"/>
        </w:rPr>
        <w:t xml:space="preserve">No comments were received specifically addressing the paperwork burden estimates. </w:t>
      </w:r>
    </w:p>
    <w:p w:rsidR="00EF2ED0" w:rsidRDefault="00EF2ED0" w:rsidP="00EF2ED0">
      <w:pPr>
        <w:autoSpaceDE w:val="0"/>
        <w:autoSpaceDN w:val="0"/>
        <w:adjustRightInd w:val="0"/>
        <w:rPr>
          <w:snapToGrid/>
          <w:szCs w:val="24"/>
        </w:rPr>
      </w:pPr>
    </w:p>
    <w:p w:rsidR="00EF2ED0" w:rsidRDefault="00EF2ED0" w:rsidP="00EF2ED0">
      <w:pPr>
        <w:autoSpaceDE w:val="0"/>
        <w:autoSpaceDN w:val="0"/>
        <w:adjustRightInd w:val="0"/>
        <w:ind w:firstLine="720"/>
        <w:rPr>
          <w:snapToGrid/>
          <w:szCs w:val="24"/>
        </w:rPr>
      </w:pPr>
      <w:r>
        <w:rPr>
          <w:snapToGrid/>
          <w:szCs w:val="24"/>
        </w:rPr>
        <w:t xml:space="preserve">On August 3, 2012, the </w:t>
      </w:r>
      <w:r w:rsidR="00E17085">
        <w:rPr>
          <w:snapToGrid/>
          <w:szCs w:val="24"/>
        </w:rPr>
        <w:t xml:space="preserve">Federal </w:t>
      </w:r>
      <w:r w:rsidR="00313EDC">
        <w:rPr>
          <w:snapToGrid/>
          <w:szCs w:val="24"/>
        </w:rPr>
        <w:t>Reserve published</w:t>
      </w:r>
      <w:r>
        <w:rPr>
          <w:snapToGrid/>
          <w:szCs w:val="24"/>
        </w:rPr>
        <w:t xml:space="preserve"> a notice of final rulemaking (NFRM) in the </w:t>
      </w:r>
      <w:r w:rsidR="00985444">
        <w:rPr>
          <w:snapToGrid/>
          <w:szCs w:val="24"/>
        </w:rPr>
        <w:t xml:space="preserve">Federal Register (77 FR 46258), revising the IFRM </w:t>
      </w:r>
      <w:r>
        <w:rPr>
          <w:snapToGrid/>
          <w:szCs w:val="24"/>
        </w:rPr>
        <w:t xml:space="preserve">provisions.  Under the final rule, an issuer will be eligible for an adjustment of no more than 1 cent per transaction--the same amount as in the interim final rule--if it develops and implements policies and procedures that are designed to reduce the occurrence and costs of fraudulent debit card transactions. </w:t>
      </w:r>
      <w:r w:rsidR="00313EDC">
        <w:rPr>
          <w:snapToGrid/>
          <w:szCs w:val="24"/>
        </w:rPr>
        <w:t xml:space="preserve"> </w:t>
      </w:r>
      <w:r>
        <w:rPr>
          <w:snapToGrid/>
          <w:szCs w:val="24"/>
        </w:rPr>
        <w:t xml:space="preserve">The final rule makes changes simplifying the elements required to be included in an issuer's fraud-prevention policies and procedures. </w:t>
      </w:r>
      <w:r w:rsidR="00640198">
        <w:rPr>
          <w:snapToGrid/>
          <w:szCs w:val="24"/>
        </w:rPr>
        <w:t xml:space="preserve"> </w:t>
      </w:r>
      <w:r>
        <w:rPr>
          <w:snapToGrid/>
          <w:szCs w:val="24"/>
        </w:rPr>
        <w:t>To receive an adjustment, an issuer will be required to review its fraud-prevention policies and procedures, and their implementation, at least annually. An issuer also will be required to update its policies and procedures as necessary in light of their effectiveness and cost-effectiveness and, as currently required, in light of changes in the types of fraud and available methods of fraud-prevention.</w:t>
      </w:r>
    </w:p>
    <w:p w:rsidR="00EF2ED0" w:rsidRDefault="00EF2ED0" w:rsidP="00EF2ED0">
      <w:pPr>
        <w:autoSpaceDE w:val="0"/>
        <w:autoSpaceDN w:val="0"/>
        <w:adjustRightInd w:val="0"/>
        <w:ind w:firstLine="720"/>
        <w:rPr>
          <w:snapToGrid/>
          <w:szCs w:val="24"/>
        </w:rPr>
      </w:pPr>
    </w:p>
    <w:p w:rsidR="000C51DC" w:rsidRDefault="00EF2ED0" w:rsidP="00EF2ED0">
      <w:pPr>
        <w:autoSpaceDE w:val="0"/>
        <w:autoSpaceDN w:val="0"/>
        <w:adjustRightInd w:val="0"/>
        <w:ind w:firstLine="720"/>
        <w:rPr>
          <w:snapToGrid/>
          <w:szCs w:val="24"/>
        </w:rPr>
      </w:pPr>
      <w:r>
        <w:rPr>
          <w:snapToGrid/>
          <w:szCs w:val="24"/>
        </w:rPr>
        <w:lastRenderedPageBreak/>
        <w:t>The NFRM retains and clarifies the requirement that an issuer that meets these standards and wishes to receive the adjustment must annually notify the payment card networks in which it participates of its eligibility to receive the adjustment.</w:t>
      </w:r>
      <w:r w:rsidR="00640198">
        <w:rPr>
          <w:snapToGrid/>
          <w:szCs w:val="24"/>
        </w:rPr>
        <w:t xml:space="preserve">  </w:t>
      </w:r>
      <w:r>
        <w:rPr>
          <w:snapToGrid/>
          <w:szCs w:val="24"/>
        </w:rPr>
        <w:t xml:space="preserve">In addition, the final rule explicitly prohibits an issuer from receiving or charging a fraud-prevention adjustment if the issuer is substantially noncompliant with the </w:t>
      </w:r>
      <w:r w:rsidR="00E17085">
        <w:rPr>
          <w:snapToGrid/>
          <w:szCs w:val="24"/>
        </w:rPr>
        <w:t>Federal Reserve</w:t>
      </w:r>
      <w:r>
        <w:rPr>
          <w:snapToGrid/>
          <w:szCs w:val="24"/>
        </w:rPr>
        <w:t>'s fraud-prevention standards and describes steps an issuer must take once it becomes substantially noncompliant to become eligible to receive the fraud-prevention adjustment in the future.  The amendments are effective on October 1, 2012.</w:t>
      </w:r>
    </w:p>
    <w:p w:rsidR="00EF2ED0" w:rsidRDefault="00EF2ED0" w:rsidP="000C51DC">
      <w:pPr>
        <w:autoSpaceDE w:val="0"/>
        <w:autoSpaceDN w:val="0"/>
        <w:adjustRightInd w:val="0"/>
        <w:ind w:firstLine="720"/>
        <w:rPr>
          <w:snapToGrid/>
          <w:szCs w:val="24"/>
        </w:rPr>
      </w:pPr>
    </w:p>
    <w:p w:rsidR="001F68BC" w:rsidRPr="007956DF" w:rsidRDefault="00DD6281" w:rsidP="00F94012">
      <w:pPr>
        <w:autoSpaceDE w:val="0"/>
        <w:autoSpaceDN w:val="0"/>
        <w:adjustRightInd w:val="0"/>
        <w:ind w:firstLine="720"/>
        <w:rPr>
          <w:snapToGrid/>
          <w:szCs w:val="24"/>
        </w:rPr>
      </w:pPr>
      <w:r w:rsidRPr="007956DF">
        <w:rPr>
          <w:szCs w:val="24"/>
        </w:rPr>
        <w:t xml:space="preserve">The total annual burden </w:t>
      </w:r>
      <w:r w:rsidR="00B27F24" w:rsidRPr="007956DF">
        <w:rPr>
          <w:szCs w:val="24"/>
        </w:rPr>
        <w:t>for this information collection</w:t>
      </w:r>
      <w:r w:rsidRPr="007956DF">
        <w:rPr>
          <w:szCs w:val="24"/>
        </w:rPr>
        <w:t xml:space="preserve"> is </w:t>
      </w:r>
      <w:r w:rsidR="00234F36" w:rsidRPr="007956DF">
        <w:rPr>
          <w:szCs w:val="24"/>
        </w:rPr>
        <w:t xml:space="preserve">estimated to be </w:t>
      </w:r>
      <w:r w:rsidR="00BA4868">
        <w:rPr>
          <w:szCs w:val="24"/>
        </w:rPr>
        <w:t>113</w:t>
      </w:r>
      <w:r w:rsidR="00DD61A2" w:rsidRPr="007956DF">
        <w:rPr>
          <w:szCs w:val="24"/>
        </w:rPr>
        <w:t>,</w:t>
      </w:r>
      <w:r w:rsidR="00BA4868">
        <w:rPr>
          <w:szCs w:val="24"/>
        </w:rPr>
        <w:t>364</w:t>
      </w:r>
      <w:r w:rsidRPr="007956DF">
        <w:rPr>
          <w:szCs w:val="24"/>
        </w:rPr>
        <w:t xml:space="preserve"> hours </w:t>
      </w:r>
      <w:r w:rsidR="00D57615" w:rsidRPr="007956DF">
        <w:rPr>
          <w:szCs w:val="24"/>
        </w:rPr>
        <w:t xml:space="preserve">for the </w:t>
      </w:r>
      <w:r w:rsidR="00BA4868">
        <w:rPr>
          <w:snapToGrid/>
          <w:szCs w:val="24"/>
        </w:rPr>
        <w:t>564</w:t>
      </w:r>
      <w:r w:rsidR="00DD61A2" w:rsidRPr="007956DF">
        <w:rPr>
          <w:snapToGrid/>
          <w:szCs w:val="24"/>
        </w:rPr>
        <w:t xml:space="preserve"> issuers regulated by the </w:t>
      </w:r>
      <w:r w:rsidR="00C07978" w:rsidRPr="007956DF">
        <w:rPr>
          <w:snapToGrid/>
          <w:szCs w:val="24"/>
        </w:rPr>
        <w:t>f</w:t>
      </w:r>
      <w:r w:rsidR="00DD61A2" w:rsidRPr="007956DF">
        <w:rPr>
          <w:snapToGrid/>
          <w:szCs w:val="24"/>
        </w:rPr>
        <w:t xml:space="preserve">ederal financial regulatory agencies required to comply with the recordkeeping and </w:t>
      </w:r>
      <w:r w:rsidR="004D7FD9">
        <w:rPr>
          <w:snapToGrid/>
          <w:szCs w:val="24"/>
        </w:rPr>
        <w:t>disclosure</w:t>
      </w:r>
      <w:r w:rsidR="00B3613F" w:rsidRPr="007956DF">
        <w:rPr>
          <w:snapToGrid/>
          <w:szCs w:val="24"/>
        </w:rPr>
        <w:t xml:space="preserve"> provisions under</w:t>
      </w:r>
      <w:r w:rsidR="00EA612A" w:rsidRPr="007956DF">
        <w:rPr>
          <w:szCs w:val="24"/>
        </w:rPr>
        <w:t xml:space="preserve"> section </w:t>
      </w:r>
      <w:r w:rsidR="00B3613F" w:rsidRPr="007956DF">
        <w:rPr>
          <w:snapToGrid/>
          <w:szCs w:val="24"/>
        </w:rPr>
        <w:t>235.4 of Regulation II</w:t>
      </w:r>
      <w:r w:rsidR="000A4DAF" w:rsidRPr="007956DF">
        <w:rPr>
          <w:snapToGrid/>
          <w:szCs w:val="24"/>
        </w:rPr>
        <w:t>.</w:t>
      </w:r>
      <w:r w:rsidR="003731E5" w:rsidRPr="007956DF">
        <w:rPr>
          <w:rStyle w:val="FootnoteReference"/>
          <w:snapToGrid/>
          <w:szCs w:val="24"/>
        </w:rPr>
        <w:footnoteReference w:id="2"/>
      </w:r>
    </w:p>
    <w:p w:rsidR="001F68BC" w:rsidRPr="007956DF" w:rsidRDefault="001F68BC" w:rsidP="00F94012">
      <w:pPr>
        <w:autoSpaceDE w:val="0"/>
        <w:autoSpaceDN w:val="0"/>
        <w:adjustRightInd w:val="0"/>
        <w:ind w:firstLine="720"/>
        <w:rPr>
          <w:snapToGrid/>
          <w:szCs w:val="24"/>
        </w:rPr>
      </w:pPr>
    </w:p>
    <w:p w:rsidR="00DD6281" w:rsidRPr="007956DF" w:rsidRDefault="00DD6281" w:rsidP="00F94012">
      <w:pPr>
        <w:autoSpaceDE w:val="0"/>
        <w:autoSpaceDN w:val="0"/>
        <w:adjustRightInd w:val="0"/>
        <w:ind w:firstLine="720"/>
        <w:rPr>
          <w:color w:val="000000"/>
          <w:szCs w:val="24"/>
        </w:rPr>
      </w:pPr>
      <w:r w:rsidRPr="007956DF">
        <w:rPr>
          <w:b/>
          <w:bCs/>
          <w:color w:val="000000"/>
          <w:szCs w:val="24"/>
        </w:rPr>
        <w:t>Background and Justification</w:t>
      </w:r>
    </w:p>
    <w:p w:rsidR="00DD6281" w:rsidRPr="007956DF" w:rsidRDefault="00DD6281" w:rsidP="00F2018F">
      <w:pPr>
        <w:rPr>
          <w:color w:val="000000"/>
          <w:szCs w:val="24"/>
        </w:rPr>
      </w:pPr>
    </w:p>
    <w:p w:rsidR="00EA612A" w:rsidRPr="007956DF" w:rsidRDefault="00EA612A" w:rsidP="007956DF">
      <w:pPr>
        <w:autoSpaceDE w:val="0"/>
        <w:autoSpaceDN w:val="0"/>
        <w:adjustRightInd w:val="0"/>
        <w:ind w:firstLine="720"/>
        <w:rPr>
          <w:snapToGrid/>
          <w:szCs w:val="24"/>
        </w:rPr>
      </w:pPr>
      <w:r w:rsidRPr="007956DF">
        <w:rPr>
          <w:snapToGrid/>
          <w:szCs w:val="24"/>
        </w:rPr>
        <w:t>The Dodd-Frank Wall Street Reform and Consumer Protection Act (the Dodd-Frank Act)</w:t>
      </w:r>
      <w:r w:rsidRPr="007956DF">
        <w:rPr>
          <w:rStyle w:val="FootnoteReference"/>
          <w:snapToGrid/>
          <w:szCs w:val="24"/>
        </w:rPr>
        <w:footnoteReference w:id="3"/>
      </w:r>
      <w:r w:rsidRPr="007956DF">
        <w:rPr>
          <w:snapToGrid/>
          <w:szCs w:val="24"/>
        </w:rPr>
        <w:t xml:space="preserve"> was enacted on July 21, 2010.  Section 1075 of the Dodd-Frank Act amends the EFTA (15 U.S.C. § 1693 et seq.) by adding a new </w:t>
      </w:r>
      <w:r w:rsidR="00C07978" w:rsidRPr="007956DF">
        <w:rPr>
          <w:snapToGrid/>
          <w:szCs w:val="24"/>
        </w:rPr>
        <w:t>s</w:t>
      </w:r>
      <w:r w:rsidRPr="007956DF">
        <w:rPr>
          <w:snapToGrid/>
          <w:szCs w:val="24"/>
        </w:rPr>
        <w:t>ection 920 regarding interchange transaction fees and rules for payment card transactions.</w:t>
      </w:r>
    </w:p>
    <w:p w:rsidR="00EA612A" w:rsidRPr="007956DF" w:rsidRDefault="00EA612A" w:rsidP="00EA612A">
      <w:pPr>
        <w:autoSpaceDE w:val="0"/>
        <w:autoSpaceDN w:val="0"/>
        <w:adjustRightInd w:val="0"/>
        <w:rPr>
          <w:snapToGrid/>
          <w:szCs w:val="24"/>
        </w:rPr>
      </w:pPr>
    </w:p>
    <w:p w:rsidR="00EA612A" w:rsidRPr="007956DF" w:rsidRDefault="00EA612A" w:rsidP="0020188E">
      <w:pPr>
        <w:ind w:firstLine="720"/>
        <w:rPr>
          <w:snapToGrid/>
          <w:szCs w:val="24"/>
        </w:rPr>
      </w:pPr>
      <w:r w:rsidRPr="007956DF">
        <w:rPr>
          <w:snapToGrid/>
          <w:szCs w:val="24"/>
        </w:rPr>
        <w:t xml:space="preserve">Section 920 of the EFTA provides that, effective July 21, 2011, the amount of any interchange transaction fee that an issuer receives or charges with respect to an electronic debit transaction must be reasonable and proportional to the cost incurred by the issuer with respect to the transaction. </w:t>
      </w:r>
      <w:r w:rsidR="003731E5" w:rsidRPr="007956DF">
        <w:rPr>
          <w:snapToGrid/>
          <w:szCs w:val="24"/>
        </w:rPr>
        <w:t xml:space="preserve"> </w:t>
      </w:r>
      <w:r w:rsidR="0020188E" w:rsidRPr="007956DF">
        <w:rPr>
          <w:snapToGrid/>
          <w:szCs w:val="24"/>
        </w:rPr>
        <w:t xml:space="preserve">This section requires the </w:t>
      </w:r>
      <w:r w:rsidR="00E17085">
        <w:rPr>
          <w:snapToGrid/>
          <w:szCs w:val="24"/>
        </w:rPr>
        <w:t xml:space="preserve">Federal Reserve </w:t>
      </w:r>
      <w:r w:rsidR="0020188E" w:rsidRPr="007956DF">
        <w:rPr>
          <w:snapToGrid/>
          <w:szCs w:val="24"/>
        </w:rPr>
        <w:t>to establish</w:t>
      </w:r>
      <w:r w:rsidR="0020188E" w:rsidRPr="007956DF">
        <w:rPr>
          <w:szCs w:val="24"/>
        </w:rPr>
        <w:t xml:space="preserve"> </w:t>
      </w:r>
      <w:r w:rsidR="0020188E" w:rsidRPr="007956DF">
        <w:rPr>
          <w:snapToGrid/>
          <w:szCs w:val="24"/>
        </w:rPr>
        <w:t>reasonable and proportional standards for assessing interchange transaction fee</w:t>
      </w:r>
      <w:r w:rsidR="0020188E" w:rsidRPr="007956DF">
        <w:rPr>
          <w:szCs w:val="24"/>
        </w:rPr>
        <w:t xml:space="preserve">s.  </w:t>
      </w:r>
      <w:r w:rsidRPr="007956DF">
        <w:rPr>
          <w:snapToGrid/>
          <w:szCs w:val="24"/>
        </w:rPr>
        <w:t xml:space="preserve">The </w:t>
      </w:r>
      <w:r w:rsidR="00E17085">
        <w:rPr>
          <w:snapToGrid/>
          <w:szCs w:val="24"/>
        </w:rPr>
        <w:t xml:space="preserve">Federal Reserve </w:t>
      </w:r>
      <w:r w:rsidRPr="007956DF">
        <w:rPr>
          <w:snapToGrid/>
          <w:szCs w:val="24"/>
        </w:rPr>
        <w:t xml:space="preserve">has separately adopted a final rule implementing standards for assessing whether interchange transaction fees meet the requirements of </w:t>
      </w:r>
      <w:r w:rsidR="00C07978" w:rsidRPr="007956DF">
        <w:rPr>
          <w:snapToGrid/>
          <w:szCs w:val="24"/>
        </w:rPr>
        <w:t>s</w:t>
      </w:r>
      <w:r w:rsidRPr="007956DF">
        <w:rPr>
          <w:snapToGrid/>
          <w:szCs w:val="24"/>
        </w:rPr>
        <w:t xml:space="preserve">ection 920(a) and establishing rules regarding routing choice and network exclusivity required by </w:t>
      </w:r>
      <w:r w:rsidR="00C07978" w:rsidRPr="007956DF">
        <w:rPr>
          <w:snapToGrid/>
          <w:szCs w:val="24"/>
        </w:rPr>
        <w:t>s</w:t>
      </w:r>
      <w:r w:rsidRPr="007956DF">
        <w:rPr>
          <w:snapToGrid/>
          <w:szCs w:val="24"/>
        </w:rPr>
        <w:t>ection 920(b).</w:t>
      </w:r>
    </w:p>
    <w:p w:rsidR="00EA612A" w:rsidRPr="007956DF" w:rsidRDefault="00EA612A" w:rsidP="00EA612A">
      <w:pPr>
        <w:autoSpaceDE w:val="0"/>
        <w:autoSpaceDN w:val="0"/>
        <w:adjustRightInd w:val="0"/>
        <w:ind w:firstLine="720"/>
        <w:rPr>
          <w:snapToGrid/>
          <w:szCs w:val="24"/>
        </w:rPr>
      </w:pPr>
    </w:p>
    <w:p w:rsidR="00EA612A" w:rsidRPr="007956DF" w:rsidRDefault="00EA612A" w:rsidP="00EA612A">
      <w:pPr>
        <w:autoSpaceDE w:val="0"/>
        <w:autoSpaceDN w:val="0"/>
        <w:adjustRightInd w:val="0"/>
        <w:ind w:firstLine="720"/>
        <w:rPr>
          <w:snapToGrid/>
          <w:szCs w:val="24"/>
        </w:rPr>
      </w:pPr>
      <w:r w:rsidRPr="007956DF">
        <w:rPr>
          <w:snapToGrid/>
          <w:szCs w:val="24"/>
        </w:rPr>
        <w:t xml:space="preserve">Under EFTA </w:t>
      </w:r>
      <w:r w:rsidR="00C07978" w:rsidRPr="007956DF">
        <w:rPr>
          <w:snapToGrid/>
          <w:szCs w:val="24"/>
        </w:rPr>
        <w:t>s</w:t>
      </w:r>
      <w:r w:rsidRPr="007956DF">
        <w:rPr>
          <w:snapToGrid/>
          <w:szCs w:val="24"/>
        </w:rPr>
        <w:t>ection 920(a</w:t>
      </w:r>
      <w:proofErr w:type="gramStart"/>
      <w:r w:rsidRPr="007956DF">
        <w:rPr>
          <w:snapToGrid/>
          <w:szCs w:val="24"/>
        </w:rPr>
        <w:t>)(</w:t>
      </w:r>
      <w:proofErr w:type="gramEnd"/>
      <w:r w:rsidRPr="007956DF">
        <w:rPr>
          <w:snapToGrid/>
          <w:szCs w:val="24"/>
        </w:rPr>
        <w:t xml:space="preserve">5), the </w:t>
      </w:r>
      <w:r w:rsidR="00E17085">
        <w:rPr>
          <w:snapToGrid/>
          <w:szCs w:val="24"/>
        </w:rPr>
        <w:t xml:space="preserve">Federal Reserve </w:t>
      </w:r>
      <w:r w:rsidRPr="007956DF">
        <w:rPr>
          <w:snapToGrid/>
          <w:szCs w:val="24"/>
        </w:rPr>
        <w:t xml:space="preserve"> may allow for an adjustment to an interchange transaction fee amount received or charged by an issuer if (1) such adjustment is reasonably necessary to make allowance for costs incurred by the issuer in preventing fraud in relation to electronic debit card transactions involving that issuer and (2) the issuer complies with fraud-prevention standards established by the </w:t>
      </w:r>
      <w:r w:rsidR="003731E5" w:rsidRPr="007956DF">
        <w:rPr>
          <w:snapToGrid/>
          <w:szCs w:val="24"/>
        </w:rPr>
        <w:t>Federal Reserve Board</w:t>
      </w:r>
      <w:r w:rsidRPr="007956DF">
        <w:rPr>
          <w:snapToGrid/>
          <w:szCs w:val="24"/>
        </w:rPr>
        <w:t>.</w:t>
      </w:r>
      <w:r w:rsidR="003731E5" w:rsidRPr="007956DF">
        <w:rPr>
          <w:snapToGrid/>
          <w:szCs w:val="24"/>
        </w:rPr>
        <w:t xml:space="preserve">  </w:t>
      </w:r>
      <w:r w:rsidRPr="007956DF">
        <w:rPr>
          <w:snapToGrid/>
          <w:szCs w:val="24"/>
        </w:rPr>
        <w:t xml:space="preserve">Those standards must be designed to ensure that any adjustment is limited to the reasonably necessary fraud-prevention allowance described in clause (1) above; takes into account any fraud-related reimbursements received from consumers, merchants, or payment card networks (including amounts from chargebacks) in relation to electronic debit transactions involving the issuer; and requires issuers to take effective steps to reduce the occurrence of, and costs from, fraud in relation to electronic </w:t>
      </w:r>
      <w:r w:rsidRPr="007956DF">
        <w:rPr>
          <w:snapToGrid/>
          <w:szCs w:val="24"/>
        </w:rPr>
        <w:lastRenderedPageBreak/>
        <w:t>debit transactions, including through the development and implementation of cost-effective fraud-prevention technology.</w:t>
      </w:r>
      <w:r w:rsidRPr="007956DF">
        <w:rPr>
          <w:rStyle w:val="FootnoteReference"/>
          <w:snapToGrid/>
          <w:szCs w:val="24"/>
        </w:rPr>
        <w:footnoteReference w:id="4"/>
      </w:r>
    </w:p>
    <w:p w:rsidR="00EA612A" w:rsidRPr="007956DF" w:rsidRDefault="00EA612A" w:rsidP="00EA612A">
      <w:pPr>
        <w:autoSpaceDE w:val="0"/>
        <w:autoSpaceDN w:val="0"/>
        <w:adjustRightInd w:val="0"/>
        <w:ind w:firstLine="720"/>
        <w:rPr>
          <w:snapToGrid/>
          <w:szCs w:val="24"/>
        </w:rPr>
      </w:pPr>
    </w:p>
    <w:p w:rsidR="00EA612A" w:rsidRPr="007956DF" w:rsidRDefault="00EA612A" w:rsidP="00EA612A">
      <w:pPr>
        <w:autoSpaceDE w:val="0"/>
        <w:autoSpaceDN w:val="0"/>
        <w:adjustRightInd w:val="0"/>
        <w:ind w:firstLine="720"/>
        <w:rPr>
          <w:snapToGrid/>
          <w:szCs w:val="24"/>
        </w:rPr>
      </w:pPr>
      <w:r w:rsidRPr="007956DF">
        <w:rPr>
          <w:snapToGrid/>
          <w:szCs w:val="24"/>
        </w:rPr>
        <w:t xml:space="preserve">In issuing the standards and prescribing regulations for the adjustment, the </w:t>
      </w:r>
      <w:r w:rsidR="00E17085">
        <w:rPr>
          <w:snapToGrid/>
          <w:szCs w:val="24"/>
        </w:rPr>
        <w:t xml:space="preserve">Federal Reserve </w:t>
      </w:r>
      <w:r w:rsidRPr="007956DF">
        <w:rPr>
          <w:snapToGrid/>
          <w:szCs w:val="24"/>
        </w:rPr>
        <w:t xml:space="preserve"> must consider (1) the nature, type, and occurrence of fraud in electronic debit transactions; (2) the extent to which the occurrence of fraud depends on whether the authentication in an electronic debit transaction is based on a signature, personal identification number (PIN), or other means; (3) the available and economical means by which fraud on electronic debit transactions may be reduced; (4) the fraud-prevention and data-security costs expended by each party involved in the electronic debit transactions (including consumers, persons who accept debit cards as a form of payment, financial institutions, retailers, and payment card networks); (5) the costs of fraudulent transactions absorbed by each party involved in such transactions (including consumers, persons who accept debit cards as a form of payment, financial institutions, retailers, and payment card networks); (6) the extent to which interchange transaction fees have in the past reduced or increased incentives for parties involved in electronic debit transactions to reduce fraud on such transactions; and (7) other </w:t>
      </w:r>
      <w:r w:rsidR="00FA6DE3" w:rsidRPr="007956DF">
        <w:rPr>
          <w:snapToGrid/>
          <w:szCs w:val="24"/>
        </w:rPr>
        <w:t xml:space="preserve">such </w:t>
      </w:r>
      <w:r w:rsidRPr="007956DF">
        <w:rPr>
          <w:snapToGrid/>
          <w:szCs w:val="24"/>
        </w:rPr>
        <w:t xml:space="preserve">factors as the </w:t>
      </w:r>
      <w:r w:rsidR="003731E5" w:rsidRPr="007956DF">
        <w:rPr>
          <w:snapToGrid/>
          <w:szCs w:val="24"/>
        </w:rPr>
        <w:t>Federal Reserve Board</w:t>
      </w:r>
      <w:r w:rsidRPr="007956DF">
        <w:rPr>
          <w:snapToGrid/>
          <w:szCs w:val="24"/>
        </w:rPr>
        <w:t xml:space="preserve"> considers appropriate.</w:t>
      </w:r>
    </w:p>
    <w:p w:rsidR="00EA612A" w:rsidRPr="007956DF" w:rsidRDefault="00EA612A" w:rsidP="00EA612A">
      <w:pPr>
        <w:ind w:firstLine="720"/>
        <w:rPr>
          <w:color w:val="000000"/>
          <w:szCs w:val="24"/>
        </w:rPr>
      </w:pPr>
    </w:p>
    <w:p w:rsidR="005F2ED3" w:rsidRPr="007956DF" w:rsidRDefault="005F2ED3" w:rsidP="005F2ED3">
      <w:pPr>
        <w:autoSpaceDE w:val="0"/>
        <w:autoSpaceDN w:val="0"/>
        <w:adjustRightInd w:val="0"/>
        <w:ind w:firstLine="720"/>
        <w:rPr>
          <w:snapToGrid/>
          <w:szCs w:val="24"/>
        </w:rPr>
      </w:pPr>
      <w:r w:rsidRPr="007956DF">
        <w:rPr>
          <w:snapToGrid/>
          <w:szCs w:val="24"/>
        </w:rPr>
        <w:t xml:space="preserve">Following the enactment of the Dodd-Frank Act, the </w:t>
      </w:r>
      <w:r w:rsidR="003731E5" w:rsidRPr="007956DF">
        <w:rPr>
          <w:color w:val="000000"/>
          <w:szCs w:val="24"/>
        </w:rPr>
        <w:t xml:space="preserve">Federal Reserve </w:t>
      </w:r>
      <w:r w:rsidRPr="007956DF">
        <w:rPr>
          <w:snapToGrid/>
          <w:szCs w:val="24"/>
        </w:rPr>
        <w:t>gathered information about fraud-prevention programs in the debit card industry in several ways.</w:t>
      </w:r>
      <w:r w:rsidR="003731E5" w:rsidRPr="007956DF">
        <w:rPr>
          <w:snapToGrid/>
          <w:szCs w:val="24"/>
        </w:rPr>
        <w:t xml:space="preserve">  </w:t>
      </w:r>
      <w:r w:rsidR="0020188E" w:rsidRPr="007956DF">
        <w:rPr>
          <w:snapToGrid/>
          <w:szCs w:val="24"/>
        </w:rPr>
        <w:t xml:space="preserve">The </w:t>
      </w:r>
      <w:r w:rsidR="003731E5" w:rsidRPr="007956DF">
        <w:rPr>
          <w:color w:val="000000"/>
          <w:szCs w:val="24"/>
        </w:rPr>
        <w:t xml:space="preserve">Federal Reserve </w:t>
      </w:r>
      <w:r w:rsidRPr="007956DF">
        <w:rPr>
          <w:snapToGrid/>
          <w:szCs w:val="24"/>
        </w:rPr>
        <w:t>held numerous meetings with debit card issuers, payment card networks, merchant acquirers, merchants, industry trade associations, and consumer groups to discuss these programs.</w:t>
      </w:r>
      <w:r w:rsidR="003731E5" w:rsidRPr="007956DF">
        <w:rPr>
          <w:snapToGrid/>
          <w:szCs w:val="24"/>
        </w:rPr>
        <w:t xml:space="preserve">  </w:t>
      </w:r>
      <w:r w:rsidRPr="007956DF">
        <w:rPr>
          <w:snapToGrid/>
          <w:szCs w:val="24"/>
        </w:rPr>
        <w:t xml:space="preserve">Topics discussed in those meetings included technological innovation in fraud prevention, fraud loss allocation among parties to electronic debit transactions, and fraud risk associated with different types of electronic debit transactions (e.g., signature and PIN debit transactions).  </w:t>
      </w:r>
    </w:p>
    <w:p w:rsidR="005F2ED3" w:rsidRPr="007956DF" w:rsidRDefault="005F2ED3" w:rsidP="005F2ED3">
      <w:pPr>
        <w:autoSpaceDE w:val="0"/>
        <w:autoSpaceDN w:val="0"/>
        <w:adjustRightInd w:val="0"/>
        <w:ind w:firstLine="720"/>
        <w:rPr>
          <w:snapToGrid/>
          <w:szCs w:val="24"/>
        </w:rPr>
      </w:pPr>
    </w:p>
    <w:p w:rsidR="005F2ED3" w:rsidRPr="00B62805" w:rsidRDefault="005F2ED3" w:rsidP="005F2ED3">
      <w:pPr>
        <w:autoSpaceDE w:val="0"/>
        <w:autoSpaceDN w:val="0"/>
        <w:adjustRightInd w:val="0"/>
        <w:ind w:firstLine="720"/>
        <w:rPr>
          <w:snapToGrid/>
          <w:szCs w:val="24"/>
        </w:rPr>
      </w:pPr>
      <w:r w:rsidRPr="007956DF">
        <w:rPr>
          <w:snapToGrid/>
          <w:szCs w:val="24"/>
        </w:rPr>
        <w:t xml:space="preserve">In September 2010, the </w:t>
      </w:r>
      <w:r w:rsidR="00E17085">
        <w:rPr>
          <w:snapToGrid/>
          <w:szCs w:val="24"/>
        </w:rPr>
        <w:t xml:space="preserve">Federal Reserve </w:t>
      </w:r>
      <w:r w:rsidRPr="007956DF">
        <w:rPr>
          <w:snapToGrid/>
          <w:szCs w:val="24"/>
        </w:rPr>
        <w:t>surveyed 131 bank holding companies and other financial institutions that, together with affiliates, have assets of $10 billion or more, and 16 payment card networks.</w:t>
      </w:r>
      <w:r w:rsidR="003731E5" w:rsidRPr="007956DF">
        <w:rPr>
          <w:snapToGrid/>
          <w:szCs w:val="24"/>
        </w:rPr>
        <w:t xml:space="preserve">  </w:t>
      </w:r>
      <w:r w:rsidRPr="007956DF">
        <w:rPr>
          <w:snapToGrid/>
          <w:szCs w:val="24"/>
        </w:rPr>
        <w:t xml:space="preserve">As part of those surveys, the </w:t>
      </w:r>
      <w:r w:rsidR="00E17085">
        <w:rPr>
          <w:snapToGrid/>
          <w:szCs w:val="24"/>
        </w:rPr>
        <w:t>Federal Reserve</w:t>
      </w:r>
      <w:r w:rsidRPr="007956DF">
        <w:rPr>
          <w:snapToGrid/>
          <w:szCs w:val="24"/>
        </w:rPr>
        <w:t xml:space="preserve"> gathered information about the nature, type, and occurrence of fraud in electronic debit transactions; the losses due to fraudulent transactions absorbed by parties involved in those transactions; and the fraud-prevention and data-security activities and costs and related research and development costs (herein, collectively, referred to as fraud-prevention activities and costs) incurred by issuers in 2009.</w:t>
      </w:r>
      <w:r w:rsidRPr="007956DF">
        <w:rPr>
          <w:rStyle w:val="FootnoteReference"/>
          <w:snapToGrid/>
          <w:szCs w:val="24"/>
        </w:rPr>
        <w:footnoteReference w:id="5"/>
      </w:r>
      <w:r w:rsidRPr="007956DF">
        <w:rPr>
          <w:snapToGrid/>
          <w:szCs w:val="24"/>
        </w:rPr>
        <w:t xml:space="preserve">  From these surveys, the </w:t>
      </w:r>
      <w:r w:rsidR="00E17085">
        <w:rPr>
          <w:snapToGrid/>
          <w:szCs w:val="24"/>
        </w:rPr>
        <w:t>Federal Reserve</w:t>
      </w:r>
      <w:r w:rsidRPr="007956DF">
        <w:rPr>
          <w:snapToGrid/>
          <w:szCs w:val="24"/>
        </w:rPr>
        <w:t xml:space="preserve"> was able to estimate industry-wide fraud losses to all parties of a debit card transaction and to perform a more detailed analysis of fraud losses by type of authentication method (e.g., PIN or signature).  The survey data also provided an estimate of the loss allocation among parties </w:t>
      </w:r>
      <w:r w:rsidRPr="00B62805">
        <w:rPr>
          <w:snapToGrid/>
          <w:szCs w:val="24"/>
        </w:rPr>
        <w:t>to the transaction.</w:t>
      </w:r>
      <w:r w:rsidRPr="00B62805">
        <w:rPr>
          <w:rStyle w:val="FootnoteReference"/>
          <w:snapToGrid/>
          <w:szCs w:val="24"/>
        </w:rPr>
        <w:footnoteReference w:id="6"/>
      </w:r>
    </w:p>
    <w:p w:rsidR="005F2ED3" w:rsidRPr="00B62805" w:rsidRDefault="005F2ED3" w:rsidP="005F2ED3">
      <w:pPr>
        <w:autoSpaceDE w:val="0"/>
        <w:autoSpaceDN w:val="0"/>
        <w:adjustRightInd w:val="0"/>
        <w:rPr>
          <w:color w:val="000000"/>
          <w:szCs w:val="24"/>
        </w:rPr>
      </w:pPr>
    </w:p>
    <w:p w:rsidR="00B62805" w:rsidRDefault="00DD6281" w:rsidP="00B62805">
      <w:pPr>
        <w:rPr>
          <w:color w:val="000000"/>
          <w:szCs w:val="24"/>
        </w:rPr>
      </w:pPr>
      <w:r w:rsidRPr="00B62805">
        <w:rPr>
          <w:b/>
          <w:bCs/>
          <w:color w:val="000000"/>
          <w:szCs w:val="24"/>
        </w:rPr>
        <w:t>Description of Information Collection</w:t>
      </w:r>
    </w:p>
    <w:p w:rsidR="00B62805" w:rsidRDefault="00B62805" w:rsidP="00B62805">
      <w:pPr>
        <w:rPr>
          <w:color w:val="000000"/>
          <w:szCs w:val="24"/>
        </w:rPr>
      </w:pPr>
    </w:p>
    <w:p w:rsidR="003014D9" w:rsidRDefault="00B62805" w:rsidP="003014D9">
      <w:pPr>
        <w:ind w:firstLine="720"/>
        <w:rPr>
          <w:szCs w:val="24"/>
        </w:rPr>
      </w:pPr>
      <w:r w:rsidRPr="00B62805">
        <w:rPr>
          <w:b/>
          <w:szCs w:val="24"/>
        </w:rPr>
        <w:t>Issuers Standards</w:t>
      </w:r>
      <w:r w:rsidR="009A1002" w:rsidRPr="00B62805">
        <w:rPr>
          <w:b/>
          <w:bCs/>
          <w:snapToGrid/>
          <w:szCs w:val="24"/>
        </w:rPr>
        <w:t xml:space="preserve"> </w:t>
      </w:r>
      <w:r w:rsidR="00FA6DE3" w:rsidRPr="00B62805">
        <w:rPr>
          <w:b/>
          <w:bCs/>
          <w:snapToGrid/>
          <w:szCs w:val="24"/>
        </w:rPr>
        <w:t xml:space="preserve">- </w:t>
      </w:r>
      <w:r w:rsidRPr="00B62805">
        <w:rPr>
          <w:b/>
          <w:bCs/>
          <w:snapToGrid/>
          <w:szCs w:val="24"/>
        </w:rPr>
        <w:t>S</w:t>
      </w:r>
      <w:r w:rsidR="009A1002" w:rsidRPr="00B62805">
        <w:rPr>
          <w:b/>
          <w:snapToGrid/>
          <w:szCs w:val="24"/>
        </w:rPr>
        <w:t>ection 235.4(b</w:t>
      </w:r>
      <w:proofErr w:type="gramStart"/>
      <w:r w:rsidR="009A1002" w:rsidRPr="00B62805">
        <w:rPr>
          <w:b/>
          <w:snapToGrid/>
          <w:szCs w:val="24"/>
        </w:rPr>
        <w:t>)(</w:t>
      </w:r>
      <w:proofErr w:type="gramEnd"/>
      <w:r w:rsidR="009A1002" w:rsidRPr="00B62805">
        <w:rPr>
          <w:b/>
          <w:snapToGrid/>
          <w:szCs w:val="24"/>
        </w:rPr>
        <w:t>1)</w:t>
      </w:r>
      <w:r w:rsidR="003014D9">
        <w:rPr>
          <w:b/>
          <w:snapToGrid/>
          <w:szCs w:val="24"/>
        </w:rPr>
        <w:t xml:space="preserve"> </w:t>
      </w:r>
      <w:r w:rsidR="00704FCB">
        <w:rPr>
          <w:b/>
          <w:snapToGrid/>
          <w:szCs w:val="24"/>
        </w:rPr>
        <w:t xml:space="preserve">– </w:t>
      </w:r>
      <w:r w:rsidR="00704FCB">
        <w:rPr>
          <w:snapToGrid/>
          <w:szCs w:val="24"/>
        </w:rPr>
        <w:t xml:space="preserve"> The provisions in this section </w:t>
      </w:r>
      <w:r w:rsidR="009A1002" w:rsidRPr="00B62805">
        <w:rPr>
          <w:snapToGrid/>
          <w:szCs w:val="24"/>
        </w:rPr>
        <w:t xml:space="preserve">requires that in order to be eligible </w:t>
      </w:r>
      <w:r w:rsidRPr="00B62805">
        <w:rPr>
          <w:szCs w:val="24"/>
        </w:rPr>
        <w:t>to receive or charge the fraud-prevention adjustment in paragraph (a), an issuer must develop and implement policies and procedures reasonably designed to take effective steps to reduce the occurrence of, and costs to all parties from, fraudulent electronic debit transactions, including through the development and implementation of cost-effective fraud-prevention technology.</w:t>
      </w:r>
    </w:p>
    <w:p w:rsidR="003014D9" w:rsidRDefault="003014D9" w:rsidP="003014D9">
      <w:pPr>
        <w:ind w:firstLine="720"/>
        <w:rPr>
          <w:szCs w:val="24"/>
        </w:rPr>
      </w:pPr>
    </w:p>
    <w:p w:rsidR="003014D9" w:rsidRDefault="003014D9" w:rsidP="003014D9">
      <w:pPr>
        <w:ind w:firstLine="720"/>
        <w:rPr>
          <w:szCs w:val="24"/>
        </w:rPr>
      </w:pPr>
      <w:r>
        <w:rPr>
          <w:b/>
          <w:szCs w:val="24"/>
        </w:rPr>
        <w:t>I</w:t>
      </w:r>
      <w:r w:rsidR="00B62805" w:rsidRPr="00B62805">
        <w:rPr>
          <w:b/>
          <w:szCs w:val="24"/>
        </w:rPr>
        <w:t xml:space="preserve">ssuer’s </w:t>
      </w:r>
      <w:r>
        <w:rPr>
          <w:b/>
          <w:szCs w:val="24"/>
        </w:rPr>
        <w:t>P</w:t>
      </w:r>
      <w:r w:rsidR="00B62805" w:rsidRPr="00B62805">
        <w:rPr>
          <w:b/>
          <w:szCs w:val="24"/>
        </w:rPr>
        <w:t xml:space="preserve">olicies and </w:t>
      </w:r>
      <w:r>
        <w:rPr>
          <w:b/>
          <w:szCs w:val="24"/>
        </w:rPr>
        <w:t>P</w:t>
      </w:r>
      <w:r w:rsidR="00B62805" w:rsidRPr="00B62805">
        <w:rPr>
          <w:b/>
          <w:szCs w:val="24"/>
        </w:rPr>
        <w:t xml:space="preserve">rocedures </w:t>
      </w:r>
      <w:r w:rsidR="00FA6DE3" w:rsidRPr="00B62805">
        <w:rPr>
          <w:b/>
          <w:bCs/>
          <w:snapToGrid/>
          <w:szCs w:val="24"/>
        </w:rPr>
        <w:t xml:space="preserve">- </w:t>
      </w:r>
      <w:r w:rsidR="00B62805" w:rsidRPr="00B62805">
        <w:rPr>
          <w:b/>
          <w:bCs/>
          <w:snapToGrid/>
          <w:szCs w:val="24"/>
        </w:rPr>
        <w:t>S</w:t>
      </w:r>
      <w:r w:rsidR="00A34A47" w:rsidRPr="00B62805">
        <w:rPr>
          <w:b/>
          <w:snapToGrid/>
          <w:szCs w:val="24"/>
        </w:rPr>
        <w:t>ection 235.4(b</w:t>
      </w:r>
      <w:proofErr w:type="gramStart"/>
      <w:r w:rsidR="00A34A47" w:rsidRPr="00B62805">
        <w:rPr>
          <w:b/>
          <w:snapToGrid/>
          <w:szCs w:val="24"/>
        </w:rPr>
        <w:t>)(</w:t>
      </w:r>
      <w:proofErr w:type="gramEnd"/>
      <w:r w:rsidR="00A34A47" w:rsidRPr="00B62805">
        <w:rPr>
          <w:b/>
          <w:snapToGrid/>
          <w:szCs w:val="24"/>
        </w:rPr>
        <w:t>2)</w:t>
      </w:r>
      <w:r>
        <w:rPr>
          <w:b/>
          <w:snapToGrid/>
          <w:szCs w:val="24"/>
        </w:rPr>
        <w:t xml:space="preserve"> </w:t>
      </w:r>
      <w:r w:rsidR="00833FD2" w:rsidRPr="00833FD2">
        <w:rPr>
          <w:i/>
          <w:snapToGrid/>
          <w:szCs w:val="24"/>
        </w:rPr>
        <w:t>(recordkeeping)</w:t>
      </w:r>
      <w:r w:rsidR="00833FD2">
        <w:rPr>
          <w:b/>
          <w:snapToGrid/>
          <w:szCs w:val="24"/>
        </w:rPr>
        <w:t xml:space="preserve"> </w:t>
      </w:r>
      <w:r>
        <w:rPr>
          <w:b/>
          <w:snapToGrid/>
          <w:szCs w:val="24"/>
        </w:rPr>
        <w:t xml:space="preserve">– </w:t>
      </w:r>
      <w:r w:rsidR="00704FCB">
        <w:rPr>
          <w:szCs w:val="24"/>
        </w:rPr>
        <w:t xml:space="preserve"> The provisions in this section requires that </w:t>
      </w:r>
      <w:r w:rsidR="009A1002" w:rsidRPr="003014D9">
        <w:rPr>
          <w:snapToGrid/>
          <w:szCs w:val="24"/>
        </w:rPr>
        <w:t>an issuer</w:t>
      </w:r>
      <w:r w:rsidR="00B62805" w:rsidRPr="003014D9">
        <w:rPr>
          <w:snapToGrid/>
          <w:szCs w:val="24"/>
        </w:rPr>
        <w:t>’s</w:t>
      </w:r>
      <w:r w:rsidR="009A1002" w:rsidRPr="003014D9">
        <w:rPr>
          <w:snapToGrid/>
          <w:szCs w:val="24"/>
        </w:rPr>
        <w:t xml:space="preserve"> </w:t>
      </w:r>
      <w:r>
        <w:rPr>
          <w:szCs w:val="24"/>
        </w:rPr>
        <w:t xml:space="preserve">policies and </w:t>
      </w:r>
      <w:r w:rsidR="00B62805" w:rsidRPr="003014D9">
        <w:rPr>
          <w:szCs w:val="24"/>
        </w:rPr>
        <w:t>procedures address</w:t>
      </w:r>
      <w:r w:rsidR="00704FCB">
        <w:rPr>
          <w:szCs w:val="24"/>
        </w:rPr>
        <w:t xml:space="preserve"> the following</w:t>
      </w:r>
      <w:r w:rsidR="00B62805" w:rsidRPr="003014D9">
        <w:rPr>
          <w:szCs w:val="24"/>
        </w:rPr>
        <w:t>:</w:t>
      </w:r>
    </w:p>
    <w:p w:rsidR="003014D9" w:rsidRPr="003014D9" w:rsidRDefault="00B62805" w:rsidP="003014D9">
      <w:pPr>
        <w:pStyle w:val="ListParagraph"/>
        <w:numPr>
          <w:ilvl w:val="0"/>
          <w:numId w:val="5"/>
        </w:numPr>
        <w:rPr>
          <w:szCs w:val="24"/>
        </w:rPr>
      </w:pPr>
      <w:r w:rsidRPr="003014D9">
        <w:rPr>
          <w:szCs w:val="24"/>
        </w:rPr>
        <w:t xml:space="preserve">Methods to identify and prevent fraudulent electronic debit transactions; </w:t>
      </w:r>
    </w:p>
    <w:p w:rsidR="003014D9" w:rsidRPr="003014D9" w:rsidRDefault="00B62805" w:rsidP="003014D9">
      <w:pPr>
        <w:pStyle w:val="ListParagraph"/>
        <w:numPr>
          <w:ilvl w:val="0"/>
          <w:numId w:val="5"/>
        </w:numPr>
        <w:rPr>
          <w:szCs w:val="24"/>
        </w:rPr>
      </w:pPr>
      <w:r w:rsidRPr="003014D9">
        <w:rPr>
          <w:szCs w:val="24"/>
        </w:rPr>
        <w:t>Monitoring of the volume and value of its fraudulent electronic debit transactions;</w:t>
      </w:r>
    </w:p>
    <w:p w:rsidR="003014D9" w:rsidRPr="003014D9" w:rsidRDefault="00B62805" w:rsidP="003014D9">
      <w:pPr>
        <w:pStyle w:val="ListParagraph"/>
        <w:numPr>
          <w:ilvl w:val="0"/>
          <w:numId w:val="5"/>
        </w:numPr>
        <w:rPr>
          <w:szCs w:val="24"/>
        </w:rPr>
      </w:pPr>
      <w:r w:rsidRPr="003014D9">
        <w:rPr>
          <w:szCs w:val="24"/>
        </w:rPr>
        <w:t>Appropriate responses to suspicious electronic debit transactions in a manner designed to</w:t>
      </w:r>
      <w:r w:rsidR="003014D9" w:rsidRPr="003014D9">
        <w:rPr>
          <w:szCs w:val="24"/>
        </w:rPr>
        <w:t xml:space="preserve"> </w:t>
      </w:r>
      <w:r w:rsidRPr="003014D9">
        <w:rPr>
          <w:szCs w:val="24"/>
        </w:rPr>
        <w:t>limit the costs to all parties from and prevent the occurrence of future fraudulent electronic debit</w:t>
      </w:r>
      <w:r w:rsidR="003014D9" w:rsidRPr="003014D9">
        <w:rPr>
          <w:szCs w:val="24"/>
        </w:rPr>
        <w:t xml:space="preserve"> </w:t>
      </w:r>
      <w:r w:rsidRPr="003014D9">
        <w:rPr>
          <w:szCs w:val="24"/>
        </w:rPr>
        <w:t>transactions;</w:t>
      </w:r>
    </w:p>
    <w:p w:rsidR="003014D9" w:rsidRPr="003014D9" w:rsidRDefault="00B62805" w:rsidP="003014D9">
      <w:pPr>
        <w:pStyle w:val="ListParagraph"/>
        <w:numPr>
          <w:ilvl w:val="0"/>
          <w:numId w:val="5"/>
        </w:numPr>
        <w:rPr>
          <w:szCs w:val="24"/>
        </w:rPr>
      </w:pPr>
      <w:r w:rsidRPr="003014D9">
        <w:rPr>
          <w:szCs w:val="24"/>
        </w:rPr>
        <w:t>Methods to secure debit card and cardholder data; an</w:t>
      </w:r>
      <w:r w:rsidR="008C06E8" w:rsidRPr="003014D9">
        <w:rPr>
          <w:szCs w:val="24"/>
        </w:rPr>
        <w:t>d</w:t>
      </w:r>
    </w:p>
    <w:p w:rsidR="003014D9" w:rsidRPr="003014D9" w:rsidRDefault="00B62805" w:rsidP="003014D9">
      <w:pPr>
        <w:pStyle w:val="ListParagraph"/>
        <w:numPr>
          <w:ilvl w:val="0"/>
          <w:numId w:val="5"/>
        </w:numPr>
        <w:rPr>
          <w:szCs w:val="24"/>
        </w:rPr>
      </w:pPr>
      <w:r w:rsidRPr="003014D9">
        <w:rPr>
          <w:szCs w:val="24"/>
        </w:rPr>
        <w:t>Such other factors as the issuer considers appropriate.</w:t>
      </w:r>
    </w:p>
    <w:p w:rsidR="003014D9" w:rsidRPr="003014D9" w:rsidRDefault="003014D9" w:rsidP="003014D9">
      <w:pPr>
        <w:rPr>
          <w:szCs w:val="24"/>
        </w:rPr>
      </w:pPr>
    </w:p>
    <w:p w:rsidR="00704FCB" w:rsidRDefault="003014D9" w:rsidP="00704FCB">
      <w:pPr>
        <w:autoSpaceDE w:val="0"/>
        <w:autoSpaceDN w:val="0"/>
        <w:adjustRightInd w:val="0"/>
        <w:ind w:firstLine="720"/>
        <w:rPr>
          <w:szCs w:val="24"/>
        </w:rPr>
      </w:pPr>
      <w:r w:rsidRPr="003014D9">
        <w:rPr>
          <w:b/>
          <w:bCs/>
          <w:szCs w:val="24"/>
        </w:rPr>
        <w:t xml:space="preserve">Review and </w:t>
      </w:r>
      <w:r>
        <w:rPr>
          <w:b/>
          <w:bCs/>
          <w:szCs w:val="24"/>
        </w:rPr>
        <w:t>U</w:t>
      </w:r>
      <w:r w:rsidRPr="003014D9">
        <w:rPr>
          <w:b/>
          <w:bCs/>
          <w:szCs w:val="24"/>
        </w:rPr>
        <w:t xml:space="preserve">pdate </w:t>
      </w:r>
      <w:r>
        <w:rPr>
          <w:b/>
          <w:szCs w:val="24"/>
        </w:rPr>
        <w:t>I</w:t>
      </w:r>
      <w:r w:rsidRPr="003014D9">
        <w:rPr>
          <w:b/>
          <w:szCs w:val="24"/>
        </w:rPr>
        <w:t xml:space="preserve">ssuer </w:t>
      </w:r>
      <w:r>
        <w:rPr>
          <w:b/>
          <w:szCs w:val="24"/>
        </w:rPr>
        <w:t>S</w:t>
      </w:r>
      <w:r w:rsidRPr="003014D9">
        <w:rPr>
          <w:b/>
          <w:szCs w:val="24"/>
        </w:rPr>
        <w:t>tandards</w:t>
      </w:r>
      <w:r>
        <w:rPr>
          <w:b/>
          <w:szCs w:val="24"/>
        </w:rPr>
        <w:t xml:space="preserve"> – Section </w:t>
      </w:r>
      <w:r w:rsidRPr="003014D9">
        <w:rPr>
          <w:b/>
          <w:szCs w:val="24"/>
        </w:rPr>
        <w:t>235.4(b)(3)</w:t>
      </w:r>
      <w:r w:rsidR="00833FD2" w:rsidRPr="00833FD2">
        <w:rPr>
          <w:i/>
          <w:snapToGrid/>
          <w:szCs w:val="24"/>
        </w:rPr>
        <w:t xml:space="preserve"> (recordkeeping)</w:t>
      </w:r>
      <w:r>
        <w:rPr>
          <w:b/>
          <w:szCs w:val="24"/>
        </w:rPr>
        <w:t xml:space="preserve"> - </w:t>
      </w:r>
      <w:r w:rsidR="00704FCB">
        <w:rPr>
          <w:szCs w:val="24"/>
        </w:rPr>
        <w:t>The provisions in this section requires that a</w:t>
      </w:r>
      <w:r w:rsidRPr="003014D9">
        <w:rPr>
          <w:szCs w:val="24"/>
        </w:rPr>
        <w:t xml:space="preserve">n issuer must review its fraud-prevention policies and procedures, and their implementation, at least annually, and update them as necessary in light of: </w:t>
      </w:r>
    </w:p>
    <w:p w:rsidR="00704FCB" w:rsidRPr="00860DDC" w:rsidRDefault="003014D9" w:rsidP="00704FCB">
      <w:pPr>
        <w:pStyle w:val="ListParagraph"/>
        <w:numPr>
          <w:ilvl w:val="0"/>
          <w:numId w:val="6"/>
        </w:numPr>
        <w:autoSpaceDE w:val="0"/>
        <w:autoSpaceDN w:val="0"/>
        <w:adjustRightInd w:val="0"/>
        <w:rPr>
          <w:szCs w:val="24"/>
        </w:rPr>
      </w:pPr>
      <w:r w:rsidRPr="00860DDC">
        <w:rPr>
          <w:szCs w:val="24"/>
        </w:rPr>
        <w:t xml:space="preserve">their effectiveness in reducing the occurrence of, and cost to all parties from, fraudulent electronic debit transactions involving the issuer; </w:t>
      </w:r>
    </w:p>
    <w:p w:rsidR="00704FCB" w:rsidRPr="00860DDC" w:rsidRDefault="003014D9" w:rsidP="00704FCB">
      <w:pPr>
        <w:pStyle w:val="ListParagraph"/>
        <w:numPr>
          <w:ilvl w:val="0"/>
          <w:numId w:val="6"/>
        </w:numPr>
        <w:autoSpaceDE w:val="0"/>
        <w:autoSpaceDN w:val="0"/>
        <w:adjustRightInd w:val="0"/>
        <w:rPr>
          <w:szCs w:val="24"/>
        </w:rPr>
      </w:pPr>
      <w:r w:rsidRPr="00860DDC">
        <w:rPr>
          <w:szCs w:val="24"/>
        </w:rPr>
        <w:t>their cost-effectiveness; and</w:t>
      </w:r>
    </w:p>
    <w:p w:rsidR="00704FCB" w:rsidRPr="00860DDC" w:rsidRDefault="003014D9" w:rsidP="00704FCB">
      <w:pPr>
        <w:pStyle w:val="ListParagraph"/>
        <w:numPr>
          <w:ilvl w:val="0"/>
          <w:numId w:val="6"/>
        </w:numPr>
        <w:autoSpaceDE w:val="0"/>
        <w:autoSpaceDN w:val="0"/>
        <w:adjustRightInd w:val="0"/>
        <w:rPr>
          <w:szCs w:val="24"/>
        </w:rPr>
      </w:pPr>
      <w:r w:rsidRPr="00860DDC">
        <w:rPr>
          <w:szCs w:val="24"/>
        </w:rPr>
        <w:t>changes in the types of fraud, methods used to commit fraud, and available methods of detecting and preventing fraudulent electronic debit transactions that the issuer identifies from:</w:t>
      </w:r>
    </w:p>
    <w:p w:rsidR="00704FCB" w:rsidRPr="00860DDC" w:rsidRDefault="003014D9" w:rsidP="00704FCB">
      <w:pPr>
        <w:pStyle w:val="ListParagraph"/>
        <w:numPr>
          <w:ilvl w:val="1"/>
          <w:numId w:val="6"/>
        </w:numPr>
        <w:autoSpaceDE w:val="0"/>
        <w:autoSpaceDN w:val="0"/>
        <w:adjustRightInd w:val="0"/>
        <w:rPr>
          <w:szCs w:val="24"/>
        </w:rPr>
      </w:pPr>
      <w:r w:rsidRPr="00860DDC">
        <w:rPr>
          <w:szCs w:val="24"/>
        </w:rPr>
        <w:t>its own experience or information</w:t>
      </w:r>
      <w:r w:rsidR="00313EDC">
        <w:rPr>
          <w:szCs w:val="24"/>
        </w:rPr>
        <w:t>,</w:t>
      </w:r>
      <w:r w:rsidRPr="00860DDC">
        <w:rPr>
          <w:szCs w:val="24"/>
        </w:rPr>
        <w:t xml:space="preserve"> </w:t>
      </w:r>
      <w:r w:rsidRPr="00860DDC" w:rsidDel="00486AEE">
        <w:rPr>
          <w:szCs w:val="24"/>
        </w:rPr>
        <w:t xml:space="preserve"> </w:t>
      </w:r>
    </w:p>
    <w:p w:rsidR="00313EDC" w:rsidRDefault="003014D9" w:rsidP="00313EDC">
      <w:pPr>
        <w:pStyle w:val="ListParagraph"/>
        <w:numPr>
          <w:ilvl w:val="1"/>
          <w:numId w:val="6"/>
        </w:numPr>
        <w:autoSpaceDE w:val="0"/>
        <w:autoSpaceDN w:val="0"/>
        <w:adjustRightInd w:val="0"/>
        <w:rPr>
          <w:szCs w:val="24"/>
        </w:rPr>
      </w:pPr>
      <w:r w:rsidRPr="00860DDC">
        <w:rPr>
          <w:szCs w:val="24"/>
        </w:rPr>
        <w:t>information provided to the issuer by its payment card networks, law enforcement agencies, and fraud-monitoring groups in which the issuer participates</w:t>
      </w:r>
      <w:r w:rsidR="00313EDC">
        <w:rPr>
          <w:szCs w:val="24"/>
        </w:rPr>
        <w:t xml:space="preserve">, </w:t>
      </w:r>
      <w:r w:rsidRPr="00860DDC">
        <w:rPr>
          <w:szCs w:val="24"/>
        </w:rPr>
        <w:t>and</w:t>
      </w:r>
    </w:p>
    <w:p w:rsidR="003014D9" w:rsidRPr="00313EDC" w:rsidRDefault="003014D9" w:rsidP="00313EDC">
      <w:pPr>
        <w:pStyle w:val="ListParagraph"/>
        <w:numPr>
          <w:ilvl w:val="1"/>
          <w:numId w:val="6"/>
        </w:numPr>
        <w:autoSpaceDE w:val="0"/>
        <w:autoSpaceDN w:val="0"/>
        <w:adjustRightInd w:val="0"/>
        <w:rPr>
          <w:szCs w:val="24"/>
        </w:rPr>
      </w:pPr>
      <w:proofErr w:type="gramStart"/>
      <w:r w:rsidRPr="00313EDC">
        <w:rPr>
          <w:szCs w:val="24"/>
        </w:rPr>
        <w:t>applicable</w:t>
      </w:r>
      <w:proofErr w:type="gramEnd"/>
      <w:r w:rsidRPr="00313EDC">
        <w:rPr>
          <w:szCs w:val="24"/>
        </w:rPr>
        <w:t xml:space="preserve"> supervisory guidance.  </w:t>
      </w:r>
    </w:p>
    <w:p w:rsidR="003014D9" w:rsidRPr="00860DDC" w:rsidRDefault="003014D9" w:rsidP="003014D9">
      <w:pPr>
        <w:rPr>
          <w:szCs w:val="24"/>
        </w:rPr>
      </w:pPr>
    </w:p>
    <w:p w:rsidR="00860DDC" w:rsidRPr="00F24727" w:rsidRDefault="00833FD2" w:rsidP="00F24727">
      <w:pPr>
        <w:autoSpaceDE w:val="0"/>
        <w:autoSpaceDN w:val="0"/>
        <w:adjustRightInd w:val="0"/>
        <w:ind w:firstLine="720"/>
        <w:rPr>
          <w:szCs w:val="24"/>
        </w:rPr>
      </w:pPr>
      <w:r w:rsidRPr="00F24727">
        <w:rPr>
          <w:b/>
          <w:bCs/>
          <w:szCs w:val="24"/>
        </w:rPr>
        <w:t xml:space="preserve">Notification and Change in Status </w:t>
      </w:r>
      <w:r w:rsidR="00FA6DE3" w:rsidRPr="00F24727">
        <w:rPr>
          <w:b/>
          <w:bCs/>
          <w:snapToGrid/>
          <w:szCs w:val="24"/>
        </w:rPr>
        <w:t>- s</w:t>
      </w:r>
      <w:r w:rsidR="00A34A47" w:rsidRPr="00F24727">
        <w:rPr>
          <w:b/>
          <w:bCs/>
          <w:snapToGrid/>
          <w:szCs w:val="24"/>
        </w:rPr>
        <w:t>ection</w:t>
      </w:r>
      <w:r w:rsidRPr="00F24727">
        <w:rPr>
          <w:b/>
          <w:bCs/>
          <w:snapToGrid/>
          <w:szCs w:val="24"/>
        </w:rPr>
        <w:t>s</w:t>
      </w:r>
      <w:r w:rsidR="00A34A47" w:rsidRPr="00F24727">
        <w:rPr>
          <w:b/>
          <w:bCs/>
          <w:snapToGrid/>
          <w:szCs w:val="24"/>
        </w:rPr>
        <w:t xml:space="preserve"> 235.4(c)</w:t>
      </w:r>
      <w:r w:rsidRPr="00F24727">
        <w:rPr>
          <w:b/>
          <w:bCs/>
          <w:snapToGrid/>
          <w:szCs w:val="24"/>
        </w:rPr>
        <w:t xml:space="preserve"> &amp; (d)</w:t>
      </w:r>
      <w:r w:rsidR="00860DDC" w:rsidRPr="00F24727">
        <w:rPr>
          <w:b/>
          <w:bCs/>
          <w:snapToGrid/>
          <w:szCs w:val="24"/>
        </w:rPr>
        <w:t xml:space="preserve"> </w:t>
      </w:r>
      <w:r w:rsidR="00860DDC" w:rsidRPr="00F24727">
        <w:rPr>
          <w:bCs/>
          <w:i/>
          <w:snapToGrid/>
          <w:szCs w:val="24"/>
        </w:rPr>
        <w:t>(disclosure)</w:t>
      </w:r>
      <w:r w:rsidR="00860DDC" w:rsidRPr="00F24727">
        <w:rPr>
          <w:szCs w:val="24"/>
        </w:rPr>
        <w:t xml:space="preserve"> </w:t>
      </w:r>
      <w:r w:rsidR="00313EDC" w:rsidRPr="00F24727">
        <w:rPr>
          <w:szCs w:val="24"/>
        </w:rPr>
        <w:t>– Section</w:t>
      </w:r>
      <w:r w:rsidR="0029453C" w:rsidRPr="00F24727">
        <w:rPr>
          <w:szCs w:val="24"/>
        </w:rPr>
        <w:t xml:space="preserve"> 235.4(c) </w:t>
      </w:r>
      <w:r w:rsidR="00860DDC" w:rsidRPr="00F24727">
        <w:rPr>
          <w:szCs w:val="24"/>
        </w:rPr>
        <w:t xml:space="preserve">requires that, to be eligible to receive or charge a fraud-prevention adjustment, an issuer must annually notify its </w:t>
      </w:r>
      <w:r w:rsidR="00F24727">
        <w:rPr>
          <w:szCs w:val="24"/>
        </w:rPr>
        <w:t>PCNs</w:t>
      </w:r>
      <w:r w:rsidR="00860DDC" w:rsidRPr="00F24727">
        <w:rPr>
          <w:szCs w:val="24"/>
        </w:rPr>
        <w:t xml:space="preserve"> that it complies with the standards under section </w:t>
      </w:r>
      <w:r w:rsidR="00860DDC" w:rsidRPr="00F24727">
        <w:rPr>
          <w:snapToGrid/>
          <w:szCs w:val="24"/>
        </w:rPr>
        <w:t xml:space="preserve">235.4(b).  </w:t>
      </w:r>
      <w:r w:rsidR="00F24727" w:rsidRPr="00F24727">
        <w:rPr>
          <w:snapToGrid/>
          <w:szCs w:val="24"/>
        </w:rPr>
        <w:t xml:space="preserve">Section 235.4(d) requires </w:t>
      </w:r>
      <w:r w:rsidR="00F24727">
        <w:rPr>
          <w:snapToGrid/>
          <w:szCs w:val="24"/>
        </w:rPr>
        <w:t>that, w</w:t>
      </w:r>
      <w:r w:rsidR="00F24727" w:rsidRPr="00F24727">
        <w:rPr>
          <w:szCs w:val="24"/>
        </w:rPr>
        <w:t>ithin 30 days of receiving notification fro</w:t>
      </w:r>
      <w:r w:rsidR="00F24727">
        <w:rPr>
          <w:szCs w:val="24"/>
        </w:rPr>
        <w:t>m the appropriate agency under section</w:t>
      </w:r>
      <w:r w:rsidR="00F24727" w:rsidRPr="00F24727">
        <w:rPr>
          <w:szCs w:val="24"/>
        </w:rPr>
        <w:t xml:space="preserve"> 235.9 that the issuer is substantially non-compliant with the standards set forth in section </w:t>
      </w:r>
      <w:r w:rsidR="00F24727" w:rsidRPr="00F24727">
        <w:rPr>
          <w:snapToGrid/>
          <w:szCs w:val="24"/>
        </w:rPr>
        <w:t>235.4(b)</w:t>
      </w:r>
      <w:r w:rsidR="00F24727" w:rsidRPr="00F24727">
        <w:rPr>
          <w:szCs w:val="24"/>
        </w:rPr>
        <w:t xml:space="preserve">, the issuer must notify its </w:t>
      </w:r>
      <w:r w:rsidR="00F24727">
        <w:rPr>
          <w:szCs w:val="24"/>
        </w:rPr>
        <w:t xml:space="preserve">PCNs </w:t>
      </w:r>
      <w:r w:rsidR="00F24727" w:rsidRPr="00F24727">
        <w:rPr>
          <w:szCs w:val="24"/>
        </w:rPr>
        <w:t xml:space="preserve">that it is no longer eligible to receive or </w:t>
      </w:r>
      <w:r w:rsidR="00F24727" w:rsidRPr="00F24727">
        <w:rPr>
          <w:szCs w:val="24"/>
        </w:rPr>
        <w:lastRenderedPageBreak/>
        <w:t>charge a fraud-prevention adjustment.  The issuer must stop receiving and charging the fraud-prevention adjustment as soon as reasonably practical thereafter.</w:t>
      </w:r>
    </w:p>
    <w:p w:rsidR="003014D9" w:rsidRPr="00F24727" w:rsidRDefault="003014D9" w:rsidP="00860DDC">
      <w:pPr>
        <w:ind w:firstLine="720"/>
        <w:rPr>
          <w:szCs w:val="24"/>
        </w:rPr>
      </w:pPr>
    </w:p>
    <w:p w:rsidR="00DD6281" w:rsidRPr="007956DF" w:rsidRDefault="00DD6281" w:rsidP="00F2018F">
      <w:pPr>
        <w:rPr>
          <w:color w:val="000000"/>
          <w:szCs w:val="24"/>
        </w:rPr>
      </w:pPr>
      <w:r w:rsidRPr="007956DF">
        <w:rPr>
          <w:b/>
          <w:bCs/>
          <w:color w:val="000000"/>
          <w:szCs w:val="24"/>
        </w:rPr>
        <w:t>Time Schedule for Information Collection</w:t>
      </w:r>
      <w:r w:rsidR="007F62E1" w:rsidRPr="007956DF">
        <w:rPr>
          <w:b/>
          <w:bCs/>
          <w:color w:val="000000"/>
          <w:szCs w:val="24"/>
        </w:rPr>
        <w:t xml:space="preserve"> and Publication</w:t>
      </w:r>
    </w:p>
    <w:p w:rsidR="00DD6281" w:rsidRPr="007956DF" w:rsidRDefault="00DD6281" w:rsidP="00F2018F">
      <w:pPr>
        <w:rPr>
          <w:color w:val="000000"/>
          <w:szCs w:val="24"/>
        </w:rPr>
      </w:pPr>
    </w:p>
    <w:p w:rsidR="00BE3C69" w:rsidRPr="007956DF" w:rsidRDefault="00634EB9" w:rsidP="00634EB9">
      <w:pPr>
        <w:ind w:firstLine="720"/>
        <w:rPr>
          <w:strike/>
          <w:szCs w:val="24"/>
        </w:rPr>
      </w:pPr>
      <w:r w:rsidRPr="007956DF">
        <w:rPr>
          <w:szCs w:val="24"/>
        </w:rPr>
        <w:t xml:space="preserve">The information collection pursuant to the </w:t>
      </w:r>
      <w:r w:rsidR="004D7FD9">
        <w:rPr>
          <w:szCs w:val="24"/>
        </w:rPr>
        <w:t>disclosure</w:t>
      </w:r>
      <w:r w:rsidRPr="007956DF">
        <w:rPr>
          <w:szCs w:val="24"/>
        </w:rPr>
        <w:t xml:space="preserve"> requirement</w:t>
      </w:r>
      <w:r w:rsidR="006C5A75" w:rsidRPr="007956DF">
        <w:rPr>
          <w:szCs w:val="24"/>
        </w:rPr>
        <w:t xml:space="preserve"> under section 235.4(c)</w:t>
      </w:r>
      <w:r w:rsidR="00985444">
        <w:rPr>
          <w:szCs w:val="24"/>
        </w:rPr>
        <w:t xml:space="preserve"> &amp; (d)</w:t>
      </w:r>
      <w:r w:rsidRPr="007956DF">
        <w:rPr>
          <w:szCs w:val="24"/>
        </w:rPr>
        <w:t xml:space="preserve"> must be provided to the payment card network annually as established by the law and regulation as discussed above.  </w:t>
      </w:r>
      <w:r w:rsidR="001109E7" w:rsidRPr="007956DF">
        <w:rPr>
          <w:szCs w:val="24"/>
        </w:rPr>
        <w:t>The information is not published.</w:t>
      </w:r>
    </w:p>
    <w:p w:rsidR="00AD64BE" w:rsidRPr="007956DF" w:rsidRDefault="00AD64BE" w:rsidP="00F2018F">
      <w:pPr>
        <w:pStyle w:val="BodyText"/>
        <w:rPr>
          <w:rFonts w:ascii="Times New Roman" w:hAnsi="Times New Roman"/>
        </w:rPr>
      </w:pPr>
    </w:p>
    <w:p w:rsidR="003D7E71" w:rsidRPr="007956DF" w:rsidRDefault="003D7E71" w:rsidP="003D7E71">
      <w:pPr>
        <w:rPr>
          <w:color w:val="000000"/>
          <w:szCs w:val="24"/>
        </w:rPr>
      </w:pPr>
      <w:r w:rsidRPr="007956DF">
        <w:rPr>
          <w:b/>
          <w:bCs/>
          <w:color w:val="000000"/>
          <w:szCs w:val="24"/>
        </w:rPr>
        <w:t>Sensitive Questions</w:t>
      </w:r>
    </w:p>
    <w:p w:rsidR="003D7E71" w:rsidRPr="007956DF" w:rsidRDefault="003D7E71" w:rsidP="003D7E71">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3D7E71" w:rsidRPr="007956DF" w:rsidRDefault="00ED47B3" w:rsidP="003D7E71">
      <w:pPr>
        <w:ind w:firstLine="720"/>
        <w:rPr>
          <w:color w:val="000000"/>
          <w:szCs w:val="24"/>
        </w:rPr>
      </w:pPr>
      <w:r w:rsidRPr="001F1B97">
        <w:t>These collections of information contain no questions of a sensitive nature, as defined by OMB guidelines (e.g., ethnicity, sexual relationships, etc.).</w:t>
      </w:r>
    </w:p>
    <w:p w:rsidR="003D7E71" w:rsidRPr="007956DF" w:rsidRDefault="003D7E71" w:rsidP="00F2018F">
      <w:pPr>
        <w:pStyle w:val="BodyText"/>
        <w:rPr>
          <w:rFonts w:ascii="Times New Roman" w:hAnsi="Times New Roman"/>
        </w:rPr>
      </w:pPr>
    </w:p>
    <w:p w:rsidR="00DD6281" w:rsidRPr="007956DF" w:rsidRDefault="00DD6281" w:rsidP="00F2018F">
      <w:pPr>
        <w:pStyle w:val="BodyText"/>
        <w:rPr>
          <w:rFonts w:ascii="Times New Roman" w:hAnsi="Times New Roman"/>
        </w:rPr>
      </w:pPr>
      <w:r w:rsidRPr="007956DF">
        <w:rPr>
          <w:rFonts w:ascii="Times New Roman" w:hAnsi="Times New Roman"/>
          <w:b/>
          <w:bCs/>
        </w:rPr>
        <w:t>Legal Status</w:t>
      </w:r>
    </w:p>
    <w:p w:rsidR="00DD6281" w:rsidRPr="007956DF" w:rsidRDefault="00DD6281" w:rsidP="00F2018F">
      <w:pPr>
        <w:rPr>
          <w:color w:val="000000"/>
          <w:szCs w:val="24"/>
        </w:rPr>
      </w:pPr>
    </w:p>
    <w:p w:rsidR="008E5592" w:rsidRPr="007956DF" w:rsidRDefault="00DD6281" w:rsidP="00F2018F">
      <w:pPr>
        <w:ind w:firstLine="720"/>
        <w:rPr>
          <w:color w:val="000000"/>
          <w:szCs w:val="24"/>
        </w:rPr>
      </w:pPr>
      <w:r w:rsidRPr="007956DF">
        <w:rPr>
          <w:color w:val="000000"/>
          <w:szCs w:val="24"/>
        </w:rPr>
        <w:t>The Board</w:t>
      </w:r>
      <w:r w:rsidR="0074784D" w:rsidRPr="007956DF">
        <w:rPr>
          <w:color w:val="000000"/>
          <w:szCs w:val="24"/>
        </w:rPr>
        <w:t>’</w:t>
      </w:r>
      <w:r w:rsidRPr="007956DF">
        <w:rPr>
          <w:color w:val="000000"/>
          <w:szCs w:val="24"/>
        </w:rPr>
        <w:t xml:space="preserve">s Legal Division has determined that </w:t>
      </w:r>
      <w:r w:rsidR="00073176" w:rsidRPr="007956DF">
        <w:rPr>
          <w:color w:val="000000"/>
          <w:szCs w:val="24"/>
        </w:rPr>
        <w:t xml:space="preserve">section </w:t>
      </w:r>
      <w:r w:rsidR="008E5592" w:rsidRPr="007956DF">
        <w:rPr>
          <w:color w:val="000000"/>
          <w:szCs w:val="24"/>
        </w:rPr>
        <w:t>1075</w:t>
      </w:r>
      <w:r w:rsidR="00073176" w:rsidRPr="007956DF">
        <w:rPr>
          <w:color w:val="000000"/>
          <w:szCs w:val="24"/>
        </w:rPr>
        <w:t xml:space="preserve"> of the </w:t>
      </w:r>
      <w:r w:rsidR="00844374" w:rsidRPr="007956DF">
        <w:rPr>
          <w:color w:val="000000"/>
          <w:szCs w:val="24"/>
        </w:rPr>
        <w:t>Dodd Frank</w:t>
      </w:r>
      <w:r w:rsidR="00073176" w:rsidRPr="007956DF">
        <w:rPr>
          <w:color w:val="000000"/>
          <w:szCs w:val="24"/>
        </w:rPr>
        <w:t xml:space="preserve"> Act</w:t>
      </w:r>
      <w:r w:rsidR="002572A4" w:rsidRPr="007956DF">
        <w:rPr>
          <w:color w:val="000000"/>
          <w:szCs w:val="24"/>
        </w:rPr>
        <w:t xml:space="preserve"> (</w:t>
      </w:r>
      <w:r w:rsidR="002572A4" w:rsidRPr="007956DF">
        <w:rPr>
          <w:szCs w:val="24"/>
        </w:rPr>
        <w:t xml:space="preserve">Public Law 111-203, 124 Stat. 1376 (2010)) </w:t>
      </w:r>
      <w:r w:rsidRPr="007956DF">
        <w:rPr>
          <w:color w:val="000000"/>
          <w:szCs w:val="24"/>
        </w:rPr>
        <w:t>authorize</w:t>
      </w:r>
      <w:r w:rsidR="00581025" w:rsidRPr="007956DF">
        <w:rPr>
          <w:color w:val="000000"/>
          <w:szCs w:val="24"/>
        </w:rPr>
        <w:t>s</w:t>
      </w:r>
      <w:r w:rsidRPr="007956DF">
        <w:rPr>
          <w:color w:val="000000"/>
          <w:szCs w:val="24"/>
        </w:rPr>
        <w:t xml:space="preserve"> the </w:t>
      </w:r>
      <w:r w:rsidR="006F3357" w:rsidRPr="007956DF">
        <w:rPr>
          <w:color w:val="000000"/>
          <w:szCs w:val="24"/>
        </w:rPr>
        <w:t>Federal Reserve</w:t>
      </w:r>
      <w:r w:rsidRPr="007956DF">
        <w:rPr>
          <w:color w:val="000000"/>
          <w:szCs w:val="24"/>
        </w:rPr>
        <w:t xml:space="preserve"> to require the</w:t>
      </w:r>
      <w:r w:rsidR="008E5592" w:rsidRPr="007956DF">
        <w:rPr>
          <w:color w:val="000000"/>
          <w:szCs w:val="24"/>
        </w:rPr>
        <w:t>se</w:t>
      </w:r>
      <w:r w:rsidRPr="007956DF">
        <w:rPr>
          <w:color w:val="000000"/>
          <w:szCs w:val="24"/>
        </w:rPr>
        <w:t xml:space="preserve"> </w:t>
      </w:r>
      <w:r w:rsidR="008E5592" w:rsidRPr="007956DF">
        <w:rPr>
          <w:color w:val="000000"/>
          <w:szCs w:val="24"/>
        </w:rPr>
        <w:t xml:space="preserve">recordkeeping and </w:t>
      </w:r>
      <w:r w:rsidR="004D7FD9">
        <w:rPr>
          <w:color w:val="000000"/>
          <w:szCs w:val="24"/>
        </w:rPr>
        <w:t>disclosure</w:t>
      </w:r>
      <w:r w:rsidR="008E5592" w:rsidRPr="007956DF">
        <w:rPr>
          <w:color w:val="000000"/>
          <w:szCs w:val="24"/>
        </w:rPr>
        <w:t xml:space="preserve"> requirements.</w:t>
      </w:r>
      <w:r w:rsidR="00D45DEF" w:rsidRPr="007956DF">
        <w:rPr>
          <w:color w:val="000000"/>
          <w:szCs w:val="24"/>
        </w:rPr>
        <w:t xml:space="preserve">  The obligation of covered issuers </w:t>
      </w:r>
      <w:r w:rsidR="00EE4F62">
        <w:rPr>
          <w:color w:val="000000"/>
          <w:szCs w:val="24"/>
        </w:rPr>
        <w:t>t</w:t>
      </w:r>
      <w:r w:rsidR="00D45DEF" w:rsidRPr="007956DF">
        <w:rPr>
          <w:color w:val="000000"/>
          <w:szCs w:val="24"/>
        </w:rPr>
        <w:t xml:space="preserve">o respond to this information collection is required to obtain or retain benefits.  </w:t>
      </w:r>
      <w:r w:rsidR="00634EB9" w:rsidRPr="007956DF">
        <w:rPr>
          <w:szCs w:val="24"/>
        </w:rPr>
        <w:t xml:space="preserve">Since the Federal Reserve does not collect any </w:t>
      </w:r>
      <w:r w:rsidR="00313EDC" w:rsidRPr="007956DF">
        <w:rPr>
          <w:szCs w:val="24"/>
        </w:rPr>
        <w:t>information,</w:t>
      </w:r>
      <w:r w:rsidR="00634EB9" w:rsidRPr="007956DF">
        <w:rPr>
          <w:szCs w:val="24"/>
        </w:rPr>
        <w:t xml:space="preserve"> no issue of confidentiality should arise.</w:t>
      </w:r>
    </w:p>
    <w:p w:rsidR="008E5592" w:rsidRPr="007956DF" w:rsidRDefault="008E5592" w:rsidP="00F2018F">
      <w:pPr>
        <w:ind w:firstLine="720"/>
        <w:rPr>
          <w:color w:val="000000"/>
          <w:szCs w:val="24"/>
        </w:rPr>
      </w:pPr>
    </w:p>
    <w:p w:rsidR="00DD6281" w:rsidRPr="007956DF" w:rsidRDefault="00DD6281" w:rsidP="00F2018F">
      <w:pPr>
        <w:rPr>
          <w:color w:val="000000"/>
          <w:szCs w:val="24"/>
        </w:rPr>
      </w:pPr>
      <w:r w:rsidRPr="007956DF">
        <w:rPr>
          <w:b/>
          <w:bCs/>
          <w:color w:val="000000"/>
          <w:szCs w:val="24"/>
        </w:rPr>
        <w:t xml:space="preserve">Consultation </w:t>
      </w:r>
      <w:proofErr w:type="gramStart"/>
      <w:r w:rsidRPr="007956DF">
        <w:rPr>
          <w:b/>
          <w:bCs/>
          <w:color w:val="000000"/>
          <w:szCs w:val="24"/>
        </w:rPr>
        <w:t>Outside</w:t>
      </w:r>
      <w:proofErr w:type="gramEnd"/>
      <w:r w:rsidRPr="007956DF">
        <w:rPr>
          <w:b/>
          <w:bCs/>
          <w:color w:val="000000"/>
          <w:szCs w:val="24"/>
        </w:rPr>
        <w:t xml:space="preserve"> the Agency </w:t>
      </w:r>
    </w:p>
    <w:p w:rsidR="003D7E71" w:rsidRPr="007956DF" w:rsidRDefault="003D7E71" w:rsidP="00F2018F">
      <w:pPr>
        <w:ind w:firstLine="720"/>
        <w:rPr>
          <w:color w:val="000000"/>
          <w:szCs w:val="24"/>
        </w:rPr>
      </w:pPr>
    </w:p>
    <w:p w:rsidR="00DD6281" w:rsidRPr="007956DF" w:rsidRDefault="006A1A11" w:rsidP="00B62805">
      <w:pPr>
        <w:autoSpaceDE w:val="0"/>
        <w:autoSpaceDN w:val="0"/>
        <w:adjustRightInd w:val="0"/>
        <w:ind w:firstLine="720"/>
        <w:rPr>
          <w:color w:val="000000"/>
          <w:szCs w:val="24"/>
        </w:rPr>
      </w:pPr>
      <w:r w:rsidRPr="007956DF">
        <w:rPr>
          <w:color w:val="000000"/>
          <w:szCs w:val="24"/>
        </w:rPr>
        <w:t xml:space="preserve">On July 20, 2011, the </w:t>
      </w:r>
      <w:r w:rsidR="00E17085">
        <w:rPr>
          <w:color w:val="000000"/>
          <w:szCs w:val="24"/>
        </w:rPr>
        <w:t>Federal Reserve</w:t>
      </w:r>
      <w:r w:rsidR="006A7EB6" w:rsidRPr="007956DF">
        <w:rPr>
          <w:color w:val="000000"/>
          <w:szCs w:val="24"/>
        </w:rPr>
        <w:t xml:space="preserve"> </w:t>
      </w:r>
      <w:r w:rsidRPr="007956DF">
        <w:rPr>
          <w:color w:val="000000"/>
          <w:szCs w:val="24"/>
        </w:rPr>
        <w:t>published a</w:t>
      </w:r>
      <w:r w:rsidR="00FA6DE3" w:rsidRPr="007956DF">
        <w:rPr>
          <w:color w:val="000000"/>
          <w:szCs w:val="24"/>
        </w:rPr>
        <w:t>n IFRM</w:t>
      </w:r>
      <w:r w:rsidRPr="007956DF">
        <w:rPr>
          <w:color w:val="000000"/>
          <w:szCs w:val="24"/>
        </w:rPr>
        <w:t xml:space="preserve"> in the </w:t>
      </w:r>
      <w:r w:rsidRPr="007956DF">
        <w:rPr>
          <w:i/>
          <w:color w:val="000000"/>
          <w:szCs w:val="24"/>
        </w:rPr>
        <w:t>Federal Register</w:t>
      </w:r>
      <w:r w:rsidRPr="007956DF">
        <w:rPr>
          <w:color w:val="000000"/>
          <w:szCs w:val="24"/>
        </w:rPr>
        <w:t xml:space="preserve"> for public comment (</w:t>
      </w:r>
      <w:r w:rsidRPr="007956DF">
        <w:rPr>
          <w:szCs w:val="24"/>
        </w:rPr>
        <w:t xml:space="preserve">76 FR 43478).  </w:t>
      </w:r>
      <w:r w:rsidR="00581025" w:rsidRPr="007956DF">
        <w:rPr>
          <w:szCs w:val="24"/>
        </w:rPr>
        <w:t>The comment period for this notice expire</w:t>
      </w:r>
      <w:r w:rsidR="00FA6DE3" w:rsidRPr="007956DF">
        <w:rPr>
          <w:szCs w:val="24"/>
        </w:rPr>
        <w:t>d</w:t>
      </w:r>
      <w:r w:rsidR="00581025" w:rsidRPr="007956DF">
        <w:rPr>
          <w:szCs w:val="24"/>
        </w:rPr>
        <w:t xml:space="preserve"> on </w:t>
      </w:r>
      <w:r w:rsidRPr="007956DF">
        <w:rPr>
          <w:szCs w:val="24"/>
        </w:rPr>
        <w:t>September</w:t>
      </w:r>
      <w:r w:rsidR="001749FA" w:rsidRPr="007956DF">
        <w:rPr>
          <w:szCs w:val="24"/>
        </w:rPr>
        <w:t xml:space="preserve"> 30</w:t>
      </w:r>
      <w:r w:rsidR="00581025" w:rsidRPr="007956DF">
        <w:rPr>
          <w:szCs w:val="24"/>
        </w:rPr>
        <w:t>, 20</w:t>
      </w:r>
      <w:r w:rsidR="00E8295F" w:rsidRPr="007956DF">
        <w:rPr>
          <w:szCs w:val="24"/>
        </w:rPr>
        <w:t>11</w:t>
      </w:r>
      <w:r w:rsidR="00581025" w:rsidRPr="007956DF">
        <w:rPr>
          <w:szCs w:val="24"/>
        </w:rPr>
        <w:t>.</w:t>
      </w:r>
      <w:r w:rsidR="00313EDC">
        <w:rPr>
          <w:szCs w:val="24"/>
        </w:rPr>
        <w:t xml:space="preserve">  </w:t>
      </w:r>
      <w:r w:rsidR="00EF2ED0">
        <w:rPr>
          <w:snapToGrid/>
          <w:szCs w:val="24"/>
        </w:rPr>
        <w:t>No comments were received specifically</w:t>
      </w:r>
      <w:r w:rsidR="00B62805">
        <w:rPr>
          <w:snapToGrid/>
          <w:szCs w:val="24"/>
        </w:rPr>
        <w:t xml:space="preserve"> </w:t>
      </w:r>
      <w:r w:rsidR="00EF2ED0">
        <w:rPr>
          <w:snapToGrid/>
          <w:szCs w:val="24"/>
        </w:rPr>
        <w:t>addressing the paperwork burden estimates. One commenter, however, stated that it was</w:t>
      </w:r>
      <w:r w:rsidR="00B62805">
        <w:rPr>
          <w:snapToGrid/>
          <w:szCs w:val="24"/>
        </w:rPr>
        <w:t xml:space="preserve"> </w:t>
      </w:r>
      <w:r w:rsidR="00EF2ED0">
        <w:rPr>
          <w:snapToGrid/>
          <w:szCs w:val="24"/>
        </w:rPr>
        <w:t xml:space="preserve">difficult to determine whether the </w:t>
      </w:r>
      <w:r w:rsidR="00E17085">
        <w:rPr>
          <w:snapToGrid/>
          <w:szCs w:val="24"/>
        </w:rPr>
        <w:t>Federal Reserve</w:t>
      </w:r>
      <w:r w:rsidR="00EF2ED0">
        <w:rPr>
          <w:snapToGrid/>
          <w:szCs w:val="24"/>
        </w:rPr>
        <w:t>’s estimate of 40 hours to review an issuer’s policies and</w:t>
      </w:r>
      <w:r w:rsidR="00B62805">
        <w:rPr>
          <w:snapToGrid/>
          <w:szCs w:val="24"/>
        </w:rPr>
        <w:t xml:space="preserve"> </w:t>
      </w:r>
      <w:r w:rsidR="00EF2ED0">
        <w:rPr>
          <w:snapToGrid/>
          <w:szCs w:val="24"/>
        </w:rPr>
        <w:t>procedures was adequate in light of the fact that the compliance burden could increase in the future should the standards become more specific.</w:t>
      </w:r>
      <w:r w:rsidR="00ED47B3">
        <w:rPr>
          <w:snapToGrid/>
          <w:szCs w:val="24"/>
        </w:rPr>
        <w:t xml:space="preserve">  On August 3, 2012, the </w:t>
      </w:r>
      <w:r w:rsidR="00E17085">
        <w:rPr>
          <w:snapToGrid/>
          <w:szCs w:val="24"/>
        </w:rPr>
        <w:t>Federal Reserve</w:t>
      </w:r>
      <w:r w:rsidR="00ED47B3">
        <w:rPr>
          <w:snapToGrid/>
          <w:szCs w:val="24"/>
        </w:rPr>
        <w:t xml:space="preserve"> published a</w:t>
      </w:r>
      <w:r w:rsidR="00EE4F62">
        <w:rPr>
          <w:snapToGrid/>
          <w:szCs w:val="24"/>
        </w:rPr>
        <w:t>n</w:t>
      </w:r>
      <w:r w:rsidR="00ED47B3">
        <w:rPr>
          <w:snapToGrid/>
          <w:szCs w:val="24"/>
        </w:rPr>
        <w:t xml:space="preserve"> NFRM in the Federal Register (77 FR 46258), revising the IFRM provisions.  </w:t>
      </w:r>
      <w:r w:rsidR="00EF2ED0">
        <w:rPr>
          <w:snapToGrid/>
          <w:szCs w:val="24"/>
        </w:rPr>
        <w:t xml:space="preserve"> </w:t>
      </w:r>
    </w:p>
    <w:p w:rsidR="001F68BC" w:rsidRPr="007956DF" w:rsidRDefault="001F68BC" w:rsidP="00F2018F">
      <w:pPr>
        <w:rPr>
          <w:b/>
          <w:bCs/>
          <w:color w:val="000000"/>
          <w:szCs w:val="24"/>
        </w:rPr>
      </w:pPr>
    </w:p>
    <w:p w:rsidR="00DD6281" w:rsidRPr="007956DF" w:rsidRDefault="00DD6281" w:rsidP="00F2018F">
      <w:pPr>
        <w:rPr>
          <w:color w:val="000000"/>
          <w:szCs w:val="24"/>
        </w:rPr>
      </w:pPr>
      <w:r w:rsidRPr="007956DF">
        <w:rPr>
          <w:b/>
          <w:bCs/>
          <w:color w:val="000000"/>
          <w:szCs w:val="24"/>
        </w:rPr>
        <w:t>Estimate of Respondent Burden</w:t>
      </w:r>
    </w:p>
    <w:p w:rsidR="00DD6281" w:rsidRPr="007956DF" w:rsidRDefault="00DD6281" w:rsidP="00F2018F">
      <w:pPr>
        <w:rPr>
          <w:color w:val="000000"/>
          <w:szCs w:val="24"/>
        </w:rPr>
      </w:pPr>
    </w:p>
    <w:p w:rsidR="00A41B32" w:rsidRDefault="00DD6281" w:rsidP="006A7EB6">
      <w:pPr>
        <w:autoSpaceDE w:val="0"/>
        <w:autoSpaceDN w:val="0"/>
        <w:adjustRightInd w:val="0"/>
        <w:ind w:firstLine="720"/>
        <w:rPr>
          <w:szCs w:val="24"/>
        </w:rPr>
      </w:pPr>
      <w:r w:rsidRPr="007956DF">
        <w:rPr>
          <w:szCs w:val="24"/>
        </w:rPr>
        <w:t xml:space="preserve">The total annual burden for </w:t>
      </w:r>
      <w:r w:rsidR="00B97148" w:rsidRPr="007956DF">
        <w:rPr>
          <w:szCs w:val="24"/>
        </w:rPr>
        <w:t>Reg</w:t>
      </w:r>
      <w:r w:rsidR="00FC5FA8" w:rsidRPr="007956DF">
        <w:rPr>
          <w:szCs w:val="24"/>
        </w:rPr>
        <w:t> </w:t>
      </w:r>
      <w:r w:rsidR="006A7EB6" w:rsidRPr="007956DF">
        <w:rPr>
          <w:szCs w:val="24"/>
        </w:rPr>
        <w:t xml:space="preserve">II </w:t>
      </w:r>
      <w:r w:rsidR="00B4649C" w:rsidRPr="007956DF">
        <w:rPr>
          <w:szCs w:val="24"/>
        </w:rPr>
        <w:t xml:space="preserve">is </w:t>
      </w:r>
      <w:r w:rsidR="004A0B30" w:rsidRPr="007956DF">
        <w:rPr>
          <w:szCs w:val="24"/>
        </w:rPr>
        <w:t xml:space="preserve">estimated to be </w:t>
      </w:r>
      <w:r w:rsidR="00ED47B3">
        <w:rPr>
          <w:szCs w:val="24"/>
        </w:rPr>
        <w:t>113</w:t>
      </w:r>
      <w:r w:rsidR="006A7EB6" w:rsidRPr="007956DF">
        <w:rPr>
          <w:szCs w:val="24"/>
        </w:rPr>
        <w:t>,</w:t>
      </w:r>
      <w:r w:rsidR="00ED47B3">
        <w:rPr>
          <w:szCs w:val="24"/>
        </w:rPr>
        <w:t>364</w:t>
      </w:r>
      <w:r w:rsidRPr="007956DF">
        <w:rPr>
          <w:szCs w:val="24"/>
        </w:rPr>
        <w:t xml:space="preserve"> hours</w:t>
      </w:r>
      <w:r w:rsidR="00420CD7" w:rsidRPr="007956DF">
        <w:rPr>
          <w:szCs w:val="24"/>
        </w:rPr>
        <w:t>.</w:t>
      </w:r>
      <w:r w:rsidR="00ED47B3">
        <w:rPr>
          <w:szCs w:val="24"/>
        </w:rPr>
        <w:t xml:space="preserve">  </w:t>
      </w:r>
      <w:r w:rsidR="006A7EB6" w:rsidRPr="007956DF">
        <w:rPr>
          <w:snapToGrid/>
          <w:szCs w:val="24"/>
        </w:rPr>
        <w:t xml:space="preserve">The </w:t>
      </w:r>
      <w:r w:rsidR="00FA6DE3" w:rsidRPr="007956DF">
        <w:rPr>
          <w:snapToGrid/>
          <w:szCs w:val="24"/>
        </w:rPr>
        <w:t xml:space="preserve">Federal Reserve </w:t>
      </w:r>
      <w:r w:rsidR="006A7EB6" w:rsidRPr="007956DF">
        <w:rPr>
          <w:snapToGrid/>
          <w:szCs w:val="24"/>
        </w:rPr>
        <w:t xml:space="preserve">estimates that the </w:t>
      </w:r>
      <w:r w:rsidR="00ED47B3">
        <w:rPr>
          <w:snapToGrid/>
          <w:szCs w:val="24"/>
        </w:rPr>
        <w:t>564</w:t>
      </w:r>
      <w:r w:rsidR="006A7EB6" w:rsidRPr="007956DF">
        <w:rPr>
          <w:snapToGrid/>
          <w:szCs w:val="24"/>
        </w:rPr>
        <w:t xml:space="preserve"> issuers would take, on average, 160 hours (one month) to develop and implement policies and train staff to comply with the recordkeeping provisions under </w:t>
      </w:r>
      <w:r w:rsidR="00FA6DE3" w:rsidRPr="007956DF">
        <w:rPr>
          <w:snapToGrid/>
          <w:szCs w:val="24"/>
        </w:rPr>
        <w:t>section</w:t>
      </w:r>
      <w:r w:rsidR="006A7EB6" w:rsidRPr="007956DF">
        <w:rPr>
          <w:snapToGrid/>
          <w:szCs w:val="24"/>
        </w:rPr>
        <w:t xml:space="preserve"> 235.4.</w:t>
      </w:r>
      <w:r w:rsidR="00ED47B3">
        <w:rPr>
          <w:snapToGrid/>
          <w:szCs w:val="24"/>
        </w:rPr>
        <w:t xml:space="preserve">  </w:t>
      </w:r>
      <w:r w:rsidR="006A7EB6" w:rsidRPr="007956DF">
        <w:rPr>
          <w:snapToGrid/>
          <w:szCs w:val="24"/>
        </w:rPr>
        <w:t xml:space="preserve">This one-time PRA burden is estimated to be </w:t>
      </w:r>
      <w:r w:rsidR="00ED47B3">
        <w:rPr>
          <w:snapToGrid/>
          <w:szCs w:val="24"/>
        </w:rPr>
        <w:t>90</w:t>
      </w:r>
      <w:r w:rsidR="006A7EB6" w:rsidRPr="007956DF">
        <w:rPr>
          <w:snapToGrid/>
          <w:szCs w:val="24"/>
        </w:rPr>
        <w:t>,</w:t>
      </w:r>
      <w:r w:rsidR="00ED47B3">
        <w:rPr>
          <w:snapToGrid/>
          <w:szCs w:val="24"/>
        </w:rPr>
        <w:t>240</w:t>
      </w:r>
      <w:r w:rsidR="006A7EB6" w:rsidRPr="007956DF">
        <w:rPr>
          <w:snapToGrid/>
          <w:szCs w:val="24"/>
        </w:rPr>
        <w:t xml:space="preserve"> hours.</w:t>
      </w:r>
      <w:r w:rsidR="00ED47B3">
        <w:rPr>
          <w:snapToGrid/>
          <w:szCs w:val="24"/>
        </w:rPr>
        <w:t xml:space="preserve">  </w:t>
      </w:r>
      <w:r w:rsidR="006A7EB6" w:rsidRPr="007956DF">
        <w:rPr>
          <w:snapToGrid/>
          <w:szCs w:val="24"/>
        </w:rPr>
        <w:t xml:space="preserve">On a continuing basis, the </w:t>
      </w:r>
      <w:r w:rsidR="00FA6DE3" w:rsidRPr="007956DF">
        <w:rPr>
          <w:snapToGrid/>
          <w:szCs w:val="24"/>
        </w:rPr>
        <w:t xml:space="preserve">Federal Reserve </w:t>
      </w:r>
      <w:r w:rsidR="006A7EB6" w:rsidRPr="007956DF">
        <w:rPr>
          <w:snapToGrid/>
          <w:szCs w:val="24"/>
        </w:rPr>
        <w:t xml:space="preserve">estimates issuers would take, on average, 40 hours (one business week) annually to review its fraud prevention policies and procedures, updating them as necessary, and estimates the annual PRA burden to be </w:t>
      </w:r>
      <w:r w:rsidR="00ED47B3">
        <w:rPr>
          <w:snapToGrid/>
          <w:szCs w:val="24"/>
        </w:rPr>
        <w:t>22</w:t>
      </w:r>
      <w:r w:rsidR="006A7EB6" w:rsidRPr="007956DF">
        <w:rPr>
          <w:snapToGrid/>
          <w:szCs w:val="24"/>
        </w:rPr>
        <w:t>,</w:t>
      </w:r>
      <w:r w:rsidR="00ED47B3">
        <w:rPr>
          <w:snapToGrid/>
          <w:szCs w:val="24"/>
        </w:rPr>
        <w:t>560</w:t>
      </w:r>
      <w:r w:rsidR="006A7EB6" w:rsidRPr="007956DF">
        <w:rPr>
          <w:snapToGrid/>
          <w:szCs w:val="24"/>
        </w:rPr>
        <w:t xml:space="preserve"> hours.</w:t>
      </w:r>
      <w:r w:rsidR="00ED47B3">
        <w:rPr>
          <w:snapToGrid/>
          <w:szCs w:val="24"/>
        </w:rPr>
        <w:t xml:space="preserve">  </w:t>
      </w:r>
      <w:r w:rsidR="006A7EB6" w:rsidRPr="007956DF">
        <w:rPr>
          <w:snapToGrid/>
          <w:szCs w:val="24"/>
        </w:rPr>
        <w:t xml:space="preserve">The </w:t>
      </w:r>
      <w:r w:rsidR="00ED47B3" w:rsidRPr="007956DF">
        <w:rPr>
          <w:snapToGrid/>
          <w:szCs w:val="24"/>
        </w:rPr>
        <w:t xml:space="preserve">Federal Reserve </w:t>
      </w:r>
      <w:r w:rsidR="006A7EB6" w:rsidRPr="007956DF">
        <w:rPr>
          <w:snapToGrid/>
          <w:szCs w:val="24"/>
        </w:rPr>
        <w:t xml:space="preserve">estimates </w:t>
      </w:r>
      <w:r w:rsidR="00ED47B3">
        <w:rPr>
          <w:snapToGrid/>
          <w:szCs w:val="24"/>
        </w:rPr>
        <w:t>564</w:t>
      </w:r>
      <w:r w:rsidR="006A7EB6" w:rsidRPr="007956DF">
        <w:rPr>
          <w:snapToGrid/>
          <w:szCs w:val="24"/>
        </w:rPr>
        <w:t xml:space="preserve"> issuers would take, on average, </w:t>
      </w:r>
      <w:r w:rsidR="00ED47B3">
        <w:rPr>
          <w:snapToGrid/>
          <w:szCs w:val="24"/>
        </w:rPr>
        <w:t>30</w:t>
      </w:r>
      <w:r w:rsidR="006A7EB6" w:rsidRPr="007956DF">
        <w:rPr>
          <w:snapToGrid/>
          <w:szCs w:val="24"/>
        </w:rPr>
        <w:t xml:space="preserve"> minutes to comply with the </w:t>
      </w:r>
      <w:r w:rsidR="00FA6DE3" w:rsidRPr="007956DF">
        <w:rPr>
          <w:snapToGrid/>
          <w:szCs w:val="24"/>
        </w:rPr>
        <w:t xml:space="preserve">annual </w:t>
      </w:r>
      <w:r w:rsidR="00ED47B3">
        <w:rPr>
          <w:snapToGrid/>
          <w:szCs w:val="24"/>
        </w:rPr>
        <w:t xml:space="preserve">notification </w:t>
      </w:r>
      <w:r w:rsidR="006A7EB6" w:rsidRPr="007956DF">
        <w:rPr>
          <w:snapToGrid/>
          <w:szCs w:val="24"/>
        </w:rPr>
        <w:t xml:space="preserve">provision under </w:t>
      </w:r>
      <w:r w:rsidR="00FA6DE3" w:rsidRPr="007956DF">
        <w:rPr>
          <w:snapToGrid/>
          <w:szCs w:val="24"/>
        </w:rPr>
        <w:t>section</w:t>
      </w:r>
      <w:r w:rsidR="006A7EB6" w:rsidRPr="007956DF">
        <w:rPr>
          <w:snapToGrid/>
          <w:szCs w:val="24"/>
        </w:rPr>
        <w:t xml:space="preserve"> 235.4(c)</w:t>
      </w:r>
      <w:r w:rsidR="001E1127">
        <w:rPr>
          <w:snapToGrid/>
          <w:szCs w:val="24"/>
        </w:rPr>
        <w:t>;</w:t>
      </w:r>
      <w:r w:rsidR="006A7EB6" w:rsidRPr="007956DF">
        <w:rPr>
          <w:snapToGrid/>
          <w:szCs w:val="24"/>
        </w:rPr>
        <w:t xml:space="preserve"> and</w:t>
      </w:r>
      <w:r w:rsidR="00ED47B3">
        <w:rPr>
          <w:snapToGrid/>
          <w:szCs w:val="24"/>
        </w:rPr>
        <w:t xml:space="preserve"> 30</w:t>
      </w:r>
      <w:r w:rsidR="00ED47B3" w:rsidRPr="007956DF">
        <w:rPr>
          <w:snapToGrid/>
          <w:szCs w:val="24"/>
        </w:rPr>
        <w:t xml:space="preserve"> minutes to comply with the </w:t>
      </w:r>
      <w:r w:rsidR="00ED47B3">
        <w:rPr>
          <w:snapToGrid/>
          <w:szCs w:val="24"/>
        </w:rPr>
        <w:t>change in status</w:t>
      </w:r>
      <w:r w:rsidR="00ED47B3" w:rsidRPr="007956DF">
        <w:rPr>
          <w:snapToGrid/>
          <w:szCs w:val="24"/>
        </w:rPr>
        <w:t xml:space="preserve"> </w:t>
      </w:r>
      <w:r w:rsidR="00ED47B3">
        <w:rPr>
          <w:snapToGrid/>
          <w:szCs w:val="24"/>
        </w:rPr>
        <w:t xml:space="preserve">notification </w:t>
      </w:r>
      <w:r w:rsidR="00ED47B3" w:rsidRPr="007956DF">
        <w:rPr>
          <w:snapToGrid/>
          <w:szCs w:val="24"/>
        </w:rPr>
        <w:t>provision under section 235.4(</w:t>
      </w:r>
      <w:r w:rsidR="00ED47B3">
        <w:rPr>
          <w:snapToGrid/>
          <w:szCs w:val="24"/>
        </w:rPr>
        <w:t>d</w:t>
      </w:r>
      <w:r w:rsidR="001E1127" w:rsidRPr="007956DF">
        <w:rPr>
          <w:snapToGrid/>
          <w:szCs w:val="24"/>
        </w:rPr>
        <w:t>)</w:t>
      </w:r>
      <w:r w:rsidR="001E1127">
        <w:rPr>
          <w:snapToGrid/>
          <w:szCs w:val="24"/>
        </w:rPr>
        <w:t>;</w:t>
      </w:r>
      <w:r w:rsidR="001E1127" w:rsidRPr="007956DF">
        <w:rPr>
          <w:snapToGrid/>
          <w:szCs w:val="24"/>
        </w:rPr>
        <w:t xml:space="preserve"> and</w:t>
      </w:r>
      <w:r w:rsidR="00ED47B3">
        <w:rPr>
          <w:snapToGrid/>
          <w:szCs w:val="24"/>
        </w:rPr>
        <w:t xml:space="preserve"> </w:t>
      </w:r>
      <w:r w:rsidR="006A7EB6" w:rsidRPr="007956DF">
        <w:rPr>
          <w:snapToGrid/>
          <w:szCs w:val="24"/>
        </w:rPr>
        <w:t xml:space="preserve">estimates the annual reporting burden to be </w:t>
      </w:r>
      <w:r w:rsidR="000351CF">
        <w:rPr>
          <w:snapToGrid/>
          <w:szCs w:val="24"/>
        </w:rPr>
        <w:t>564</w:t>
      </w:r>
      <w:r w:rsidR="006A7EB6" w:rsidRPr="007956DF">
        <w:rPr>
          <w:snapToGrid/>
          <w:szCs w:val="24"/>
        </w:rPr>
        <w:t xml:space="preserve"> hours.  </w:t>
      </w:r>
      <w:r w:rsidRPr="007956DF">
        <w:rPr>
          <w:szCs w:val="24"/>
        </w:rPr>
        <w:t>Th</w:t>
      </w:r>
      <w:r w:rsidR="002774F4" w:rsidRPr="007956DF">
        <w:rPr>
          <w:szCs w:val="24"/>
        </w:rPr>
        <w:t>e</w:t>
      </w:r>
      <w:r w:rsidR="00234F36" w:rsidRPr="007956DF">
        <w:rPr>
          <w:szCs w:val="24"/>
        </w:rPr>
        <w:t xml:space="preserve"> Reg</w:t>
      </w:r>
      <w:r w:rsidR="00FC5FA8" w:rsidRPr="007956DF">
        <w:rPr>
          <w:szCs w:val="24"/>
        </w:rPr>
        <w:t> </w:t>
      </w:r>
      <w:r w:rsidR="006A7EB6" w:rsidRPr="007956DF">
        <w:rPr>
          <w:szCs w:val="24"/>
        </w:rPr>
        <w:t xml:space="preserve">II recordkeeping and </w:t>
      </w:r>
      <w:r w:rsidR="000351CF">
        <w:rPr>
          <w:szCs w:val="24"/>
        </w:rPr>
        <w:t>disclosure</w:t>
      </w:r>
      <w:r w:rsidR="002774F4" w:rsidRPr="007956DF">
        <w:rPr>
          <w:szCs w:val="24"/>
        </w:rPr>
        <w:t xml:space="preserve"> requirements</w:t>
      </w:r>
      <w:r w:rsidR="006A7EB6" w:rsidRPr="007956DF">
        <w:rPr>
          <w:szCs w:val="24"/>
        </w:rPr>
        <w:t xml:space="preserve"> </w:t>
      </w:r>
      <w:r w:rsidRPr="007956DF">
        <w:rPr>
          <w:szCs w:val="24"/>
        </w:rPr>
        <w:t>represent less than 1 percent of the total Federal Reserve System paperwork burden.</w:t>
      </w:r>
    </w:p>
    <w:p w:rsidR="00A41B32" w:rsidRDefault="00A41B32">
      <w:pPr>
        <w:rPr>
          <w:szCs w:val="24"/>
        </w:rPr>
      </w:pPr>
      <w:r>
        <w:rPr>
          <w:szCs w:val="24"/>
        </w:rPr>
        <w:br w:type="page"/>
      </w:r>
    </w:p>
    <w:p w:rsidR="00DD6281" w:rsidRPr="007956DF" w:rsidRDefault="00DD6281" w:rsidP="006A7EB6">
      <w:pPr>
        <w:autoSpaceDE w:val="0"/>
        <w:autoSpaceDN w:val="0"/>
        <w:adjustRightInd w:val="0"/>
        <w:ind w:firstLine="720"/>
        <w:rPr>
          <w:color w:val="000000"/>
          <w:szCs w:val="24"/>
        </w:rPr>
      </w:pPr>
    </w:p>
    <w:p w:rsidR="00DD6281" w:rsidRPr="007956DF" w:rsidRDefault="00DD6281" w:rsidP="00F2018F">
      <w:pPr>
        <w:rPr>
          <w:color w:val="000000"/>
          <w:szCs w:val="24"/>
        </w:rPr>
      </w:pPr>
    </w:p>
    <w:tbl>
      <w:tblPr>
        <w:tblW w:w="9360" w:type="dxa"/>
        <w:tblInd w:w="139" w:type="dxa"/>
        <w:tblBorders>
          <w:top w:val="single" w:sz="4" w:space="0" w:color="auto"/>
          <w:bottom w:val="single" w:sz="4" w:space="0" w:color="auto"/>
        </w:tblBorders>
        <w:tblLayout w:type="fixed"/>
        <w:tblCellMar>
          <w:left w:w="139" w:type="dxa"/>
          <w:right w:w="139" w:type="dxa"/>
        </w:tblCellMar>
        <w:tblLook w:val="0000"/>
      </w:tblPr>
      <w:tblGrid>
        <w:gridCol w:w="3600"/>
        <w:gridCol w:w="1530"/>
        <w:gridCol w:w="1305"/>
        <w:gridCol w:w="1462"/>
        <w:gridCol w:w="1463"/>
      </w:tblGrid>
      <w:tr w:rsidR="00B6405D" w:rsidRPr="007956DF" w:rsidTr="00DF45F3">
        <w:trPr>
          <w:cantSplit/>
          <w:trHeight w:val="840"/>
        </w:trPr>
        <w:tc>
          <w:tcPr>
            <w:tcW w:w="3600" w:type="dxa"/>
            <w:vAlign w:val="center"/>
          </w:tcPr>
          <w:p w:rsidR="00DD6281" w:rsidRPr="007956DF" w:rsidRDefault="00DF45F3" w:rsidP="00DF45F3">
            <w:pPr>
              <w:tabs>
                <w:tab w:val="left" w:pos="-1440"/>
                <w:tab w:val="left" w:pos="-720"/>
                <w:tab w:val="left" w:pos="0"/>
                <w:tab w:val="left" w:pos="240"/>
                <w:tab w:val="left" w:pos="720"/>
                <w:tab w:val="left" w:pos="1440"/>
                <w:tab w:val="left" w:pos="2160"/>
                <w:tab w:val="left" w:pos="2880"/>
              </w:tabs>
              <w:spacing w:before="163" w:after="19"/>
              <w:rPr>
                <w:szCs w:val="24"/>
              </w:rPr>
            </w:pPr>
            <w:r w:rsidRPr="007956DF">
              <w:rPr>
                <w:b/>
                <w:bCs/>
                <w:color w:val="000000"/>
                <w:szCs w:val="24"/>
              </w:rPr>
              <w:t>Fraud Prevention</w:t>
            </w:r>
          </w:p>
        </w:tc>
        <w:tc>
          <w:tcPr>
            <w:tcW w:w="1530" w:type="dxa"/>
            <w:vAlign w:val="center"/>
          </w:tcPr>
          <w:p w:rsidR="00B6405D" w:rsidRPr="007956DF" w:rsidRDefault="00B6405D" w:rsidP="00B6405D">
            <w:pPr>
              <w:tabs>
                <w:tab w:val="left" w:pos="-1440"/>
                <w:tab w:val="left" w:pos="-720"/>
                <w:tab w:val="left" w:pos="0"/>
                <w:tab w:val="left" w:pos="240"/>
                <w:tab w:val="left" w:pos="720"/>
              </w:tabs>
              <w:contextualSpacing/>
              <w:jc w:val="center"/>
              <w:rPr>
                <w:i/>
                <w:iCs/>
                <w:color w:val="000000"/>
                <w:szCs w:val="24"/>
              </w:rPr>
            </w:pPr>
            <w:r w:rsidRPr="007956DF">
              <w:rPr>
                <w:i/>
                <w:iCs/>
                <w:color w:val="000000"/>
                <w:szCs w:val="24"/>
              </w:rPr>
              <w:t>Estimated</w:t>
            </w:r>
          </w:p>
          <w:p w:rsidR="00BA1740" w:rsidRPr="007956DF" w:rsidRDefault="00B6405D" w:rsidP="00B6405D">
            <w:pPr>
              <w:tabs>
                <w:tab w:val="left" w:pos="-1440"/>
                <w:tab w:val="left" w:pos="-720"/>
                <w:tab w:val="left" w:pos="0"/>
                <w:tab w:val="left" w:pos="240"/>
                <w:tab w:val="left" w:pos="720"/>
                <w:tab w:val="left" w:pos="1440"/>
              </w:tabs>
              <w:contextualSpacing/>
              <w:jc w:val="center"/>
              <w:rPr>
                <w:i/>
                <w:iCs/>
                <w:color w:val="000000"/>
                <w:szCs w:val="24"/>
              </w:rPr>
            </w:pPr>
            <w:r w:rsidRPr="007956DF">
              <w:rPr>
                <w:i/>
                <w:iCs/>
                <w:color w:val="000000"/>
                <w:szCs w:val="24"/>
              </w:rPr>
              <w:t>n</w:t>
            </w:r>
            <w:r w:rsidR="00BA1740" w:rsidRPr="007956DF">
              <w:rPr>
                <w:i/>
                <w:iCs/>
                <w:color w:val="000000"/>
                <w:szCs w:val="24"/>
              </w:rPr>
              <w:t>umber</w:t>
            </w:r>
          </w:p>
          <w:p w:rsidR="00BA1740" w:rsidRPr="007956DF" w:rsidRDefault="00BA1740" w:rsidP="00B6405D">
            <w:pPr>
              <w:tabs>
                <w:tab w:val="left" w:pos="-1440"/>
                <w:tab w:val="left" w:pos="-720"/>
                <w:tab w:val="left" w:pos="0"/>
                <w:tab w:val="left" w:pos="240"/>
                <w:tab w:val="left" w:pos="720"/>
                <w:tab w:val="left" w:pos="1440"/>
              </w:tabs>
              <w:contextualSpacing/>
              <w:jc w:val="center"/>
              <w:rPr>
                <w:i/>
                <w:iCs/>
                <w:color w:val="000000"/>
                <w:szCs w:val="24"/>
              </w:rPr>
            </w:pPr>
            <w:r w:rsidRPr="007956DF">
              <w:rPr>
                <w:i/>
                <w:iCs/>
                <w:color w:val="000000"/>
                <w:szCs w:val="24"/>
              </w:rPr>
              <w:t>of</w:t>
            </w:r>
          </w:p>
          <w:p w:rsidR="00DD6281" w:rsidRPr="007956DF" w:rsidRDefault="00BA1740" w:rsidP="00B6405D">
            <w:pPr>
              <w:tabs>
                <w:tab w:val="left" w:pos="-1440"/>
                <w:tab w:val="left" w:pos="-720"/>
                <w:tab w:val="left" w:pos="0"/>
                <w:tab w:val="left" w:pos="240"/>
                <w:tab w:val="left" w:pos="720"/>
                <w:tab w:val="left" w:pos="1440"/>
              </w:tabs>
              <w:jc w:val="center"/>
              <w:rPr>
                <w:szCs w:val="24"/>
              </w:rPr>
            </w:pPr>
            <w:r w:rsidRPr="007956DF">
              <w:rPr>
                <w:i/>
                <w:iCs/>
                <w:color w:val="000000"/>
                <w:szCs w:val="24"/>
              </w:rPr>
              <w:t>respondents</w:t>
            </w:r>
            <w:r w:rsidR="00AD64BE" w:rsidRPr="007956DF">
              <w:rPr>
                <w:rStyle w:val="FootnoteReference"/>
                <w:i/>
                <w:iCs/>
                <w:color w:val="000000"/>
                <w:szCs w:val="24"/>
              </w:rPr>
              <w:footnoteReference w:id="7"/>
            </w:r>
          </w:p>
        </w:tc>
        <w:tc>
          <w:tcPr>
            <w:tcW w:w="1305" w:type="dxa"/>
            <w:vAlign w:val="center"/>
          </w:tcPr>
          <w:p w:rsidR="00BA1740" w:rsidRPr="007956DF" w:rsidRDefault="00BA1740" w:rsidP="00B6405D">
            <w:pPr>
              <w:tabs>
                <w:tab w:val="left" w:pos="-1440"/>
                <w:tab w:val="left" w:pos="-720"/>
                <w:tab w:val="left" w:pos="0"/>
                <w:tab w:val="left" w:pos="240"/>
                <w:tab w:val="left" w:pos="720"/>
              </w:tabs>
              <w:contextualSpacing/>
              <w:jc w:val="center"/>
              <w:rPr>
                <w:i/>
                <w:iCs/>
                <w:color w:val="000000"/>
                <w:szCs w:val="24"/>
              </w:rPr>
            </w:pPr>
            <w:r w:rsidRPr="007956DF">
              <w:rPr>
                <w:i/>
                <w:iCs/>
                <w:color w:val="000000"/>
                <w:szCs w:val="24"/>
              </w:rPr>
              <w:t>Estimated</w:t>
            </w:r>
          </w:p>
          <w:p w:rsidR="00BA1740" w:rsidRPr="007956DF" w:rsidRDefault="00BA1740" w:rsidP="00B6405D">
            <w:pPr>
              <w:tabs>
                <w:tab w:val="left" w:pos="-1440"/>
                <w:tab w:val="left" w:pos="-720"/>
                <w:tab w:val="left" w:pos="0"/>
                <w:tab w:val="left" w:pos="240"/>
                <w:tab w:val="left" w:pos="720"/>
              </w:tabs>
              <w:contextualSpacing/>
              <w:jc w:val="center"/>
              <w:rPr>
                <w:i/>
                <w:iCs/>
                <w:color w:val="000000"/>
                <w:szCs w:val="24"/>
              </w:rPr>
            </w:pPr>
            <w:r w:rsidRPr="007956DF">
              <w:rPr>
                <w:i/>
                <w:iCs/>
                <w:color w:val="000000"/>
                <w:szCs w:val="24"/>
              </w:rPr>
              <w:t>annual</w:t>
            </w:r>
          </w:p>
          <w:p w:rsidR="00DD6281" w:rsidRPr="007956DF" w:rsidRDefault="00BA1740" w:rsidP="00B6405D">
            <w:pPr>
              <w:tabs>
                <w:tab w:val="left" w:pos="-1440"/>
                <w:tab w:val="left" w:pos="-720"/>
                <w:tab w:val="left" w:pos="0"/>
                <w:tab w:val="left" w:pos="240"/>
                <w:tab w:val="left" w:pos="720"/>
              </w:tabs>
              <w:contextualSpacing/>
              <w:jc w:val="center"/>
              <w:rPr>
                <w:szCs w:val="24"/>
              </w:rPr>
            </w:pPr>
            <w:r w:rsidRPr="007956DF">
              <w:rPr>
                <w:i/>
                <w:iCs/>
                <w:color w:val="000000"/>
                <w:szCs w:val="24"/>
              </w:rPr>
              <w:t>frequency</w:t>
            </w:r>
          </w:p>
        </w:tc>
        <w:tc>
          <w:tcPr>
            <w:tcW w:w="1462" w:type="dxa"/>
            <w:vAlign w:val="center"/>
          </w:tcPr>
          <w:p w:rsidR="00BA1740" w:rsidRPr="007956DF" w:rsidRDefault="00BA1740" w:rsidP="00B6405D">
            <w:pPr>
              <w:tabs>
                <w:tab w:val="left" w:pos="-1440"/>
                <w:tab w:val="left" w:pos="-720"/>
                <w:tab w:val="left" w:pos="0"/>
                <w:tab w:val="left" w:pos="240"/>
                <w:tab w:val="left" w:pos="720"/>
              </w:tabs>
              <w:contextualSpacing/>
              <w:jc w:val="center"/>
              <w:rPr>
                <w:i/>
                <w:iCs/>
                <w:color w:val="000000"/>
                <w:szCs w:val="24"/>
              </w:rPr>
            </w:pPr>
            <w:r w:rsidRPr="007956DF">
              <w:rPr>
                <w:i/>
                <w:iCs/>
                <w:color w:val="000000"/>
                <w:szCs w:val="24"/>
              </w:rPr>
              <w:t>Estimated</w:t>
            </w:r>
          </w:p>
          <w:p w:rsidR="00BA1740" w:rsidRPr="007956DF" w:rsidRDefault="00BA1740" w:rsidP="00B6405D">
            <w:pPr>
              <w:tabs>
                <w:tab w:val="left" w:pos="-1440"/>
                <w:tab w:val="left" w:pos="-720"/>
                <w:tab w:val="left" w:pos="0"/>
                <w:tab w:val="left" w:pos="240"/>
                <w:tab w:val="left" w:pos="720"/>
              </w:tabs>
              <w:contextualSpacing/>
              <w:jc w:val="center"/>
              <w:rPr>
                <w:i/>
                <w:iCs/>
                <w:color w:val="000000"/>
                <w:szCs w:val="24"/>
              </w:rPr>
            </w:pPr>
            <w:r w:rsidRPr="007956DF">
              <w:rPr>
                <w:i/>
                <w:iCs/>
                <w:color w:val="000000"/>
                <w:szCs w:val="24"/>
              </w:rPr>
              <w:t xml:space="preserve">average </w:t>
            </w:r>
            <w:r w:rsidR="00B6405D" w:rsidRPr="007956DF">
              <w:rPr>
                <w:i/>
                <w:iCs/>
                <w:color w:val="000000"/>
                <w:szCs w:val="24"/>
              </w:rPr>
              <w:t>time</w:t>
            </w:r>
          </w:p>
          <w:p w:rsidR="00DD6281" w:rsidRPr="007956DF" w:rsidRDefault="00BA1740" w:rsidP="00B6405D">
            <w:pPr>
              <w:tabs>
                <w:tab w:val="left" w:pos="-1440"/>
                <w:tab w:val="left" w:pos="-720"/>
                <w:tab w:val="left" w:pos="0"/>
                <w:tab w:val="left" w:pos="240"/>
                <w:tab w:val="left" w:pos="720"/>
              </w:tabs>
              <w:contextualSpacing/>
              <w:jc w:val="center"/>
              <w:rPr>
                <w:szCs w:val="24"/>
              </w:rPr>
            </w:pPr>
            <w:r w:rsidRPr="007956DF">
              <w:rPr>
                <w:i/>
                <w:iCs/>
                <w:color w:val="000000"/>
                <w:szCs w:val="24"/>
              </w:rPr>
              <w:t>per response</w:t>
            </w:r>
          </w:p>
        </w:tc>
        <w:tc>
          <w:tcPr>
            <w:tcW w:w="1463" w:type="dxa"/>
            <w:vAlign w:val="center"/>
          </w:tcPr>
          <w:p w:rsidR="00BA1740" w:rsidRPr="007956DF" w:rsidRDefault="00BA1740" w:rsidP="00B6405D">
            <w:pPr>
              <w:tabs>
                <w:tab w:val="left" w:pos="-1440"/>
                <w:tab w:val="left" w:pos="-720"/>
                <w:tab w:val="left" w:pos="0"/>
                <w:tab w:val="left" w:pos="240"/>
                <w:tab w:val="left" w:pos="720"/>
                <w:tab w:val="left" w:pos="1440"/>
              </w:tabs>
              <w:contextualSpacing/>
              <w:jc w:val="center"/>
              <w:rPr>
                <w:i/>
                <w:iCs/>
                <w:color w:val="000000"/>
                <w:szCs w:val="24"/>
              </w:rPr>
            </w:pPr>
            <w:r w:rsidRPr="007956DF">
              <w:rPr>
                <w:i/>
                <w:iCs/>
                <w:color w:val="000000"/>
                <w:szCs w:val="24"/>
              </w:rPr>
              <w:t>Estimated</w:t>
            </w:r>
          </w:p>
          <w:p w:rsidR="00BA1740" w:rsidRPr="007956DF" w:rsidRDefault="00BA1740" w:rsidP="00B6405D">
            <w:pPr>
              <w:tabs>
                <w:tab w:val="left" w:pos="-1440"/>
                <w:tab w:val="left" w:pos="-720"/>
                <w:tab w:val="left" w:pos="0"/>
                <w:tab w:val="left" w:pos="240"/>
                <w:tab w:val="left" w:pos="720"/>
                <w:tab w:val="left" w:pos="1440"/>
              </w:tabs>
              <w:contextualSpacing/>
              <w:jc w:val="center"/>
              <w:rPr>
                <w:i/>
                <w:iCs/>
                <w:color w:val="000000"/>
                <w:szCs w:val="24"/>
              </w:rPr>
            </w:pPr>
            <w:r w:rsidRPr="007956DF">
              <w:rPr>
                <w:i/>
                <w:iCs/>
                <w:color w:val="000000"/>
                <w:szCs w:val="24"/>
              </w:rPr>
              <w:t>annual burden</w:t>
            </w:r>
          </w:p>
          <w:p w:rsidR="00DD6281" w:rsidRPr="007956DF" w:rsidRDefault="00BA1740" w:rsidP="00B6405D">
            <w:pPr>
              <w:tabs>
                <w:tab w:val="left" w:pos="-1440"/>
                <w:tab w:val="left" w:pos="-720"/>
                <w:tab w:val="left" w:pos="0"/>
                <w:tab w:val="left" w:pos="240"/>
                <w:tab w:val="left" w:pos="720"/>
                <w:tab w:val="left" w:pos="1440"/>
              </w:tabs>
              <w:contextualSpacing/>
              <w:jc w:val="center"/>
              <w:rPr>
                <w:szCs w:val="24"/>
              </w:rPr>
            </w:pPr>
            <w:r w:rsidRPr="007956DF">
              <w:rPr>
                <w:i/>
                <w:iCs/>
                <w:color w:val="000000"/>
                <w:szCs w:val="24"/>
              </w:rPr>
              <w:t>hours</w:t>
            </w:r>
          </w:p>
        </w:tc>
      </w:tr>
      <w:tr w:rsidR="00B6405D" w:rsidRPr="007956DF" w:rsidTr="00B6405D">
        <w:trPr>
          <w:cantSplit/>
          <w:trHeight w:val="734"/>
        </w:trPr>
        <w:tc>
          <w:tcPr>
            <w:tcW w:w="3600" w:type="dxa"/>
            <w:vAlign w:val="bottom"/>
          </w:tcPr>
          <w:p w:rsidR="00B6405D" w:rsidRPr="007956DF" w:rsidRDefault="00B6405D" w:rsidP="00B6405D">
            <w:pPr>
              <w:tabs>
                <w:tab w:val="left" w:pos="-1440"/>
                <w:tab w:val="left" w:pos="-720"/>
                <w:tab w:val="left" w:pos="0"/>
                <w:tab w:val="left" w:pos="240"/>
                <w:tab w:val="left" w:pos="720"/>
                <w:tab w:val="left" w:pos="1440"/>
                <w:tab w:val="left" w:pos="2160"/>
                <w:tab w:val="left" w:pos="2880"/>
              </w:tabs>
              <w:rPr>
                <w:bCs/>
                <w:snapToGrid/>
                <w:szCs w:val="24"/>
              </w:rPr>
            </w:pPr>
            <w:r w:rsidRPr="00EA5FC5">
              <w:rPr>
                <w:bCs/>
                <w:snapToGrid/>
                <w:szCs w:val="24"/>
              </w:rPr>
              <w:t>Implement</w:t>
            </w:r>
            <w:r w:rsidRPr="007956DF">
              <w:rPr>
                <w:bCs/>
                <w:snapToGrid/>
                <w:szCs w:val="24"/>
              </w:rPr>
              <w:t xml:space="preserve"> policies &amp; procedures </w:t>
            </w:r>
          </w:p>
          <w:p w:rsidR="00DD6281" w:rsidRPr="007956DF" w:rsidRDefault="00B6405D" w:rsidP="00495895">
            <w:pPr>
              <w:tabs>
                <w:tab w:val="left" w:pos="-1440"/>
                <w:tab w:val="left" w:pos="-720"/>
                <w:tab w:val="left" w:pos="0"/>
                <w:tab w:val="left" w:pos="240"/>
                <w:tab w:val="left" w:pos="720"/>
                <w:tab w:val="left" w:pos="1440"/>
                <w:tab w:val="left" w:pos="2160"/>
                <w:tab w:val="left" w:pos="2880"/>
              </w:tabs>
              <w:rPr>
                <w:b/>
                <w:szCs w:val="24"/>
              </w:rPr>
            </w:pPr>
            <w:r w:rsidRPr="007956DF">
              <w:rPr>
                <w:b/>
                <w:snapToGrid/>
                <w:szCs w:val="24"/>
              </w:rPr>
              <w:t>(</w:t>
            </w:r>
            <w:r w:rsidR="00FA6DE3" w:rsidRPr="007956DF">
              <w:rPr>
                <w:b/>
                <w:snapToGrid/>
                <w:szCs w:val="24"/>
              </w:rPr>
              <w:t>s</w:t>
            </w:r>
            <w:r w:rsidRPr="007956DF">
              <w:rPr>
                <w:b/>
                <w:snapToGrid/>
                <w:szCs w:val="24"/>
              </w:rPr>
              <w:t>ection 235.4(b)(</w:t>
            </w:r>
            <w:r w:rsidR="00495895">
              <w:rPr>
                <w:b/>
                <w:snapToGrid/>
                <w:szCs w:val="24"/>
              </w:rPr>
              <w:t>2</w:t>
            </w:r>
            <w:r w:rsidRPr="007956DF">
              <w:rPr>
                <w:b/>
                <w:snapToGrid/>
                <w:szCs w:val="24"/>
              </w:rPr>
              <w:t>))</w:t>
            </w:r>
            <w:r w:rsidR="00DF45F3" w:rsidRPr="007956DF">
              <w:rPr>
                <w:b/>
                <w:snapToGrid/>
                <w:szCs w:val="24"/>
              </w:rPr>
              <w:t xml:space="preserve"> </w:t>
            </w:r>
            <w:r w:rsidR="00DF45F3" w:rsidRPr="007956DF">
              <w:rPr>
                <w:i/>
                <w:snapToGrid/>
                <w:szCs w:val="24"/>
              </w:rPr>
              <w:t>(one-time)</w:t>
            </w:r>
          </w:p>
        </w:tc>
        <w:tc>
          <w:tcPr>
            <w:tcW w:w="1530" w:type="dxa"/>
            <w:vAlign w:val="bottom"/>
          </w:tcPr>
          <w:p w:rsidR="00DD6281" w:rsidRPr="007956DF" w:rsidRDefault="00EA5FC5" w:rsidP="00B6405D">
            <w:pPr>
              <w:tabs>
                <w:tab w:val="left" w:pos="-1440"/>
                <w:tab w:val="left" w:pos="-720"/>
                <w:tab w:val="left" w:pos="0"/>
                <w:tab w:val="left" w:pos="240"/>
                <w:tab w:val="left" w:pos="720"/>
                <w:tab w:val="left" w:pos="1440"/>
              </w:tabs>
              <w:spacing w:before="163" w:after="19"/>
              <w:jc w:val="center"/>
              <w:rPr>
                <w:szCs w:val="24"/>
              </w:rPr>
            </w:pPr>
            <w:r>
              <w:rPr>
                <w:szCs w:val="24"/>
              </w:rPr>
              <w:t>564</w:t>
            </w:r>
          </w:p>
        </w:tc>
        <w:tc>
          <w:tcPr>
            <w:tcW w:w="1305" w:type="dxa"/>
            <w:vAlign w:val="bottom"/>
          </w:tcPr>
          <w:p w:rsidR="00DD6281" w:rsidRPr="007956DF" w:rsidRDefault="003A6E44" w:rsidP="00B6405D">
            <w:pPr>
              <w:tabs>
                <w:tab w:val="left" w:pos="-1440"/>
                <w:tab w:val="left" w:pos="-720"/>
                <w:tab w:val="left" w:pos="0"/>
                <w:tab w:val="left" w:pos="240"/>
                <w:tab w:val="left" w:pos="720"/>
              </w:tabs>
              <w:spacing w:before="163" w:after="19"/>
              <w:jc w:val="center"/>
              <w:rPr>
                <w:szCs w:val="24"/>
              </w:rPr>
            </w:pPr>
            <w:r w:rsidRPr="007956DF">
              <w:rPr>
                <w:szCs w:val="24"/>
              </w:rPr>
              <w:t>1</w:t>
            </w:r>
          </w:p>
        </w:tc>
        <w:tc>
          <w:tcPr>
            <w:tcW w:w="1462" w:type="dxa"/>
            <w:vAlign w:val="bottom"/>
          </w:tcPr>
          <w:p w:rsidR="00DD6281" w:rsidRPr="007956DF" w:rsidRDefault="00B6405D" w:rsidP="00B6405D">
            <w:pPr>
              <w:tabs>
                <w:tab w:val="left" w:pos="-1440"/>
                <w:tab w:val="left" w:pos="-720"/>
                <w:tab w:val="left" w:pos="0"/>
                <w:tab w:val="left" w:pos="240"/>
                <w:tab w:val="left" w:pos="720"/>
              </w:tabs>
              <w:spacing w:before="163" w:after="19"/>
              <w:jc w:val="center"/>
              <w:rPr>
                <w:szCs w:val="24"/>
              </w:rPr>
            </w:pPr>
            <w:r w:rsidRPr="007956DF">
              <w:rPr>
                <w:szCs w:val="24"/>
              </w:rPr>
              <w:t>160 hours</w:t>
            </w:r>
          </w:p>
        </w:tc>
        <w:tc>
          <w:tcPr>
            <w:tcW w:w="1463" w:type="dxa"/>
            <w:vAlign w:val="bottom"/>
          </w:tcPr>
          <w:p w:rsidR="00DD6281" w:rsidRPr="007956DF" w:rsidRDefault="00495895" w:rsidP="00495895">
            <w:pPr>
              <w:tabs>
                <w:tab w:val="left" w:pos="-1440"/>
                <w:tab w:val="left" w:pos="-720"/>
                <w:tab w:val="left" w:pos="0"/>
                <w:tab w:val="left" w:pos="240"/>
                <w:tab w:val="left" w:pos="720"/>
                <w:tab w:val="left" w:pos="1440"/>
              </w:tabs>
              <w:spacing w:before="163" w:after="19"/>
              <w:jc w:val="right"/>
              <w:rPr>
                <w:szCs w:val="24"/>
              </w:rPr>
            </w:pPr>
            <w:r>
              <w:rPr>
                <w:szCs w:val="24"/>
              </w:rPr>
              <w:t>90</w:t>
            </w:r>
            <w:r w:rsidR="00B6405D" w:rsidRPr="007956DF">
              <w:rPr>
                <w:szCs w:val="24"/>
              </w:rPr>
              <w:t>,</w:t>
            </w:r>
            <w:r>
              <w:rPr>
                <w:szCs w:val="24"/>
              </w:rPr>
              <w:t>240</w:t>
            </w:r>
          </w:p>
        </w:tc>
      </w:tr>
      <w:tr w:rsidR="00B6405D" w:rsidRPr="007956DF" w:rsidTr="00B6405D">
        <w:trPr>
          <w:cantSplit/>
          <w:trHeight w:val="734"/>
        </w:trPr>
        <w:tc>
          <w:tcPr>
            <w:tcW w:w="3600" w:type="dxa"/>
            <w:vAlign w:val="bottom"/>
          </w:tcPr>
          <w:p w:rsidR="00B6405D" w:rsidRPr="007956DF" w:rsidRDefault="00B6405D" w:rsidP="00495895">
            <w:pPr>
              <w:tabs>
                <w:tab w:val="left" w:pos="-1440"/>
                <w:tab w:val="left" w:pos="-720"/>
                <w:tab w:val="left" w:pos="0"/>
                <w:tab w:val="left" w:pos="240"/>
                <w:tab w:val="left" w:pos="720"/>
                <w:tab w:val="left" w:pos="1440"/>
                <w:tab w:val="left" w:pos="2160"/>
                <w:tab w:val="left" w:pos="2880"/>
              </w:tabs>
              <w:rPr>
                <w:szCs w:val="24"/>
              </w:rPr>
            </w:pPr>
            <w:r w:rsidRPr="007956DF">
              <w:rPr>
                <w:bCs/>
                <w:snapToGrid/>
                <w:szCs w:val="24"/>
              </w:rPr>
              <w:t xml:space="preserve">Review and update policies and procedures </w:t>
            </w:r>
            <w:r w:rsidRPr="007956DF">
              <w:rPr>
                <w:b/>
                <w:bCs/>
                <w:snapToGrid/>
                <w:szCs w:val="24"/>
              </w:rPr>
              <w:t>(</w:t>
            </w:r>
            <w:r w:rsidR="00FA6DE3" w:rsidRPr="007956DF">
              <w:rPr>
                <w:b/>
                <w:snapToGrid/>
                <w:szCs w:val="24"/>
              </w:rPr>
              <w:t>s</w:t>
            </w:r>
            <w:r w:rsidRPr="007956DF">
              <w:rPr>
                <w:b/>
                <w:snapToGrid/>
                <w:szCs w:val="24"/>
              </w:rPr>
              <w:t>ection 235.4(b)(</w:t>
            </w:r>
            <w:r w:rsidR="00495895">
              <w:rPr>
                <w:b/>
                <w:snapToGrid/>
                <w:szCs w:val="24"/>
              </w:rPr>
              <w:t>3</w:t>
            </w:r>
            <w:r w:rsidRPr="007956DF">
              <w:rPr>
                <w:b/>
                <w:snapToGrid/>
                <w:szCs w:val="24"/>
              </w:rPr>
              <w:t>))</w:t>
            </w:r>
          </w:p>
        </w:tc>
        <w:tc>
          <w:tcPr>
            <w:tcW w:w="1530" w:type="dxa"/>
            <w:vAlign w:val="bottom"/>
          </w:tcPr>
          <w:p w:rsidR="00B6405D" w:rsidRPr="007956DF" w:rsidRDefault="00EA5FC5" w:rsidP="00B6405D">
            <w:pPr>
              <w:tabs>
                <w:tab w:val="left" w:pos="-1440"/>
                <w:tab w:val="left" w:pos="-720"/>
                <w:tab w:val="left" w:pos="0"/>
                <w:tab w:val="left" w:pos="240"/>
                <w:tab w:val="left" w:pos="720"/>
                <w:tab w:val="left" w:pos="1440"/>
              </w:tabs>
              <w:spacing w:before="163" w:after="19"/>
              <w:jc w:val="center"/>
              <w:rPr>
                <w:szCs w:val="24"/>
              </w:rPr>
            </w:pPr>
            <w:r>
              <w:rPr>
                <w:szCs w:val="24"/>
              </w:rPr>
              <w:t>564</w:t>
            </w:r>
          </w:p>
        </w:tc>
        <w:tc>
          <w:tcPr>
            <w:tcW w:w="1305" w:type="dxa"/>
            <w:vAlign w:val="bottom"/>
          </w:tcPr>
          <w:p w:rsidR="00B6405D" w:rsidRPr="007956DF" w:rsidRDefault="00B6405D" w:rsidP="00B6405D">
            <w:pPr>
              <w:tabs>
                <w:tab w:val="left" w:pos="-1440"/>
                <w:tab w:val="left" w:pos="-720"/>
                <w:tab w:val="left" w:pos="0"/>
                <w:tab w:val="left" w:pos="240"/>
                <w:tab w:val="left" w:pos="720"/>
              </w:tabs>
              <w:spacing w:before="163" w:after="19"/>
              <w:jc w:val="center"/>
              <w:rPr>
                <w:szCs w:val="24"/>
              </w:rPr>
            </w:pPr>
            <w:r w:rsidRPr="007956DF">
              <w:rPr>
                <w:szCs w:val="24"/>
              </w:rPr>
              <w:t>1</w:t>
            </w:r>
          </w:p>
        </w:tc>
        <w:tc>
          <w:tcPr>
            <w:tcW w:w="1462" w:type="dxa"/>
            <w:vAlign w:val="bottom"/>
          </w:tcPr>
          <w:p w:rsidR="00B6405D" w:rsidRPr="007956DF" w:rsidRDefault="00B6405D" w:rsidP="00B6405D">
            <w:pPr>
              <w:tabs>
                <w:tab w:val="left" w:pos="-1440"/>
                <w:tab w:val="left" w:pos="-720"/>
                <w:tab w:val="left" w:pos="0"/>
                <w:tab w:val="left" w:pos="240"/>
                <w:tab w:val="left" w:pos="720"/>
              </w:tabs>
              <w:spacing w:before="163" w:after="19"/>
              <w:jc w:val="center"/>
              <w:rPr>
                <w:szCs w:val="24"/>
              </w:rPr>
            </w:pPr>
            <w:r w:rsidRPr="007956DF">
              <w:rPr>
                <w:szCs w:val="24"/>
              </w:rPr>
              <w:t>40 hours</w:t>
            </w:r>
          </w:p>
        </w:tc>
        <w:tc>
          <w:tcPr>
            <w:tcW w:w="1463" w:type="dxa"/>
            <w:vAlign w:val="bottom"/>
          </w:tcPr>
          <w:p w:rsidR="00B6405D" w:rsidRPr="007956DF" w:rsidRDefault="00495895" w:rsidP="00495895">
            <w:pPr>
              <w:tabs>
                <w:tab w:val="left" w:pos="-1440"/>
                <w:tab w:val="left" w:pos="-720"/>
                <w:tab w:val="left" w:pos="0"/>
                <w:tab w:val="left" w:pos="240"/>
                <w:tab w:val="left" w:pos="720"/>
                <w:tab w:val="left" w:pos="1440"/>
              </w:tabs>
              <w:spacing w:before="163" w:after="19"/>
              <w:jc w:val="right"/>
              <w:rPr>
                <w:szCs w:val="24"/>
              </w:rPr>
            </w:pPr>
            <w:r>
              <w:rPr>
                <w:szCs w:val="24"/>
              </w:rPr>
              <w:t>22</w:t>
            </w:r>
            <w:r w:rsidR="00B6405D" w:rsidRPr="007956DF">
              <w:rPr>
                <w:szCs w:val="24"/>
              </w:rPr>
              <w:t>,</w:t>
            </w:r>
            <w:r>
              <w:rPr>
                <w:szCs w:val="24"/>
              </w:rPr>
              <w:t>560</w:t>
            </w:r>
          </w:p>
        </w:tc>
      </w:tr>
      <w:tr w:rsidR="00B6405D" w:rsidRPr="007956DF" w:rsidTr="00B6405D">
        <w:trPr>
          <w:cantSplit/>
          <w:trHeight w:val="734"/>
        </w:trPr>
        <w:tc>
          <w:tcPr>
            <w:tcW w:w="3600" w:type="dxa"/>
            <w:vAlign w:val="bottom"/>
          </w:tcPr>
          <w:p w:rsidR="00B6405D" w:rsidRPr="007956DF" w:rsidRDefault="00495895" w:rsidP="00AD3688">
            <w:pPr>
              <w:autoSpaceDE w:val="0"/>
              <w:autoSpaceDN w:val="0"/>
              <w:adjustRightInd w:val="0"/>
              <w:rPr>
                <w:bCs/>
                <w:snapToGrid/>
                <w:szCs w:val="24"/>
              </w:rPr>
            </w:pPr>
            <w:r>
              <w:rPr>
                <w:bCs/>
                <w:snapToGrid/>
                <w:szCs w:val="24"/>
              </w:rPr>
              <w:t xml:space="preserve">Annual notification and </w:t>
            </w:r>
            <w:r w:rsidR="00AD3688">
              <w:rPr>
                <w:bCs/>
                <w:snapToGrid/>
                <w:szCs w:val="24"/>
              </w:rPr>
              <w:t>c</w:t>
            </w:r>
            <w:r>
              <w:rPr>
                <w:bCs/>
                <w:snapToGrid/>
                <w:szCs w:val="24"/>
              </w:rPr>
              <w:t>hange in status</w:t>
            </w:r>
            <w:r w:rsidR="00B6405D" w:rsidRPr="007956DF">
              <w:rPr>
                <w:bCs/>
                <w:snapToGrid/>
                <w:szCs w:val="24"/>
              </w:rPr>
              <w:t xml:space="preserve"> </w:t>
            </w:r>
            <w:r w:rsidR="00B6405D" w:rsidRPr="007956DF">
              <w:rPr>
                <w:b/>
                <w:bCs/>
                <w:snapToGrid/>
                <w:szCs w:val="24"/>
              </w:rPr>
              <w:t>(</w:t>
            </w:r>
            <w:r w:rsidR="00FA6DE3" w:rsidRPr="007956DF">
              <w:rPr>
                <w:b/>
                <w:bCs/>
                <w:snapToGrid/>
                <w:szCs w:val="24"/>
              </w:rPr>
              <w:t>s</w:t>
            </w:r>
            <w:r w:rsidR="00B6405D" w:rsidRPr="007956DF">
              <w:rPr>
                <w:b/>
                <w:bCs/>
                <w:snapToGrid/>
                <w:szCs w:val="24"/>
              </w:rPr>
              <w:t>ection</w:t>
            </w:r>
            <w:r>
              <w:rPr>
                <w:b/>
                <w:bCs/>
                <w:snapToGrid/>
                <w:szCs w:val="24"/>
              </w:rPr>
              <w:t>s</w:t>
            </w:r>
            <w:r w:rsidR="00B6405D" w:rsidRPr="007956DF">
              <w:rPr>
                <w:b/>
                <w:bCs/>
                <w:snapToGrid/>
                <w:szCs w:val="24"/>
              </w:rPr>
              <w:t xml:space="preserve"> 235.4(c)</w:t>
            </w:r>
            <w:r>
              <w:rPr>
                <w:b/>
                <w:bCs/>
                <w:snapToGrid/>
                <w:szCs w:val="24"/>
              </w:rPr>
              <w:t xml:space="preserve"> &amp; (d)</w:t>
            </w:r>
            <w:r w:rsidR="00B6405D" w:rsidRPr="007956DF">
              <w:rPr>
                <w:b/>
                <w:bCs/>
                <w:snapToGrid/>
                <w:szCs w:val="24"/>
              </w:rPr>
              <w:t>)</w:t>
            </w:r>
          </w:p>
        </w:tc>
        <w:tc>
          <w:tcPr>
            <w:tcW w:w="1530" w:type="dxa"/>
            <w:vAlign w:val="bottom"/>
          </w:tcPr>
          <w:p w:rsidR="00B6405D" w:rsidRPr="007956DF" w:rsidRDefault="00EA5FC5" w:rsidP="00B6405D">
            <w:pPr>
              <w:tabs>
                <w:tab w:val="left" w:pos="-1440"/>
                <w:tab w:val="left" w:pos="-720"/>
                <w:tab w:val="left" w:pos="0"/>
                <w:tab w:val="left" w:pos="240"/>
                <w:tab w:val="left" w:pos="720"/>
                <w:tab w:val="left" w:pos="1440"/>
              </w:tabs>
              <w:spacing w:before="163" w:after="19"/>
              <w:jc w:val="center"/>
              <w:rPr>
                <w:szCs w:val="24"/>
              </w:rPr>
            </w:pPr>
            <w:r>
              <w:rPr>
                <w:szCs w:val="24"/>
              </w:rPr>
              <w:t>564</w:t>
            </w:r>
          </w:p>
        </w:tc>
        <w:tc>
          <w:tcPr>
            <w:tcW w:w="1305" w:type="dxa"/>
            <w:vAlign w:val="bottom"/>
          </w:tcPr>
          <w:p w:rsidR="00B6405D" w:rsidRPr="007956DF" w:rsidRDefault="00B6405D" w:rsidP="00B6405D">
            <w:pPr>
              <w:tabs>
                <w:tab w:val="left" w:pos="-1440"/>
                <w:tab w:val="left" w:pos="-720"/>
                <w:tab w:val="left" w:pos="0"/>
                <w:tab w:val="left" w:pos="240"/>
                <w:tab w:val="left" w:pos="720"/>
              </w:tabs>
              <w:spacing w:before="163" w:after="19"/>
              <w:jc w:val="center"/>
              <w:rPr>
                <w:szCs w:val="24"/>
              </w:rPr>
            </w:pPr>
            <w:r w:rsidRPr="007956DF">
              <w:rPr>
                <w:szCs w:val="24"/>
              </w:rPr>
              <w:t>1</w:t>
            </w:r>
          </w:p>
        </w:tc>
        <w:tc>
          <w:tcPr>
            <w:tcW w:w="1462" w:type="dxa"/>
            <w:vAlign w:val="bottom"/>
          </w:tcPr>
          <w:p w:rsidR="00B6405D" w:rsidRPr="007956DF" w:rsidRDefault="00495895" w:rsidP="00495895">
            <w:pPr>
              <w:tabs>
                <w:tab w:val="left" w:pos="-1440"/>
                <w:tab w:val="left" w:pos="-720"/>
                <w:tab w:val="left" w:pos="0"/>
                <w:tab w:val="left" w:pos="240"/>
                <w:tab w:val="left" w:pos="720"/>
              </w:tabs>
              <w:spacing w:before="163" w:after="19"/>
              <w:jc w:val="center"/>
              <w:rPr>
                <w:szCs w:val="24"/>
              </w:rPr>
            </w:pPr>
            <w:r>
              <w:rPr>
                <w:szCs w:val="24"/>
              </w:rPr>
              <w:t>1 hour</w:t>
            </w:r>
          </w:p>
        </w:tc>
        <w:tc>
          <w:tcPr>
            <w:tcW w:w="1463" w:type="dxa"/>
            <w:vAlign w:val="bottom"/>
          </w:tcPr>
          <w:p w:rsidR="00B6405D" w:rsidRPr="007956DF" w:rsidRDefault="00495895" w:rsidP="00B6405D">
            <w:pPr>
              <w:tabs>
                <w:tab w:val="left" w:pos="-1440"/>
                <w:tab w:val="left" w:pos="-720"/>
                <w:tab w:val="left" w:pos="0"/>
                <w:tab w:val="left" w:pos="240"/>
                <w:tab w:val="left" w:pos="720"/>
                <w:tab w:val="left" w:pos="1440"/>
              </w:tabs>
              <w:spacing w:before="163" w:after="19"/>
              <w:jc w:val="right"/>
              <w:rPr>
                <w:szCs w:val="24"/>
                <w:u w:val="single"/>
              </w:rPr>
            </w:pPr>
            <w:r>
              <w:rPr>
                <w:szCs w:val="24"/>
                <w:u w:val="single"/>
              </w:rPr>
              <w:t>564</w:t>
            </w:r>
          </w:p>
        </w:tc>
      </w:tr>
      <w:tr w:rsidR="00B6405D" w:rsidRPr="007956DF" w:rsidTr="00B6405D">
        <w:trPr>
          <w:cantSplit/>
          <w:trHeight w:val="734"/>
        </w:trPr>
        <w:tc>
          <w:tcPr>
            <w:tcW w:w="3600" w:type="dxa"/>
            <w:vAlign w:val="bottom"/>
          </w:tcPr>
          <w:p w:rsidR="006A7EB6" w:rsidRPr="007956DF" w:rsidRDefault="00B6405D" w:rsidP="00B6405D">
            <w:pPr>
              <w:tabs>
                <w:tab w:val="left" w:pos="-1440"/>
                <w:tab w:val="left" w:pos="-720"/>
                <w:tab w:val="left" w:pos="0"/>
                <w:tab w:val="left" w:pos="240"/>
                <w:tab w:val="left" w:pos="720"/>
                <w:tab w:val="left" w:pos="1440"/>
                <w:tab w:val="left" w:pos="2160"/>
                <w:tab w:val="left" w:pos="2880"/>
              </w:tabs>
              <w:jc w:val="right"/>
              <w:rPr>
                <w:i/>
                <w:szCs w:val="24"/>
              </w:rPr>
            </w:pPr>
            <w:r w:rsidRPr="007956DF">
              <w:rPr>
                <w:i/>
                <w:szCs w:val="24"/>
              </w:rPr>
              <w:t>Total</w:t>
            </w:r>
          </w:p>
        </w:tc>
        <w:tc>
          <w:tcPr>
            <w:tcW w:w="1530" w:type="dxa"/>
            <w:vAlign w:val="bottom"/>
          </w:tcPr>
          <w:p w:rsidR="006A7EB6" w:rsidRPr="007956DF" w:rsidRDefault="006A7EB6" w:rsidP="00B6405D">
            <w:pPr>
              <w:tabs>
                <w:tab w:val="left" w:pos="-1440"/>
                <w:tab w:val="left" w:pos="-720"/>
                <w:tab w:val="left" w:pos="0"/>
                <w:tab w:val="left" w:pos="240"/>
                <w:tab w:val="left" w:pos="720"/>
                <w:tab w:val="left" w:pos="1440"/>
              </w:tabs>
              <w:spacing w:before="163" w:after="19"/>
              <w:jc w:val="center"/>
              <w:rPr>
                <w:szCs w:val="24"/>
              </w:rPr>
            </w:pPr>
          </w:p>
        </w:tc>
        <w:tc>
          <w:tcPr>
            <w:tcW w:w="1305" w:type="dxa"/>
            <w:vAlign w:val="bottom"/>
          </w:tcPr>
          <w:p w:rsidR="006A7EB6" w:rsidRPr="007956DF" w:rsidRDefault="006A7EB6" w:rsidP="00B6405D">
            <w:pPr>
              <w:tabs>
                <w:tab w:val="left" w:pos="-1440"/>
                <w:tab w:val="left" w:pos="-720"/>
                <w:tab w:val="left" w:pos="0"/>
                <w:tab w:val="left" w:pos="240"/>
                <w:tab w:val="left" w:pos="720"/>
              </w:tabs>
              <w:spacing w:before="163" w:after="19"/>
              <w:jc w:val="center"/>
              <w:rPr>
                <w:szCs w:val="24"/>
              </w:rPr>
            </w:pPr>
          </w:p>
        </w:tc>
        <w:tc>
          <w:tcPr>
            <w:tcW w:w="1462" w:type="dxa"/>
            <w:vAlign w:val="bottom"/>
          </w:tcPr>
          <w:p w:rsidR="006A7EB6" w:rsidRPr="007956DF" w:rsidRDefault="006A7EB6" w:rsidP="00B6405D">
            <w:pPr>
              <w:tabs>
                <w:tab w:val="left" w:pos="-1440"/>
                <w:tab w:val="left" w:pos="-720"/>
                <w:tab w:val="left" w:pos="0"/>
                <w:tab w:val="left" w:pos="240"/>
                <w:tab w:val="left" w:pos="720"/>
              </w:tabs>
              <w:spacing w:before="163" w:after="19"/>
              <w:jc w:val="center"/>
              <w:rPr>
                <w:szCs w:val="24"/>
              </w:rPr>
            </w:pPr>
          </w:p>
        </w:tc>
        <w:tc>
          <w:tcPr>
            <w:tcW w:w="1463" w:type="dxa"/>
            <w:vAlign w:val="bottom"/>
          </w:tcPr>
          <w:p w:rsidR="006A7EB6" w:rsidRPr="007956DF" w:rsidRDefault="00495895" w:rsidP="00495895">
            <w:pPr>
              <w:tabs>
                <w:tab w:val="left" w:pos="-1440"/>
                <w:tab w:val="left" w:pos="-720"/>
                <w:tab w:val="left" w:pos="0"/>
                <w:tab w:val="left" w:pos="240"/>
                <w:tab w:val="left" w:pos="720"/>
                <w:tab w:val="left" w:pos="1440"/>
              </w:tabs>
              <w:spacing w:before="163" w:after="19"/>
              <w:jc w:val="right"/>
              <w:rPr>
                <w:szCs w:val="24"/>
              </w:rPr>
            </w:pPr>
            <w:r>
              <w:rPr>
                <w:szCs w:val="24"/>
              </w:rPr>
              <w:t>113</w:t>
            </w:r>
            <w:r w:rsidR="00B6405D" w:rsidRPr="007956DF">
              <w:rPr>
                <w:szCs w:val="24"/>
              </w:rPr>
              <w:t>,</w:t>
            </w:r>
            <w:r>
              <w:rPr>
                <w:szCs w:val="24"/>
              </w:rPr>
              <w:t>364</w:t>
            </w:r>
          </w:p>
        </w:tc>
      </w:tr>
    </w:tbl>
    <w:p w:rsidR="00DD6281" w:rsidRPr="007956DF" w:rsidRDefault="00DD6281" w:rsidP="00F2018F">
      <w:pPr>
        <w:pStyle w:val="Footer"/>
        <w:tabs>
          <w:tab w:val="clear" w:pos="4320"/>
          <w:tab w:val="clear" w:pos="8640"/>
        </w:tabs>
        <w:rPr>
          <w:szCs w:val="24"/>
        </w:rPr>
      </w:pPr>
    </w:p>
    <w:p w:rsidR="00FC5FA8" w:rsidRPr="007956DF" w:rsidRDefault="00393AD9" w:rsidP="00F2018F">
      <w:pPr>
        <w:rPr>
          <w:color w:val="000000"/>
          <w:szCs w:val="24"/>
        </w:rPr>
      </w:pPr>
      <w:r w:rsidRPr="007956DF">
        <w:rPr>
          <w:color w:val="000000"/>
          <w:szCs w:val="24"/>
        </w:rPr>
        <w:t xml:space="preserve">The </w:t>
      </w:r>
      <w:r w:rsidR="00BA1740" w:rsidRPr="007956DF">
        <w:rPr>
          <w:color w:val="000000"/>
          <w:szCs w:val="24"/>
        </w:rPr>
        <w:t xml:space="preserve">total </w:t>
      </w:r>
      <w:r w:rsidRPr="007956DF">
        <w:rPr>
          <w:color w:val="000000"/>
          <w:szCs w:val="24"/>
        </w:rPr>
        <w:t>cost to the public f</w:t>
      </w:r>
      <w:r w:rsidR="00BA1740" w:rsidRPr="007956DF">
        <w:rPr>
          <w:color w:val="000000"/>
          <w:szCs w:val="24"/>
        </w:rPr>
        <w:t xml:space="preserve">or </w:t>
      </w:r>
      <w:r w:rsidRPr="007956DF">
        <w:rPr>
          <w:color w:val="000000"/>
          <w:szCs w:val="24"/>
        </w:rPr>
        <w:t>th</w:t>
      </w:r>
      <w:r w:rsidR="00BA1740" w:rsidRPr="007956DF">
        <w:rPr>
          <w:color w:val="000000"/>
          <w:szCs w:val="24"/>
        </w:rPr>
        <w:t>is</w:t>
      </w:r>
      <w:r w:rsidRPr="007956DF">
        <w:rPr>
          <w:color w:val="000000"/>
          <w:szCs w:val="24"/>
        </w:rPr>
        <w:t xml:space="preserve"> </w:t>
      </w:r>
      <w:r w:rsidR="00BA1740" w:rsidRPr="007956DF">
        <w:rPr>
          <w:color w:val="000000"/>
          <w:szCs w:val="24"/>
        </w:rPr>
        <w:t xml:space="preserve">information collection </w:t>
      </w:r>
      <w:r w:rsidRPr="007956DF">
        <w:rPr>
          <w:color w:val="000000"/>
          <w:szCs w:val="24"/>
        </w:rPr>
        <w:t>is estimated to be $</w:t>
      </w:r>
      <w:r w:rsidR="00AD3688">
        <w:rPr>
          <w:color w:val="000000"/>
          <w:szCs w:val="24"/>
        </w:rPr>
        <w:t>5</w:t>
      </w:r>
      <w:r w:rsidR="003D7E71" w:rsidRPr="007956DF">
        <w:rPr>
          <w:color w:val="000000"/>
          <w:szCs w:val="24"/>
        </w:rPr>
        <w:t>,</w:t>
      </w:r>
      <w:r w:rsidR="00AD3688">
        <w:rPr>
          <w:color w:val="000000"/>
          <w:szCs w:val="24"/>
        </w:rPr>
        <w:t>084</w:t>
      </w:r>
      <w:r w:rsidR="003D7E71" w:rsidRPr="007956DF">
        <w:rPr>
          <w:color w:val="000000"/>
          <w:szCs w:val="24"/>
        </w:rPr>
        <w:t>,</w:t>
      </w:r>
      <w:r w:rsidR="00AD3688">
        <w:rPr>
          <w:color w:val="000000"/>
          <w:szCs w:val="24"/>
        </w:rPr>
        <w:t>375</w:t>
      </w:r>
      <w:r w:rsidRPr="007956DF">
        <w:rPr>
          <w:color w:val="000000"/>
          <w:szCs w:val="24"/>
        </w:rPr>
        <w:t>.</w:t>
      </w:r>
      <w:r w:rsidRPr="007956DF">
        <w:rPr>
          <w:rStyle w:val="FootnoteReference"/>
          <w:color w:val="000000"/>
          <w:szCs w:val="24"/>
        </w:rPr>
        <w:footnoteReference w:id="8"/>
      </w:r>
    </w:p>
    <w:p w:rsidR="00DD6281" w:rsidRPr="007956DF" w:rsidRDefault="00DD6281" w:rsidP="00F2018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DD6281" w:rsidRPr="007956DF" w:rsidRDefault="00DD6281" w:rsidP="00F2018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7956DF">
        <w:rPr>
          <w:b/>
          <w:bCs/>
          <w:color w:val="000000"/>
          <w:szCs w:val="24"/>
        </w:rPr>
        <w:t>Estimate of Cost to the Federal Reserve System</w:t>
      </w:r>
    </w:p>
    <w:p w:rsidR="00DD6281" w:rsidRPr="007956DF" w:rsidRDefault="00DD6281" w:rsidP="00F2018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DD6281" w:rsidRPr="007956DF" w:rsidRDefault="00393AD9" w:rsidP="00F2018F">
      <w:pPr>
        <w:ind w:firstLine="720"/>
        <w:rPr>
          <w:szCs w:val="24"/>
        </w:rPr>
      </w:pPr>
      <w:r w:rsidRPr="007956DF">
        <w:rPr>
          <w:color w:val="000000"/>
          <w:szCs w:val="24"/>
        </w:rPr>
        <w:t>T</w:t>
      </w:r>
      <w:r w:rsidR="00DD6281" w:rsidRPr="007956DF">
        <w:rPr>
          <w:color w:val="000000"/>
          <w:szCs w:val="24"/>
        </w:rPr>
        <w:t>he cost to the Federal Reserve System is negligible.</w:t>
      </w:r>
    </w:p>
    <w:sectPr w:rsidR="00DD6281" w:rsidRPr="007956DF" w:rsidSect="003D7E71">
      <w:footerReference w:type="even" r:id="rId8"/>
      <w:footerReference w:type="default" r:id="rId9"/>
      <w:pgSz w:w="12240" w:h="15840" w:code="1"/>
      <w:pgMar w:top="1440" w:right="1440" w:bottom="99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F62" w:rsidRDefault="00EE4F62">
      <w:r>
        <w:separator/>
      </w:r>
    </w:p>
  </w:endnote>
  <w:endnote w:type="continuationSeparator" w:id="0">
    <w:p w:rsidR="00EE4F62" w:rsidRDefault="00EE4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62" w:rsidRDefault="00EE4F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F62" w:rsidRDefault="00EE4F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685342"/>
      <w:docPartObj>
        <w:docPartGallery w:val="Page Numbers (Bottom of Page)"/>
        <w:docPartUnique/>
      </w:docPartObj>
    </w:sdtPr>
    <w:sdtContent>
      <w:p w:rsidR="00EE4F62" w:rsidRDefault="00EE4F62">
        <w:pPr>
          <w:pStyle w:val="Footer"/>
          <w:jc w:val="center"/>
        </w:pPr>
        <w:fldSimple w:instr=" PAGE   \* MERGEFORMAT ">
          <w:r w:rsidR="00D80D48">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F62" w:rsidRDefault="00EE4F62">
      <w:r>
        <w:separator/>
      </w:r>
    </w:p>
  </w:footnote>
  <w:footnote w:type="continuationSeparator" w:id="0">
    <w:p w:rsidR="00EE4F62" w:rsidRDefault="00EE4F62">
      <w:r>
        <w:continuationSeparator/>
      </w:r>
    </w:p>
  </w:footnote>
  <w:footnote w:id="1">
    <w:p w:rsidR="00EE4F62" w:rsidRPr="003D7E71" w:rsidRDefault="00EE4F62" w:rsidP="00DD61A2">
      <w:pPr>
        <w:pStyle w:val="FootnoteText"/>
      </w:pPr>
      <w:r w:rsidRPr="003D7E71">
        <w:rPr>
          <w:rStyle w:val="FootnoteReference"/>
        </w:rPr>
        <w:footnoteRef/>
      </w:r>
      <w:r w:rsidRPr="003D7E71">
        <w:t xml:space="preserve">  See 44 U.S.C. § 3501 </w:t>
      </w:r>
      <w:r w:rsidRPr="003D7E71">
        <w:rPr>
          <w:u w:val="single"/>
        </w:rPr>
        <w:t>et</w:t>
      </w:r>
      <w:r w:rsidRPr="003D7E71">
        <w:t xml:space="preserve"> </w:t>
      </w:r>
      <w:r w:rsidRPr="003D7E71">
        <w:rPr>
          <w:u w:val="single"/>
        </w:rPr>
        <w:t>seq</w:t>
      </w:r>
      <w:r w:rsidRPr="003D7E71">
        <w:t>.</w:t>
      </w:r>
    </w:p>
  </w:footnote>
  <w:footnote w:id="2">
    <w:p w:rsidR="00EE4F62" w:rsidRPr="003D7E71" w:rsidRDefault="00EE4F62" w:rsidP="003731E5">
      <w:pPr>
        <w:autoSpaceDE w:val="0"/>
        <w:autoSpaceDN w:val="0"/>
        <w:adjustRightInd w:val="0"/>
        <w:rPr>
          <w:sz w:val="20"/>
        </w:rPr>
      </w:pPr>
      <w:r w:rsidRPr="003D7E71">
        <w:rPr>
          <w:rStyle w:val="FootnoteReference"/>
          <w:sz w:val="20"/>
        </w:rPr>
        <w:footnoteRef/>
      </w:r>
      <w:r w:rsidRPr="003D7E71">
        <w:rPr>
          <w:sz w:val="20"/>
        </w:rPr>
        <w:t xml:space="preserve"> </w:t>
      </w:r>
      <w:r>
        <w:rPr>
          <w:sz w:val="20"/>
        </w:rPr>
        <w:t xml:space="preserve"> </w:t>
      </w:r>
      <w:r w:rsidRPr="003D7E71">
        <w:rPr>
          <w:snapToGrid/>
          <w:sz w:val="20"/>
        </w:rPr>
        <w:t>For purposes of the PRA, the Federal Reserve is estimating the burden for entities currently regulated by the Board, Office of the Comptroller of the Currency, Federal Deposit Insurance Corporation, and National Credit Union Administration (collectively, the ‘</w:t>
      </w:r>
      <w:r>
        <w:rPr>
          <w:snapToGrid/>
          <w:sz w:val="20"/>
        </w:rPr>
        <w:t>f</w:t>
      </w:r>
      <w:r w:rsidRPr="003D7E71">
        <w:rPr>
          <w:snapToGrid/>
          <w:sz w:val="20"/>
        </w:rPr>
        <w:t>ederal financial regulatory agencies’). Such entities may include, among others, State member banks, national banks, insured nonmember banks, savings associations, and Federally-chartered credit unions.</w:t>
      </w:r>
    </w:p>
  </w:footnote>
  <w:footnote w:id="3">
    <w:p w:rsidR="00EE4F62" w:rsidRPr="003731E5" w:rsidRDefault="00EE4F62">
      <w:pPr>
        <w:pStyle w:val="FootnoteText"/>
      </w:pPr>
      <w:r w:rsidRPr="003731E5">
        <w:rPr>
          <w:rStyle w:val="FootnoteReference"/>
        </w:rPr>
        <w:footnoteRef/>
      </w:r>
      <w:r>
        <w:t xml:space="preserve"> </w:t>
      </w:r>
      <w:r w:rsidRPr="003731E5">
        <w:t xml:space="preserve"> </w:t>
      </w:r>
      <w:proofErr w:type="gramStart"/>
      <w:r w:rsidRPr="003731E5">
        <w:t>(Pub.</w:t>
      </w:r>
      <w:proofErr w:type="gramEnd"/>
      <w:r w:rsidRPr="003731E5">
        <w:t xml:space="preserve"> L. No. 111-203, 124 Stat. 1376 (2010))</w:t>
      </w:r>
    </w:p>
  </w:footnote>
  <w:footnote w:id="4">
    <w:p w:rsidR="00EE4F62" w:rsidRPr="003731E5" w:rsidRDefault="00EE4F62" w:rsidP="003731E5">
      <w:pPr>
        <w:autoSpaceDE w:val="0"/>
        <w:autoSpaceDN w:val="0"/>
        <w:adjustRightInd w:val="0"/>
        <w:rPr>
          <w:snapToGrid/>
          <w:sz w:val="20"/>
        </w:rPr>
      </w:pPr>
      <w:r w:rsidRPr="003731E5">
        <w:rPr>
          <w:rStyle w:val="FootnoteReference"/>
          <w:sz w:val="20"/>
        </w:rPr>
        <w:footnoteRef/>
      </w:r>
      <w:r>
        <w:rPr>
          <w:sz w:val="20"/>
        </w:rPr>
        <w:t xml:space="preserve"> </w:t>
      </w:r>
      <w:r w:rsidRPr="003731E5">
        <w:rPr>
          <w:sz w:val="20"/>
        </w:rPr>
        <w:t xml:space="preserve"> </w:t>
      </w:r>
      <w:r w:rsidRPr="003731E5">
        <w:rPr>
          <w:snapToGrid/>
          <w:sz w:val="20"/>
        </w:rPr>
        <w:t xml:space="preserve">Regulation II defines electronic debit transaction (or “debit card transaction”) to mean the use of a debit card (which includes a general-use prepaid card), by a person as a form of payment in the United States to initiate a debit to an account. This term does not include transactions initiated at an automated teller </w:t>
      </w:r>
      <w:r w:rsidRPr="003731E5">
        <w:rPr>
          <w:sz w:val="20"/>
        </w:rPr>
        <w:t>machine (ATM), including cash withdrawals and balance transfers initiated at an ATM.</w:t>
      </w:r>
    </w:p>
  </w:footnote>
  <w:footnote w:id="5">
    <w:p w:rsidR="00EE4F62" w:rsidRPr="007956DF" w:rsidRDefault="00EE4F62" w:rsidP="005F2ED3">
      <w:pPr>
        <w:autoSpaceDE w:val="0"/>
        <w:autoSpaceDN w:val="0"/>
        <w:adjustRightInd w:val="0"/>
        <w:rPr>
          <w:snapToGrid/>
          <w:sz w:val="20"/>
        </w:rPr>
      </w:pPr>
      <w:r w:rsidRPr="007956DF">
        <w:rPr>
          <w:rStyle w:val="FootnoteReference"/>
          <w:sz w:val="20"/>
        </w:rPr>
        <w:footnoteRef/>
      </w:r>
      <w:r w:rsidRPr="007956DF">
        <w:rPr>
          <w:sz w:val="20"/>
        </w:rPr>
        <w:t xml:space="preserve">  </w:t>
      </w:r>
      <w:r w:rsidRPr="007956DF">
        <w:rPr>
          <w:snapToGrid/>
          <w:sz w:val="20"/>
        </w:rPr>
        <w:t>The surveys also requested information regarding the number of cards and accounts, the number and value of debit card transactions processed, interchange revenue received from networks, various costs associated with processing debit card transactions and operating a card program, and exclusivity arrangements and routing procedures.</w:t>
      </w:r>
    </w:p>
  </w:footnote>
  <w:footnote w:id="6">
    <w:p w:rsidR="00EE4F62" w:rsidRPr="007956DF" w:rsidRDefault="00EE4F62" w:rsidP="005F2ED3">
      <w:pPr>
        <w:autoSpaceDE w:val="0"/>
        <w:autoSpaceDN w:val="0"/>
        <w:adjustRightInd w:val="0"/>
        <w:rPr>
          <w:sz w:val="20"/>
        </w:rPr>
      </w:pPr>
      <w:r w:rsidRPr="007956DF">
        <w:rPr>
          <w:rStyle w:val="FootnoteReference"/>
          <w:sz w:val="20"/>
        </w:rPr>
        <w:footnoteRef/>
      </w:r>
      <w:r w:rsidRPr="007956DF">
        <w:rPr>
          <w:sz w:val="20"/>
        </w:rPr>
        <w:t xml:space="preserve">  </w:t>
      </w:r>
      <w:r w:rsidRPr="007956DF">
        <w:rPr>
          <w:snapToGrid/>
          <w:sz w:val="20"/>
        </w:rPr>
        <w:t xml:space="preserve">The </w:t>
      </w:r>
      <w:r w:rsidRPr="007956DF">
        <w:rPr>
          <w:color w:val="000000"/>
          <w:sz w:val="20"/>
        </w:rPr>
        <w:t>Board</w:t>
      </w:r>
      <w:r w:rsidRPr="007956DF">
        <w:rPr>
          <w:snapToGrid/>
          <w:sz w:val="20"/>
        </w:rPr>
        <w:t xml:space="preserve"> reported preliminary survey results in the proposed rule (</w:t>
      </w:r>
      <w:r w:rsidRPr="007956DF">
        <w:rPr>
          <w:i/>
          <w:iCs/>
          <w:snapToGrid/>
          <w:sz w:val="20"/>
        </w:rPr>
        <w:t xml:space="preserve">See </w:t>
      </w:r>
      <w:r w:rsidRPr="007956DF">
        <w:rPr>
          <w:snapToGrid/>
          <w:sz w:val="20"/>
        </w:rPr>
        <w:t>75 FR 81740-41, Dec. 28, 2010).  Since that time, the Board has further analyzed the data and addressed a number of minor problems, changing the number of usable responses. For example, some issuers provided fraud loss for certain types of fraud but did not report total fraud losses. In those instances, the sum of the reported fraud losses was used as that respondent’s total fraud loss. In other instances, issuers misreported total fraud losses in a different field.  Those totals were included in subsequent analysis of the data. In addition, prepaid fraud loss and fraud-prevention cost data have been included where appropriate.  Therefore, in certain instances, some data reported in the initial proposal have changed. These data are reported separately (</w:t>
      </w:r>
      <w:r w:rsidRPr="007956DF">
        <w:rPr>
          <w:i/>
          <w:iCs/>
          <w:snapToGrid/>
          <w:sz w:val="20"/>
        </w:rPr>
        <w:t xml:space="preserve">see </w:t>
      </w:r>
      <w:r w:rsidRPr="007956DF">
        <w:rPr>
          <w:snapToGrid/>
          <w:sz w:val="20"/>
        </w:rPr>
        <w:t xml:space="preserve">“2009 Interchange Revenue, Covered Issuer Cost, and Covered Issuer and Merchant Fraud Loss Related to Debit Card Transactions” published on the </w:t>
      </w:r>
      <w:r w:rsidRPr="007956DF">
        <w:rPr>
          <w:color w:val="000000"/>
          <w:sz w:val="20"/>
        </w:rPr>
        <w:t xml:space="preserve">Federal Reserve </w:t>
      </w:r>
      <w:r w:rsidRPr="007956DF">
        <w:rPr>
          <w:snapToGrid/>
          <w:sz w:val="20"/>
        </w:rPr>
        <w:t xml:space="preserve">Board’s public web-site at </w:t>
      </w:r>
      <w:hyperlink r:id="rId1" w:history="1">
        <w:r w:rsidRPr="007956DF">
          <w:rPr>
            <w:rStyle w:val="Hyperlink"/>
            <w:snapToGrid/>
            <w:sz w:val="20"/>
          </w:rPr>
          <w:t>www.federalreserve.gov</w:t>
        </w:r>
      </w:hyperlink>
      <w:r w:rsidRPr="007956DF">
        <w:rPr>
          <w:snapToGrid/>
          <w:sz w:val="20"/>
        </w:rPr>
        <w:t>).</w:t>
      </w:r>
    </w:p>
  </w:footnote>
  <w:footnote w:id="7">
    <w:p w:rsidR="00EE4F62" w:rsidRDefault="00EE4F62" w:rsidP="00DD61A2">
      <w:pPr>
        <w:pStyle w:val="FootnoteText"/>
      </w:pPr>
      <w:r>
        <w:rPr>
          <w:rStyle w:val="FootnoteReference"/>
        </w:rPr>
        <w:footnoteRef/>
      </w:r>
      <w:r>
        <w:t xml:space="preserve">  Of these respondents, it is estimated that none would be small entities as defined by the Small Business Administration (i.e., entities </w:t>
      </w:r>
      <w:r w:rsidRPr="008F603F">
        <w:t>with less than $175 million in total assets</w:t>
      </w:r>
      <w:r>
        <w:t xml:space="preserve">) </w:t>
      </w:r>
      <w:hyperlink r:id="rId2" w:history="1">
        <w:r w:rsidRPr="008F603F">
          <w:rPr>
            <w:rStyle w:val="Hyperlink"/>
          </w:rPr>
          <w:t>www.sba.gov/contractingopportunities/officials/size/table/index.html</w:t>
        </w:r>
      </w:hyperlink>
      <w:r>
        <w:t>.</w:t>
      </w:r>
    </w:p>
  </w:footnote>
  <w:footnote w:id="8">
    <w:p w:rsidR="00EE4F62" w:rsidRPr="00E12649" w:rsidRDefault="00EE4F62" w:rsidP="00DD61A2">
      <w:pPr>
        <w:pStyle w:val="FootnoteText"/>
      </w:pPr>
      <w:r w:rsidRPr="00E12649">
        <w:rPr>
          <w:rStyle w:val="FootnoteReference"/>
        </w:rPr>
        <w:footnoteRef/>
      </w:r>
      <w:r w:rsidRPr="00E12649">
        <w:t xml:space="preserve"> </w:t>
      </w:r>
      <w:r>
        <w:t xml:space="preserve"> </w:t>
      </w:r>
      <w:r w:rsidRPr="00AD3688">
        <w:t xml:space="preserve">Total cost to the public was estimated using the following formula: percent of staff time, multiplied by annual burden hours, multiplied by hourly rate (30% Office &amp; Administrative Support @ $17, 45% Financial Managers @ $52, 15% Legal Counsel @ $55, and 10% Chief Executives @ $81).  Hourly rate for each occupational group are the median hourly wages (rounded up) from the Bureau of Labor and Statistics (BLS), Occupational Employment and Wages 2011, </w:t>
      </w:r>
      <w:hyperlink r:id="rId3" w:history="1">
        <w:r w:rsidRPr="00262747">
          <w:rPr>
            <w:rStyle w:val="Hyperlink"/>
          </w:rPr>
          <w:t>www.bls.gov/news.release/ocwage.nr0.htm</w:t>
        </w:r>
      </w:hyperlink>
      <w:r>
        <w:t xml:space="preserve">  </w:t>
      </w:r>
      <w:r w:rsidRPr="00AD3688">
        <w:t xml:space="preserve">Occupations are defined using the BLS Occupational Classification System,  </w:t>
      </w:r>
      <w:hyperlink r:id="rId4" w:history="1">
        <w:r w:rsidRPr="00262747">
          <w:rPr>
            <w:rStyle w:val="Hyperlink"/>
          </w:rPr>
          <w:t>www.bls.gov/soc/</w:t>
        </w:r>
      </w:hyperlink>
      <w:r>
        <w:t xml:space="preserve"> </w:t>
      </w:r>
      <w:r w:rsidRPr="003D7E7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068"/>
    <w:multiLevelType w:val="hybridMultilevel"/>
    <w:tmpl w:val="9A7C0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E217FC"/>
    <w:multiLevelType w:val="hybridMultilevel"/>
    <w:tmpl w:val="CCE64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46DA5"/>
    <w:multiLevelType w:val="hybridMultilevel"/>
    <w:tmpl w:val="3C18CCA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C438D"/>
    <w:multiLevelType w:val="hybridMultilevel"/>
    <w:tmpl w:val="96001E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FE469E"/>
    <w:multiLevelType w:val="hybridMultilevel"/>
    <w:tmpl w:val="A6E88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226F9"/>
    <w:multiLevelType w:val="hybridMultilevel"/>
    <w:tmpl w:val="AEA6C5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39170B"/>
    <w:rsid w:val="00000E8A"/>
    <w:rsid w:val="0001698B"/>
    <w:rsid w:val="00020A16"/>
    <w:rsid w:val="000351CF"/>
    <w:rsid w:val="00037072"/>
    <w:rsid w:val="00042C1C"/>
    <w:rsid w:val="00045CF8"/>
    <w:rsid w:val="00053746"/>
    <w:rsid w:val="00063A98"/>
    <w:rsid w:val="00065F16"/>
    <w:rsid w:val="00073176"/>
    <w:rsid w:val="00085A30"/>
    <w:rsid w:val="0009055B"/>
    <w:rsid w:val="000A4DAF"/>
    <w:rsid w:val="000B2E07"/>
    <w:rsid w:val="000C0E54"/>
    <w:rsid w:val="000C51DC"/>
    <w:rsid w:val="000C7FBB"/>
    <w:rsid w:val="000D7537"/>
    <w:rsid w:val="000E0BB1"/>
    <w:rsid w:val="001047D8"/>
    <w:rsid w:val="001109E7"/>
    <w:rsid w:val="00111061"/>
    <w:rsid w:val="001432E2"/>
    <w:rsid w:val="0014788F"/>
    <w:rsid w:val="00164873"/>
    <w:rsid w:val="001749FA"/>
    <w:rsid w:val="00175493"/>
    <w:rsid w:val="00177A64"/>
    <w:rsid w:val="00183550"/>
    <w:rsid w:val="00194E7F"/>
    <w:rsid w:val="001A044D"/>
    <w:rsid w:val="001B2A5E"/>
    <w:rsid w:val="001D3403"/>
    <w:rsid w:val="001E1127"/>
    <w:rsid w:val="001E7103"/>
    <w:rsid w:val="001F68BC"/>
    <w:rsid w:val="0020188E"/>
    <w:rsid w:val="00207F35"/>
    <w:rsid w:val="0022161E"/>
    <w:rsid w:val="0023023A"/>
    <w:rsid w:val="00234F36"/>
    <w:rsid w:val="00241E99"/>
    <w:rsid w:val="002572A4"/>
    <w:rsid w:val="00263A94"/>
    <w:rsid w:val="00264993"/>
    <w:rsid w:val="002774F4"/>
    <w:rsid w:val="00283E5D"/>
    <w:rsid w:val="0029453C"/>
    <w:rsid w:val="002D0131"/>
    <w:rsid w:val="002D2B6E"/>
    <w:rsid w:val="002E440E"/>
    <w:rsid w:val="003014D9"/>
    <w:rsid w:val="00313EDC"/>
    <w:rsid w:val="003215E1"/>
    <w:rsid w:val="00323EB4"/>
    <w:rsid w:val="00333C28"/>
    <w:rsid w:val="00351499"/>
    <w:rsid w:val="003731E5"/>
    <w:rsid w:val="00375C2A"/>
    <w:rsid w:val="00375EC7"/>
    <w:rsid w:val="0039170B"/>
    <w:rsid w:val="00393AD9"/>
    <w:rsid w:val="003976A6"/>
    <w:rsid w:val="003A6E44"/>
    <w:rsid w:val="003D5A32"/>
    <w:rsid w:val="003D5D51"/>
    <w:rsid w:val="003D7E71"/>
    <w:rsid w:val="003E452A"/>
    <w:rsid w:val="003F1070"/>
    <w:rsid w:val="003F4158"/>
    <w:rsid w:val="003F53A5"/>
    <w:rsid w:val="003F60D0"/>
    <w:rsid w:val="00406153"/>
    <w:rsid w:val="00420CD7"/>
    <w:rsid w:val="00442D0D"/>
    <w:rsid w:val="00467684"/>
    <w:rsid w:val="00495895"/>
    <w:rsid w:val="004A0B30"/>
    <w:rsid w:val="004B3E6D"/>
    <w:rsid w:val="004C141A"/>
    <w:rsid w:val="004D11F1"/>
    <w:rsid w:val="004D4EBC"/>
    <w:rsid w:val="004D7FD9"/>
    <w:rsid w:val="004F0EB4"/>
    <w:rsid w:val="004F4825"/>
    <w:rsid w:val="004F5252"/>
    <w:rsid w:val="00501943"/>
    <w:rsid w:val="00510932"/>
    <w:rsid w:val="0051559D"/>
    <w:rsid w:val="00516AAF"/>
    <w:rsid w:val="00526CF7"/>
    <w:rsid w:val="00530930"/>
    <w:rsid w:val="005319F9"/>
    <w:rsid w:val="0053248F"/>
    <w:rsid w:val="00540946"/>
    <w:rsid w:val="00546E17"/>
    <w:rsid w:val="00555E0D"/>
    <w:rsid w:val="005662FD"/>
    <w:rsid w:val="005709CE"/>
    <w:rsid w:val="00581025"/>
    <w:rsid w:val="0058681A"/>
    <w:rsid w:val="0058720E"/>
    <w:rsid w:val="005904D4"/>
    <w:rsid w:val="00591FB1"/>
    <w:rsid w:val="005A20A9"/>
    <w:rsid w:val="005C24BE"/>
    <w:rsid w:val="005C539D"/>
    <w:rsid w:val="005C7B45"/>
    <w:rsid w:val="005E6B4B"/>
    <w:rsid w:val="005F2ED3"/>
    <w:rsid w:val="005F5C35"/>
    <w:rsid w:val="005F67C5"/>
    <w:rsid w:val="00601917"/>
    <w:rsid w:val="00634EB9"/>
    <w:rsid w:val="00640198"/>
    <w:rsid w:val="0064351A"/>
    <w:rsid w:val="0065734C"/>
    <w:rsid w:val="00657819"/>
    <w:rsid w:val="0066358F"/>
    <w:rsid w:val="00687E6E"/>
    <w:rsid w:val="006A1A11"/>
    <w:rsid w:val="006A7EB6"/>
    <w:rsid w:val="006C0569"/>
    <w:rsid w:val="006C5A75"/>
    <w:rsid w:val="006D04E6"/>
    <w:rsid w:val="006F3357"/>
    <w:rsid w:val="006F5738"/>
    <w:rsid w:val="006F6DAB"/>
    <w:rsid w:val="00704FCB"/>
    <w:rsid w:val="00712D98"/>
    <w:rsid w:val="0072031A"/>
    <w:rsid w:val="0072098F"/>
    <w:rsid w:val="00721323"/>
    <w:rsid w:val="00724D0A"/>
    <w:rsid w:val="00730AAC"/>
    <w:rsid w:val="00736024"/>
    <w:rsid w:val="0074784D"/>
    <w:rsid w:val="0075491B"/>
    <w:rsid w:val="007615A5"/>
    <w:rsid w:val="007637D9"/>
    <w:rsid w:val="007830DF"/>
    <w:rsid w:val="00787003"/>
    <w:rsid w:val="00793051"/>
    <w:rsid w:val="007956DF"/>
    <w:rsid w:val="007B0E64"/>
    <w:rsid w:val="007C05D0"/>
    <w:rsid w:val="007C3B97"/>
    <w:rsid w:val="007C44EF"/>
    <w:rsid w:val="007E35FE"/>
    <w:rsid w:val="007E67BB"/>
    <w:rsid w:val="007F62E1"/>
    <w:rsid w:val="00804E4C"/>
    <w:rsid w:val="00814AAB"/>
    <w:rsid w:val="00825049"/>
    <w:rsid w:val="00833FD2"/>
    <w:rsid w:val="0084062A"/>
    <w:rsid w:val="00844374"/>
    <w:rsid w:val="008454E6"/>
    <w:rsid w:val="00860DDC"/>
    <w:rsid w:val="00872A90"/>
    <w:rsid w:val="00894559"/>
    <w:rsid w:val="008B7C19"/>
    <w:rsid w:val="008C06E8"/>
    <w:rsid w:val="008C49C1"/>
    <w:rsid w:val="008D6526"/>
    <w:rsid w:val="008E0F5F"/>
    <w:rsid w:val="008E475B"/>
    <w:rsid w:val="008E5592"/>
    <w:rsid w:val="00983DCB"/>
    <w:rsid w:val="00985444"/>
    <w:rsid w:val="00985ABE"/>
    <w:rsid w:val="009866E5"/>
    <w:rsid w:val="009A1002"/>
    <w:rsid w:val="009A3CBE"/>
    <w:rsid w:val="009B1D7A"/>
    <w:rsid w:val="009D241A"/>
    <w:rsid w:val="009D45F8"/>
    <w:rsid w:val="00A0623D"/>
    <w:rsid w:val="00A078BF"/>
    <w:rsid w:val="00A338D6"/>
    <w:rsid w:val="00A341AB"/>
    <w:rsid w:val="00A34A47"/>
    <w:rsid w:val="00A40578"/>
    <w:rsid w:val="00A41B32"/>
    <w:rsid w:val="00A6137D"/>
    <w:rsid w:val="00A6590D"/>
    <w:rsid w:val="00A738BB"/>
    <w:rsid w:val="00AA3ADB"/>
    <w:rsid w:val="00AA53D5"/>
    <w:rsid w:val="00AC3376"/>
    <w:rsid w:val="00AC5FAF"/>
    <w:rsid w:val="00AD3688"/>
    <w:rsid w:val="00AD64BE"/>
    <w:rsid w:val="00AE6668"/>
    <w:rsid w:val="00AF1DCB"/>
    <w:rsid w:val="00B161C4"/>
    <w:rsid w:val="00B27F24"/>
    <w:rsid w:val="00B341F2"/>
    <w:rsid w:val="00B3613F"/>
    <w:rsid w:val="00B4649C"/>
    <w:rsid w:val="00B62805"/>
    <w:rsid w:val="00B63A0B"/>
    <w:rsid w:val="00B6405D"/>
    <w:rsid w:val="00B67DA7"/>
    <w:rsid w:val="00B746BD"/>
    <w:rsid w:val="00B97148"/>
    <w:rsid w:val="00BA1740"/>
    <w:rsid w:val="00BA4868"/>
    <w:rsid w:val="00BB39F3"/>
    <w:rsid w:val="00BB5D78"/>
    <w:rsid w:val="00BC647F"/>
    <w:rsid w:val="00BE1994"/>
    <w:rsid w:val="00BE3C69"/>
    <w:rsid w:val="00BE443F"/>
    <w:rsid w:val="00BF5DD5"/>
    <w:rsid w:val="00C07978"/>
    <w:rsid w:val="00C155CF"/>
    <w:rsid w:val="00C25B6C"/>
    <w:rsid w:val="00C30628"/>
    <w:rsid w:val="00C62AA9"/>
    <w:rsid w:val="00C64980"/>
    <w:rsid w:val="00C664A3"/>
    <w:rsid w:val="00C72A3A"/>
    <w:rsid w:val="00C92090"/>
    <w:rsid w:val="00CA4F88"/>
    <w:rsid w:val="00CA6A1F"/>
    <w:rsid w:val="00CB3980"/>
    <w:rsid w:val="00CE1A81"/>
    <w:rsid w:val="00CE56F4"/>
    <w:rsid w:val="00CE5D08"/>
    <w:rsid w:val="00CF093F"/>
    <w:rsid w:val="00CF1D45"/>
    <w:rsid w:val="00CF3261"/>
    <w:rsid w:val="00CF3FA6"/>
    <w:rsid w:val="00D051D5"/>
    <w:rsid w:val="00D172B2"/>
    <w:rsid w:val="00D32A2C"/>
    <w:rsid w:val="00D45DEF"/>
    <w:rsid w:val="00D4690D"/>
    <w:rsid w:val="00D46EE0"/>
    <w:rsid w:val="00D56407"/>
    <w:rsid w:val="00D57615"/>
    <w:rsid w:val="00D71A07"/>
    <w:rsid w:val="00D775EB"/>
    <w:rsid w:val="00D80D48"/>
    <w:rsid w:val="00DC5510"/>
    <w:rsid w:val="00DD61A2"/>
    <w:rsid w:val="00DD6281"/>
    <w:rsid w:val="00DE3DBD"/>
    <w:rsid w:val="00DF45F3"/>
    <w:rsid w:val="00E14C0B"/>
    <w:rsid w:val="00E17085"/>
    <w:rsid w:val="00E229DD"/>
    <w:rsid w:val="00E25FA6"/>
    <w:rsid w:val="00E32FD6"/>
    <w:rsid w:val="00E5155E"/>
    <w:rsid w:val="00E57AB3"/>
    <w:rsid w:val="00E61BF3"/>
    <w:rsid w:val="00E65BD1"/>
    <w:rsid w:val="00E8295F"/>
    <w:rsid w:val="00E86D0B"/>
    <w:rsid w:val="00EA5FC5"/>
    <w:rsid w:val="00EA612A"/>
    <w:rsid w:val="00EB72A3"/>
    <w:rsid w:val="00EC332B"/>
    <w:rsid w:val="00ED0ADB"/>
    <w:rsid w:val="00ED47B3"/>
    <w:rsid w:val="00EE3E94"/>
    <w:rsid w:val="00EE4F62"/>
    <w:rsid w:val="00EF1C80"/>
    <w:rsid w:val="00EF2ED0"/>
    <w:rsid w:val="00F101AC"/>
    <w:rsid w:val="00F15DBE"/>
    <w:rsid w:val="00F2018F"/>
    <w:rsid w:val="00F24727"/>
    <w:rsid w:val="00F24D58"/>
    <w:rsid w:val="00F3669A"/>
    <w:rsid w:val="00F45052"/>
    <w:rsid w:val="00F619AB"/>
    <w:rsid w:val="00F83C9F"/>
    <w:rsid w:val="00F94012"/>
    <w:rsid w:val="00FA0048"/>
    <w:rsid w:val="00FA6DE3"/>
    <w:rsid w:val="00FB5849"/>
    <w:rsid w:val="00FC1D11"/>
    <w:rsid w:val="00FC3F99"/>
    <w:rsid w:val="00FC5FA8"/>
    <w:rsid w:val="00FE4200"/>
    <w:rsid w:val="00FF3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7F"/>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
    <w:basedOn w:val="Normal"/>
    <w:link w:val="FootnoteTextChar"/>
    <w:rsid w:val="00194E7F"/>
    <w:rPr>
      <w:snapToGrid/>
      <w:sz w:val="20"/>
    </w:rPr>
  </w:style>
  <w:style w:type="character" w:styleId="FootnoteReference">
    <w:name w:val="footnote reference"/>
    <w:basedOn w:val="DefaultParagraphFont"/>
    <w:uiPriority w:val="99"/>
    <w:semiHidden/>
    <w:rsid w:val="00194E7F"/>
    <w:rPr>
      <w:vertAlign w:val="superscript"/>
    </w:rPr>
  </w:style>
  <w:style w:type="paragraph" w:styleId="BodyTextIndent">
    <w:name w:val="Body Text Indent"/>
    <w:basedOn w:val="Normal"/>
    <w:semiHidden/>
    <w:rsid w:val="00194E7F"/>
    <w:pPr>
      <w:ind w:firstLine="720"/>
      <w:jc w:val="both"/>
    </w:pPr>
    <w:rPr>
      <w:rFonts w:ascii="Times" w:hAnsi="Times"/>
    </w:rPr>
  </w:style>
  <w:style w:type="paragraph" w:styleId="BodyTextIndent2">
    <w:name w:val="Body Text Indent 2"/>
    <w:basedOn w:val="Normal"/>
    <w:semiHidden/>
    <w:rsid w:val="00194E7F"/>
    <w:pPr>
      <w:ind w:firstLine="720"/>
    </w:pPr>
    <w:rPr>
      <w:rFonts w:ascii="Times" w:hAnsi="Times"/>
      <w:color w:val="000000"/>
      <w:szCs w:val="24"/>
    </w:rPr>
  </w:style>
  <w:style w:type="paragraph" w:styleId="Footer">
    <w:name w:val="footer"/>
    <w:basedOn w:val="Normal"/>
    <w:link w:val="FooterChar"/>
    <w:uiPriority w:val="99"/>
    <w:rsid w:val="00194E7F"/>
    <w:pPr>
      <w:tabs>
        <w:tab w:val="center" w:pos="4320"/>
        <w:tab w:val="right" w:pos="8640"/>
      </w:tabs>
    </w:pPr>
  </w:style>
  <w:style w:type="character" w:styleId="PageNumber">
    <w:name w:val="page number"/>
    <w:basedOn w:val="DefaultParagraphFont"/>
    <w:semiHidden/>
    <w:rsid w:val="00194E7F"/>
  </w:style>
  <w:style w:type="paragraph" w:styleId="BodyText">
    <w:name w:val="Body Text"/>
    <w:basedOn w:val="Normal"/>
    <w:semiHidden/>
    <w:rsid w:val="00194E7F"/>
    <w:rPr>
      <w:rFonts w:ascii="Times" w:hAnsi="Times"/>
      <w:color w:val="000000"/>
      <w:szCs w:val="24"/>
    </w:rPr>
  </w:style>
  <w:style w:type="character" w:styleId="Hyperlink">
    <w:name w:val="Hyperlink"/>
    <w:basedOn w:val="DefaultParagraphFont"/>
    <w:rsid w:val="00393AD9"/>
    <w:rPr>
      <w:color w:val="0000FF"/>
      <w:u w:val="single"/>
    </w:rPr>
  </w:style>
  <w:style w:type="character" w:customStyle="1" w:styleId="FootnoteTextChar">
    <w:name w:val="Footnote Text Char"/>
    <w:aliases w:val="Footnote Text Char1 Char1,Footnote Text Char Char Char1"/>
    <w:basedOn w:val="DefaultParagraphFont"/>
    <w:link w:val="FootnoteText"/>
    <w:uiPriority w:val="99"/>
    <w:semiHidden/>
    <w:rsid w:val="00393AD9"/>
  </w:style>
  <w:style w:type="character" w:styleId="CommentReference">
    <w:name w:val="annotation reference"/>
    <w:basedOn w:val="DefaultParagraphFont"/>
    <w:uiPriority w:val="99"/>
    <w:semiHidden/>
    <w:unhideWhenUsed/>
    <w:rsid w:val="008454E6"/>
    <w:rPr>
      <w:sz w:val="16"/>
      <w:szCs w:val="16"/>
    </w:rPr>
  </w:style>
  <w:style w:type="paragraph" w:styleId="CommentText">
    <w:name w:val="annotation text"/>
    <w:basedOn w:val="Normal"/>
    <w:link w:val="CommentTextChar"/>
    <w:uiPriority w:val="99"/>
    <w:unhideWhenUsed/>
    <w:rsid w:val="008454E6"/>
    <w:rPr>
      <w:sz w:val="20"/>
    </w:rPr>
  </w:style>
  <w:style w:type="character" w:customStyle="1" w:styleId="CommentTextChar">
    <w:name w:val="Comment Text Char"/>
    <w:basedOn w:val="DefaultParagraphFont"/>
    <w:link w:val="CommentText"/>
    <w:uiPriority w:val="99"/>
    <w:rsid w:val="008454E6"/>
    <w:rPr>
      <w:snapToGrid w:val="0"/>
    </w:rPr>
  </w:style>
  <w:style w:type="paragraph" w:styleId="CommentSubject">
    <w:name w:val="annotation subject"/>
    <w:basedOn w:val="CommentText"/>
    <w:next w:val="CommentText"/>
    <w:link w:val="CommentSubjectChar"/>
    <w:uiPriority w:val="99"/>
    <w:semiHidden/>
    <w:unhideWhenUsed/>
    <w:rsid w:val="008454E6"/>
    <w:rPr>
      <w:b/>
      <w:bCs/>
    </w:rPr>
  </w:style>
  <w:style w:type="character" w:customStyle="1" w:styleId="CommentSubjectChar">
    <w:name w:val="Comment Subject Char"/>
    <w:basedOn w:val="CommentTextChar"/>
    <w:link w:val="CommentSubject"/>
    <w:uiPriority w:val="99"/>
    <w:semiHidden/>
    <w:rsid w:val="008454E6"/>
    <w:rPr>
      <w:b/>
      <w:bCs/>
    </w:rPr>
  </w:style>
  <w:style w:type="paragraph" w:styleId="Revision">
    <w:name w:val="Revision"/>
    <w:hidden/>
    <w:uiPriority w:val="99"/>
    <w:semiHidden/>
    <w:rsid w:val="008454E6"/>
    <w:rPr>
      <w:snapToGrid w:val="0"/>
      <w:sz w:val="24"/>
    </w:rPr>
  </w:style>
  <w:style w:type="paragraph" w:styleId="BalloonText">
    <w:name w:val="Balloon Text"/>
    <w:basedOn w:val="Normal"/>
    <w:link w:val="BalloonTextChar"/>
    <w:uiPriority w:val="99"/>
    <w:semiHidden/>
    <w:unhideWhenUsed/>
    <w:rsid w:val="008454E6"/>
    <w:rPr>
      <w:rFonts w:ascii="Tahoma" w:hAnsi="Tahoma" w:cs="Tahoma"/>
      <w:sz w:val="16"/>
      <w:szCs w:val="16"/>
    </w:rPr>
  </w:style>
  <w:style w:type="character" w:customStyle="1" w:styleId="BalloonTextChar">
    <w:name w:val="Balloon Text Char"/>
    <w:basedOn w:val="DefaultParagraphFont"/>
    <w:link w:val="BalloonText"/>
    <w:uiPriority w:val="99"/>
    <w:semiHidden/>
    <w:rsid w:val="008454E6"/>
    <w:rPr>
      <w:rFonts w:ascii="Tahoma" w:hAnsi="Tahoma" w:cs="Tahoma"/>
      <w:snapToGrid w:val="0"/>
      <w:sz w:val="16"/>
      <w:szCs w:val="16"/>
    </w:rPr>
  </w:style>
  <w:style w:type="paragraph" w:styleId="Header">
    <w:name w:val="header"/>
    <w:basedOn w:val="Normal"/>
    <w:link w:val="HeaderChar"/>
    <w:uiPriority w:val="99"/>
    <w:unhideWhenUsed/>
    <w:rsid w:val="00872A90"/>
    <w:pPr>
      <w:tabs>
        <w:tab w:val="center" w:pos="4680"/>
        <w:tab w:val="right" w:pos="9360"/>
      </w:tabs>
    </w:pPr>
  </w:style>
  <w:style w:type="character" w:customStyle="1" w:styleId="HeaderChar">
    <w:name w:val="Header Char"/>
    <w:basedOn w:val="DefaultParagraphFont"/>
    <w:link w:val="Header"/>
    <w:uiPriority w:val="99"/>
    <w:rsid w:val="00872A90"/>
    <w:rPr>
      <w:snapToGrid w:val="0"/>
      <w:sz w:val="24"/>
    </w:rPr>
  </w:style>
  <w:style w:type="character" w:customStyle="1" w:styleId="FooterChar">
    <w:name w:val="Footer Char"/>
    <w:basedOn w:val="DefaultParagraphFont"/>
    <w:link w:val="Footer"/>
    <w:uiPriority w:val="99"/>
    <w:rsid w:val="00872A90"/>
    <w:rPr>
      <w:snapToGrid w:val="0"/>
      <w:sz w:val="24"/>
    </w:rPr>
  </w:style>
  <w:style w:type="character" w:customStyle="1" w:styleId="FootnoteTextChar2">
    <w:name w:val="Footnote Text Char2"/>
    <w:aliases w:val="Footnote Text Char1 Char,Footnote Text Char Char Char,Footnote Text Char Char1"/>
    <w:basedOn w:val="DefaultParagraphFont"/>
    <w:locked/>
    <w:rsid w:val="00DF45F3"/>
    <w:rPr>
      <w:snapToGrid w:val="0"/>
      <w:sz w:val="24"/>
      <w:lang w:val="en-US" w:eastAsia="en-US" w:bidi="ar-SA"/>
    </w:rPr>
  </w:style>
  <w:style w:type="paragraph" w:styleId="ListParagraph">
    <w:name w:val="List Paragraph"/>
    <w:basedOn w:val="Normal"/>
    <w:uiPriority w:val="34"/>
    <w:qFormat/>
    <w:rsid w:val="008C06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ocwage.nr0.htm" TargetMode="External"/><Relationship Id="rId2" Type="http://schemas.openxmlformats.org/officeDocument/2006/relationships/hyperlink" Target="file:///\\drslx1\fr-misc\fr_documents\proposals\Legal\FR%204025%20(Reg%20R)\www.sba.gov\contractingopportunities\officials\size\table\index.html" TargetMode="External"/><Relationship Id="rId1" Type="http://schemas.openxmlformats.org/officeDocument/2006/relationships/hyperlink" Target="http://www.federalreserve.gov" TargetMode="External"/><Relationship Id="rId4" Type="http://schemas.openxmlformats.org/officeDocument/2006/relationships/hyperlink" Target="http://www.bls.gov/s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D23F-6FD1-4C8D-81E9-43AA3C48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Ayouch</dc:creator>
  <cp:keywords/>
  <dc:description/>
  <cp:lastModifiedBy>frbuser</cp:lastModifiedBy>
  <cp:revision>2</cp:revision>
  <cp:lastPrinted>2012-08-07T14:29:00Z</cp:lastPrinted>
  <dcterms:created xsi:type="dcterms:W3CDTF">2012-08-30T18:28:00Z</dcterms:created>
  <dcterms:modified xsi:type="dcterms:W3CDTF">2012-08-30T18:28:00Z</dcterms:modified>
</cp:coreProperties>
</file>