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A80" w:rsidRPr="00596919" w:rsidRDefault="004C3A80" w:rsidP="004C3A80">
      <w:pPr>
        <w:rPr>
          <w:rFonts w:ascii="Times New Roman" w:hAnsi="Times New Roman"/>
          <w:szCs w:val="24"/>
        </w:rPr>
      </w:pPr>
    </w:p>
    <w:p w:rsidR="004C3A80" w:rsidRPr="00596919" w:rsidRDefault="003E4AF3" w:rsidP="00960837">
      <w:pPr>
        <w:spacing w:line="480" w:lineRule="auto"/>
        <w:jc w:val="center"/>
        <w:outlineLvl w:val="0"/>
        <w:rPr>
          <w:rFonts w:ascii="Times New Roman" w:hAnsi="Times New Roman"/>
          <w:b/>
          <w:bCs/>
          <w:szCs w:val="24"/>
        </w:rPr>
      </w:pPr>
      <w:r w:rsidRPr="003E4AF3">
        <w:rPr>
          <w:rFonts w:ascii="Times New Roman" w:hAnsi="Times New Roman"/>
          <w:b/>
          <w:szCs w:val="24"/>
        </w:rPr>
        <w:t>National School Lunch Program: School Food Service Account Revenue Amendments Related to the Healthy, Hunger-Free Kids Act of 2010</w:t>
      </w:r>
    </w:p>
    <w:p w:rsidR="004C3A80" w:rsidRPr="00596919" w:rsidRDefault="003E4AF3" w:rsidP="00960837">
      <w:pPr>
        <w:spacing w:line="480" w:lineRule="auto"/>
        <w:jc w:val="center"/>
        <w:outlineLvl w:val="0"/>
        <w:rPr>
          <w:rFonts w:ascii="Times New Roman" w:hAnsi="Times New Roman"/>
          <w:b/>
          <w:bCs/>
          <w:szCs w:val="24"/>
        </w:rPr>
      </w:pPr>
      <w:r w:rsidRPr="003E4AF3">
        <w:rPr>
          <w:rFonts w:ascii="Times New Roman" w:hAnsi="Times New Roman"/>
          <w:b/>
          <w:bCs/>
          <w:szCs w:val="24"/>
        </w:rPr>
        <w:t>OMB CLEARANCE NUMBER 0584-</w:t>
      </w:r>
      <w:r w:rsidR="00F002AC">
        <w:rPr>
          <w:rFonts w:ascii="Times New Roman" w:hAnsi="Times New Roman"/>
          <w:b/>
          <w:bCs/>
          <w:szCs w:val="24"/>
        </w:rPr>
        <w:t>NEW</w:t>
      </w:r>
    </w:p>
    <w:p w:rsidR="004C3A80" w:rsidRPr="00596919" w:rsidRDefault="004C3A80" w:rsidP="004C3A80">
      <w:pPr>
        <w:spacing w:line="480" w:lineRule="auto"/>
        <w:rPr>
          <w:rFonts w:ascii="Times New Roman" w:hAnsi="Times New Roman"/>
          <w:b/>
          <w:bCs/>
          <w:spacing w:val="-3"/>
          <w:szCs w:val="24"/>
        </w:rPr>
      </w:pPr>
    </w:p>
    <w:p w:rsidR="004C3A80" w:rsidRPr="00596919" w:rsidRDefault="003E4AF3" w:rsidP="00960837">
      <w:pPr>
        <w:spacing w:line="480" w:lineRule="auto"/>
        <w:jc w:val="center"/>
        <w:outlineLvl w:val="0"/>
        <w:rPr>
          <w:rFonts w:ascii="Times New Roman" w:hAnsi="Times New Roman"/>
          <w:b/>
          <w:bCs/>
          <w:spacing w:val="-3"/>
          <w:szCs w:val="24"/>
        </w:rPr>
      </w:pPr>
      <w:r w:rsidRPr="003E4AF3">
        <w:rPr>
          <w:rFonts w:ascii="Times New Roman" w:hAnsi="Times New Roman"/>
          <w:b/>
          <w:bCs/>
          <w:spacing w:val="-3"/>
          <w:szCs w:val="24"/>
        </w:rPr>
        <w:t>Susan Weeks, Program Analyst</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Food and Nutrition Service, USDA</w:t>
      </w:r>
    </w:p>
    <w:p w:rsidR="00D2094C" w:rsidRPr="00596919" w:rsidRDefault="003E4AF3" w:rsidP="00D2094C">
      <w:pPr>
        <w:spacing w:line="480" w:lineRule="auto"/>
        <w:jc w:val="center"/>
        <w:rPr>
          <w:rFonts w:ascii="Times New Roman" w:hAnsi="Times New Roman"/>
          <w:b/>
          <w:bCs/>
          <w:spacing w:val="-3"/>
          <w:szCs w:val="24"/>
        </w:rPr>
      </w:pPr>
      <w:r w:rsidRPr="003E4AF3">
        <w:rPr>
          <w:rFonts w:ascii="Times New Roman" w:hAnsi="Times New Roman"/>
          <w:b/>
          <w:bCs/>
          <w:spacing w:val="-3"/>
          <w:szCs w:val="24"/>
        </w:rPr>
        <w:t>Special Nutrition Programs</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Child Nutrition Division</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Program Analysis and Monitoring Branch</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3101 Park Center Drive</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Alexandria, VA  22302</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 xml:space="preserve">Phone:    703-305-2590 </w:t>
      </w:r>
    </w:p>
    <w:p w:rsidR="004C3A80" w:rsidRPr="00596919" w:rsidRDefault="00B5411D" w:rsidP="004C3A80">
      <w:pPr>
        <w:spacing w:line="480" w:lineRule="auto"/>
        <w:jc w:val="center"/>
        <w:rPr>
          <w:rFonts w:ascii="Times New Roman" w:hAnsi="Times New Roman"/>
          <w:b/>
          <w:bCs/>
          <w:spacing w:val="-3"/>
          <w:szCs w:val="24"/>
        </w:rPr>
      </w:pPr>
      <w:hyperlink r:id="rId8" w:history="1">
        <w:r w:rsidR="003E4AF3" w:rsidRPr="003E4AF3">
          <w:rPr>
            <w:rStyle w:val="Hyperlink"/>
            <w:rFonts w:ascii="Times New Roman" w:hAnsi="Times New Roman"/>
            <w:b/>
            <w:bCs/>
            <w:spacing w:val="-3"/>
            <w:szCs w:val="24"/>
          </w:rPr>
          <w:t>susan.weeks@fns.usda.gov</w:t>
        </w:r>
      </w:hyperlink>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4C3A80" w:rsidRPr="00596919" w:rsidRDefault="004C3A80">
      <w:pPr>
        <w:tabs>
          <w:tab w:val="left" w:pos="-720"/>
        </w:tabs>
        <w:suppressAutoHyphens/>
        <w:rPr>
          <w:rFonts w:ascii="Times New Roman" w:hAnsi="Times New Roman"/>
          <w:b/>
          <w:spacing w:val="-3"/>
          <w:szCs w:val="24"/>
        </w:rPr>
      </w:pPr>
    </w:p>
    <w:p w:rsidR="00840876" w:rsidRPr="00843CF1" w:rsidRDefault="00944A29" w:rsidP="00843CF1">
      <w:pPr>
        <w:tabs>
          <w:tab w:val="left" w:pos="-720"/>
        </w:tabs>
        <w:suppressAutoHyphens/>
        <w:spacing w:line="480" w:lineRule="auto"/>
        <w:rPr>
          <w:rFonts w:ascii="Times New Roman" w:hAnsi="Times New Roman"/>
          <w:strike/>
          <w:spacing w:val="-3"/>
          <w:szCs w:val="24"/>
        </w:rPr>
      </w:pPr>
      <w:r w:rsidRPr="005C5FC6">
        <w:rPr>
          <w:rFonts w:ascii="Times New Roman" w:hAnsi="Times New Roman"/>
          <w:b/>
          <w:spacing w:val="-3"/>
          <w:szCs w:val="24"/>
        </w:rPr>
        <w:lastRenderedPageBreak/>
        <w:t>1.</w:t>
      </w:r>
      <w:r w:rsidRPr="00944A29">
        <w:rPr>
          <w:rFonts w:ascii="Times New Roman" w:hAnsi="Times New Roman"/>
          <w:spacing w:val="-3"/>
          <w:szCs w:val="24"/>
        </w:rPr>
        <w:t xml:space="preserve"> </w:t>
      </w:r>
      <w:r>
        <w:rPr>
          <w:rFonts w:ascii="Times New Roman" w:hAnsi="Times New Roman"/>
          <w:spacing w:val="-3"/>
          <w:szCs w:val="24"/>
        </w:rPr>
        <w:t xml:space="preserve">   </w:t>
      </w:r>
      <w:r w:rsidR="001A1743" w:rsidRPr="00944A29">
        <w:rPr>
          <w:rFonts w:ascii="Times New Roman" w:hAnsi="Times New Roman"/>
          <w:b/>
          <w:bCs/>
          <w:color w:val="000000"/>
        </w:rPr>
        <w:t xml:space="preserve">Explain the circumstances that make the collection of information necessary. </w:t>
      </w:r>
      <w:r w:rsidR="001A1743" w:rsidRPr="00944A29">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rsidR="00DF5DB2" w:rsidRPr="00596919" w:rsidRDefault="003E4AF3" w:rsidP="00DF5DB2">
      <w:pPr>
        <w:tabs>
          <w:tab w:val="left" w:pos="-720"/>
        </w:tabs>
        <w:suppressAutoHyphens/>
        <w:spacing w:line="480" w:lineRule="auto"/>
        <w:rPr>
          <w:rFonts w:ascii="Times New Roman" w:hAnsi="Times New Roman"/>
          <w:spacing w:val="-3"/>
          <w:szCs w:val="24"/>
        </w:rPr>
      </w:pPr>
      <w:r w:rsidRPr="003E4AF3">
        <w:rPr>
          <w:rFonts w:ascii="Times New Roman" w:hAnsi="Times New Roman"/>
        </w:rPr>
        <w:t>This is a new collection</w:t>
      </w:r>
      <w:r w:rsidR="00DF5DB2">
        <w:rPr>
          <w:rFonts w:ascii="Times New Roman" w:hAnsi="Times New Roman"/>
        </w:rPr>
        <w:t xml:space="preserve">, though once OMB approval is complete </w:t>
      </w:r>
      <w:r w:rsidR="00DF5DB2" w:rsidRPr="00596919">
        <w:rPr>
          <w:rFonts w:ascii="Times New Roman" w:hAnsi="Times New Roman"/>
          <w:spacing w:val="-3"/>
          <w:szCs w:val="24"/>
        </w:rPr>
        <w:t>FNS will merge the burden hours with OMB control number 0584-0006 titled National School Lunch Program (NSLP).</w:t>
      </w:r>
    </w:p>
    <w:p w:rsidR="00DF5DB2" w:rsidRDefault="003E4AF3">
      <w:pPr>
        <w:tabs>
          <w:tab w:val="left" w:pos="-720"/>
        </w:tabs>
        <w:suppressAutoHyphens/>
        <w:spacing w:line="480" w:lineRule="auto"/>
      </w:pPr>
      <w:r w:rsidRPr="003E4AF3">
        <w:rPr>
          <w:rFonts w:ascii="Times New Roman" w:hAnsi="Times New Roman"/>
        </w:rPr>
        <w:t xml:space="preserve">This </w:t>
      </w:r>
      <w:r w:rsidR="00525E7E">
        <w:rPr>
          <w:rFonts w:ascii="Times New Roman" w:hAnsi="Times New Roman"/>
        </w:rPr>
        <w:t xml:space="preserve">interim </w:t>
      </w:r>
      <w:r w:rsidRPr="003E4AF3">
        <w:rPr>
          <w:rFonts w:ascii="Times New Roman" w:hAnsi="Times New Roman"/>
        </w:rPr>
        <w:t>rule</w:t>
      </w:r>
      <w:r w:rsidR="000109ED">
        <w:rPr>
          <w:rFonts w:ascii="Times New Roman" w:hAnsi="Times New Roman"/>
        </w:rPr>
        <w:t>, published June 17, 2011, Federal Register, Vol. 76, No. 117, p. 35301,</w:t>
      </w:r>
      <w:r w:rsidR="006B7D13">
        <w:rPr>
          <w:rFonts w:ascii="Times New Roman" w:hAnsi="Times New Roman"/>
        </w:rPr>
        <w:t xml:space="preserve"> </w:t>
      </w:r>
      <w:r w:rsidRPr="003E4AF3">
        <w:rPr>
          <w:rFonts w:ascii="Times New Roman" w:hAnsi="Times New Roman"/>
        </w:rPr>
        <w:t xml:space="preserve">amends National School Lunch Program (NSLP) regulations to conform to requirements contained in the Healthy, Hunger-Free Kids Act of 2010 (Public Law 111-296 - </w:t>
      </w:r>
      <w:hyperlink r:id="rId9" w:history="1">
        <w:r>
          <w:rPr>
            <w:rStyle w:val="Hyperlink"/>
            <w:rFonts w:ascii="Times New Roman" w:hAnsi="Times New Roman"/>
            <w:szCs w:val="24"/>
          </w:rPr>
          <w:t>http://www.gpo.gov/fdsys/pkg/PLAW-111publ296/pdf/PLAW-111publ296.pdf</w:t>
        </w:r>
      </w:hyperlink>
      <w:r w:rsidRPr="003E4AF3">
        <w:rPr>
          <w:rFonts w:ascii="Times New Roman" w:hAnsi="Times New Roman"/>
        </w:rPr>
        <w:t xml:space="preserve">) regarding equity in school lunch pricing and revenue from </w:t>
      </w:r>
      <w:proofErr w:type="spellStart"/>
      <w:r w:rsidRPr="003E4AF3">
        <w:rPr>
          <w:rFonts w:ascii="Times New Roman" w:hAnsi="Times New Roman"/>
        </w:rPr>
        <w:t>nonprogram</w:t>
      </w:r>
      <w:proofErr w:type="spellEnd"/>
      <w:r w:rsidRPr="003E4AF3">
        <w:rPr>
          <w:rFonts w:ascii="Times New Roman" w:hAnsi="Times New Roman"/>
        </w:rPr>
        <w:t xml:space="preserve"> foods sold in schools.  This rule requires school food authorities (SFAs) participating in the NSLP to provide the same level of financial support for lunches served to students who are not eligible for free or reduced price lunches as is provided for lunches served to students eligible for free lunches.  This rule also requires </w:t>
      </w:r>
      <w:r w:rsidR="00525E7E">
        <w:rPr>
          <w:rFonts w:ascii="Times New Roman" w:hAnsi="Times New Roman"/>
        </w:rPr>
        <w:t xml:space="preserve">that the revenue from the sale of </w:t>
      </w:r>
      <w:proofErr w:type="spellStart"/>
      <w:r w:rsidR="00525E7E">
        <w:rPr>
          <w:rFonts w:ascii="Times New Roman" w:hAnsi="Times New Roman"/>
        </w:rPr>
        <w:t>nonprogram</w:t>
      </w:r>
      <w:proofErr w:type="spellEnd"/>
      <w:r w:rsidR="00525E7E">
        <w:rPr>
          <w:rFonts w:ascii="Times New Roman" w:hAnsi="Times New Roman"/>
        </w:rPr>
        <w:t xml:space="preserve"> foods be proportionate to the total revenue generated by such foods. </w:t>
      </w:r>
      <w:r w:rsidR="005C5FC6">
        <w:rPr>
          <w:rFonts w:ascii="Times New Roman" w:hAnsi="Times New Roman"/>
        </w:rPr>
        <w:t xml:space="preserve"> </w:t>
      </w:r>
      <w:r w:rsidR="00A56C43">
        <w:rPr>
          <w:rFonts w:ascii="Times New Roman" w:hAnsi="Times New Roman"/>
        </w:rPr>
        <w:t xml:space="preserve">Information collection on school food service account revenue </w:t>
      </w:r>
      <w:r w:rsidR="00DF5DB2">
        <w:rPr>
          <w:rFonts w:ascii="Times New Roman" w:hAnsi="Times New Roman"/>
        </w:rPr>
        <w:t>is essential to</w:t>
      </w:r>
      <w:r w:rsidR="00A56C43">
        <w:rPr>
          <w:rFonts w:ascii="Times New Roman" w:hAnsi="Times New Roman"/>
        </w:rPr>
        <w:t xml:space="preserve"> monitor SFAs and State agency </w:t>
      </w:r>
      <w:r w:rsidR="005C5FC6">
        <w:rPr>
          <w:rFonts w:ascii="Times New Roman" w:hAnsi="Times New Roman"/>
        </w:rPr>
        <w:t xml:space="preserve">(SA) </w:t>
      </w:r>
      <w:r w:rsidR="00A56C43">
        <w:rPr>
          <w:rFonts w:ascii="Times New Roman" w:hAnsi="Times New Roman"/>
        </w:rPr>
        <w:t>compliance</w:t>
      </w:r>
      <w:r w:rsidR="00C622CA">
        <w:rPr>
          <w:rFonts w:ascii="Times New Roman" w:hAnsi="Times New Roman"/>
        </w:rPr>
        <w:t xml:space="preserve"> related to School Food Accounts </w:t>
      </w:r>
      <w:r w:rsidR="00DF5DB2">
        <w:rPr>
          <w:rFonts w:ascii="Times New Roman" w:hAnsi="Times New Roman"/>
        </w:rPr>
        <w:t>Revenue rule</w:t>
      </w:r>
      <w:r w:rsidR="00C622CA">
        <w:rPr>
          <w:rFonts w:ascii="Times New Roman" w:hAnsi="Times New Roman"/>
        </w:rPr>
        <w:t>.</w:t>
      </w:r>
    </w:p>
    <w:p w:rsidR="00843CF1" w:rsidRDefault="00843CF1" w:rsidP="00C269D7">
      <w:pPr>
        <w:tabs>
          <w:tab w:val="left" w:pos="-720"/>
        </w:tabs>
        <w:suppressAutoHyphens/>
        <w:rPr>
          <w:rFonts w:ascii="Times New Roman" w:hAnsi="Times New Roman"/>
          <w:spacing w:val="-3"/>
          <w:szCs w:val="24"/>
        </w:rPr>
      </w:pPr>
    </w:p>
    <w:p w:rsidR="00843CF1" w:rsidRPr="00596919" w:rsidRDefault="00843CF1" w:rsidP="00C269D7">
      <w:pPr>
        <w:tabs>
          <w:tab w:val="left" w:pos="-720"/>
        </w:tabs>
        <w:suppressAutoHyphens/>
        <w:rPr>
          <w:rFonts w:ascii="Times New Roman" w:hAnsi="Times New Roman"/>
          <w:spacing w:val="-3"/>
          <w:szCs w:val="24"/>
        </w:rPr>
      </w:pPr>
    </w:p>
    <w:p w:rsidR="00DF5DB2" w:rsidRDefault="0066677E">
      <w:pPr>
        <w:tabs>
          <w:tab w:val="left" w:pos="-720"/>
        </w:tabs>
        <w:suppressAutoHyphens/>
        <w:spacing w:line="480" w:lineRule="auto"/>
        <w:rPr>
          <w:rFonts w:ascii="Times New Roman" w:hAnsi="Times New Roman"/>
          <w:b/>
          <w:szCs w:val="24"/>
        </w:rPr>
      </w:pPr>
      <w:r w:rsidRPr="00596919">
        <w:rPr>
          <w:rFonts w:ascii="Times New Roman" w:hAnsi="Times New Roman"/>
          <w:b/>
          <w:spacing w:val="-3"/>
          <w:szCs w:val="24"/>
        </w:rPr>
        <w:t>2.</w:t>
      </w:r>
      <w:r w:rsidR="00944A29">
        <w:rPr>
          <w:rFonts w:ascii="Times New Roman" w:hAnsi="Times New Roman"/>
          <w:b/>
          <w:spacing w:val="-3"/>
          <w:szCs w:val="24"/>
        </w:rPr>
        <w:t xml:space="preserve">   </w:t>
      </w:r>
      <w:r w:rsidR="003E4AF3" w:rsidRPr="003E4AF3">
        <w:rPr>
          <w:rFonts w:ascii="Times New Roman" w:hAnsi="Times New Roman"/>
          <w:b/>
          <w:color w:val="000000"/>
          <w:szCs w:val="24"/>
        </w:rPr>
        <w:t>Indicate how, by whom, and for what purpose the information is to be used.</w:t>
      </w:r>
      <w:r w:rsidR="003E4AF3" w:rsidRPr="003E4AF3">
        <w:rPr>
          <w:rFonts w:ascii="Times New Roman" w:hAnsi="Times New Roman"/>
          <w:b/>
          <w:szCs w:val="24"/>
        </w:rPr>
        <w:t xml:space="preserve"> </w:t>
      </w:r>
      <w:r w:rsidR="005C5FC6">
        <w:rPr>
          <w:rFonts w:ascii="Times New Roman" w:hAnsi="Times New Roman"/>
          <w:b/>
          <w:szCs w:val="24"/>
        </w:rPr>
        <w:t xml:space="preserve"> </w:t>
      </w:r>
      <w:r w:rsidR="003E4AF3" w:rsidRPr="003E4AF3">
        <w:rPr>
          <w:rFonts w:ascii="Times New Roman" w:hAnsi="Times New Roman"/>
          <w:b/>
          <w:szCs w:val="24"/>
        </w:rPr>
        <w:t>Except for a new collection, indicate the actual use the agency has made of the information received from the current collection.</w:t>
      </w:r>
    </w:p>
    <w:p w:rsidR="00C27E10" w:rsidRDefault="00CF067B" w:rsidP="00C711BD">
      <w:pPr>
        <w:widowControl/>
        <w:overflowPunct/>
        <w:spacing w:line="480" w:lineRule="auto"/>
        <w:textAlignment w:val="auto"/>
        <w:rPr>
          <w:rFonts w:ascii="Times New Roman" w:hAnsi="Times New Roman"/>
          <w:szCs w:val="24"/>
        </w:rPr>
      </w:pPr>
      <w:r w:rsidRPr="00596919">
        <w:rPr>
          <w:rFonts w:ascii="Times New Roman" w:hAnsi="Times New Roman"/>
          <w:szCs w:val="24"/>
        </w:rPr>
        <w:lastRenderedPageBreak/>
        <w:t>Due to the statutory implementation deadline</w:t>
      </w:r>
      <w:r w:rsidR="007F422F" w:rsidRPr="00596919">
        <w:rPr>
          <w:rFonts w:ascii="Times New Roman" w:hAnsi="Times New Roman"/>
          <w:szCs w:val="24"/>
        </w:rPr>
        <w:t xml:space="preserve">, </w:t>
      </w:r>
      <w:r w:rsidRPr="00596919">
        <w:rPr>
          <w:rFonts w:ascii="Times New Roman" w:hAnsi="Times New Roman"/>
          <w:szCs w:val="24"/>
        </w:rPr>
        <w:t>this interim rule is necessary to comply with the requirements of Sections 205 and 206 of Public Law 111-296 and ensure that those provisions are implemented</w:t>
      </w:r>
      <w:r w:rsidR="005C5FC6">
        <w:rPr>
          <w:rFonts w:ascii="Times New Roman" w:hAnsi="Times New Roman"/>
          <w:szCs w:val="24"/>
        </w:rPr>
        <w:t xml:space="preserve"> and effected by SAs </w:t>
      </w:r>
      <w:r w:rsidRPr="00596919">
        <w:rPr>
          <w:rFonts w:ascii="Times New Roman" w:hAnsi="Times New Roman"/>
          <w:szCs w:val="24"/>
        </w:rPr>
        <w:t xml:space="preserve">and SFAs on July 1, 2011.  </w:t>
      </w:r>
      <w:r w:rsidR="00DD28BA" w:rsidRPr="00596919">
        <w:rPr>
          <w:rFonts w:ascii="Times New Roman" w:hAnsi="Times New Roman"/>
          <w:szCs w:val="24"/>
        </w:rPr>
        <w:t>SFAs are required to evaluate the prices they charge for paid lunches in relation to the Federal paid</w:t>
      </w:r>
      <w:r w:rsidR="005C5FC6">
        <w:rPr>
          <w:rFonts w:ascii="Times New Roman" w:hAnsi="Times New Roman"/>
          <w:szCs w:val="24"/>
        </w:rPr>
        <w:t xml:space="preserve"> and free reimbursement rates.  </w:t>
      </w:r>
      <w:r w:rsidR="00DD28BA" w:rsidRPr="00596919">
        <w:rPr>
          <w:rFonts w:ascii="Times New Roman" w:hAnsi="Times New Roman"/>
          <w:szCs w:val="24"/>
        </w:rPr>
        <w:t xml:space="preserve">SFAs must annually establish paid meal prices in accordance with the procedures in the Act.  </w:t>
      </w:r>
      <w:r w:rsidR="00940A53" w:rsidRPr="003E02ED">
        <w:rPr>
          <w:rFonts w:ascii="Times New Roman" w:hAnsi="Times New Roman"/>
          <w:szCs w:val="24"/>
        </w:rPr>
        <w:t>SAs must consolidate</w:t>
      </w:r>
      <w:r w:rsidR="00940A53">
        <w:rPr>
          <w:rFonts w:ascii="Times New Roman" w:hAnsi="Times New Roman"/>
          <w:szCs w:val="24"/>
        </w:rPr>
        <w:t xml:space="preserve"> paid lunch prices reported by </w:t>
      </w:r>
      <w:r w:rsidR="00C711BD">
        <w:rPr>
          <w:rFonts w:ascii="Times New Roman" w:hAnsi="Times New Roman"/>
          <w:szCs w:val="24"/>
        </w:rPr>
        <w:t xml:space="preserve">each </w:t>
      </w:r>
      <w:r w:rsidR="00940A53">
        <w:rPr>
          <w:rFonts w:ascii="Times New Roman" w:hAnsi="Times New Roman"/>
          <w:szCs w:val="24"/>
        </w:rPr>
        <w:t xml:space="preserve">SFA for the current school year and submit the FNS-828 to FNS by the last operating day of November each year.  </w:t>
      </w:r>
      <w:r w:rsidR="006B7D13">
        <w:rPr>
          <w:rFonts w:ascii="Times New Roman" w:hAnsi="Times New Roman"/>
          <w:szCs w:val="24"/>
        </w:rPr>
        <w:t>FN</w:t>
      </w:r>
      <w:r w:rsidR="00F002AC">
        <w:rPr>
          <w:rFonts w:ascii="Times New Roman" w:hAnsi="Times New Roman"/>
          <w:szCs w:val="24"/>
        </w:rPr>
        <w:t>S/</w:t>
      </w:r>
      <w:r w:rsidR="00DD28BA" w:rsidRPr="00596919">
        <w:rPr>
          <w:rFonts w:ascii="Times New Roman" w:hAnsi="Times New Roman"/>
          <w:szCs w:val="24"/>
        </w:rPr>
        <w:t xml:space="preserve">USDA must annually collect and publish the paid lunch prices charged by SFAs.  SFAs must ensure that the proportion of total school food service revenue provided by the sale of </w:t>
      </w:r>
      <w:proofErr w:type="spellStart"/>
      <w:r w:rsidR="00DD28BA" w:rsidRPr="00596919">
        <w:rPr>
          <w:rFonts w:ascii="Times New Roman" w:hAnsi="Times New Roman"/>
          <w:szCs w:val="24"/>
        </w:rPr>
        <w:t>nonprogram</w:t>
      </w:r>
      <w:proofErr w:type="spellEnd"/>
      <w:r w:rsidR="00DD28BA" w:rsidRPr="00596919">
        <w:rPr>
          <w:rFonts w:ascii="Times New Roman" w:hAnsi="Times New Roman"/>
          <w:szCs w:val="24"/>
        </w:rPr>
        <w:t xml:space="preserve"> foods to the total revenue of the school food service account is equal to or greater than the proportion of total food costs associated with obtaining </w:t>
      </w:r>
      <w:proofErr w:type="spellStart"/>
      <w:r w:rsidR="00DD28BA" w:rsidRPr="00596919">
        <w:rPr>
          <w:rFonts w:ascii="Times New Roman" w:hAnsi="Times New Roman"/>
          <w:szCs w:val="24"/>
        </w:rPr>
        <w:t>nonprogram</w:t>
      </w:r>
      <w:proofErr w:type="spellEnd"/>
      <w:r w:rsidR="00DD28BA" w:rsidRPr="00596919">
        <w:rPr>
          <w:rFonts w:ascii="Times New Roman" w:hAnsi="Times New Roman"/>
          <w:szCs w:val="24"/>
        </w:rPr>
        <w:t xml:space="preserve"> foods to the total costs associated with obtaining program and </w:t>
      </w:r>
      <w:proofErr w:type="spellStart"/>
      <w:r w:rsidR="00DD28BA" w:rsidRPr="00596919">
        <w:rPr>
          <w:rFonts w:ascii="Times New Roman" w:hAnsi="Times New Roman"/>
          <w:szCs w:val="24"/>
        </w:rPr>
        <w:t>nonp</w:t>
      </w:r>
      <w:r w:rsidR="00843CF1">
        <w:rPr>
          <w:rFonts w:ascii="Times New Roman" w:hAnsi="Times New Roman"/>
          <w:szCs w:val="24"/>
        </w:rPr>
        <w:t>rogram</w:t>
      </w:r>
      <w:proofErr w:type="spellEnd"/>
      <w:r w:rsidR="00843CF1">
        <w:rPr>
          <w:rFonts w:ascii="Times New Roman" w:hAnsi="Times New Roman"/>
          <w:szCs w:val="24"/>
        </w:rPr>
        <w:t xml:space="preserve"> foods from the account.  </w:t>
      </w:r>
      <w:r w:rsidR="00DD28BA" w:rsidRPr="00596919">
        <w:rPr>
          <w:rFonts w:ascii="Times New Roman" w:hAnsi="Times New Roman"/>
          <w:szCs w:val="24"/>
        </w:rPr>
        <w:t xml:space="preserve">All revenue from the sale of </w:t>
      </w:r>
      <w:proofErr w:type="spellStart"/>
      <w:r w:rsidR="00DD28BA" w:rsidRPr="00596919">
        <w:rPr>
          <w:rFonts w:ascii="Times New Roman" w:hAnsi="Times New Roman"/>
          <w:szCs w:val="24"/>
        </w:rPr>
        <w:t>nonprogram</w:t>
      </w:r>
      <w:proofErr w:type="spellEnd"/>
      <w:r w:rsidR="00DD28BA" w:rsidRPr="00596919">
        <w:rPr>
          <w:rFonts w:ascii="Times New Roman" w:hAnsi="Times New Roman"/>
          <w:szCs w:val="24"/>
        </w:rPr>
        <w:t xml:space="preserve"> foods must accrue to the nonprofit school food service account of a participating SFA.</w:t>
      </w:r>
      <w:r w:rsidR="00C27E10">
        <w:rPr>
          <w:rFonts w:ascii="Times New Roman" w:hAnsi="Times New Roman"/>
          <w:szCs w:val="24"/>
        </w:rPr>
        <w:t xml:space="preserve"> </w:t>
      </w:r>
      <w:r w:rsidR="005C5FC6">
        <w:rPr>
          <w:rFonts w:ascii="Times New Roman" w:hAnsi="Times New Roman"/>
          <w:szCs w:val="24"/>
        </w:rPr>
        <w:t xml:space="preserve"> </w:t>
      </w:r>
      <w:r w:rsidR="00E62F59">
        <w:rPr>
          <w:rFonts w:ascii="Times New Roman" w:hAnsi="Times New Roman"/>
          <w:szCs w:val="24"/>
        </w:rPr>
        <w:t>The interim rule aims to</w:t>
      </w:r>
      <w:r w:rsidR="00E62F59" w:rsidRPr="00596919">
        <w:rPr>
          <w:rFonts w:ascii="Times New Roman" w:hAnsi="Times New Roman"/>
          <w:spacing w:val="-3"/>
          <w:szCs w:val="24"/>
        </w:rPr>
        <w:t xml:space="preserve"> promote </w:t>
      </w:r>
      <w:r w:rsidR="00E62F59" w:rsidRPr="00596919">
        <w:rPr>
          <w:rFonts w:ascii="Times New Roman" w:hAnsi="Times New Roman"/>
          <w:szCs w:val="24"/>
        </w:rPr>
        <w:t xml:space="preserve">equity in school lunch pricing and revenue from </w:t>
      </w:r>
      <w:proofErr w:type="spellStart"/>
      <w:r w:rsidR="00E62F59" w:rsidRPr="00596919">
        <w:rPr>
          <w:rFonts w:ascii="Times New Roman" w:hAnsi="Times New Roman"/>
          <w:szCs w:val="24"/>
        </w:rPr>
        <w:t>nonprogram</w:t>
      </w:r>
      <w:proofErr w:type="spellEnd"/>
      <w:r w:rsidR="00E62F59" w:rsidRPr="00596919">
        <w:rPr>
          <w:rFonts w:ascii="Times New Roman" w:hAnsi="Times New Roman"/>
          <w:szCs w:val="24"/>
        </w:rPr>
        <w:t xml:space="preserve"> foods sold in schools</w:t>
      </w:r>
      <w:r w:rsidR="00E62F59" w:rsidRPr="00596919">
        <w:rPr>
          <w:rFonts w:ascii="Times New Roman" w:hAnsi="Times New Roman"/>
          <w:spacing w:val="-3"/>
          <w:szCs w:val="24"/>
        </w:rPr>
        <w:t xml:space="preserve">.  </w:t>
      </w:r>
      <w:r w:rsidR="00E62F59">
        <w:rPr>
          <w:rFonts w:ascii="Times New Roman" w:hAnsi="Times New Roman"/>
          <w:spacing w:val="-3"/>
          <w:szCs w:val="24"/>
        </w:rPr>
        <w:t xml:space="preserve"> </w:t>
      </w:r>
      <w:r w:rsidR="00E62F59">
        <w:rPr>
          <w:rFonts w:ascii="Times New Roman" w:hAnsi="Times New Roman"/>
          <w:szCs w:val="24"/>
        </w:rPr>
        <w:t>The data collected will be used</w:t>
      </w:r>
      <w:r w:rsidR="00C27E10">
        <w:rPr>
          <w:rFonts w:ascii="Times New Roman" w:hAnsi="Times New Roman"/>
          <w:szCs w:val="24"/>
        </w:rPr>
        <w:t xml:space="preserve"> t</w:t>
      </w:r>
      <w:r w:rsidR="005C5FC6">
        <w:rPr>
          <w:rFonts w:ascii="Times New Roman" w:hAnsi="Times New Roman"/>
          <w:szCs w:val="24"/>
        </w:rPr>
        <w:t xml:space="preserve">o monitor SFA and SA compliance </w:t>
      </w:r>
      <w:r w:rsidR="00C27E10">
        <w:rPr>
          <w:rFonts w:ascii="Times New Roman" w:hAnsi="Times New Roman"/>
          <w:szCs w:val="24"/>
        </w:rPr>
        <w:t>on this rule, without the</w:t>
      </w:r>
      <w:r w:rsidR="005C5FC6">
        <w:rPr>
          <w:rFonts w:ascii="Times New Roman" w:hAnsi="Times New Roman"/>
          <w:szCs w:val="24"/>
        </w:rPr>
        <w:t xml:space="preserve"> i</w:t>
      </w:r>
      <w:r w:rsidR="00C27E10" w:rsidRPr="00596919">
        <w:rPr>
          <w:rFonts w:ascii="Times New Roman" w:hAnsi="Times New Roman"/>
          <w:szCs w:val="24"/>
        </w:rPr>
        <w:t>nformation</w:t>
      </w:r>
      <w:r w:rsidR="00C27E10">
        <w:rPr>
          <w:rFonts w:ascii="Times New Roman" w:hAnsi="Times New Roman"/>
          <w:szCs w:val="24"/>
        </w:rPr>
        <w:t xml:space="preserve"> collected from School Food Service Accounts Revenue. </w:t>
      </w:r>
    </w:p>
    <w:p w:rsidR="005B1F05" w:rsidRDefault="005B1F05">
      <w:pPr>
        <w:tabs>
          <w:tab w:val="left" w:pos="-720"/>
        </w:tabs>
        <w:suppressAutoHyphens/>
        <w:rPr>
          <w:rFonts w:ascii="Times New Roman" w:hAnsi="Times New Roman"/>
          <w:b/>
          <w:spacing w:val="-3"/>
          <w:szCs w:val="24"/>
        </w:rPr>
      </w:pPr>
    </w:p>
    <w:p w:rsidR="00843CF1" w:rsidRPr="00596919" w:rsidRDefault="00843CF1">
      <w:pPr>
        <w:tabs>
          <w:tab w:val="left" w:pos="-720"/>
        </w:tabs>
        <w:suppressAutoHyphens/>
        <w:rPr>
          <w:rFonts w:ascii="Times New Roman" w:hAnsi="Times New Roman"/>
          <w:b/>
          <w:spacing w:val="-3"/>
          <w:szCs w:val="24"/>
        </w:rPr>
      </w:pPr>
    </w:p>
    <w:p w:rsidR="00944A29" w:rsidRDefault="0066677E" w:rsidP="001A55B6">
      <w:pPr>
        <w:pStyle w:val="p5"/>
        <w:tabs>
          <w:tab w:val="clear" w:pos="663"/>
          <w:tab w:val="left" w:pos="540"/>
        </w:tabs>
        <w:spacing w:line="480" w:lineRule="auto"/>
        <w:ind w:left="0" w:firstLine="0"/>
        <w:rPr>
          <w:b/>
        </w:rPr>
      </w:pPr>
      <w:r w:rsidRPr="00596919">
        <w:rPr>
          <w:b/>
          <w:spacing w:val="-3"/>
        </w:rPr>
        <w:t>3.</w:t>
      </w:r>
      <w:r w:rsidR="00944A29">
        <w:rPr>
          <w:b/>
          <w:spacing w:val="-3"/>
        </w:rPr>
        <w:t xml:space="preserve">   </w:t>
      </w:r>
      <w:r w:rsidR="00C4759E" w:rsidRPr="00596919">
        <w:rPr>
          <w:b/>
        </w:rPr>
        <w:t xml:space="preserve">Describe whether, and to what extent, the collection of </w:t>
      </w:r>
      <w:r w:rsidR="00944A29">
        <w:rPr>
          <w:b/>
        </w:rPr>
        <w:t xml:space="preserve">information involves the use </w:t>
      </w:r>
    </w:p>
    <w:p w:rsidR="0066677E" w:rsidRPr="00843CF1" w:rsidRDefault="00944A29" w:rsidP="00843CF1">
      <w:pPr>
        <w:pStyle w:val="p5"/>
        <w:tabs>
          <w:tab w:val="clear" w:pos="663"/>
          <w:tab w:val="left" w:pos="540"/>
        </w:tabs>
        <w:spacing w:line="480" w:lineRule="auto"/>
        <w:ind w:left="0" w:firstLine="0"/>
        <w:rPr>
          <w:b/>
        </w:rPr>
      </w:pPr>
      <w:proofErr w:type="gramStart"/>
      <w:r>
        <w:rPr>
          <w:b/>
        </w:rPr>
        <w:t>of</w:t>
      </w:r>
      <w:proofErr w:type="gramEnd"/>
      <w:r>
        <w:rPr>
          <w:b/>
        </w:rPr>
        <w:t xml:space="preserve"> </w:t>
      </w:r>
      <w:r w:rsidR="00C4759E" w:rsidRPr="00596919">
        <w:rPr>
          <w:b/>
        </w:rPr>
        <w:t xml:space="preserve">automated, electronic, mechanical, or other technological collection techniques or other forms of information technology, e.g., permitting electronic submission of </w:t>
      </w:r>
      <w:r w:rsidRPr="00596919">
        <w:rPr>
          <w:b/>
        </w:rPr>
        <w:t>responses</w:t>
      </w:r>
      <w:r>
        <w:rPr>
          <w:b/>
        </w:rPr>
        <w:t xml:space="preserve"> </w:t>
      </w:r>
      <w:r w:rsidRPr="00596919">
        <w:rPr>
          <w:b/>
        </w:rPr>
        <w:t>and</w:t>
      </w:r>
      <w:r w:rsidR="00C4759E" w:rsidRPr="00596919">
        <w:rPr>
          <w:b/>
        </w:rPr>
        <w:t xml:space="preserve"> the basis for the decision for adopting this means of collection.</w:t>
      </w:r>
      <w:r w:rsidR="005C5FC6">
        <w:rPr>
          <w:b/>
        </w:rPr>
        <w:t xml:space="preserve">  </w:t>
      </w:r>
      <w:r w:rsidR="00C4759E" w:rsidRPr="00596919">
        <w:rPr>
          <w:b/>
        </w:rPr>
        <w:t xml:space="preserve">Also, describe any </w:t>
      </w:r>
      <w:r w:rsidR="00C4759E" w:rsidRPr="00596919">
        <w:rPr>
          <w:b/>
        </w:rPr>
        <w:lastRenderedPageBreak/>
        <w:t>consideration of using information technology to reduce burden.</w:t>
      </w:r>
    </w:p>
    <w:p w:rsidR="000E0527" w:rsidRPr="00596919" w:rsidRDefault="004737A8" w:rsidP="000E0527">
      <w:pPr>
        <w:tabs>
          <w:tab w:val="left" w:pos="-720"/>
        </w:tabs>
        <w:suppressAutoHyphens/>
        <w:spacing w:line="480" w:lineRule="auto"/>
        <w:rPr>
          <w:rFonts w:ascii="Times New Roman" w:hAnsi="Times New Roman"/>
          <w:spacing w:val="-3"/>
          <w:szCs w:val="24"/>
        </w:rPr>
      </w:pPr>
      <w:r w:rsidRPr="00596919">
        <w:rPr>
          <w:rFonts w:ascii="Times New Roman" w:hAnsi="Times New Roman"/>
          <w:spacing w:val="-3"/>
          <w:szCs w:val="24"/>
        </w:rPr>
        <w:t>FNS is committed to complying with the E-Government Act,</w:t>
      </w:r>
      <w:r w:rsidR="00363A31" w:rsidRPr="00596919">
        <w:rPr>
          <w:rFonts w:ascii="Times New Roman" w:hAnsi="Times New Roman"/>
          <w:spacing w:val="-3"/>
          <w:szCs w:val="24"/>
        </w:rPr>
        <w:t xml:space="preserve"> 2002</w:t>
      </w:r>
      <w:r w:rsidRPr="00596919">
        <w:rPr>
          <w:rFonts w:ascii="Times New Roman" w:hAnsi="Times New Roman"/>
          <w:spacing w:val="-3"/>
          <w:szCs w:val="24"/>
        </w:rPr>
        <w:t xml:space="preserve"> to promote the use of the Internet and other information technologies to provide increased opportunities for citizen access to Government information and services, and for other purposes.</w:t>
      </w:r>
      <w:r w:rsidR="00362ACB" w:rsidRPr="00596919">
        <w:rPr>
          <w:rFonts w:ascii="Times New Roman" w:hAnsi="Times New Roman"/>
          <w:spacing w:val="-3"/>
          <w:szCs w:val="24"/>
        </w:rPr>
        <w:t xml:space="preserve">  </w:t>
      </w:r>
      <w:r w:rsidR="00111867" w:rsidRPr="00596919">
        <w:rPr>
          <w:rFonts w:ascii="Times New Roman" w:hAnsi="Times New Roman"/>
          <w:spacing w:val="-3"/>
          <w:szCs w:val="24"/>
        </w:rPr>
        <w:t>Since the program participants vary considerably in level of sophistication, information related to the use of improved information technolog</w:t>
      </w:r>
      <w:r w:rsidR="00090506">
        <w:rPr>
          <w:rFonts w:ascii="Times New Roman" w:hAnsi="Times New Roman"/>
          <w:spacing w:val="-3"/>
          <w:szCs w:val="24"/>
        </w:rPr>
        <w:t xml:space="preserve">y to reduce burden is limited.  </w:t>
      </w:r>
      <w:r w:rsidR="00111867" w:rsidRPr="00596919">
        <w:rPr>
          <w:rFonts w:ascii="Times New Roman" w:hAnsi="Times New Roman"/>
          <w:spacing w:val="-3"/>
          <w:szCs w:val="24"/>
        </w:rPr>
        <w:t>To the extent possible, agencies within the States use electronics to transfer information for SFAs, where applicable.</w:t>
      </w:r>
      <w:r w:rsidR="000E0527" w:rsidRPr="00596919">
        <w:rPr>
          <w:rFonts w:ascii="Times New Roman" w:hAnsi="Times New Roman"/>
          <w:spacing w:val="-3"/>
          <w:szCs w:val="24"/>
        </w:rPr>
        <w:t xml:space="preserve"> </w:t>
      </w:r>
    </w:p>
    <w:p w:rsidR="000E0527" w:rsidRDefault="000E0527" w:rsidP="000E0527">
      <w:pPr>
        <w:tabs>
          <w:tab w:val="left" w:pos="-720"/>
        </w:tabs>
        <w:suppressAutoHyphens/>
        <w:rPr>
          <w:rFonts w:ascii="Times New Roman" w:hAnsi="Times New Roman"/>
          <w:b/>
          <w:spacing w:val="-3"/>
          <w:szCs w:val="24"/>
        </w:rPr>
      </w:pPr>
    </w:p>
    <w:p w:rsidR="00843CF1" w:rsidRPr="00596919" w:rsidRDefault="00843CF1" w:rsidP="000E0527">
      <w:pPr>
        <w:tabs>
          <w:tab w:val="left" w:pos="-720"/>
        </w:tabs>
        <w:suppressAutoHyphens/>
        <w:rPr>
          <w:rFonts w:ascii="Times New Roman" w:hAnsi="Times New Roman"/>
          <w:b/>
          <w:spacing w:val="-3"/>
          <w:szCs w:val="24"/>
        </w:rPr>
      </w:pPr>
    </w:p>
    <w:p w:rsidR="003E4AF3" w:rsidRDefault="0066677E" w:rsidP="003E4AF3">
      <w:pPr>
        <w:pStyle w:val="ListParagraph"/>
        <w:spacing w:line="480" w:lineRule="auto"/>
        <w:ind w:left="0"/>
        <w:rPr>
          <w:b/>
        </w:rPr>
      </w:pPr>
      <w:r w:rsidRPr="00596919">
        <w:rPr>
          <w:b/>
          <w:spacing w:val="-3"/>
        </w:rPr>
        <w:t>4</w:t>
      </w:r>
      <w:r w:rsidR="00944A29">
        <w:rPr>
          <w:b/>
          <w:spacing w:val="-3"/>
        </w:rPr>
        <w:t xml:space="preserve">.  </w:t>
      </w:r>
      <w:r w:rsidR="00C4759E" w:rsidRPr="00596919">
        <w:rPr>
          <w:b/>
          <w:bCs/>
          <w:color w:val="000000"/>
        </w:rPr>
        <w:t xml:space="preserve">Describe efforts to </w:t>
      </w:r>
      <w:r w:rsidR="00C4759E" w:rsidRPr="00596919">
        <w:rPr>
          <w:b/>
          <w:color w:val="000000"/>
        </w:rPr>
        <w:t xml:space="preserve">identify duplication. </w:t>
      </w:r>
      <w:r w:rsidR="00C4759E" w:rsidRPr="00596919">
        <w:rPr>
          <w:b/>
        </w:rPr>
        <w:t>Show specifically why any similar information already available cannot be used or modified for use for the purpose described in item 2 above.</w:t>
      </w:r>
    </w:p>
    <w:p w:rsidR="003E4AF3" w:rsidRPr="00843CF1" w:rsidRDefault="003E4AF3" w:rsidP="001A55B6">
      <w:pPr>
        <w:tabs>
          <w:tab w:val="left" w:pos="-720"/>
        </w:tabs>
        <w:suppressAutoHyphens/>
        <w:spacing w:line="480" w:lineRule="auto"/>
        <w:rPr>
          <w:rFonts w:ascii="Times New Roman" w:hAnsi="Times New Roman"/>
          <w:color w:val="000000"/>
        </w:rPr>
      </w:pPr>
      <w:r w:rsidRPr="003E4AF3">
        <w:rPr>
          <w:rFonts w:ascii="Times New Roman" w:hAnsi="Times New Roman"/>
          <w:color w:val="000000"/>
          <w:szCs w:val="24"/>
        </w:rPr>
        <w:t xml:space="preserve">There is no duplication in reporting of School Food Service Accounts Revenue data.  </w:t>
      </w:r>
      <w:r w:rsidRPr="003E4AF3">
        <w:rPr>
          <w:rFonts w:ascii="Times New Roman" w:hAnsi="Times New Roman"/>
          <w:szCs w:val="24"/>
        </w:rPr>
        <w:t>This is a new collection as a part of Healthy Hunger Free Kids Act of 2010.  FNS solely administers this data and has reviewed USDA reporting a</w:t>
      </w:r>
      <w:r w:rsidR="00843CF1">
        <w:rPr>
          <w:rFonts w:ascii="Times New Roman" w:hAnsi="Times New Roman"/>
          <w:szCs w:val="24"/>
        </w:rPr>
        <w:t xml:space="preserve">nd </w:t>
      </w:r>
      <w:r w:rsidR="006464DF">
        <w:rPr>
          <w:rFonts w:ascii="Times New Roman" w:hAnsi="Times New Roman"/>
          <w:szCs w:val="24"/>
        </w:rPr>
        <w:t xml:space="preserve">record keeping </w:t>
      </w:r>
      <w:r w:rsidR="00843CF1">
        <w:rPr>
          <w:rFonts w:ascii="Times New Roman" w:hAnsi="Times New Roman"/>
          <w:szCs w:val="24"/>
        </w:rPr>
        <w:t xml:space="preserve">requirements.  </w:t>
      </w:r>
      <w:r w:rsidRPr="003E4AF3">
        <w:rPr>
          <w:rFonts w:ascii="Times New Roman" w:hAnsi="Times New Roman"/>
          <w:szCs w:val="24"/>
        </w:rPr>
        <w:t xml:space="preserve">This information is </w:t>
      </w:r>
      <w:r w:rsidRPr="00843CF1">
        <w:rPr>
          <w:rFonts w:ascii="Times New Roman" w:hAnsi="Times New Roman"/>
          <w:szCs w:val="24"/>
        </w:rPr>
        <w:t>not currently reported to any other entity outside of FNS.</w:t>
      </w:r>
      <w:r w:rsidRPr="00843CF1">
        <w:rPr>
          <w:rFonts w:ascii="Times New Roman" w:hAnsi="Times New Roman"/>
          <w:color w:val="000000"/>
          <w:szCs w:val="24"/>
        </w:rPr>
        <w:t xml:space="preserve"> </w:t>
      </w:r>
    </w:p>
    <w:p w:rsidR="003E4AF3" w:rsidRPr="00843CF1" w:rsidRDefault="003E4AF3" w:rsidP="003E4AF3">
      <w:pPr>
        <w:tabs>
          <w:tab w:val="left" w:pos="-720"/>
        </w:tabs>
        <w:suppressAutoHyphens/>
        <w:rPr>
          <w:rFonts w:ascii="Times New Roman" w:hAnsi="Times New Roman"/>
          <w:color w:val="000000"/>
        </w:rPr>
      </w:pPr>
    </w:p>
    <w:p w:rsidR="00843CF1" w:rsidRPr="00843CF1" w:rsidRDefault="00843CF1" w:rsidP="003E4AF3">
      <w:pPr>
        <w:tabs>
          <w:tab w:val="left" w:pos="-720"/>
        </w:tabs>
        <w:suppressAutoHyphens/>
        <w:rPr>
          <w:rFonts w:ascii="Times New Roman" w:hAnsi="Times New Roman"/>
          <w:color w:val="000000"/>
        </w:rPr>
      </w:pPr>
    </w:p>
    <w:p w:rsidR="005C5FC6" w:rsidRPr="00843CF1" w:rsidRDefault="00843CF1" w:rsidP="00843CF1">
      <w:pPr>
        <w:pStyle w:val="p10"/>
        <w:spacing w:line="480" w:lineRule="auto"/>
        <w:ind w:left="0" w:firstLine="0"/>
        <w:jc w:val="left"/>
        <w:rPr>
          <w:b/>
          <w:color w:val="000000"/>
        </w:rPr>
      </w:pPr>
      <w:r>
        <w:rPr>
          <w:b/>
        </w:rPr>
        <w:t xml:space="preserve">5.   </w:t>
      </w:r>
      <w:r w:rsidR="00291F50" w:rsidRPr="00843CF1">
        <w:rPr>
          <w:b/>
        </w:rPr>
        <w:t>If the collection of information impacts small businesses or other small</w:t>
      </w:r>
      <w:r w:rsidR="005C5FC6" w:rsidRPr="00843CF1">
        <w:rPr>
          <w:b/>
          <w:color w:val="000000"/>
        </w:rPr>
        <w:t xml:space="preserve"> </w:t>
      </w:r>
      <w:r w:rsidR="005C5FC6" w:rsidRPr="00843CF1">
        <w:rPr>
          <w:b/>
        </w:rPr>
        <w:t>entities,</w:t>
      </w:r>
    </w:p>
    <w:p w:rsidR="005C5FC6" w:rsidRDefault="00291F50" w:rsidP="00843CF1">
      <w:pPr>
        <w:pStyle w:val="p10"/>
        <w:spacing w:line="480" w:lineRule="auto"/>
        <w:ind w:left="0" w:firstLine="0"/>
        <w:jc w:val="left"/>
        <w:rPr>
          <w:b/>
        </w:rPr>
      </w:pPr>
      <w:proofErr w:type="gramStart"/>
      <w:r w:rsidRPr="00843CF1">
        <w:rPr>
          <w:b/>
        </w:rPr>
        <w:t>describe</w:t>
      </w:r>
      <w:proofErr w:type="gramEnd"/>
      <w:r w:rsidRPr="005C5FC6">
        <w:rPr>
          <w:b/>
        </w:rPr>
        <w:t xml:space="preserve"> any methods used to minimize burden.</w:t>
      </w:r>
    </w:p>
    <w:p w:rsidR="003E4AF3" w:rsidRPr="005C5FC6" w:rsidRDefault="003E4AF3" w:rsidP="00843CF1">
      <w:pPr>
        <w:pStyle w:val="p10"/>
        <w:spacing w:line="480" w:lineRule="auto"/>
        <w:ind w:left="0" w:firstLine="0"/>
        <w:jc w:val="left"/>
        <w:rPr>
          <w:b/>
          <w:color w:val="000000"/>
        </w:rPr>
      </w:pPr>
      <w:r w:rsidRPr="003E4AF3">
        <w:rPr>
          <w:spacing w:val="-3"/>
        </w:rPr>
        <w:t>Informat</w:t>
      </w:r>
      <w:r w:rsidR="005C5FC6">
        <w:rPr>
          <w:spacing w:val="-3"/>
        </w:rPr>
        <w:t xml:space="preserve">ion being requested </w:t>
      </w:r>
      <w:r w:rsidRPr="003E4AF3">
        <w:rPr>
          <w:spacing w:val="-3"/>
        </w:rPr>
        <w:t>has been held to the minimum required for the</w:t>
      </w:r>
      <w:r w:rsidR="005C5FC6">
        <w:rPr>
          <w:spacing w:val="-3"/>
        </w:rPr>
        <w:t xml:space="preserve"> i</w:t>
      </w:r>
      <w:r w:rsidR="00D701D1" w:rsidRPr="003E4AF3">
        <w:rPr>
          <w:spacing w:val="-3"/>
        </w:rPr>
        <w:t>ntended</w:t>
      </w:r>
      <w:r w:rsidR="005C5FC6">
        <w:rPr>
          <w:spacing w:val="-3"/>
        </w:rPr>
        <w:t xml:space="preserve"> use.  </w:t>
      </w:r>
      <w:r w:rsidRPr="003E4AF3">
        <w:rPr>
          <w:spacing w:val="-3"/>
        </w:rPr>
        <w:t xml:space="preserve">Although smaller </w:t>
      </w:r>
      <w:r w:rsidR="005C5FC6">
        <w:rPr>
          <w:spacing w:val="-3"/>
        </w:rPr>
        <w:t>SAs are</w:t>
      </w:r>
      <w:r w:rsidRPr="003E4AF3">
        <w:rPr>
          <w:spacing w:val="-3"/>
        </w:rPr>
        <w:t xml:space="preserve"> involved in this data collection effort,</w:t>
      </w:r>
      <w:r w:rsidR="005C5FC6">
        <w:rPr>
          <w:spacing w:val="-3"/>
        </w:rPr>
        <w:t xml:space="preserve"> t</w:t>
      </w:r>
      <w:r w:rsidR="00D701D1" w:rsidRPr="003E4AF3">
        <w:rPr>
          <w:spacing w:val="-3"/>
        </w:rPr>
        <w:t>hey</w:t>
      </w:r>
      <w:r w:rsidR="005C5FC6">
        <w:rPr>
          <w:spacing w:val="-3"/>
        </w:rPr>
        <w:t xml:space="preserve"> deliver</w:t>
      </w:r>
      <w:r w:rsidRPr="003E4AF3">
        <w:rPr>
          <w:spacing w:val="-3"/>
        </w:rPr>
        <w:t xml:space="preserve"> the same program benefits and perform the same function as any other </w:t>
      </w:r>
      <w:r w:rsidR="005C5FC6">
        <w:rPr>
          <w:spacing w:val="-3"/>
        </w:rPr>
        <w:t xml:space="preserve">SA.  </w:t>
      </w:r>
      <w:r w:rsidRPr="003E4AF3">
        <w:rPr>
          <w:spacing w:val="-3"/>
        </w:rPr>
        <w:t xml:space="preserve">Thus, they maintain the same kinds of information on file.  </w:t>
      </w:r>
      <w:r w:rsidR="00067A77" w:rsidRPr="00596919">
        <w:rPr>
          <w:spacing w:val="-3"/>
        </w:rPr>
        <w:t>FNS estimates that approximately</w:t>
      </w:r>
      <w:r w:rsidR="005C5FC6">
        <w:rPr>
          <w:spacing w:val="-3"/>
        </w:rPr>
        <w:t xml:space="preserve"> </w:t>
      </w:r>
      <w:r w:rsidR="00067A77" w:rsidRPr="00596919">
        <w:rPr>
          <w:spacing w:val="-3"/>
        </w:rPr>
        <w:t>1</w:t>
      </w:r>
      <w:r w:rsidR="005C5FC6">
        <w:rPr>
          <w:spacing w:val="-3"/>
        </w:rPr>
        <w:t>-3</w:t>
      </w:r>
      <w:r w:rsidR="00291F50" w:rsidRPr="00596919">
        <w:rPr>
          <w:spacing w:val="-3"/>
        </w:rPr>
        <w:t>%</w:t>
      </w:r>
      <w:r w:rsidR="009E29D3">
        <w:rPr>
          <w:spacing w:val="-3"/>
        </w:rPr>
        <w:t xml:space="preserve"> or </w:t>
      </w:r>
      <w:r w:rsidR="00A40406">
        <w:rPr>
          <w:spacing w:val="-3"/>
        </w:rPr>
        <w:t>six</w:t>
      </w:r>
      <w:r w:rsidR="005C5FC6">
        <w:rPr>
          <w:spacing w:val="-3"/>
        </w:rPr>
        <w:t xml:space="preserve"> </w:t>
      </w:r>
      <w:r w:rsidR="00B15EFF" w:rsidRPr="00596919">
        <w:rPr>
          <w:spacing w:val="-3"/>
        </w:rPr>
        <w:t>(</w:t>
      </w:r>
      <w:r w:rsidR="00291F50" w:rsidRPr="00596919">
        <w:rPr>
          <w:spacing w:val="-3"/>
        </w:rPr>
        <w:t>of 57</w:t>
      </w:r>
      <w:r w:rsidR="00B15EFF" w:rsidRPr="00596919">
        <w:rPr>
          <w:spacing w:val="-3"/>
        </w:rPr>
        <w:t>)</w:t>
      </w:r>
      <w:r w:rsidR="0058033B">
        <w:rPr>
          <w:spacing w:val="-3"/>
        </w:rPr>
        <w:t xml:space="preserve"> S</w:t>
      </w:r>
      <w:r w:rsidR="00291F50" w:rsidRPr="00596919">
        <w:rPr>
          <w:spacing w:val="-3"/>
        </w:rPr>
        <w:t>As</w:t>
      </w:r>
      <w:r w:rsidR="00B15EFF" w:rsidRPr="00596919">
        <w:rPr>
          <w:spacing w:val="-3"/>
        </w:rPr>
        <w:t xml:space="preserve"> </w:t>
      </w:r>
      <w:r w:rsidR="00067A77" w:rsidRPr="00596919">
        <w:rPr>
          <w:spacing w:val="-3"/>
        </w:rPr>
        <w:t xml:space="preserve">are considered small </w:t>
      </w:r>
      <w:r w:rsidR="00291F50" w:rsidRPr="00596919">
        <w:rPr>
          <w:spacing w:val="-3"/>
        </w:rPr>
        <w:t>entities</w:t>
      </w:r>
      <w:r w:rsidR="00067A77" w:rsidRPr="00596919">
        <w:rPr>
          <w:spacing w:val="-3"/>
        </w:rPr>
        <w:t xml:space="preserve">.   </w:t>
      </w:r>
    </w:p>
    <w:p w:rsidR="000E0527" w:rsidRPr="00596919" w:rsidRDefault="000E0527" w:rsidP="000E0527">
      <w:pPr>
        <w:tabs>
          <w:tab w:val="left" w:pos="-720"/>
        </w:tabs>
        <w:suppressAutoHyphens/>
        <w:rPr>
          <w:rFonts w:ascii="Times New Roman" w:hAnsi="Times New Roman"/>
          <w:b/>
          <w:spacing w:val="-3"/>
          <w:szCs w:val="24"/>
        </w:rPr>
      </w:pPr>
    </w:p>
    <w:p w:rsidR="001A55B6" w:rsidRPr="001A55B6" w:rsidRDefault="00BA374E" w:rsidP="0058033B">
      <w:pPr>
        <w:pStyle w:val="p7"/>
        <w:spacing w:line="480" w:lineRule="auto"/>
        <w:jc w:val="left"/>
        <w:rPr>
          <w:b/>
          <w:color w:val="000000"/>
        </w:rPr>
      </w:pPr>
      <w:r>
        <w:rPr>
          <w:b/>
        </w:rPr>
        <w:t>6</w:t>
      </w:r>
      <w:r w:rsidR="00840876">
        <w:rPr>
          <w:b/>
        </w:rPr>
        <w:t>.</w:t>
      </w:r>
      <w:r w:rsidR="00843CF1">
        <w:rPr>
          <w:b/>
        </w:rPr>
        <w:t xml:space="preserve">   </w:t>
      </w:r>
      <w:r w:rsidR="007F0BD6" w:rsidRPr="00596919">
        <w:rPr>
          <w:b/>
        </w:rPr>
        <w:t xml:space="preserve">Describe the consequence to Federal program or policy activities if the collection is </w:t>
      </w:r>
    </w:p>
    <w:p w:rsidR="0066677E" w:rsidRPr="001A55B6" w:rsidRDefault="007F0BD6" w:rsidP="0058033B">
      <w:pPr>
        <w:pStyle w:val="p7"/>
        <w:spacing w:line="480" w:lineRule="auto"/>
        <w:ind w:left="0" w:firstLine="0"/>
        <w:jc w:val="left"/>
        <w:rPr>
          <w:b/>
          <w:color w:val="000000"/>
        </w:rPr>
      </w:pPr>
      <w:proofErr w:type="gramStart"/>
      <w:r w:rsidRPr="00596919">
        <w:rPr>
          <w:b/>
        </w:rPr>
        <w:t>not</w:t>
      </w:r>
      <w:proofErr w:type="gramEnd"/>
      <w:r w:rsidRPr="00596919">
        <w:rPr>
          <w:b/>
        </w:rPr>
        <w:t xml:space="preserve"> conducted or is conducted less frequently, as well as any technical or legal obstacles to reducing burden.</w:t>
      </w:r>
    </w:p>
    <w:p w:rsidR="000E0527" w:rsidRPr="00596919" w:rsidRDefault="0051679D" w:rsidP="000E0527">
      <w:pPr>
        <w:tabs>
          <w:tab w:val="left" w:pos="-720"/>
        </w:tabs>
        <w:suppressAutoHyphens/>
        <w:spacing w:line="480" w:lineRule="auto"/>
        <w:rPr>
          <w:rFonts w:ascii="Times New Roman" w:hAnsi="Times New Roman"/>
          <w:spacing w:val="-3"/>
          <w:szCs w:val="24"/>
        </w:rPr>
      </w:pPr>
      <w:r w:rsidRPr="00596919">
        <w:rPr>
          <w:rFonts w:ascii="Times New Roman" w:hAnsi="Times New Roman"/>
          <w:spacing w:val="-3"/>
          <w:szCs w:val="24"/>
        </w:rPr>
        <w:t>The information is collected for the</w:t>
      </w:r>
      <w:r w:rsidR="0078461D" w:rsidRPr="00596919">
        <w:rPr>
          <w:rFonts w:ascii="Times New Roman" w:hAnsi="Times New Roman"/>
          <w:spacing w:val="-3"/>
          <w:szCs w:val="24"/>
        </w:rPr>
        <w:t xml:space="preserve"> purpose of administering an on</w:t>
      </w:r>
      <w:r w:rsidR="0058033B">
        <w:rPr>
          <w:rFonts w:ascii="Times New Roman" w:hAnsi="Times New Roman"/>
          <w:spacing w:val="-3"/>
          <w:szCs w:val="24"/>
        </w:rPr>
        <w:t>-</w:t>
      </w:r>
      <w:r w:rsidRPr="00596919">
        <w:rPr>
          <w:rFonts w:ascii="Times New Roman" w:hAnsi="Times New Roman"/>
          <w:spacing w:val="-3"/>
          <w:szCs w:val="24"/>
        </w:rPr>
        <w:t xml:space="preserve">going program.  </w:t>
      </w:r>
      <w:r w:rsidR="008D7BA9" w:rsidRPr="00596919">
        <w:rPr>
          <w:rFonts w:ascii="Times New Roman" w:hAnsi="Times New Roman"/>
          <w:spacing w:val="-3"/>
          <w:szCs w:val="24"/>
        </w:rPr>
        <w:t>Th</w:t>
      </w:r>
      <w:r w:rsidR="00362ACB" w:rsidRPr="00596919">
        <w:rPr>
          <w:rFonts w:ascii="Times New Roman" w:hAnsi="Times New Roman"/>
          <w:spacing w:val="-3"/>
          <w:szCs w:val="24"/>
        </w:rPr>
        <w:t>is interim rule</w:t>
      </w:r>
      <w:r w:rsidR="008D7BA9" w:rsidRPr="00596919">
        <w:rPr>
          <w:rFonts w:ascii="Times New Roman" w:hAnsi="Times New Roman"/>
          <w:spacing w:val="-3"/>
          <w:szCs w:val="24"/>
        </w:rPr>
        <w:t xml:space="preserve"> is being implemented to </w:t>
      </w:r>
      <w:r w:rsidR="00C66FC0" w:rsidRPr="00596919">
        <w:rPr>
          <w:rFonts w:ascii="Times New Roman" w:hAnsi="Times New Roman"/>
          <w:spacing w:val="-3"/>
          <w:szCs w:val="24"/>
        </w:rPr>
        <w:t xml:space="preserve">promote </w:t>
      </w:r>
      <w:r w:rsidR="00C66FC0" w:rsidRPr="00596919">
        <w:rPr>
          <w:rFonts w:ascii="Times New Roman" w:hAnsi="Times New Roman"/>
          <w:szCs w:val="24"/>
        </w:rPr>
        <w:t xml:space="preserve">equity in school lunch pricing and revenue from </w:t>
      </w:r>
      <w:proofErr w:type="spellStart"/>
      <w:r w:rsidR="00C66FC0" w:rsidRPr="00596919">
        <w:rPr>
          <w:rFonts w:ascii="Times New Roman" w:hAnsi="Times New Roman"/>
          <w:szCs w:val="24"/>
        </w:rPr>
        <w:t>nonprogram</w:t>
      </w:r>
      <w:proofErr w:type="spellEnd"/>
      <w:r w:rsidR="00C66FC0" w:rsidRPr="00596919">
        <w:rPr>
          <w:rFonts w:ascii="Times New Roman" w:hAnsi="Times New Roman"/>
          <w:szCs w:val="24"/>
        </w:rPr>
        <w:t xml:space="preserve"> foods sold in schools</w:t>
      </w:r>
      <w:r w:rsidR="008D7BA9" w:rsidRPr="00596919">
        <w:rPr>
          <w:rFonts w:ascii="Times New Roman" w:hAnsi="Times New Roman"/>
          <w:spacing w:val="-3"/>
          <w:szCs w:val="24"/>
        </w:rPr>
        <w:t xml:space="preserve">.  The consequence to Federal program or policy activities if this collection is not conducted or is conducted less frequently </w:t>
      </w:r>
      <w:r w:rsidR="00E62F59">
        <w:rPr>
          <w:rFonts w:ascii="Times New Roman" w:hAnsi="Times New Roman"/>
          <w:szCs w:val="24"/>
        </w:rPr>
        <w:t>FNS would not be able to monitor SFA and SA compliance on this rule, without the i</w:t>
      </w:r>
      <w:r w:rsidR="00E62F59" w:rsidRPr="00596919">
        <w:rPr>
          <w:rFonts w:ascii="Times New Roman" w:hAnsi="Times New Roman"/>
          <w:szCs w:val="24"/>
        </w:rPr>
        <w:t>nformation</w:t>
      </w:r>
      <w:r w:rsidR="00E62F59">
        <w:rPr>
          <w:rFonts w:ascii="Times New Roman" w:hAnsi="Times New Roman"/>
          <w:szCs w:val="24"/>
        </w:rPr>
        <w:t xml:space="preserve"> collected from School Food Service Accounts Revenue and </w:t>
      </w:r>
      <w:r w:rsidR="008D7BA9" w:rsidRPr="00596919">
        <w:rPr>
          <w:rFonts w:ascii="Times New Roman" w:hAnsi="Times New Roman"/>
          <w:spacing w:val="-3"/>
          <w:szCs w:val="24"/>
        </w:rPr>
        <w:t xml:space="preserve">would delay the timely implementation of the requirements of </w:t>
      </w:r>
      <w:r w:rsidR="00C66FC0" w:rsidRPr="00596919">
        <w:rPr>
          <w:rFonts w:ascii="Times New Roman" w:hAnsi="Times New Roman"/>
          <w:szCs w:val="24"/>
        </w:rPr>
        <w:t>Sections 205 and 206 of Public Law 111-296 (the Healthy, Hunger-Free Kids Act of 2010)</w:t>
      </w:r>
      <w:r w:rsidR="008D7BA9" w:rsidRPr="00596919">
        <w:rPr>
          <w:rFonts w:ascii="Times New Roman" w:hAnsi="Times New Roman"/>
          <w:spacing w:val="-3"/>
          <w:szCs w:val="24"/>
        </w:rPr>
        <w:t>.</w:t>
      </w:r>
      <w:r w:rsidR="000E0527" w:rsidRPr="00596919">
        <w:rPr>
          <w:rFonts w:ascii="Times New Roman" w:hAnsi="Times New Roman"/>
          <w:spacing w:val="-3"/>
          <w:szCs w:val="24"/>
        </w:rPr>
        <w:t xml:space="preserve"> </w:t>
      </w:r>
    </w:p>
    <w:p w:rsidR="00BA374E" w:rsidRDefault="00BA374E" w:rsidP="00BA374E">
      <w:pPr>
        <w:pStyle w:val="p7"/>
        <w:spacing w:line="480" w:lineRule="auto"/>
        <w:ind w:left="0" w:firstLine="0"/>
        <w:jc w:val="left"/>
        <w:rPr>
          <w:spacing w:val="-3"/>
        </w:rPr>
      </w:pPr>
    </w:p>
    <w:p w:rsidR="00BA374E" w:rsidRDefault="00FB6CAC" w:rsidP="00FB6CAC">
      <w:pPr>
        <w:pStyle w:val="p7"/>
        <w:spacing w:line="480" w:lineRule="auto"/>
        <w:ind w:left="0" w:firstLine="0"/>
        <w:jc w:val="left"/>
        <w:rPr>
          <w:b/>
          <w:color w:val="000000"/>
        </w:rPr>
      </w:pPr>
      <w:r w:rsidRPr="00FB6CAC">
        <w:rPr>
          <w:b/>
          <w:color w:val="000000"/>
        </w:rPr>
        <w:t>7.</w:t>
      </w:r>
      <w:r>
        <w:rPr>
          <w:b/>
          <w:color w:val="000000"/>
        </w:rPr>
        <w:t xml:space="preserve">  </w:t>
      </w:r>
      <w:r w:rsidR="00BA374E">
        <w:rPr>
          <w:b/>
          <w:color w:val="000000"/>
        </w:rPr>
        <w:t>Explain any special c</w:t>
      </w:r>
      <w:r w:rsidR="007F0BD6" w:rsidRPr="00596919">
        <w:rPr>
          <w:b/>
          <w:color w:val="000000"/>
        </w:rPr>
        <w:t xml:space="preserve">ircumstances that would cause an information collection to be </w:t>
      </w:r>
    </w:p>
    <w:p w:rsidR="007F0BD6" w:rsidRPr="0058033B" w:rsidRDefault="007F0BD6" w:rsidP="00BA374E">
      <w:pPr>
        <w:pStyle w:val="p7"/>
        <w:spacing w:line="480" w:lineRule="auto"/>
        <w:ind w:left="0" w:firstLine="0"/>
        <w:jc w:val="left"/>
        <w:rPr>
          <w:b/>
          <w:color w:val="000000"/>
        </w:rPr>
      </w:pPr>
      <w:proofErr w:type="gramStart"/>
      <w:r w:rsidRPr="00596919">
        <w:rPr>
          <w:b/>
          <w:color w:val="000000"/>
        </w:rPr>
        <w:t>conducted</w:t>
      </w:r>
      <w:proofErr w:type="gramEnd"/>
      <w:r w:rsidR="0058033B">
        <w:rPr>
          <w:b/>
          <w:color w:val="000000"/>
        </w:rPr>
        <w:t xml:space="preserve"> </w:t>
      </w:r>
      <w:r w:rsidRPr="0058033B">
        <w:rPr>
          <w:b/>
          <w:color w:val="000000"/>
        </w:rPr>
        <w:t xml:space="preserve">in a manner that is inconsistent with 5 CFR 1320.5: </w:t>
      </w:r>
    </w:p>
    <w:p w:rsidR="007F0BD6" w:rsidRPr="00596919" w:rsidRDefault="003E4AF3" w:rsidP="0058033B">
      <w:pPr>
        <w:widowControl/>
        <w:numPr>
          <w:ilvl w:val="0"/>
          <w:numId w:val="39"/>
        </w:numPr>
        <w:overflowPunct/>
        <w:autoSpaceDE/>
        <w:autoSpaceDN/>
        <w:adjustRightInd/>
        <w:spacing w:after="80" w:line="480" w:lineRule="auto"/>
        <w:ind w:left="1170" w:hanging="450"/>
        <w:textAlignment w:val="auto"/>
        <w:rPr>
          <w:rFonts w:ascii="Times New Roman" w:hAnsi="Times New Roman"/>
          <w:b/>
          <w:szCs w:val="24"/>
        </w:rPr>
      </w:pPr>
      <w:r w:rsidRPr="003E4AF3">
        <w:rPr>
          <w:rFonts w:ascii="Times New Roman" w:hAnsi="Times New Roman"/>
          <w:b/>
          <w:szCs w:val="24"/>
        </w:rPr>
        <w:t>requiring respondents to report informa</w:t>
      </w:r>
      <w:r w:rsidRPr="003E4AF3">
        <w:rPr>
          <w:rFonts w:ascii="Times New Roman" w:hAnsi="Times New Roman"/>
          <w:b/>
          <w:szCs w:val="24"/>
        </w:rPr>
        <w:softHyphen/>
        <w:t>tion to the agency more often than quarterly;</w:t>
      </w:r>
    </w:p>
    <w:p w:rsidR="007F0BD6" w:rsidRPr="00596919" w:rsidRDefault="003E4AF3" w:rsidP="007F0BD6">
      <w:pPr>
        <w:widowControl/>
        <w:numPr>
          <w:ilvl w:val="0"/>
          <w:numId w:val="13"/>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3E4AF3">
        <w:rPr>
          <w:rFonts w:ascii="Times New Roman" w:hAnsi="Times New Roman"/>
          <w:b/>
          <w:szCs w:val="24"/>
        </w:rPr>
        <w:t>requiring respondents to prepare a writ</w:t>
      </w:r>
      <w:r w:rsidRPr="003E4AF3">
        <w:rPr>
          <w:rFonts w:ascii="Times New Roman" w:hAnsi="Times New Roman"/>
          <w:b/>
          <w:szCs w:val="24"/>
        </w:rPr>
        <w:softHyphen/>
        <w:t>ten response to a collection of infor</w:t>
      </w:r>
      <w:r w:rsidRPr="003E4AF3">
        <w:rPr>
          <w:rFonts w:ascii="Times New Roman" w:hAnsi="Times New Roman"/>
          <w:b/>
          <w:szCs w:val="24"/>
        </w:rPr>
        <w:softHyphen/>
        <w:t>ma</w:t>
      </w:r>
      <w:r w:rsidRPr="003E4AF3">
        <w:rPr>
          <w:rFonts w:ascii="Times New Roman" w:hAnsi="Times New Roman"/>
          <w:b/>
          <w:szCs w:val="24"/>
        </w:rPr>
        <w:softHyphen/>
        <w:t>tion in fewer than 30 days after receipt of it;</w:t>
      </w:r>
    </w:p>
    <w:p w:rsidR="007F0BD6" w:rsidRPr="00596919" w:rsidRDefault="003E4AF3" w:rsidP="007F0BD6">
      <w:pPr>
        <w:widowControl/>
        <w:numPr>
          <w:ilvl w:val="0"/>
          <w:numId w:val="14"/>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3E4AF3">
        <w:rPr>
          <w:rFonts w:ascii="Times New Roman" w:hAnsi="Times New Roman"/>
          <w:b/>
          <w:szCs w:val="24"/>
        </w:rPr>
        <w:t>requiring respondents to submit more than an original and two copies of any docu</w:t>
      </w:r>
      <w:r w:rsidRPr="003E4AF3">
        <w:rPr>
          <w:rFonts w:ascii="Times New Roman" w:hAnsi="Times New Roman"/>
          <w:b/>
          <w:szCs w:val="24"/>
        </w:rPr>
        <w:softHyphen/>
        <w:t>ment;</w:t>
      </w:r>
    </w:p>
    <w:p w:rsidR="007F0BD6" w:rsidRPr="00596919" w:rsidRDefault="003E4AF3" w:rsidP="007F0BD6">
      <w:pPr>
        <w:widowControl/>
        <w:numPr>
          <w:ilvl w:val="0"/>
          <w:numId w:val="15"/>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3E4AF3">
        <w:rPr>
          <w:rFonts w:ascii="Times New Roman" w:hAnsi="Times New Roman"/>
          <w:b/>
          <w:szCs w:val="24"/>
        </w:rPr>
        <w:t>requiring respondents to retain re</w:t>
      </w:r>
      <w:r w:rsidRPr="003E4AF3">
        <w:rPr>
          <w:rFonts w:ascii="Times New Roman" w:hAnsi="Times New Roman"/>
          <w:b/>
          <w:szCs w:val="24"/>
        </w:rPr>
        <w:softHyphen/>
        <w:t>cords, other than health, medical, governm</w:t>
      </w:r>
      <w:r w:rsidRPr="003E4AF3">
        <w:rPr>
          <w:rFonts w:ascii="Times New Roman" w:hAnsi="Times New Roman"/>
          <w:b/>
          <w:szCs w:val="24"/>
        </w:rPr>
        <w:softHyphen/>
        <w:t>ent contract, grant-in-aid, or tax records for more than three years;</w:t>
      </w:r>
    </w:p>
    <w:p w:rsidR="007F0BD6" w:rsidRPr="00596919" w:rsidRDefault="003E4AF3" w:rsidP="007F0BD6">
      <w:pPr>
        <w:widowControl/>
        <w:numPr>
          <w:ilvl w:val="0"/>
          <w:numId w:val="16"/>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3E4AF3">
        <w:rPr>
          <w:rFonts w:ascii="Times New Roman" w:hAnsi="Times New Roman"/>
          <w:b/>
          <w:szCs w:val="24"/>
        </w:rPr>
        <w:lastRenderedPageBreak/>
        <w:t>in connection with a statisti</w:t>
      </w:r>
      <w:r w:rsidRPr="003E4AF3">
        <w:rPr>
          <w:rFonts w:ascii="Times New Roman" w:hAnsi="Times New Roman"/>
          <w:b/>
          <w:szCs w:val="24"/>
        </w:rPr>
        <w:softHyphen/>
        <w:t>cal sur</w:t>
      </w:r>
      <w:r w:rsidRPr="003E4AF3">
        <w:rPr>
          <w:rFonts w:ascii="Times New Roman" w:hAnsi="Times New Roman"/>
          <w:b/>
          <w:szCs w:val="24"/>
        </w:rPr>
        <w:softHyphen/>
        <w:t>vey, that is not de</w:t>
      </w:r>
      <w:r w:rsidRPr="003E4AF3">
        <w:rPr>
          <w:rFonts w:ascii="Times New Roman" w:hAnsi="Times New Roman"/>
          <w:b/>
          <w:szCs w:val="24"/>
        </w:rPr>
        <w:softHyphen/>
        <w:t>signed to produce valid and reli</w:t>
      </w:r>
      <w:r w:rsidRPr="003E4AF3">
        <w:rPr>
          <w:rFonts w:ascii="Times New Roman" w:hAnsi="Times New Roman"/>
          <w:b/>
          <w:szCs w:val="24"/>
        </w:rPr>
        <w:softHyphen/>
        <w:t>able results that can be general</w:t>
      </w:r>
      <w:r w:rsidRPr="003E4AF3">
        <w:rPr>
          <w:rFonts w:ascii="Times New Roman" w:hAnsi="Times New Roman"/>
          <w:b/>
          <w:szCs w:val="24"/>
        </w:rPr>
        <w:softHyphen/>
        <w:t>ized to the uni</w:t>
      </w:r>
      <w:r w:rsidRPr="003E4AF3">
        <w:rPr>
          <w:rFonts w:ascii="Times New Roman" w:hAnsi="Times New Roman"/>
          <w:b/>
          <w:szCs w:val="24"/>
        </w:rPr>
        <w:softHyphen/>
        <w:t>verse of study;</w:t>
      </w:r>
    </w:p>
    <w:p w:rsidR="007F0BD6" w:rsidRPr="00596919" w:rsidRDefault="003E4AF3" w:rsidP="007F0BD6">
      <w:pPr>
        <w:widowControl/>
        <w:numPr>
          <w:ilvl w:val="0"/>
          <w:numId w:val="17"/>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3E4AF3">
        <w:rPr>
          <w:rFonts w:ascii="Times New Roman" w:hAnsi="Times New Roman"/>
          <w:b/>
          <w:szCs w:val="24"/>
        </w:rPr>
        <w:t>requiring the use of a statis</w:t>
      </w:r>
      <w:r w:rsidRPr="003E4AF3">
        <w:rPr>
          <w:rFonts w:ascii="Times New Roman" w:hAnsi="Times New Roman"/>
          <w:b/>
          <w:szCs w:val="24"/>
        </w:rPr>
        <w:softHyphen/>
        <w:t>tical data classi</w:t>
      </w:r>
      <w:r w:rsidRPr="003E4AF3">
        <w:rPr>
          <w:rFonts w:ascii="Times New Roman" w:hAnsi="Times New Roman"/>
          <w:b/>
          <w:szCs w:val="24"/>
        </w:rPr>
        <w:softHyphen/>
        <w:t>fication that has not been re</w:t>
      </w:r>
      <w:r w:rsidRPr="003E4AF3">
        <w:rPr>
          <w:rFonts w:ascii="Times New Roman" w:hAnsi="Times New Roman"/>
          <w:b/>
          <w:szCs w:val="24"/>
        </w:rPr>
        <w:softHyphen/>
        <w:t>vie</w:t>
      </w:r>
      <w:r w:rsidRPr="003E4AF3">
        <w:rPr>
          <w:rFonts w:ascii="Times New Roman" w:hAnsi="Times New Roman"/>
          <w:b/>
          <w:szCs w:val="24"/>
        </w:rPr>
        <w:softHyphen/>
        <w:t>wed and approved by OMB;</w:t>
      </w:r>
    </w:p>
    <w:p w:rsidR="007F0BD6" w:rsidRPr="00596919" w:rsidRDefault="003E4AF3" w:rsidP="007F0BD6">
      <w:pPr>
        <w:widowControl/>
        <w:numPr>
          <w:ilvl w:val="0"/>
          <w:numId w:val="18"/>
        </w:numPr>
        <w:tabs>
          <w:tab w:val="clear" w:pos="360"/>
        </w:tabs>
        <w:overflowPunct/>
        <w:autoSpaceDE/>
        <w:autoSpaceDN/>
        <w:adjustRightInd/>
        <w:spacing w:after="80" w:line="480" w:lineRule="auto"/>
        <w:ind w:left="1170" w:hanging="450"/>
        <w:textAlignment w:val="auto"/>
        <w:rPr>
          <w:rFonts w:ascii="Times New Roman" w:hAnsi="Times New Roman"/>
          <w:b/>
          <w:szCs w:val="24"/>
        </w:rPr>
      </w:pPr>
      <w:r w:rsidRPr="003E4AF3">
        <w:rPr>
          <w:rFonts w:ascii="Times New Roman" w:hAnsi="Times New Roman"/>
          <w:b/>
          <w:szCs w:val="24"/>
        </w:rPr>
        <w:t>that includes a pledge of confiden</w:t>
      </w:r>
      <w:r w:rsidRPr="003E4AF3">
        <w:rPr>
          <w:rFonts w:ascii="Times New Roman" w:hAnsi="Times New Roman"/>
          <w:b/>
          <w:szCs w:val="24"/>
        </w:rPr>
        <w:softHyphen/>
        <w:t>tiali</w:t>
      </w:r>
      <w:r w:rsidRPr="003E4AF3">
        <w:rPr>
          <w:rFonts w:ascii="Times New Roman" w:hAnsi="Times New Roman"/>
          <w:b/>
          <w:szCs w:val="24"/>
        </w:rPr>
        <w:softHyphen/>
        <w:t>ty that is not supported by au</w:t>
      </w:r>
      <w:r w:rsidRPr="003E4AF3">
        <w:rPr>
          <w:rFonts w:ascii="Times New Roman" w:hAnsi="Times New Roman"/>
          <w:b/>
          <w:szCs w:val="24"/>
        </w:rPr>
        <w:softHyphen/>
        <w:t>thority estab</w:t>
      </w:r>
      <w:r w:rsidRPr="003E4AF3">
        <w:rPr>
          <w:rFonts w:ascii="Times New Roman" w:hAnsi="Times New Roman"/>
          <w:b/>
          <w:szCs w:val="24"/>
        </w:rPr>
        <w:softHyphen/>
        <w:t>lished in statute or regu</w:t>
      </w:r>
      <w:r w:rsidRPr="003E4AF3">
        <w:rPr>
          <w:rFonts w:ascii="Times New Roman" w:hAnsi="Times New Roman"/>
          <w:b/>
          <w:szCs w:val="24"/>
        </w:rPr>
        <w:softHyphen/>
        <w:t>la</w:t>
      </w:r>
      <w:r w:rsidRPr="003E4AF3">
        <w:rPr>
          <w:rFonts w:ascii="Times New Roman" w:hAnsi="Times New Roman"/>
          <w:b/>
          <w:szCs w:val="24"/>
        </w:rPr>
        <w:softHyphen/>
        <w:t>tion, that is not sup</w:t>
      </w:r>
      <w:r w:rsidRPr="003E4AF3">
        <w:rPr>
          <w:rFonts w:ascii="Times New Roman" w:hAnsi="Times New Roman"/>
          <w:b/>
          <w:szCs w:val="24"/>
        </w:rPr>
        <w:softHyphen/>
        <w:t>ported by dis</w:t>
      </w:r>
      <w:r w:rsidRPr="003E4AF3">
        <w:rPr>
          <w:rFonts w:ascii="Times New Roman" w:hAnsi="Times New Roman"/>
          <w:b/>
          <w:szCs w:val="24"/>
        </w:rPr>
        <w:softHyphen/>
        <w:t>closure and data security policies that are consistent with the pledge, or which unneces</w:t>
      </w:r>
      <w:r w:rsidRPr="003E4AF3">
        <w:rPr>
          <w:rFonts w:ascii="Times New Roman" w:hAnsi="Times New Roman"/>
          <w:b/>
          <w:szCs w:val="24"/>
        </w:rPr>
        <w:softHyphen/>
        <w:t>sarily impedes shar</w:t>
      </w:r>
      <w:r w:rsidRPr="003E4AF3">
        <w:rPr>
          <w:rFonts w:ascii="Times New Roman" w:hAnsi="Times New Roman"/>
          <w:b/>
          <w:szCs w:val="24"/>
        </w:rPr>
        <w:softHyphen/>
        <w:t>ing of data with other agencies for com</w:t>
      </w:r>
      <w:r w:rsidRPr="003E4AF3">
        <w:rPr>
          <w:rFonts w:ascii="Times New Roman" w:hAnsi="Times New Roman"/>
          <w:b/>
          <w:szCs w:val="24"/>
        </w:rPr>
        <w:softHyphen/>
        <w:t>patible confiden</w:t>
      </w:r>
      <w:r w:rsidRPr="003E4AF3">
        <w:rPr>
          <w:rFonts w:ascii="Times New Roman" w:hAnsi="Times New Roman"/>
          <w:b/>
          <w:szCs w:val="24"/>
        </w:rPr>
        <w:softHyphen/>
        <w:t>tial use; or</w:t>
      </w:r>
    </w:p>
    <w:p w:rsidR="001A55B6" w:rsidRPr="0058033B" w:rsidRDefault="003E4AF3" w:rsidP="0058033B">
      <w:pPr>
        <w:widowControl/>
        <w:numPr>
          <w:ilvl w:val="0"/>
          <w:numId w:val="19"/>
        </w:numPr>
        <w:tabs>
          <w:tab w:val="num" w:pos="648"/>
        </w:tabs>
        <w:overflowPunct/>
        <w:autoSpaceDE/>
        <w:autoSpaceDN/>
        <w:adjustRightInd/>
        <w:spacing w:after="80" w:line="480" w:lineRule="auto"/>
        <w:ind w:left="1170" w:hanging="450"/>
        <w:textAlignment w:val="auto"/>
        <w:rPr>
          <w:rFonts w:ascii="Times New Roman" w:hAnsi="Times New Roman"/>
          <w:szCs w:val="24"/>
        </w:rPr>
      </w:pPr>
      <w:r w:rsidRPr="003E4AF3">
        <w:rPr>
          <w:rFonts w:ascii="Times New Roman" w:hAnsi="Times New Roman"/>
          <w:b/>
          <w:szCs w:val="24"/>
        </w:rPr>
        <w:t>requiring respondents to submit propri</w:t>
      </w:r>
      <w:r w:rsidRPr="003E4AF3">
        <w:rPr>
          <w:rFonts w:ascii="Times New Roman" w:hAnsi="Times New Roman"/>
          <w:b/>
          <w:szCs w:val="24"/>
        </w:rPr>
        <w:softHyphen/>
        <w:t>etary trade secret, or other confidential information unless the agency can demon</w:t>
      </w:r>
      <w:r w:rsidRPr="003E4AF3">
        <w:rPr>
          <w:rFonts w:ascii="Times New Roman" w:hAnsi="Times New Roman"/>
          <w:b/>
          <w:szCs w:val="24"/>
        </w:rPr>
        <w:softHyphen/>
        <w:t>strate that it has instituted procedures to protect the information's confidentiality to the extent permit</w:t>
      </w:r>
      <w:r w:rsidRPr="003E4AF3">
        <w:rPr>
          <w:rFonts w:ascii="Times New Roman" w:hAnsi="Times New Roman"/>
          <w:b/>
          <w:szCs w:val="24"/>
        </w:rPr>
        <w:softHyphen/>
        <w:t>ted by law.</w:t>
      </w:r>
    </w:p>
    <w:p w:rsidR="00FA16F8" w:rsidRDefault="00B15EFF" w:rsidP="00D701D1">
      <w:pPr>
        <w:tabs>
          <w:tab w:val="left" w:pos="-720"/>
        </w:tabs>
        <w:suppressAutoHyphens/>
        <w:spacing w:line="480" w:lineRule="auto"/>
        <w:rPr>
          <w:rFonts w:ascii="Times New Roman" w:hAnsi="Times New Roman"/>
          <w:szCs w:val="24"/>
        </w:rPr>
      </w:pPr>
      <w:r w:rsidRPr="00596919">
        <w:rPr>
          <w:rFonts w:ascii="Times New Roman" w:hAnsi="Times New Roman"/>
          <w:szCs w:val="24"/>
        </w:rPr>
        <w:t>There are no other special circumstances.  The collection of information is conducted in a manner consistent with the guidelines in 5 CFR 1320.5</w:t>
      </w:r>
      <w:r w:rsidR="003E4AF3" w:rsidRPr="003E4AF3">
        <w:rPr>
          <w:rFonts w:ascii="Times New Roman" w:hAnsi="Times New Roman"/>
          <w:i/>
          <w:szCs w:val="24"/>
        </w:rPr>
        <w:t>.</w:t>
      </w:r>
    </w:p>
    <w:p w:rsidR="00D701D1" w:rsidRDefault="000E0527" w:rsidP="00FA16F8">
      <w:pPr>
        <w:tabs>
          <w:tab w:val="left" w:pos="-720"/>
        </w:tabs>
        <w:suppressAutoHyphens/>
        <w:rPr>
          <w:rFonts w:ascii="Times New Roman" w:hAnsi="Times New Roman"/>
          <w:spacing w:val="-3"/>
          <w:szCs w:val="24"/>
        </w:rPr>
      </w:pPr>
      <w:r w:rsidRPr="00596919">
        <w:rPr>
          <w:rFonts w:ascii="Times New Roman" w:hAnsi="Times New Roman"/>
          <w:spacing w:val="-3"/>
          <w:szCs w:val="24"/>
        </w:rPr>
        <w:t xml:space="preserve"> </w:t>
      </w:r>
    </w:p>
    <w:p w:rsidR="00843CF1" w:rsidRPr="00FA16F8" w:rsidRDefault="00843CF1" w:rsidP="00FA16F8">
      <w:pPr>
        <w:tabs>
          <w:tab w:val="left" w:pos="-720"/>
        </w:tabs>
        <w:suppressAutoHyphens/>
        <w:rPr>
          <w:rFonts w:ascii="Times New Roman" w:hAnsi="Times New Roman"/>
          <w:szCs w:val="24"/>
        </w:rPr>
      </w:pPr>
    </w:p>
    <w:p w:rsidR="00D701D1" w:rsidRPr="00FB6CAC" w:rsidRDefault="00FB6CAC" w:rsidP="00FB6CAC">
      <w:pPr>
        <w:tabs>
          <w:tab w:val="left" w:pos="-720"/>
        </w:tabs>
        <w:suppressAutoHyphens/>
        <w:spacing w:line="480" w:lineRule="auto"/>
        <w:rPr>
          <w:rFonts w:ascii="Times New Roman" w:hAnsi="Times New Roman"/>
          <w:spacing w:val="-3"/>
        </w:rPr>
      </w:pPr>
      <w:r w:rsidRPr="00FB6CAC">
        <w:rPr>
          <w:rFonts w:ascii="Times New Roman" w:hAnsi="Times New Roman"/>
          <w:b/>
        </w:rPr>
        <w:t xml:space="preserve">8. </w:t>
      </w:r>
      <w:r>
        <w:rPr>
          <w:rFonts w:ascii="Times New Roman" w:hAnsi="Times New Roman"/>
          <w:b/>
        </w:rPr>
        <w:t xml:space="preserve"> </w:t>
      </w:r>
      <w:r w:rsidR="003E4AF3" w:rsidRPr="00FB6CAC">
        <w:rPr>
          <w:rFonts w:ascii="Times New Roman" w:hAnsi="Times New Roman"/>
          <w:b/>
        </w:rPr>
        <w:t>If applicable, provide a copy and identify the date and page number of publication</w:t>
      </w:r>
    </w:p>
    <w:p w:rsidR="00843CF1" w:rsidRDefault="003E4AF3" w:rsidP="00843CF1">
      <w:pPr>
        <w:tabs>
          <w:tab w:val="left" w:pos="-720"/>
        </w:tabs>
        <w:suppressAutoHyphens/>
        <w:spacing w:line="480" w:lineRule="auto"/>
        <w:rPr>
          <w:rFonts w:ascii="Times New Roman" w:hAnsi="Times New Roman"/>
          <w:spacing w:val="-3"/>
          <w:szCs w:val="24"/>
        </w:rPr>
      </w:pPr>
      <w:proofErr w:type="gramStart"/>
      <w:r w:rsidRPr="00D701D1">
        <w:rPr>
          <w:rFonts w:ascii="Times New Roman" w:hAnsi="Times New Roman"/>
          <w:b/>
        </w:rPr>
        <w:t>in</w:t>
      </w:r>
      <w:proofErr w:type="gramEnd"/>
      <w:r w:rsidRPr="00D701D1">
        <w:rPr>
          <w:rFonts w:ascii="Times New Roman" w:hAnsi="Times New Roman"/>
          <w:b/>
        </w:rPr>
        <w:t xml:space="preserve"> the Federal Register of the agency's notice, soliciting comments on the information collectio</w:t>
      </w:r>
      <w:r w:rsidR="00840876">
        <w:rPr>
          <w:rFonts w:ascii="Times New Roman" w:hAnsi="Times New Roman"/>
          <w:b/>
        </w:rPr>
        <w:t xml:space="preserve">n prior to submission to OMB.  </w:t>
      </w:r>
      <w:r w:rsidRPr="00D701D1">
        <w:rPr>
          <w:rFonts w:ascii="Times New Roman" w:hAnsi="Times New Roman"/>
          <w:b/>
        </w:rPr>
        <w:t>Summarize public comments received in response to that notice and describe actions taken by the agency in response to these comments.</w:t>
      </w:r>
    </w:p>
    <w:p w:rsidR="00D701D1" w:rsidRDefault="00B14CAA" w:rsidP="00843CF1">
      <w:pPr>
        <w:tabs>
          <w:tab w:val="left" w:pos="-720"/>
        </w:tabs>
        <w:suppressAutoHyphens/>
        <w:spacing w:line="480" w:lineRule="auto"/>
        <w:rPr>
          <w:rFonts w:ascii="Times New Roman" w:hAnsi="Times New Roman"/>
          <w:spacing w:val="-3"/>
          <w:szCs w:val="24"/>
        </w:rPr>
      </w:pPr>
      <w:r w:rsidRPr="00596919">
        <w:rPr>
          <w:rFonts w:ascii="Times New Roman" w:hAnsi="Times New Roman"/>
          <w:spacing w:val="-3"/>
          <w:szCs w:val="24"/>
        </w:rPr>
        <w:t xml:space="preserve">A 60-day Federal Register Notice </w:t>
      </w:r>
      <w:r w:rsidR="00D15B32" w:rsidRPr="00596919">
        <w:rPr>
          <w:rFonts w:ascii="Times New Roman" w:hAnsi="Times New Roman"/>
          <w:spacing w:val="-3"/>
          <w:szCs w:val="24"/>
        </w:rPr>
        <w:t>i</w:t>
      </w:r>
      <w:r w:rsidRPr="00596919">
        <w:rPr>
          <w:rFonts w:ascii="Times New Roman" w:hAnsi="Times New Roman"/>
          <w:spacing w:val="-3"/>
          <w:szCs w:val="24"/>
        </w:rPr>
        <w:t xml:space="preserve">s embedded in the </w:t>
      </w:r>
      <w:r w:rsidR="00D15B32" w:rsidRPr="00596919">
        <w:rPr>
          <w:rFonts w:ascii="Times New Roman" w:hAnsi="Times New Roman"/>
          <w:spacing w:val="-3"/>
          <w:szCs w:val="24"/>
        </w:rPr>
        <w:t>Interim</w:t>
      </w:r>
      <w:r w:rsidRPr="00596919">
        <w:rPr>
          <w:rFonts w:ascii="Times New Roman" w:hAnsi="Times New Roman"/>
          <w:spacing w:val="-3"/>
          <w:szCs w:val="24"/>
        </w:rPr>
        <w:t xml:space="preserve"> Rule, 7 CFR Pa</w:t>
      </w:r>
      <w:r w:rsidR="00D2094C" w:rsidRPr="00596919">
        <w:rPr>
          <w:rFonts w:ascii="Times New Roman" w:hAnsi="Times New Roman"/>
          <w:spacing w:val="-3"/>
          <w:szCs w:val="24"/>
        </w:rPr>
        <w:t>rt</w:t>
      </w:r>
      <w:r w:rsidR="00D15B32" w:rsidRPr="00596919">
        <w:rPr>
          <w:rFonts w:ascii="Times New Roman" w:hAnsi="Times New Roman"/>
          <w:spacing w:val="-3"/>
          <w:szCs w:val="24"/>
        </w:rPr>
        <w:t xml:space="preserve"> 210 “School </w:t>
      </w:r>
    </w:p>
    <w:p w:rsidR="00D701D1" w:rsidRDefault="00840876" w:rsidP="00843CF1">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Food </w:t>
      </w:r>
      <w:r w:rsidR="00D15B32" w:rsidRPr="00596919">
        <w:rPr>
          <w:rFonts w:ascii="Times New Roman" w:hAnsi="Times New Roman"/>
          <w:spacing w:val="-3"/>
          <w:szCs w:val="24"/>
        </w:rPr>
        <w:t>S</w:t>
      </w:r>
      <w:r w:rsidR="00B14CAA" w:rsidRPr="00596919">
        <w:rPr>
          <w:rFonts w:ascii="Times New Roman" w:hAnsi="Times New Roman"/>
          <w:spacing w:val="-3"/>
          <w:szCs w:val="24"/>
        </w:rPr>
        <w:t>e</w:t>
      </w:r>
      <w:r w:rsidR="00D15B32" w:rsidRPr="00596919">
        <w:rPr>
          <w:rFonts w:ascii="Times New Roman" w:hAnsi="Times New Roman"/>
          <w:spacing w:val="-3"/>
          <w:szCs w:val="24"/>
        </w:rPr>
        <w:t>rvice Account Revenue Amendments Related to the Heal</w:t>
      </w:r>
      <w:r w:rsidR="00B14CAA" w:rsidRPr="00596919">
        <w:rPr>
          <w:rFonts w:ascii="Times New Roman" w:hAnsi="Times New Roman"/>
          <w:spacing w:val="-3"/>
          <w:szCs w:val="24"/>
        </w:rPr>
        <w:t>t</w:t>
      </w:r>
      <w:r w:rsidR="00D15B32" w:rsidRPr="00596919">
        <w:rPr>
          <w:rFonts w:ascii="Times New Roman" w:hAnsi="Times New Roman"/>
          <w:spacing w:val="-3"/>
          <w:szCs w:val="24"/>
        </w:rPr>
        <w:t>h</w:t>
      </w:r>
      <w:r w:rsidR="00B14CAA" w:rsidRPr="00596919">
        <w:rPr>
          <w:rFonts w:ascii="Times New Roman" w:hAnsi="Times New Roman"/>
          <w:spacing w:val="-3"/>
          <w:szCs w:val="24"/>
        </w:rPr>
        <w:t>y</w:t>
      </w:r>
      <w:r w:rsidR="00D15B32" w:rsidRPr="00596919">
        <w:rPr>
          <w:rFonts w:ascii="Times New Roman" w:hAnsi="Times New Roman"/>
          <w:spacing w:val="-3"/>
          <w:szCs w:val="24"/>
        </w:rPr>
        <w:t xml:space="preserve">, Hunger-Free Kids Act </w:t>
      </w:r>
    </w:p>
    <w:p w:rsidR="00DF5DB2" w:rsidRPr="00840876" w:rsidRDefault="00D15B32" w:rsidP="00843CF1">
      <w:pPr>
        <w:tabs>
          <w:tab w:val="left" w:pos="-720"/>
        </w:tabs>
        <w:suppressAutoHyphens/>
        <w:spacing w:line="480" w:lineRule="auto"/>
        <w:rPr>
          <w:rFonts w:ascii="Times New Roman" w:hAnsi="Times New Roman"/>
          <w:spacing w:val="-3"/>
          <w:szCs w:val="24"/>
        </w:rPr>
      </w:pPr>
      <w:proofErr w:type="gramStart"/>
      <w:r w:rsidRPr="00596919">
        <w:rPr>
          <w:rFonts w:ascii="Times New Roman" w:hAnsi="Times New Roman"/>
          <w:spacing w:val="-3"/>
          <w:szCs w:val="24"/>
        </w:rPr>
        <w:t>of</w:t>
      </w:r>
      <w:proofErr w:type="gramEnd"/>
      <w:r w:rsidRPr="00596919">
        <w:rPr>
          <w:rFonts w:ascii="Times New Roman" w:hAnsi="Times New Roman"/>
          <w:spacing w:val="-3"/>
          <w:szCs w:val="24"/>
        </w:rPr>
        <w:t xml:space="preserve"> 2010</w:t>
      </w:r>
      <w:r w:rsidR="00B14CAA" w:rsidRPr="00596919">
        <w:rPr>
          <w:rFonts w:ascii="Times New Roman" w:hAnsi="Times New Roman"/>
          <w:spacing w:val="-3"/>
          <w:szCs w:val="24"/>
        </w:rPr>
        <w:t xml:space="preserve">,” </w:t>
      </w:r>
      <w:r w:rsidR="000109ED">
        <w:rPr>
          <w:rFonts w:ascii="Times New Roman" w:hAnsi="Times New Roman"/>
        </w:rPr>
        <w:t>published June 17, 2011, Federal Register, Vol. 76, No. 117, p. 35301.</w:t>
      </w:r>
      <w:r w:rsidR="00B14CAA" w:rsidRPr="00596919">
        <w:rPr>
          <w:rFonts w:ascii="Times New Roman" w:hAnsi="Times New Roman"/>
          <w:spacing w:val="-3"/>
          <w:szCs w:val="24"/>
        </w:rPr>
        <w:t xml:space="preserve">  </w:t>
      </w:r>
      <w:r w:rsidR="001861AE">
        <w:rPr>
          <w:rFonts w:ascii="Times New Roman" w:hAnsi="Times New Roman"/>
          <w:spacing w:val="-3"/>
          <w:szCs w:val="24"/>
        </w:rPr>
        <w:t xml:space="preserve">Very few </w:t>
      </w:r>
      <w:r w:rsidR="001861AE">
        <w:rPr>
          <w:rFonts w:ascii="Times New Roman" w:hAnsi="Times New Roman"/>
          <w:spacing w:val="-3"/>
          <w:szCs w:val="24"/>
        </w:rPr>
        <w:lastRenderedPageBreak/>
        <w:t>c</w:t>
      </w:r>
      <w:r w:rsidR="00B14CAA" w:rsidRPr="00596919">
        <w:rPr>
          <w:rFonts w:ascii="Times New Roman" w:hAnsi="Times New Roman"/>
          <w:spacing w:val="-3"/>
          <w:szCs w:val="24"/>
        </w:rPr>
        <w:t>omments</w:t>
      </w:r>
      <w:r w:rsidR="00B14CAA" w:rsidRPr="001861AE">
        <w:rPr>
          <w:rFonts w:ascii="Times New Roman" w:hAnsi="Times New Roman"/>
          <w:spacing w:val="-3"/>
          <w:szCs w:val="24"/>
        </w:rPr>
        <w:t xml:space="preserve"> </w:t>
      </w:r>
      <w:r w:rsidR="001861AE" w:rsidRPr="001861AE">
        <w:rPr>
          <w:rFonts w:ascii="Times New Roman" w:hAnsi="Times New Roman"/>
        </w:rPr>
        <w:t xml:space="preserve">were received on </w:t>
      </w:r>
      <w:r w:rsidR="001861AE">
        <w:rPr>
          <w:rFonts w:ascii="Times New Roman" w:hAnsi="Times New Roman"/>
        </w:rPr>
        <w:t xml:space="preserve">the </w:t>
      </w:r>
      <w:r w:rsidR="001861AE" w:rsidRPr="001861AE">
        <w:rPr>
          <w:rFonts w:ascii="Times New Roman" w:hAnsi="Times New Roman"/>
        </w:rPr>
        <w:t xml:space="preserve">information collection requirement for this rule. All </w:t>
      </w:r>
      <w:r w:rsidR="001861AE">
        <w:rPr>
          <w:rFonts w:ascii="Times New Roman" w:hAnsi="Times New Roman"/>
        </w:rPr>
        <w:t>comments</w:t>
      </w:r>
      <w:r w:rsidR="001861AE" w:rsidRPr="001861AE">
        <w:rPr>
          <w:rFonts w:ascii="Times New Roman" w:hAnsi="Times New Roman"/>
        </w:rPr>
        <w:t xml:space="preserve"> supported </w:t>
      </w:r>
      <w:r w:rsidR="001861AE">
        <w:rPr>
          <w:rFonts w:ascii="Times New Roman" w:hAnsi="Times New Roman"/>
        </w:rPr>
        <w:t xml:space="preserve">the </w:t>
      </w:r>
      <w:r w:rsidR="007C6C82" w:rsidRPr="007C6C82">
        <w:rPr>
          <w:rFonts w:ascii="Times New Roman" w:hAnsi="Times New Roman"/>
        </w:rPr>
        <w:t>new reporting r</w:t>
      </w:r>
      <w:r w:rsidR="007C6C82">
        <w:rPr>
          <w:rFonts w:ascii="Times New Roman" w:hAnsi="Times New Roman"/>
        </w:rPr>
        <w:t>equirement for USDA to collect </w:t>
      </w:r>
      <w:r w:rsidR="007C6C82" w:rsidRPr="007C6C82">
        <w:rPr>
          <w:rFonts w:ascii="Times New Roman" w:hAnsi="Times New Roman"/>
        </w:rPr>
        <w:t>and publish paid l</w:t>
      </w:r>
      <w:r w:rsidR="007C6C82">
        <w:rPr>
          <w:rFonts w:ascii="Times New Roman" w:hAnsi="Times New Roman"/>
        </w:rPr>
        <w:t>unch</w:t>
      </w:r>
      <w:r w:rsidR="007C6C82" w:rsidRPr="007C6C82">
        <w:rPr>
          <w:rFonts w:ascii="Times New Roman" w:hAnsi="Times New Roman"/>
        </w:rPr>
        <w:t xml:space="preserve"> prices charged by SFAs</w:t>
      </w:r>
      <w:r w:rsidR="001861AE" w:rsidRPr="001861AE">
        <w:rPr>
          <w:rFonts w:ascii="Times New Roman" w:hAnsi="Times New Roman"/>
        </w:rPr>
        <w:t xml:space="preserve">. They indicated that </w:t>
      </w:r>
      <w:r w:rsidR="001861AE">
        <w:rPr>
          <w:rFonts w:ascii="Times New Roman" w:hAnsi="Times New Roman"/>
        </w:rPr>
        <w:t xml:space="preserve">the </w:t>
      </w:r>
      <w:r w:rsidR="001861AE" w:rsidRPr="001861AE">
        <w:rPr>
          <w:rFonts w:ascii="Times New Roman" w:hAnsi="Times New Roman"/>
        </w:rPr>
        <w:t>reporting and record keeping requirements are integral to implementation of this rule and are not overly burdensome on S</w:t>
      </w:r>
      <w:r w:rsidR="001861AE">
        <w:rPr>
          <w:rFonts w:ascii="Times New Roman" w:hAnsi="Times New Roman"/>
        </w:rPr>
        <w:t>FA</w:t>
      </w:r>
      <w:r w:rsidR="001861AE" w:rsidRPr="001861AE">
        <w:rPr>
          <w:rFonts w:ascii="Times New Roman" w:hAnsi="Times New Roman"/>
        </w:rPr>
        <w:t>s and State agencies</w:t>
      </w:r>
      <w:r w:rsidR="00B14CAA" w:rsidRPr="00596919">
        <w:rPr>
          <w:rFonts w:ascii="Times New Roman" w:hAnsi="Times New Roman"/>
          <w:spacing w:val="-3"/>
          <w:szCs w:val="24"/>
        </w:rPr>
        <w:t>.</w:t>
      </w:r>
    </w:p>
    <w:p w:rsidR="001451F3" w:rsidRPr="001451F3" w:rsidRDefault="003E4AF3" w:rsidP="00FB6CAC">
      <w:pPr>
        <w:pStyle w:val="BodyTextIndent2"/>
        <w:numPr>
          <w:ilvl w:val="0"/>
          <w:numId w:val="19"/>
        </w:numPr>
        <w:tabs>
          <w:tab w:val="clear" w:pos="-720"/>
          <w:tab w:val="clear" w:pos="0"/>
          <w:tab w:val="left" w:pos="450"/>
        </w:tabs>
        <w:suppressAutoHyphens w:val="0"/>
        <w:overflowPunct/>
        <w:spacing w:after="120" w:line="480" w:lineRule="auto"/>
        <w:ind w:left="1080"/>
        <w:textAlignment w:val="auto"/>
        <w:rPr>
          <w:rFonts w:ascii="Times New Roman" w:hAnsi="Times New Roman"/>
          <w:b/>
          <w:szCs w:val="24"/>
        </w:rPr>
      </w:pPr>
      <w:r w:rsidRPr="003E4AF3">
        <w:rPr>
          <w:rFonts w:ascii="Times New Roman" w:hAnsi="Times New Roman"/>
          <w:b/>
          <w:color w:val="000000"/>
          <w:szCs w:val="24"/>
        </w:rPr>
        <w:t xml:space="preserve">Describe efforts to consult with persons outside the agency to obtain their views on the availability of data, frequency of collection, </w:t>
      </w:r>
      <w:r w:rsidRPr="003E4AF3">
        <w:rPr>
          <w:rFonts w:ascii="Times New Roman" w:hAnsi="Times New Roman"/>
          <w:szCs w:val="24"/>
        </w:rPr>
        <w:t xml:space="preserve"> </w:t>
      </w:r>
      <w:r w:rsidRPr="003E4AF3">
        <w:rPr>
          <w:rFonts w:ascii="Times New Roman" w:hAnsi="Times New Roman"/>
          <w:b/>
          <w:szCs w:val="24"/>
        </w:rPr>
        <w:t xml:space="preserve">the clarity of instructions and recordkeeping, disclosure, or reporting form, and on the data elements to be recorded, disclosed, or reported. </w:t>
      </w:r>
    </w:p>
    <w:p w:rsidR="007F0BD6" w:rsidRPr="00596919" w:rsidRDefault="004878D7" w:rsidP="009424D0">
      <w:pPr>
        <w:pStyle w:val="BodyTextIndent"/>
        <w:spacing w:line="480" w:lineRule="auto"/>
        <w:ind w:left="0" w:firstLine="0"/>
        <w:rPr>
          <w:rFonts w:ascii="Times New Roman" w:hAnsi="Times New Roman"/>
          <w:color w:val="000000"/>
          <w:szCs w:val="24"/>
        </w:rPr>
      </w:pPr>
      <w:r w:rsidRPr="00596919">
        <w:rPr>
          <w:rFonts w:ascii="Times New Roman" w:hAnsi="Times New Roman"/>
          <w:szCs w:val="24"/>
        </w:rPr>
        <w:t>W</w:t>
      </w:r>
      <w:r w:rsidR="00CB4DF6" w:rsidRPr="00596919">
        <w:rPr>
          <w:rFonts w:ascii="Times New Roman" w:hAnsi="Times New Roman"/>
          <w:szCs w:val="24"/>
        </w:rPr>
        <w:t>hen</w:t>
      </w:r>
      <w:r w:rsidR="00B14CAA" w:rsidRPr="00596919">
        <w:rPr>
          <w:rFonts w:ascii="Times New Roman" w:hAnsi="Times New Roman"/>
          <w:szCs w:val="24"/>
        </w:rPr>
        <w:t xml:space="preserve"> FNS revises an</w:t>
      </w:r>
      <w:r w:rsidR="00CB4DF6" w:rsidRPr="00596919">
        <w:rPr>
          <w:rFonts w:ascii="Times New Roman" w:hAnsi="Times New Roman"/>
          <w:szCs w:val="24"/>
        </w:rPr>
        <w:t xml:space="preserve"> information collection package</w:t>
      </w:r>
      <w:r w:rsidR="003E4AF3" w:rsidRPr="003E4AF3">
        <w:rPr>
          <w:rFonts w:ascii="Times New Roman" w:hAnsi="Times New Roman"/>
          <w:szCs w:val="24"/>
        </w:rPr>
        <w:t>,</w:t>
      </w:r>
      <w:r w:rsidR="00B14CAA" w:rsidRPr="00596919">
        <w:rPr>
          <w:rFonts w:ascii="Times New Roman" w:hAnsi="Times New Roman"/>
          <w:szCs w:val="24"/>
        </w:rPr>
        <w:t xml:space="preserve"> the information is posted on the Agency Web page for review </w:t>
      </w:r>
      <w:r w:rsidR="00FB6CAC">
        <w:rPr>
          <w:rFonts w:ascii="Times New Roman" w:hAnsi="Times New Roman"/>
          <w:szCs w:val="24"/>
        </w:rPr>
        <w:t>and comment by Regional O</w:t>
      </w:r>
      <w:r w:rsidR="00B14CAA" w:rsidRPr="00596919">
        <w:rPr>
          <w:rFonts w:ascii="Times New Roman" w:hAnsi="Times New Roman"/>
          <w:szCs w:val="24"/>
        </w:rPr>
        <w:t>ffices, SAs, community groups, the general public, etc.</w:t>
      </w:r>
      <w:r w:rsidR="000E0527" w:rsidRPr="00596919">
        <w:rPr>
          <w:rFonts w:ascii="Times New Roman" w:hAnsi="Times New Roman"/>
          <w:szCs w:val="24"/>
        </w:rPr>
        <w:t xml:space="preserve"> </w:t>
      </w:r>
      <w:r w:rsidR="003E4AF3" w:rsidRPr="003E4AF3">
        <w:rPr>
          <w:rFonts w:ascii="Times New Roman" w:hAnsi="Times New Roman"/>
          <w:color w:val="000000"/>
          <w:szCs w:val="24"/>
        </w:rPr>
        <w:t xml:space="preserve">FNS also consults with its Regional Offices </w:t>
      </w:r>
      <w:r w:rsidR="00EA3D63" w:rsidRPr="00596919">
        <w:rPr>
          <w:rFonts w:ascii="Times New Roman" w:hAnsi="Times New Roman"/>
          <w:color w:val="000000"/>
          <w:szCs w:val="24"/>
        </w:rPr>
        <w:t>on any</w:t>
      </w:r>
      <w:r w:rsidR="003E4AF3" w:rsidRPr="003E4AF3">
        <w:rPr>
          <w:rFonts w:ascii="Times New Roman" w:hAnsi="Times New Roman"/>
          <w:color w:val="000000"/>
          <w:szCs w:val="24"/>
        </w:rPr>
        <w:t xml:space="preserve"> proposed changes as the result of legislative, regulatory, or administrative changes.  The Regional Offices are in constant contact with </w:t>
      </w:r>
      <w:r w:rsidR="00FB6CAC">
        <w:rPr>
          <w:rFonts w:ascii="Times New Roman" w:hAnsi="Times New Roman"/>
          <w:color w:val="000000"/>
          <w:szCs w:val="24"/>
        </w:rPr>
        <w:t>SAs</w:t>
      </w:r>
      <w:r w:rsidR="003E4AF3" w:rsidRPr="003E4AF3">
        <w:rPr>
          <w:rFonts w:ascii="Times New Roman" w:hAnsi="Times New Roman"/>
          <w:color w:val="000000"/>
          <w:szCs w:val="24"/>
        </w:rPr>
        <w:t xml:space="preserve"> who provide feedback on FNS processes and procedures that may impact them.</w:t>
      </w:r>
    </w:p>
    <w:p w:rsidR="003E4AF3" w:rsidRPr="003E4AF3" w:rsidRDefault="003E4AF3" w:rsidP="003E4AF3">
      <w:pPr>
        <w:pStyle w:val="BodyTextIndent"/>
        <w:spacing w:line="480" w:lineRule="auto"/>
        <w:ind w:left="0" w:firstLine="0"/>
        <w:rPr>
          <w:rFonts w:ascii="Times New Roman" w:hAnsi="Times New Roman"/>
          <w:color w:val="000000"/>
          <w:szCs w:val="24"/>
        </w:rPr>
      </w:pPr>
    </w:p>
    <w:p w:rsidR="003E4AF3" w:rsidRPr="00840876" w:rsidRDefault="00FB6CAC" w:rsidP="00840876">
      <w:pPr>
        <w:pStyle w:val="p10"/>
        <w:spacing w:line="480" w:lineRule="auto"/>
        <w:ind w:left="0" w:firstLine="0"/>
        <w:jc w:val="left"/>
        <w:rPr>
          <w:b/>
        </w:rPr>
      </w:pPr>
      <w:r>
        <w:rPr>
          <w:b/>
        </w:rPr>
        <w:t>9</w:t>
      </w:r>
      <w:r w:rsidR="007F0BD6" w:rsidRPr="00596919">
        <w:rPr>
          <w:b/>
        </w:rPr>
        <w:t xml:space="preserve">. </w:t>
      </w:r>
      <w:r w:rsidR="00D701D1">
        <w:rPr>
          <w:b/>
        </w:rPr>
        <w:t xml:space="preserve">  </w:t>
      </w:r>
      <w:r w:rsidR="007F0BD6" w:rsidRPr="00596919">
        <w:rPr>
          <w:b/>
        </w:rPr>
        <w:t xml:space="preserve">Explain any decision to provide any payment or </w:t>
      </w:r>
      <w:r w:rsidR="001A55B6">
        <w:rPr>
          <w:b/>
        </w:rPr>
        <w:t>gift to respondents, other</w:t>
      </w:r>
      <w:r w:rsidR="00840876">
        <w:rPr>
          <w:b/>
        </w:rPr>
        <w:t xml:space="preserve"> </w:t>
      </w:r>
      <w:r w:rsidR="001A55B6">
        <w:rPr>
          <w:b/>
        </w:rPr>
        <w:t xml:space="preserve">than </w:t>
      </w:r>
      <w:r w:rsidR="007F0BD6" w:rsidRPr="00596919">
        <w:rPr>
          <w:b/>
        </w:rPr>
        <w:t>remuneration of contractors or grantees.</w:t>
      </w:r>
    </w:p>
    <w:p w:rsidR="001451F3" w:rsidRDefault="0066677E" w:rsidP="000E0527">
      <w:pPr>
        <w:tabs>
          <w:tab w:val="left" w:pos="-720"/>
        </w:tabs>
        <w:suppressAutoHyphens/>
        <w:spacing w:line="480" w:lineRule="auto"/>
        <w:rPr>
          <w:rFonts w:ascii="Times New Roman" w:hAnsi="Times New Roman"/>
          <w:spacing w:val="-3"/>
          <w:szCs w:val="24"/>
        </w:rPr>
      </w:pPr>
      <w:r w:rsidRPr="00596919">
        <w:rPr>
          <w:rFonts w:ascii="Times New Roman" w:hAnsi="Times New Roman"/>
          <w:spacing w:val="-3"/>
          <w:szCs w:val="24"/>
        </w:rPr>
        <w:t>No payment or gift was provided to respondents.</w:t>
      </w:r>
      <w:r w:rsidR="00D15B32" w:rsidRPr="00596919">
        <w:rPr>
          <w:rFonts w:ascii="Times New Roman" w:hAnsi="Times New Roman"/>
          <w:spacing w:val="-3"/>
          <w:szCs w:val="24"/>
        </w:rPr>
        <w:t xml:space="preserve"> </w:t>
      </w:r>
    </w:p>
    <w:p w:rsidR="001451F3" w:rsidRPr="00596919" w:rsidRDefault="001451F3" w:rsidP="000E0527">
      <w:pPr>
        <w:tabs>
          <w:tab w:val="left" w:pos="-720"/>
        </w:tabs>
        <w:suppressAutoHyphens/>
        <w:spacing w:line="480" w:lineRule="auto"/>
        <w:rPr>
          <w:rFonts w:ascii="Times New Roman" w:hAnsi="Times New Roman"/>
          <w:spacing w:val="-3"/>
          <w:szCs w:val="24"/>
        </w:rPr>
      </w:pPr>
    </w:p>
    <w:p w:rsidR="003E4AF3" w:rsidRPr="001451F3" w:rsidRDefault="001451F3" w:rsidP="001451F3">
      <w:pPr>
        <w:widowControl/>
        <w:tabs>
          <w:tab w:val="left" w:pos="270"/>
        </w:tabs>
        <w:autoSpaceDE/>
        <w:autoSpaceDN/>
        <w:adjustRightInd/>
        <w:spacing w:line="480" w:lineRule="auto"/>
        <w:rPr>
          <w:rFonts w:ascii="Times New Roman" w:hAnsi="Times New Roman"/>
          <w:b/>
        </w:rPr>
      </w:pPr>
      <w:proofErr w:type="gramStart"/>
      <w:r w:rsidRPr="001451F3">
        <w:rPr>
          <w:rFonts w:ascii="Times New Roman" w:hAnsi="Times New Roman"/>
          <w:b/>
        </w:rPr>
        <w:t xml:space="preserve">10. </w:t>
      </w:r>
      <w:r w:rsidR="00840876">
        <w:rPr>
          <w:rFonts w:ascii="Times New Roman" w:hAnsi="Times New Roman"/>
          <w:b/>
        </w:rPr>
        <w:t xml:space="preserve"> </w:t>
      </w:r>
      <w:r w:rsidR="007F0BD6" w:rsidRPr="001451F3">
        <w:rPr>
          <w:rFonts w:ascii="Times New Roman" w:hAnsi="Times New Roman"/>
          <w:b/>
        </w:rPr>
        <w:t>Describe any assurance of confidentiality provided to respondents and the basis for the assurance in statute, regulation, or agency policy.</w:t>
      </w:r>
      <w:proofErr w:type="gramEnd"/>
    </w:p>
    <w:p w:rsidR="00840876" w:rsidRDefault="00D6519D" w:rsidP="000E0527">
      <w:pPr>
        <w:tabs>
          <w:tab w:val="left" w:pos="-720"/>
        </w:tabs>
        <w:suppressAutoHyphens/>
        <w:spacing w:line="480" w:lineRule="auto"/>
        <w:rPr>
          <w:rFonts w:ascii="Times New Roman" w:hAnsi="Times New Roman"/>
          <w:spacing w:val="-3"/>
          <w:szCs w:val="24"/>
        </w:rPr>
      </w:pPr>
      <w:r w:rsidRPr="00596919">
        <w:rPr>
          <w:rFonts w:ascii="Times New Roman" w:hAnsi="Times New Roman"/>
          <w:spacing w:val="-3"/>
          <w:szCs w:val="24"/>
        </w:rPr>
        <w:t xml:space="preserve">No confidential information </w:t>
      </w:r>
      <w:r w:rsidR="007A1FDC" w:rsidRPr="00596919">
        <w:rPr>
          <w:rFonts w:ascii="Times New Roman" w:hAnsi="Times New Roman"/>
          <w:spacing w:val="-3"/>
          <w:szCs w:val="24"/>
        </w:rPr>
        <w:t>is</w:t>
      </w:r>
      <w:r w:rsidRPr="00596919">
        <w:rPr>
          <w:rFonts w:ascii="Times New Roman" w:hAnsi="Times New Roman"/>
          <w:spacing w:val="-3"/>
          <w:szCs w:val="24"/>
        </w:rPr>
        <w:t xml:space="preserve"> associated with the burden related to the </w:t>
      </w:r>
      <w:r w:rsidR="00D15B32" w:rsidRPr="00596919">
        <w:rPr>
          <w:rFonts w:ascii="Times New Roman" w:hAnsi="Times New Roman"/>
          <w:spacing w:val="-3"/>
          <w:szCs w:val="24"/>
        </w:rPr>
        <w:t>analysis</w:t>
      </w:r>
      <w:r w:rsidRPr="00596919">
        <w:rPr>
          <w:rFonts w:ascii="Times New Roman" w:hAnsi="Times New Roman"/>
          <w:spacing w:val="-3"/>
          <w:szCs w:val="24"/>
        </w:rPr>
        <w:t xml:space="preserve">, implementation, </w:t>
      </w:r>
      <w:r w:rsidR="00EA3D63" w:rsidRPr="00596919">
        <w:rPr>
          <w:rFonts w:ascii="Times New Roman" w:hAnsi="Times New Roman"/>
          <w:spacing w:val="-3"/>
          <w:szCs w:val="24"/>
        </w:rPr>
        <w:t>and record</w:t>
      </w:r>
      <w:r w:rsidRPr="00596919">
        <w:rPr>
          <w:rFonts w:ascii="Times New Roman" w:hAnsi="Times New Roman"/>
          <w:spacing w:val="-3"/>
          <w:szCs w:val="24"/>
        </w:rPr>
        <w:t xml:space="preserve"> maintenance </w:t>
      </w:r>
      <w:r w:rsidR="00D15B32" w:rsidRPr="00596919">
        <w:rPr>
          <w:rFonts w:ascii="Times New Roman" w:hAnsi="Times New Roman"/>
          <w:spacing w:val="-3"/>
          <w:szCs w:val="24"/>
        </w:rPr>
        <w:t>and reporting of school meal prices and school food service revenue</w:t>
      </w:r>
      <w:r w:rsidRPr="00596919">
        <w:rPr>
          <w:rFonts w:ascii="Times New Roman" w:hAnsi="Times New Roman"/>
          <w:spacing w:val="-3"/>
          <w:szCs w:val="24"/>
        </w:rPr>
        <w:t>.</w:t>
      </w:r>
    </w:p>
    <w:p w:rsidR="00840876" w:rsidRDefault="00840876" w:rsidP="000E0527">
      <w:pPr>
        <w:tabs>
          <w:tab w:val="left" w:pos="-720"/>
        </w:tabs>
        <w:suppressAutoHyphens/>
        <w:spacing w:line="480" w:lineRule="auto"/>
        <w:rPr>
          <w:rFonts w:ascii="Times New Roman" w:hAnsi="Times New Roman"/>
          <w:spacing w:val="-3"/>
          <w:szCs w:val="24"/>
        </w:rPr>
      </w:pPr>
    </w:p>
    <w:p w:rsidR="00840876" w:rsidRPr="00840876" w:rsidRDefault="007F0BD6" w:rsidP="00840876">
      <w:pPr>
        <w:pStyle w:val="ListParagraph"/>
        <w:numPr>
          <w:ilvl w:val="0"/>
          <w:numId w:val="34"/>
        </w:numPr>
        <w:spacing w:line="480" w:lineRule="auto"/>
        <w:ind w:left="450"/>
        <w:rPr>
          <w:b/>
        </w:rPr>
      </w:pPr>
      <w:r w:rsidRPr="00840876">
        <w:rPr>
          <w:b/>
          <w:color w:val="000000"/>
        </w:rPr>
        <w:t>Provide additional justification for any questions of a sensitive nature</w:t>
      </w:r>
      <w:r w:rsidRPr="00840876">
        <w:rPr>
          <w:color w:val="000000"/>
        </w:rPr>
        <w:t xml:space="preserve">, </w:t>
      </w:r>
      <w:r w:rsidRPr="00840876">
        <w:rPr>
          <w:b/>
        </w:rPr>
        <w:t xml:space="preserve">such as sexual </w:t>
      </w:r>
    </w:p>
    <w:p w:rsidR="003E4AF3" w:rsidRPr="00840876" w:rsidRDefault="007F0BD6" w:rsidP="00840876">
      <w:pPr>
        <w:spacing w:line="480" w:lineRule="auto"/>
        <w:rPr>
          <w:rFonts w:ascii="Times New Roman" w:hAnsi="Times New Roman"/>
          <w:b/>
        </w:rPr>
      </w:pPr>
      <w:proofErr w:type="gramStart"/>
      <w:r w:rsidRPr="00840876">
        <w:rPr>
          <w:rFonts w:ascii="Times New Roman" w:hAnsi="Times New Roman"/>
          <w:b/>
        </w:rPr>
        <w:t>behavior</w:t>
      </w:r>
      <w:proofErr w:type="gramEnd"/>
      <w:r w:rsidRPr="00840876">
        <w:rPr>
          <w:rFonts w:ascii="Times New Roman" w:hAnsi="Times New Roman"/>
          <w:b/>
        </w:rPr>
        <w:t xml:space="preserve">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0527" w:rsidRDefault="0066677E" w:rsidP="000E0527">
      <w:pPr>
        <w:tabs>
          <w:tab w:val="left" w:pos="-720"/>
        </w:tabs>
        <w:suppressAutoHyphens/>
        <w:spacing w:line="480" w:lineRule="auto"/>
        <w:rPr>
          <w:rFonts w:ascii="Times New Roman" w:hAnsi="Times New Roman"/>
          <w:spacing w:val="-3"/>
          <w:szCs w:val="24"/>
        </w:rPr>
      </w:pPr>
      <w:r w:rsidRPr="00596919">
        <w:rPr>
          <w:rFonts w:ascii="Times New Roman" w:hAnsi="Times New Roman"/>
          <w:spacing w:val="-3"/>
          <w:szCs w:val="24"/>
        </w:rPr>
        <w:t>There are no questions of a sensitive nature included in this clearance package.</w:t>
      </w:r>
      <w:r w:rsidR="000E0527" w:rsidRPr="00596919">
        <w:rPr>
          <w:rFonts w:ascii="Times New Roman" w:hAnsi="Times New Roman"/>
          <w:spacing w:val="-3"/>
          <w:szCs w:val="24"/>
        </w:rPr>
        <w:t xml:space="preserve"> </w:t>
      </w:r>
    </w:p>
    <w:p w:rsidR="006B7D13" w:rsidRPr="00596919" w:rsidRDefault="006B7D13" w:rsidP="000E0527">
      <w:pPr>
        <w:tabs>
          <w:tab w:val="left" w:pos="-720"/>
        </w:tabs>
        <w:suppressAutoHyphens/>
        <w:spacing w:line="480" w:lineRule="auto"/>
        <w:rPr>
          <w:rFonts w:ascii="Times New Roman" w:hAnsi="Times New Roman"/>
          <w:spacing w:val="-3"/>
          <w:szCs w:val="24"/>
        </w:rPr>
      </w:pPr>
    </w:p>
    <w:p w:rsidR="007F0BD6" w:rsidRPr="001A55B6" w:rsidRDefault="0066677E" w:rsidP="001A55B6">
      <w:pPr>
        <w:pStyle w:val="ListParagraph"/>
        <w:widowControl/>
        <w:spacing w:line="480" w:lineRule="auto"/>
        <w:ind w:left="0"/>
        <w:rPr>
          <w:b/>
        </w:rPr>
      </w:pPr>
      <w:r w:rsidRPr="00596919">
        <w:rPr>
          <w:b/>
          <w:spacing w:val="-3"/>
        </w:rPr>
        <w:t>12.</w:t>
      </w:r>
      <w:r w:rsidR="007F0BD6" w:rsidRPr="00596919">
        <w:rPr>
          <w:b/>
        </w:rPr>
        <w:t xml:space="preserve"> </w:t>
      </w:r>
      <w:r w:rsidR="001451F3">
        <w:rPr>
          <w:b/>
        </w:rPr>
        <w:t xml:space="preserve">  </w:t>
      </w:r>
      <w:r w:rsidR="007F0BD6" w:rsidRPr="00596919">
        <w:rPr>
          <w:b/>
        </w:rPr>
        <w:t xml:space="preserve">Provide estimates of the hour burden of the collection of information.  The statement </w:t>
      </w:r>
      <w:r w:rsidR="001451F3">
        <w:rPr>
          <w:b/>
        </w:rPr>
        <w:t xml:space="preserve">  </w:t>
      </w:r>
      <w:r w:rsidR="007F0BD6" w:rsidRPr="00596919">
        <w:rPr>
          <w:b/>
        </w:rPr>
        <w:t>should include:</w:t>
      </w:r>
    </w:p>
    <w:p w:rsidR="00452C63" w:rsidRDefault="007F0BD6" w:rsidP="00FB6CAC">
      <w:pPr>
        <w:pStyle w:val="ListParagraph"/>
        <w:widowControl/>
        <w:numPr>
          <w:ilvl w:val="0"/>
          <w:numId w:val="23"/>
        </w:numPr>
        <w:spacing w:line="480" w:lineRule="auto"/>
        <w:ind w:left="1080"/>
        <w:rPr>
          <w:b/>
        </w:rPr>
      </w:pPr>
      <w:r w:rsidRPr="00596919">
        <w:rPr>
          <w:b/>
        </w:rPr>
        <w:t>Indicate the number of respondents, frequency of response, annual hour burden, and an explanation of how the burden was estimated.  If this request for approval covers more than one form, provide separate hour burned estimates for each form and aggregate the hour burdens in Item 13 of OMB Form 83-I.</w:t>
      </w:r>
    </w:p>
    <w:p w:rsidR="000F6254" w:rsidRDefault="00F110E7" w:rsidP="001451F3">
      <w:pPr>
        <w:pStyle w:val="p6"/>
        <w:spacing w:line="480" w:lineRule="auto"/>
        <w:ind w:left="0"/>
      </w:pPr>
      <w:r w:rsidRPr="00596919">
        <w:rPr>
          <w:color w:val="000000"/>
        </w:rPr>
        <w:t xml:space="preserve">The estimated average burden hours per </w:t>
      </w:r>
      <w:r w:rsidR="00FB6CAC">
        <w:rPr>
          <w:color w:val="000000"/>
        </w:rPr>
        <w:t>SA</w:t>
      </w:r>
      <w:r w:rsidRPr="00596919">
        <w:rPr>
          <w:color w:val="000000"/>
        </w:rPr>
        <w:t xml:space="preserve"> has been determined to be 322, 827 hours due </w:t>
      </w:r>
      <w:r w:rsidR="003E4AF3" w:rsidRPr="003E4AF3">
        <w:rPr>
          <w:spacing w:val="-3"/>
        </w:rPr>
        <w:t xml:space="preserve">to the additional requirements in the Healthy, Hunger-Free Kids Act of 2010 (P.L. </w:t>
      </w:r>
      <w:r w:rsidR="0064049E" w:rsidRPr="00596919">
        <w:t>111-296</w:t>
      </w:r>
      <w:r w:rsidR="003E4AF3" w:rsidRPr="003E4AF3">
        <w:rPr>
          <w:spacing w:val="-3"/>
        </w:rPr>
        <w:t xml:space="preserve">) </w:t>
      </w:r>
      <w:r w:rsidR="0064049E" w:rsidRPr="00596919">
        <w:t xml:space="preserve">Sections 205 and 206 </w:t>
      </w:r>
      <w:r w:rsidR="003E4AF3" w:rsidRPr="003E4AF3">
        <w:rPr>
          <w:spacing w:val="-3"/>
        </w:rPr>
        <w:t xml:space="preserve">which amended section 12 of the Richard B. Russell National School Lunch Act (42 U.S.C. 1760) regarding </w:t>
      </w:r>
      <w:r w:rsidR="0052359F" w:rsidRPr="00596919">
        <w:t>school food service account revenue.</w:t>
      </w:r>
      <w:r w:rsidR="003E4AF3" w:rsidRPr="003E4AF3">
        <w:rPr>
          <w:spacing w:val="-3"/>
        </w:rPr>
        <w:t xml:space="preserve"> </w:t>
      </w:r>
      <w:r w:rsidR="00BE5A25" w:rsidRPr="00596919">
        <w:rPr>
          <w:spacing w:val="-3"/>
        </w:rPr>
        <w:t xml:space="preserve"> </w:t>
      </w:r>
      <w:r w:rsidR="009067F9" w:rsidRPr="00596919">
        <w:t>S</w:t>
      </w:r>
      <w:r w:rsidR="00CB4DF6" w:rsidRPr="00596919">
        <w:t>F</w:t>
      </w:r>
      <w:r w:rsidR="009067F9" w:rsidRPr="00596919">
        <w:t xml:space="preserve">As </w:t>
      </w:r>
      <w:r w:rsidR="00654763" w:rsidRPr="00596919">
        <w:t>must maintain records of its calculation of the average price of paid reimbursable lunches and any adjustments.  SFAs must report paid l</w:t>
      </w:r>
      <w:r w:rsidR="00843CF1">
        <w:t xml:space="preserve">unch prices annually to the SA.  </w:t>
      </w:r>
      <w:r w:rsidR="00654763" w:rsidRPr="00596919">
        <w:t>The SAs must collect and report these prices to USDA.  SFAs must also maintain</w:t>
      </w:r>
      <w:r w:rsidR="00CB4DF6" w:rsidRPr="00596919">
        <w:t xml:space="preserve"> </w:t>
      </w:r>
      <w:r w:rsidR="00654763" w:rsidRPr="00596919">
        <w:t xml:space="preserve">records documenting the revenue generated from the sale of </w:t>
      </w:r>
      <w:proofErr w:type="spellStart"/>
      <w:r w:rsidR="00FB6CAC">
        <w:lastRenderedPageBreak/>
        <w:t>nonprogram</w:t>
      </w:r>
      <w:proofErr w:type="spellEnd"/>
      <w:r w:rsidR="00FB6CAC">
        <w:t xml:space="preserve"> foods.  </w:t>
      </w:r>
      <w:r w:rsidR="009067F9" w:rsidRPr="00596919">
        <w:t xml:space="preserve">The table below reflects burden associated with the collection requirements of the </w:t>
      </w:r>
      <w:r w:rsidR="00CB4DF6" w:rsidRPr="00596919">
        <w:t>school food service revenue</w:t>
      </w:r>
      <w:r w:rsidR="009067F9" w:rsidRPr="00596919">
        <w:t xml:space="preserve"> </w:t>
      </w:r>
      <w:r w:rsidR="00CB4DF6" w:rsidRPr="00596919">
        <w:t>interim</w:t>
      </w:r>
      <w:r w:rsidR="009067F9" w:rsidRPr="00596919">
        <w:t xml:space="preserve"> rule.</w:t>
      </w:r>
    </w:p>
    <w:p w:rsidR="000854C4" w:rsidRDefault="000854C4" w:rsidP="001451F3">
      <w:pPr>
        <w:pStyle w:val="p6"/>
        <w:spacing w:line="480" w:lineRule="auto"/>
        <w:ind w:left="0"/>
      </w:pPr>
    </w:p>
    <w:p w:rsidR="00347030" w:rsidRPr="00596919" w:rsidRDefault="00347030" w:rsidP="00347030">
      <w:pPr>
        <w:jc w:val="center"/>
        <w:rPr>
          <w:rFonts w:ascii="Times New Roman" w:hAnsi="Times New Roman"/>
          <w:szCs w:val="24"/>
        </w:rPr>
      </w:pPr>
      <w:r w:rsidRPr="00596919">
        <w:rPr>
          <w:rFonts w:ascii="Times New Roman" w:hAnsi="Times New Roman"/>
          <w:szCs w:val="24"/>
        </w:rPr>
        <w:t>ESTIMATED ANNUAL BURDEN FOR 0584-NEW, NATIONAL SCHOOL LUNCH PROGRAM 7 CFR part 210</w:t>
      </w:r>
    </w:p>
    <w:p w:rsidR="00654763" w:rsidRPr="00596919" w:rsidRDefault="00654763" w:rsidP="00347030">
      <w:pPr>
        <w:jc w:val="center"/>
        <w:rPr>
          <w:rFonts w:ascii="Times New Roman" w:hAnsi="Times New Roman"/>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1423"/>
        <w:gridCol w:w="1528"/>
        <w:gridCol w:w="1319"/>
        <w:gridCol w:w="1275"/>
        <w:gridCol w:w="1177"/>
        <w:gridCol w:w="1291"/>
      </w:tblGrid>
      <w:tr w:rsidR="00347030" w:rsidRPr="00596919" w:rsidTr="00FB6CAC">
        <w:trPr>
          <w:jc w:val="center"/>
        </w:trPr>
        <w:tc>
          <w:tcPr>
            <w:tcW w:w="9776" w:type="dxa"/>
            <w:gridSpan w:val="7"/>
            <w:tcBorders>
              <w:top w:val="single" w:sz="4" w:space="0" w:color="auto"/>
              <w:left w:val="single" w:sz="4" w:space="0" w:color="auto"/>
              <w:bottom w:val="single" w:sz="4" w:space="0" w:color="auto"/>
              <w:right w:val="single" w:sz="4" w:space="0" w:color="auto"/>
            </w:tcBorders>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Reporting</w:t>
            </w:r>
          </w:p>
        </w:tc>
      </w:tr>
      <w:tr w:rsidR="003D1F3B" w:rsidRPr="00596919" w:rsidTr="00B46E3B">
        <w:trPr>
          <w:jc w:val="center"/>
        </w:trPr>
        <w:tc>
          <w:tcPr>
            <w:tcW w:w="1763" w:type="dxa"/>
            <w:tcBorders>
              <w:top w:val="single" w:sz="4" w:space="0" w:color="auto"/>
              <w:left w:val="single" w:sz="4" w:space="0" w:color="auto"/>
              <w:bottom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Reporting Burden</w:t>
            </w:r>
          </w:p>
        </w:tc>
        <w:tc>
          <w:tcPr>
            <w:tcW w:w="1423" w:type="dxa"/>
            <w:tcBorders>
              <w:top w:val="single" w:sz="4" w:space="0" w:color="auto"/>
              <w:left w:val="single" w:sz="4" w:space="0" w:color="auto"/>
              <w:bottom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Citation</w:t>
            </w:r>
          </w:p>
        </w:tc>
        <w:tc>
          <w:tcPr>
            <w:tcW w:w="1528" w:type="dxa"/>
            <w:tcBorders>
              <w:top w:val="single" w:sz="4" w:space="0" w:color="auto"/>
              <w:left w:val="single" w:sz="4" w:space="0" w:color="auto"/>
              <w:bottom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Estimated Number of</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Respondents</w:t>
            </w:r>
          </w:p>
        </w:tc>
        <w:tc>
          <w:tcPr>
            <w:tcW w:w="1319" w:type="dxa"/>
            <w:tcBorders>
              <w:top w:val="single" w:sz="4" w:space="0" w:color="auto"/>
              <w:left w:val="single" w:sz="4" w:space="0" w:color="auto"/>
              <w:bottom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Frequency</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of</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Response</w:t>
            </w:r>
          </w:p>
        </w:tc>
        <w:tc>
          <w:tcPr>
            <w:tcW w:w="1275" w:type="dxa"/>
            <w:tcBorders>
              <w:top w:val="single" w:sz="4" w:space="0" w:color="auto"/>
              <w:left w:val="single" w:sz="4" w:space="0" w:color="auto"/>
              <w:bottom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Average Annual</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Responses</w:t>
            </w:r>
          </w:p>
        </w:tc>
        <w:tc>
          <w:tcPr>
            <w:tcW w:w="1177" w:type="dxa"/>
            <w:tcBorders>
              <w:top w:val="single" w:sz="4" w:space="0" w:color="auto"/>
              <w:left w:val="single" w:sz="4" w:space="0" w:color="auto"/>
              <w:bottom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Average</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Burden per</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Response</w:t>
            </w:r>
          </w:p>
        </w:tc>
        <w:tc>
          <w:tcPr>
            <w:tcW w:w="1291" w:type="dxa"/>
            <w:tcBorders>
              <w:top w:val="single" w:sz="4" w:space="0" w:color="auto"/>
              <w:left w:val="single" w:sz="4" w:space="0" w:color="auto"/>
              <w:bottom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Annual Burden</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Hours</w:t>
            </w:r>
          </w:p>
        </w:tc>
      </w:tr>
      <w:tr w:rsidR="003D1F3B" w:rsidRPr="00596919" w:rsidTr="00B46E3B">
        <w:trPr>
          <w:jc w:val="center"/>
        </w:trPr>
        <w:tc>
          <w:tcPr>
            <w:tcW w:w="1763" w:type="dxa"/>
            <w:tcBorders>
              <w:top w:val="single" w:sz="4" w:space="0" w:color="auto"/>
              <w:left w:val="single" w:sz="4" w:space="0" w:color="auto"/>
              <w:bottom w:val="single" w:sz="4" w:space="0" w:color="auto"/>
              <w:right w:val="single" w:sz="4" w:space="0" w:color="auto"/>
            </w:tcBorders>
          </w:tcPr>
          <w:p w:rsidR="00347030" w:rsidRPr="00596919" w:rsidRDefault="003E4AF3" w:rsidP="00347030">
            <w:pPr>
              <w:rPr>
                <w:rFonts w:ascii="Times New Roman" w:hAnsi="Times New Roman"/>
                <w:szCs w:val="24"/>
              </w:rPr>
            </w:pPr>
            <w:r w:rsidRPr="003E4AF3">
              <w:rPr>
                <w:rFonts w:ascii="Times New Roman" w:hAnsi="Times New Roman"/>
                <w:szCs w:val="24"/>
              </w:rPr>
              <w:t>State agency (SA) consolidates paid reimbursable lunch prices reported by SFAs and submits to FNS.</w:t>
            </w:r>
          </w:p>
          <w:p w:rsidR="00347030" w:rsidRPr="00596919" w:rsidRDefault="00347030" w:rsidP="00347030">
            <w:pPr>
              <w:rPr>
                <w:rFonts w:ascii="Times New Roman" w:hAnsi="Times New Roman"/>
                <w:szCs w:val="24"/>
              </w:rPr>
            </w:pPr>
          </w:p>
          <w:p w:rsidR="00347030" w:rsidRPr="00596919" w:rsidRDefault="003E4AF3" w:rsidP="00347030">
            <w:pPr>
              <w:rPr>
                <w:rFonts w:ascii="Times New Roman" w:hAnsi="Times New Roman"/>
                <w:szCs w:val="24"/>
              </w:rPr>
            </w:pPr>
            <w:r w:rsidRPr="003E4AF3">
              <w:rPr>
                <w:rFonts w:ascii="Times New Roman" w:hAnsi="Times New Roman"/>
                <w:szCs w:val="24"/>
              </w:rPr>
              <w:t>SFA reports paid lunch prices for each NSLP school to the SA.</w:t>
            </w:r>
          </w:p>
        </w:tc>
        <w:tc>
          <w:tcPr>
            <w:tcW w:w="1423" w:type="dxa"/>
            <w:tcBorders>
              <w:top w:val="single" w:sz="4" w:space="0" w:color="auto"/>
              <w:left w:val="single" w:sz="4" w:space="0" w:color="auto"/>
              <w:right w:val="single" w:sz="4" w:space="0" w:color="auto"/>
            </w:tcBorders>
          </w:tcPr>
          <w:p w:rsidR="00347030" w:rsidRPr="00596919" w:rsidRDefault="003E4AF3" w:rsidP="00347030">
            <w:pPr>
              <w:rPr>
                <w:rFonts w:ascii="Times New Roman" w:hAnsi="Times New Roman"/>
                <w:szCs w:val="24"/>
              </w:rPr>
            </w:pPr>
            <w:r w:rsidRPr="003E4AF3">
              <w:rPr>
                <w:rFonts w:ascii="Times New Roman" w:hAnsi="Times New Roman"/>
                <w:szCs w:val="24"/>
              </w:rPr>
              <w:t>7 CFR 210.14(e)(7)</w:t>
            </w:r>
          </w:p>
          <w:p w:rsidR="00347030" w:rsidRPr="00596919" w:rsidRDefault="00347030" w:rsidP="00347030">
            <w:pP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E4AF3" w:rsidP="00347030">
            <w:pPr>
              <w:rPr>
                <w:rFonts w:ascii="Times New Roman" w:hAnsi="Times New Roman"/>
                <w:szCs w:val="24"/>
              </w:rPr>
            </w:pPr>
            <w:r w:rsidRPr="003E4AF3">
              <w:rPr>
                <w:rFonts w:ascii="Times New Roman" w:hAnsi="Times New Roman"/>
                <w:szCs w:val="24"/>
              </w:rPr>
              <w:t>7 CFR 210.14(e)(7)</w:t>
            </w:r>
          </w:p>
        </w:tc>
        <w:tc>
          <w:tcPr>
            <w:tcW w:w="1528" w:type="dxa"/>
            <w:tcBorders>
              <w:top w:val="single" w:sz="4" w:space="0" w:color="auto"/>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57</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20,858</w:t>
            </w:r>
          </w:p>
          <w:p w:rsidR="00347030" w:rsidRPr="00596919" w:rsidRDefault="00347030" w:rsidP="00347030">
            <w:pPr>
              <w:jc w:val="center"/>
              <w:rPr>
                <w:rFonts w:ascii="Times New Roman" w:hAnsi="Times New Roman"/>
                <w:szCs w:val="24"/>
              </w:rPr>
            </w:pPr>
          </w:p>
        </w:tc>
        <w:tc>
          <w:tcPr>
            <w:tcW w:w="1319" w:type="dxa"/>
            <w:tcBorders>
              <w:top w:val="single" w:sz="4" w:space="0" w:color="auto"/>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1</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1</w:t>
            </w:r>
          </w:p>
          <w:p w:rsidR="00347030" w:rsidRPr="00596919" w:rsidRDefault="00347030" w:rsidP="00347030">
            <w:pPr>
              <w:jc w:val="center"/>
              <w:rPr>
                <w:rFonts w:ascii="Times New Roman" w:hAnsi="Times New Roman"/>
                <w:szCs w:val="24"/>
              </w:rPr>
            </w:pPr>
          </w:p>
        </w:tc>
        <w:tc>
          <w:tcPr>
            <w:tcW w:w="1275" w:type="dxa"/>
            <w:tcBorders>
              <w:top w:val="single" w:sz="4" w:space="0" w:color="auto"/>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57</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20,858</w:t>
            </w:r>
          </w:p>
        </w:tc>
        <w:tc>
          <w:tcPr>
            <w:tcW w:w="1177" w:type="dxa"/>
            <w:tcBorders>
              <w:top w:val="single" w:sz="4" w:space="0" w:color="auto"/>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10</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0.25</w:t>
            </w:r>
          </w:p>
        </w:tc>
        <w:tc>
          <w:tcPr>
            <w:tcW w:w="1291" w:type="dxa"/>
            <w:tcBorders>
              <w:top w:val="single" w:sz="4" w:space="0" w:color="auto"/>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570</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5,215</w:t>
            </w:r>
          </w:p>
        </w:tc>
      </w:tr>
      <w:tr w:rsidR="003D1F3B" w:rsidRPr="00596919" w:rsidTr="00B46E3B">
        <w:trPr>
          <w:jc w:val="center"/>
        </w:trPr>
        <w:tc>
          <w:tcPr>
            <w:tcW w:w="1763" w:type="dxa"/>
            <w:tcBorders>
              <w:top w:val="single" w:sz="4" w:space="0" w:color="auto"/>
              <w:left w:val="single" w:sz="4" w:space="0" w:color="auto"/>
              <w:bottom w:val="single" w:sz="4" w:space="0" w:color="auto"/>
              <w:right w:val="single" w:sz="4" w:space="0" w:color="auto"/>
            </w:tcBorders>
          </w:tcPr>
          <w:p w:rsidR="00347030" w:rsidRPr="00F42CFD" w:rsidRDefault="003E4AF3" w:rsidP="00347030">
            <w:pPr>
              <w:rPr>
                <w:rFonts w:ascii="Times New Roman" w:hAnsi="Times New Roman"/>
                <w:b/>
                <w:szCs w:val="24"/>
              </w:rPr>
            </w:pPr>
            <w:r w:rsidRPr="00F42CFD">
              <w:rPr>
                <w:rFonts w:ascii="Times New Roman" w:hAnsi="Times New Roman"/>
                <w:b/>
                <w:szCs w:val="24"/>
              </w:rPr>
              <w:t>Total Reporting for Interim Rule</w:t>
            </w:r>
          </w:p>
        </w:tc>
        <w:tc>
          <w:tcPr>
            <w:tcW w:w="1423" w:type="dxa"/>
            <w:tcBorders>
              <w:top w:val="single" w:sz="4" w:space="0" w:color="auto"/>
              <w:left w:val="single" w:sz="4" w:space="0" w:color="auto"/>
              <w:bottom w:val="single" w:sz="4" w:space="0" w:color="auto"/>
              <w:right w:val="single" w:sz="4" w:space="0" w:color="auto"/>
            </w:tcBorders>
          </w:tcPr>
          <w:p w:rsidR="00347030" w:rsidRPr="00F42CFD" w:rsidRDefault="00347030" w:rsidP="00347030">
            <w:pPr>
              <w:rPr>
                <w:rFonts w:ascii="Times New Roman" w:hAnsi="Times New Roman"/>
                <w:b/>
                <w:szCs w:val="24"/>
              </w:rPr>
            </w:pPr>
          </w:p>
        </w:tc>
        <w:tc>
          <w:tcPr>
            <w:tcW w:w="1528" w:type="dxa"/>
            <w:tcBorders>
              <w:top w:val="single" w:sz="4" w:space="0" w:color="auto"/>
              <w:left w:val="single" w:sz="4" w:space="0" w:color="auto"/>
              <w:bottom w:val="single" w:sz="4" w:space="0" w:color="auto"/>
              <w:right w:val="single" w:sz="4" w:space="0" w:color="auto"/>
            </w:tcBorders>
          </w:tcPr>
          <w:p w:rsidR="00347030" w:rsidRPr="005B74A3" w:rsidRDefault="00B24B05" w:rsidP="00347030">
            <w:pPr>
              <w:jc w:val="center"/>
              <w:rPr>
                <w:rFonts w:ascii="Times New Roman" w:hAnsi="Times New Roman"/>
                <w:b/>
                <w:szCs w:val="24"/>
              </w:rPr>
            </w:pPr>
            <w:r w:rsidRPr="00B24B05">
              <w:rPr>
                <w:rFonts w:ascii="Times New Roman" w:hAnsi="Times New Roman"/>
                <w:b/>
                <w:szCs w:val="24"/>
              </w:rPr>
              <w:t>20,915</w:t>
            </w:r>
          </w:p>
        </w:tc>
        <w:tc>
          <w:tcPr>
            <w:tcW w:w="1319" w:type="dxa"/>
            <w:tcBorders>
              <w:top w:val="single" w:sz="4" w:space="0" w:color="auto"/>
              <w:left w:val="single" w:sz="4" w:space="0" w:color="auto"/>
              <w:bottom w:val="single" w:sz="4" w:space="0" w:color="auto"/>
              <w:right w:val="single" w:sz="4" w:space="0" w:color="auto"/>
            </w:tcBorders>
          </w:tcPr>
          <w:p w:rsidR="00347030" w:rsidRPr="005B74A3" w:rsidRDefault="00B24B05" w:rsidP="00347030">
            <w:pPr>
              <w:jc w:val="center"/>
              <w:rPr>
                <w:rFonts w:ascii="Times New Roman" w:hAnsi="Times New Roman"/>
                <w:b/>
                <w:szCs w:val="24"/>
              </w:rPr>
            </w:pPr>
            <w:r w:rsidRPr="00B24B05">
              <w:rPr>
                <w:rFonts w:ascii="Times New Roman" w:hAnsi="Times New Roman"/>
                <w:b/>
                <w:szCs w:val="24"/>
              </w:rPr>
              <w:t>1</w:t>
            </w:r>
          </w:p>
        </w:tc>
        <w:tc>
          <w:tcPr>
            <w:tcW w:w="1275" w:type="dxa"/>
            <w:tcBorders>
              <w:top w:val="single" w:sz="4" w:space="0" w:color="auto"/>
              <w:left w:val="single" w:sz="4" w:space="0" w:color="auto"/>
              <w:bottom w:val="single" w:sz="4" w:space="0" w:color="auto"/>
              <w:right w:val="single" w:sz="4" w:space="0" w:color="auto"/>
            </w:tcBorders>
          </w:tcPr>
          <w:p w:rsidR="00347030" w:rsidRPr="005B74A3" w:rsidRDefault="00B24B05" w:rsidP="00347030">
            <w:pPr>
              <w:jc w:val="center"/>
              <w:rPr>
                <w:rFonts w:ascii="Times New Roman" w:hAnsi="Times New Roman"/>
                <w:b/>
                <w:szCs w:val="24"/>
              </w:rPr>
            </w:pPr>
            <w:r w:rsidRPr="00B24B05">
              <w:rPr>
                <w:rFonts w:ascii="Times New Roman" w:hAnsi="Times New Roman"/>
                <w:b/>
                <w:szCs w:val="24"/>
              </w:rPr>
              <w:t>20,915</w:t>
            </w:r>
          </w:p>
        </w:tc>
        <w:tc>
          <w:tcPr>
            <w:tcW w:w="1177" w:type="dxa"/>
            <w:tcBorders>
              <w:top w:val="single" w:sz="4" w:space="0" w:color="auto"/>
              <w:left w:val="single" w:sz="4" w:space="0" w:color="auto"/>
              <w:bottom w:val="single" w:sz="4" w:space="0" w:color="auto"/>
              <w:right w:val="single" w:sz="4" w:space="0" w:color="auto"/>
            </w:tcBorders>
          </w:tcPr>
          <w:p w:rsidR="00347030" w:rsidRPr="005B74A3" w:rsidRDefault="00B24B05" w:rsidP="00347030">
            <w:pPr>
              <w:jc w:val="center"/>
              <w:rPr>
                <w:rFonts w:ascii="Times New Roman" w:hAnsi="Times New Roman"/>
                <w:b/>
                <w:szCs w:val="24"/>
              </w:rPr>
            </w:pPr>
            <w:r w:rsidRPr="00B24B05">
              <w:rPr>
                <w:rFonts w:ascii="Times New Roman" w:hAnsi="Times New Roman"/>
                <w:b/>
                <w:szCs w:val="24"/>
              </w:rPr>
              <w:t>0.2766</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347030" w:rsidRPr="005B74A3" w:rsidRDefault="00B24B05" w:rsidP="00347030">
            <w:pPr>
              <w:jc w:val="right"/>
              <w:rPr>
                <w:rFonts w:ascii="Times New Roman" w:hAnsi="Times New Roman"/>
                <w:b/>
                <w:szCs w:val="24"/>
              </w:rPr>
            </w:pPr>
            <w:r w:rsidRPr="00B24B05">
              <w:rPr>
                <w:rFonts w:ascii="Times New Roman" w:hAnsi="Times New Roman"/>
                <w:b/>
                <w:szCs w:val="24"/>
              </w:rPr>
              <w:t>5,785</w:t>
            </w:r>
          </w:p>
        </w:tc>
      </w:tr>
      <w:tr w:rsidR="003D1F3B" w:rsidRPr="00596919" w:rsidTr="00B46E3B">
        <w:trPr>
          <w:jc w:val="center"/>
        </w:trPr>
        <w:tc>
          <w:tcPr>
            <w:tcW w:w="1763" w:type="dxa"/>
            <w:tcBorders>
              <w:top w:val="single" w:sz="4" w:space="0" w:color="auto"/>
              <w:left w:val="single" w:sz="4" w:space="0" w:color="auto"/>
              <w:bottom w:val="single" w:sz="4" w:space="0" w:color="auto"/>
              <w:right w:val="single" w:sz="4" w:space="0" w:color="auto"/>
            </w:tcBorders>
          </w:tcPr>
          <w:p w:rsidR="00347030" w:rsidRPr="000854C4" w:rsidRDefault="003E4AF3" w:rsidP="00347030">
            <w:pPr>
              <w:rPr>
                <w:rFonts w:ascii="Times New Roman" w:hAnsi="Times New Roman"/>
                <w:szCs w:val="24"/>
              </w:rPr>
            </w:pPr>
            <w:r w:rsidRPr="000854C4">
              <w:rPr>
                <w:rFonts w:ascii="Times New Roman" w:hAnsi="Times New Roman"/>
                <w:szCs w:val="24"/>
              </w:rPr>
              <w:t>Total Existing Reporting Burden for 0584-0006,  Part 210</w:t>
            </w:r>
          </w:p>
        </w:tc>
        <w:tc>
          <w:tcPr>
            <w:tcW w:w="1423" w:type="dxa"/>
            <w:tcBorders>
              <w:top w:val="single" w:sz="4" w:space="0" w:color="auto"/>
              <w:left w:val="single" w:sz="4" w:space="0" w:color="auto"/>
              <w:bottom w:val="single" w:sz="4" w:space="0" w:color="auto"/>
              <w:right w:val="single" w:sz="4" w:space="0" w:color="auto"/>
            </w:tcBorders>
          </w:tcPr>
          <w:p w:rsidR="00347030" w:rsidRPr="000854C4" w:rsidRDefault="00347030" w:rsidP="00347030">
            <w:pPr>
              <w:rPr>
                <w:rFonts w:ascii="Times New Roman" w:hAnsi="Times New Roman"/>
                <w:szCs w:val="24"/>
              </w:rPr>
            </w:pPr>
          </w:p>
        </w:tc>
        <w:tc>
          <w:tcPr>
            <w:tcW w:w="1528" w:type="dxa"/>
            <w:tcBorders>
              <w:top w:val="single" w:sz="4" w:space="0" w:color="auto"/>
              <w:left w:val="single" w:sz="4" w:space="0" w:color="auto"/>
              <w:bottom w:val="single" w:sz="4" w:space="0" w:color="auto"/>
              <w:right w:val="single" w:sz="4" w:space="0" w:color="auto"/>
            </w:tcBorders>
          </w:tcPr>
          <w:p w:rsidR="00347030" w:rsidRPr="000854C4" w:rsidRDefault="00347030" w:rsidP="00347030">
            <w:pPr>
              <w:rPr>
                <w:rFonts w:ascii="Times New Roman" w:hAnsi="Times New Roman"/>
                <w:szCs w:val="24"/>
              </w:rPr>
            </w:pPr>
          </w:p>
        </w:tc>
        <w:tc>
          <w:tcPr>
            <w:tcW w:w="1319" w:type="dxa"/>
            <w:tcBorders>
              <w:top w:val="single" w:sz="4" w:space="0" w:color="auto"/>
              <w:left w:val="single" w:sz="4" w:space="0" w:color="auto"/>
              <w:bottom w:val="single" w:sz="4" w:space="0" w:color="auto"/>
              <w:right w:val="single" w:sz="4" w:space="0" w:color="auto"/>
            </w:tcBorders>
          </w:tcPr>
          <w:p w:rsidR="00347030" w:rsidRPr="000854C4" w:rsidRDefault="00347030" w:rsidP="00347030">
            <w:pPr>
              <w:rPr>
                <w:rFonts w:ascii="Times New Roman" w:hAnsi="Times New Roman"/>
                <w:szCs w:val="24"/>
              </w:rPr>
            </w:pPr>
          </w:p>
        </w:tc>
        <w:tc>
          <w:tcPr>
            <w:tcW w:w="1275" w:type="dxa"/>
            <w:tcBorders>
              <w:top w:val="single" w:sz="4" w:space="0" w:color="auto"/>
              <w:left w:val="single" w:sz="4" w:space="0" w:color="auto"/>
              <w:bottom w:val="single" w:sz="4" w:space="0" w:color="auto"/>
              <w:right w:val="single" w:sz="4" w:space="0" w:color="auto"/>
            </w:tcBorders>
          </w:tcPr>
          <w:p w:rsidR="00347030" w:rsidRPr="000854C4" w:rsidRDefault="00347030" w:rsidP="00347030">
            <w:pPr>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347030" w:rsidRPr="000854C4" w:rsidRDefault="00347030" w:rsidP="00347030">
            <w:pPr>
              <w:rPr>
                <w:rFonts w:ascii="Times New Roman" w:hAnsi="Times New Roman"/>
                <w:szCs w:val="24"/>
              </w:rPr>
            </w:pPr>
          </w:p>
        </w:tc>
        <w:tc>
          <w:tcPr>
            <w:tcW w:w="1291" w:type="dxa"/>
            <w:tcBorders>
              <w:top w:val="single" w:sz="4" w:space="0" w:color="auto"/>
              <w:left w:val="single" w:sz="4" w:space="0" w:color="auto"/>
              <w:bottom w:val="single" w:sz="4" w:space="0" w:color="auto"/>
              <w:right w:val="single" w:sz="4" w:space="0" w:color="auto"/>
            </w:tcBorders>
          </w:tcPr>
          <w:p w:rsidR="00347030" w:rsidRPr="000854C4" w:rsidRDefault="003E4AF3" w:rsidP="00347030">
            <w:pPr>
              <w:jc w:val="right"/>
              <w:rPr>
                <w:rFonts w:ascii="Times New Roman" w:hAnsi="Times New Roman"/>
                <w:szCs w:val="24"/>
              </w:rPr>
            </w:pPr>
            <w:r w:rsidRPr="000854C4">
              <w:rPr>
                <w:rFonts w:ascii="Times New Roman" w:hAnsi="Times New Roman"/>
                <w:szCs w:val="24"/>
              </w:rPr>
              <w:t>2,981,464</w:t>
            </w:r>
          </w:p>
        </w:tc>
      </w:tr>
      <w:tr w:rsidR="003D1F3B" w:rsidRPr="00596919" w:rsidTr="00B46E3B">
        <w:trPr>
          <w:jc w:val="center"/>
        </w:trPr>
        <w:tc>
          <w:tcPr>
            <w:tcW w:w="1763" w:type="dxa"/>
            <w:tcBorders>
              <w:top w:val="single" w:sz="4" w:space="0" w:color="auto"/>
              <w:left w:val="single" w:sz="4" w:space="0" w:color="auto"/>
              <w:bottom w:val="single" w:sz="4" w:space="0" w:color="auto"/>
              <w:right w:val="single" w:sz="4" w:space="0" w:color="auto"/>
            </w:tcBorders>
          </w:tcPr>
          <w:p w:rsidR="00347030" w:rsidRPr="00B46E3B" w:rsidRDefault="003E4AF3" w:rsidP="00347030">
            <w:pPr>
              <w:rPr>
                <w:rFonts w:ascii="Times New Roman" w:hAnsi="Times New Roman"/>
                <w:szCs w:val="24"/>
              </w:rPr>
            </w:pPr>
            <w:r w:rsidRPr="00B46E3B">
              <w:rPr>
                <w:rFonts w:ascii="Times New Roman" w:hAnsi="Times New Roman"/>
                <w:szCs w:val="24"/>
              </w:rPr>
              <w:t>Total Reporting Burden  for 0584-0006,  Part 210 with Interim Rule</w:t>
            </w:r>
          </w:p>
        </w:tc>
        <w:tc>
          <w:tcPr>
            <w:tcW w:w="1423" w:type="dxa"/>
            <w:tcBorders>
              <w:top w:val="single" w:sz="4" w:space="0" w:color="auto"/>
              <w:left w:val="single" w:sz="4" w:space="0" w:color="auto"/>
              <w:bottom w:val="single" w:sz="4" w:space="0" w:color="auto"/>
              <w:right w:val="single" w:sz="4" w:space="0" w:color="auto"/>
            </w:tcBorders>
          </w:tcPr>
          <w:p w:rsidR="00347030" w:rsidRPr="00B46E3B" w:rsidRDefault="00347030" w:rsidP="00347030">
            <w:pPr>
              <w:rPr>
                <w:rFonts w:ascii="Times New Roman" w:hAnsi="Times New Roman"/>
                <w:szCs w:val="24"/>
              </w:rPr>
            </w:pPr>
          </w:p>
        </w:tc>
        <w:tc>
          <w:tcPr>
            <w:tcW w:w="1528" w:type="dxa"/>
            <w:tcBorders>
              <w:top w:val="single" w:sz="4" w:space="0" w:color="auto"/>
              <w:left w:val="single" w:sz="4" w:space="0" w:color="auto"/>
              <w:bottom w:val="single" w:sz="4" w:space="0" w:color="auto"/>
              <w:right w:val="single" w:sz="4" w:space="0" w:color="auto"/>
            </w:tcBorders>
          </w:tcPr>
          <w:p w:rsidR="00347030" w:rsidRPr="00B46E3B" w:rsidRDefault="00347030" w:rsidP="00347030">
            <w:pPr>
              <w:rPr>
                <w:rFonts w:ascii="Times New Roman" w:hAnsi="Times New Roman"/>
                <w:szCs w:val="24"/>
              </w:rPr>
            </w:pPr>
          </w:p>
        </w:tc>
        <w:tc>
          <w:tcPr>
            <w:tcW w:w="1319" w:type="dxa"/>
            <w:tcBorders>
              <w:top w:val="single" w:sz="4" w:space="0" w:color="auto"/>
              <w:left w:val="single" w:sz="4" w:space="0" w:color="auto"/>
              <w:bottom w:val="single" w:sz="4" w:space="0" w:color="auto"/>
              <w:right w:val="single" w:sz="4" w:space="0" w:color="auto"/>
            </w:tcBorders>
          </w:tcPr>
          <w:p w:rsidR="00347030" w:rsidRPr="00B46E3B" w:rsidRDefault="00347030" w:rsidP="00347030">
            <w:pPr>
              <w:rPr>
                <w:rFonts w:ascii="Times New Roman" w:hAnsi="Times New Roman"/>
                <w:szCs w:val="24"/>
              </w:rPr>
            </w:pPr>
          </w:p>
        </w:tc>
        <w:tc>
          <w:tcPr>
            <w:tcW w:w="1275" w:type="dxa"/>
            <w:tcBorders>
              <w:top w:val="single" w:sz="4" w:space="0" w:color="auto"/>
              <w:left w:val="single" w:sz="4" w:space="0" w:color="auto"/>
              <w:bottom w:val="single" w:sz="4" w:space="0" w:color="auto"/>
              <w:right w:val="single" w:sz="4" w:space="0" w:color="auto"/>
            </w:tcBorders>
          </w:tcPr>
          <w:p w:rsidR="00347030" w:rsidRPr="00B46E3B" w:rsidRDefault="00347030" w:rsidP="00347030">
            <w:pPr>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347030" w:rsidRPr="00B46E3B" w:rsidRDefault="00347030" w:rsidP="00347030">
            <w:pPr>
              <w:rPr>
                <w:rFonts w:ascii="Times New Roman" w:hAnsi="Times New Roman"/>
                <w:szCs w:val="24"/>
              </w:rPr>
            </w:pPr>
          </w:p>
        </w:tc>
        <w:tc>
          <w:tcPr>
            <w:tcW w:w="1291" w:type="dxa"/>
            <w:tcBorders>
              <w:top w:val="single" w:sz="4" w:space="0" w:color="auto"/>
              <w:left w:val="single" w:sz="4" w:space="0" w:color="auto"/>
              <w:bottom w:val="single" w:sz="4" w:space="0" w:color="auto"/>
              <w:right w:val="single" w:sz="4" w:space="0" w:color="auto"/>
            </w:tcBorders>
          </w:tcPr>
          <w:p w:rsidR="00347030" w:rsidRPr="00B46E3B" w:rsidRDefault="003E4AF3" w:rsidP="00347030">
            <w:pPr>
              <w:jc w:val="right"/>
              <w:rPr>
                <w:rFonts w:ascii="Times New Roman" w:hAnsi="Times New Roman"/>
                <w:szCs w:val="24"/>
              </w:rPr>
            </w:pPr>
            <w:r w:rsidRPr="00B46E3B">
              <w:rPr>
                <w:rFonts w:ascii="Times New Roman" w:hAnsi="Times New Roman"/>
                <w:szCs w:val="24"/>
              </w:rPr>
              <w:t>2,987,249</w:t>
            </w:r>
          </w:p>
        </w:tc>
      </w:tr>
    </w:tbl>
    <w:p w:rsidR="00B46E3B" w:rsidRDefault="00B46E3B"/>
    <w:p w:rsidR="00B46E3B" w:rsidRDefault="00B46E3B"/>
    <w:p w:rsidR="00B46E3B" w:rsidRDefault="00B46E3B"/>
    <w:p w:rsidR="003B0AD0" w:rsidRDefault="003B0AD0"/>
    <w:p w:rsidR="00B46E3B" w:rsidRDefault="00B46E3B"/>
    <w:p w:rsidR="00B46E3B" w:rsidRDefault="00B46E3B"/>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1423"/>
        <w:gridCol w:w="1528"/>
        <w:gridCol w:w="1319"/>
        <w:gridCol w:w="1275"/>
        <w:gridCol w:w="1177"/>
        <w:gridCol w:w="1291"/>
      </w:tblGrid>
      <w:tr w:rsidR="00347030" w:rsidRPr="00596919" w:rsidTr="00FB6CAC">
        <w:trPr>
          <w:jc w:val="center"/>
        </w:trPr>
        <w:tc>
          <w:tcPr>
            <w:tcW w:w="9776" w:type="dxa"/>
            <w:gridSpan w:val="7"/>
            <w:tcBorders>
              <w:top w:val="single" w:sz="4" w:space="0" w:color="auto"/>
              <w:left w:val="single" w:sz="4" w:space="0" w:color="auto"/>
              <w:right w:val="single" w:sz="4" w:space="0" w:color="auto"/>
            </w:tcBorders>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Recordkeeping</w:t>
            </w:r>
          </w:p>
        </w:tc>
      </w:tr>
      <w:tr w:rsidR="003D1F3B" w:rsidRPr="00596919" w:rsidTr="00B46E3B">
        <w:trPr>
          <w:jc w:val="center"/>
        </w:trPr>
        <w:tc>
          <w:tcPr>
            <w:tcW w:w="1763" w:type="dxa"/>
            <w:tcBorders>
              <w:left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Recordkeeping Burden</w:t>
            </w:r>
          </w:p>
        </w:tc>
        <w:tc>
          <w:tcPr>
            <w:tcW w:w="1423" w:type="dxa"/>
            <w:tcBorders>
              <w:left w:val="single" w:sz="4" w:space="0" w:color="auto"/>
              <w:right w:val="nil"/>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Citation</w:t>
            </w:r>
          </w:p>
        </w:tc>
        <w:tc>
          <w:tcPr>
            <w:tcW w:w="1528" w:type="dxa"/>
            <w:tcBorders>
              <w:left w:val="single" w:sz="4" w:space="0" w:color="auto"/>
              <w:right w:val="nil"/>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Estimated Number of</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Respondents</w:t>
            </w:r>
          </w:p>
        </w:tc>
        <w:tc>
          <w:tcPr>
            <w:tcW w:w="1319" w:type="dxa"/>
            <w:tcBorders>
              <w:left w:val="single" w:sz="4" w:space="0" w:color="auto"/>
              <w:right w:val="nil"/>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Frequency</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of</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Response</w:t>
            </w:r>
          </w:p>
        </w:tc>
        <w:tc>
          <w:tcPr>
            <w:tcW w:w="1275" w:type="dxa"/>
            <w:tcBorders>
              <w:left w:val="single" w:sz="4" w:space="0" w:color="auto"/>
              <w:right w:val="nil"/>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Average Annual</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Responses</w:t>
            </w:r>
          </w:p>
        </w:tc>
        <w:tc>
          <w:tcPr>
            <w:tcW w:w="1177" w:type="dxa"/>
            <w:tcBorders>
              <w:left w:val="single" w:sz="4" w:space="0" w:color="auto"/>
              <w:right w:val="nil"/>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Average</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Burden per</w:t>
            </w:r>
          </w:p>
          <w:p w:rsidR="00347030" w:rsidRPr="00596919" w:rsidRDefault="003E4AF3" w:rsidP="00347030">
            <w:pPr>
              <w:jc w:val="center"/>
              <w:rPr>
                <w:rFonts w:ascii="Times New Roman" w:hAnsi="Times New Roman"/>
                <w:b/>
                <w:szCs w:val="24"/>
              </w:rPr>
            </w:pPr>
            <w:r w:rsidRPr="003E4AF3">
              <w:rPr>
                <w:rFonts w:ascii="Times New Roman" w:hAnsi="Times New Roman"/>
                <w:b/>
                <w:szCs w:val="24"/>
              </w:rPr>
              <w:t>Response</w:t>
            </w:r>
          </w:p>
        </w:tc>
        <w:tc>
          <w:tcPr>
            <w:tcW w:w="1291" w:type="dxa"/>
            <w:tcBorders>
              <w:left w:val="single" w:sz="4" w:space="0" w:color="auto"/>
              <w:right w:val="single" w:sz="4" w:space="0" w:color="auto"/>
            </w:tcBorders>
            <w:vAlign w:val="bottom"/>
          </w:tcPr>
          <w:p w:rsidR="00347030" w:rsidRPr="00596919" w:rsidRDefault="003E4AF3" w:rsidP="00347030">
            <w:pPr>
              <w:jc w:val="center"/>
              <w:rPr>
                <w:rFonts w:ascii="Times New Roman" w:hAnsi="Times New Roman"/>
                <w:b/>
                <w:szCs w:val="24"/>
              </w:rPr>
            </w:pPr>
            <w:r w:rsidRPr="003E4AF3">
              <w:rPr>
                <w:rFonts w:ascii="Times New Roman" w:hAnsi="Times New Roman"/>
                <w:b/>
                <w:szCs w:val="24"/>
              </w:rPr>
              <w:t>Annual Burden Hours</w:t>
            </w:r>
          </w:p>
        </w:tc>
      </w:tr>
      <w:tr w:rsidR="003D1F3B" w:rsidRPr="00596919" w:rsidTr="00B46E3B">
        <w:trPr>
          <w:jc w:val="center"/>
        </w:trPr>
        <w:tc>
          <w:tcPr>
            <w:tcW w:w="1763" w:type="dxa"/>
            <w:tcBorders>
              <w:left w:val="single" w:sz="4" w:space="0" w:color="auto"/>
            </w:tcBorders>
          </w:tcPr>
          <w:p w:rsidR="00347030" w:rsidRPr="00596919" w:rsidRDefault="003E4AF3" w:rsidP="00347030">
            <w:pPr>
              <w:ind w:left="-14"/>
              <w:rPr>
                <w:rFonts w:ascii="Times New Roman" w:hAnsi="Times New Roman"/>
                <w:szCs w:val="24"/>
              </w:rPr>
            </w:pPr>
            <w:r w:rsidRPr="003E4AF3">
              <w:rPr>
                <w:rFonts w:ascii="Times New Roman" w:hAnsi="Times New Roman"/>
                <w:szCs w:val="24"/>
              </w:rPr>
              <w:t xml:space="preserve">SA maintains records of paid reimbursable lunch prices obtained from SFAs </w:t>
            </w:r>
          </w:p>
          <w:p w:rsidR="00347030" w:rsidRPr="00596919" w:rsidRDefault="00347030" w:rsidP="00347030">
            <w:pPr>
              <w:rPr>
                <w:rFonts w:ascii="Times New Roman" w:hAnsi="Times New Roman"/>
                <w:szCs w:val="24"/>
              </w:rPr>
            </w:pPr>
          </w:p>
          <w:p w:rsidR="00347030" w:rsidRPr="00596919" w:rsidRDefault="003E4AF3" w:rsidP="00347030">
            <w:pPr>
              <w:rPr>
                <w:rFonts w:ascii="Times New Roman" w:hAnsi="Times New Roman"/>
                <w:szCs w:val="24"/>
              </w:rPr>
            </w:pPr>
            <w:r w:rsidRPr="003E4AF3">
              <w:rPr>
                <w:rFonts w:ascii="Times New Roman" w:hAnsi="Times New Roman"/>
                <w:szCs w:val="24"/>
              </w:rPr>
              <w:t xml:space="preserve">SFA maintains records of its calculation of the average price of paid reimbursable lunches and adjustments </w:t>
            </w:r>
          </w:p>
          <w:p w:rsidR="00347030" w:rsidRPr="00596919" w:rsidRDefault="00347030" w:rsidP="00347030">
            <w:pPr>
              <w:rPr>
                <w:rFonts w:ascii="Times New Roman" w:hAnsi="Times New Roman"/>
                <w:szCs w:val="24"/>
              </w:rPr>
            </w:pPr>
          </w:p>
          <w:p w:rsidR="00347030" w:rsidRPr="00596919" w:rsidRDefault="003E4AF3" w:rsidP="00347030">
            <w:pPr>
              <w:rPr>
                <w:rFonts w:ascii="Times New Roman" w:hAnsi="Times New Roman"/>
                <w:szCs w:val="24"/>
              </w:rPr>
            </w:pPr>
            <w:r w:rsidRPr="003E4AF3">
              <w:rPr>
                <w:rFonts w:ascii="Times New Roman" w:hAnsi="Times New Roman"/>
                <w:szCs w:val="24"/>
              </w:rPr>
              <w:t xml:space="preserve">SFAs maintains records documenting the revenue generated from the sale of </w:t>
            </w:r>
            <w:proofErr w:type="spellStart"/>
            <w:r w:rsidRPr="003E4AF3">
              <w:rPr>
                <w:rFonts w:ascii="Times New Roman" w:hAnsi="Times New Roman"/>
                <w:szCs w:val="24"/>
              </w:rPr>
              <w:t>nonprogram</w:t>
            </w:r>
            <w:proofErr w:type="spellEnd"/>
            <w:r w:rsidRPr="003E4AF3">
              <w:rPr>
                <w:rFonts w:ascii="Times New Roman" w:hAnsi="Times New Roman"/>
                <w:szCs w:val="24"/>
              </w:rPr>
              <w:t xml:space="preserve"> foods</w:t>
            </w:r>
          </w:p>
        </w:tc>
        <w:tc>
          <w:tcPr>
            <w:tcW w:w="1423" w:type="dxa"/>
          </w:tcPr>
          <w:p w:rsidR="00347030" w:rsidRPr="00596919" w:rsidRDefault="003E4AF3" w:rsidP="00347030">
            <w:pPr>
              <w:rPr>
                <w:rFonts w:ascii="Times New Roman" w:hAnsi="Times New Roman"/>
                <w:szCs w:val="24"/>
              </w:rPr>
            </w:pPr>
            <w:r w:rsidRPr="003E4AF3">
              <w:rPr>
                <w:rFonts w:ascii="Times New Roman" w:hAnsi="Times New Roman"/>
                <w:szCs w:val="24"/>
              </w:rPr>
              <w:t>7 CFR 210.14 (e) (7)</w:t>
            </w:r>
          </w:p>
          <w:p w:rsidR="00347030" w:rsidRPr="00596919" w:rsidRDefault="00347030" w:rsidP="00347030">
            <w:pPr>
              <w:rPr>
                <w:rFonts w:ascii="Times New Roman" w:hAnsi="Times New Roman"/>
                <w:szCs w:val="24"/>
              </w:rPr>
            </w:pPr>
          </w:p>
          <w:p w:rsidR="00347030" w:rsidRPr="00596919" w:rsidRDefault="003E4AF3" w:rsidP="00347030">
            <w:pPr>
              <w:rPr>
                <w:rFonts w:ascii="Times New Roman" w:hAnsi="Times New Roman"/>
                <w:szCs w:val="24"/>
              </w:rPr>
            </w:pPr>
            <w:r w:rsidRPr="003E4AF3">
              <w:rPr>
                <w:rFonts w:ascii="Times New Roman" w:hAnsi="Times New Roman"/>
                <w:szCs w:val="24"/>
              </w:rPr>
              <w:t>7 CFR 210.14 (e) (1) - (e) (6)</w:t>
            </w:r>
          </w:p>
          <w:p w:rsidR="00347030" w:rsidRPr="00596919" w:rsidRDefault="00347030" w:rsidP="00347030">
            <w:pP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E4AF3" w:rsidP="00347030">
            <w:pPr>
              <w:rPr>
                <w:rFonts w:ascii="Times New Roman" w:hAnsi="Times New Roman"/>
                <w:szCs w:val="24"/>
              </w:rPr>
            </w:pPr>
            <w:r w:rsidRPr="003E4AF3">
              <w:rPr>
                <w:rFonts w:ascii="Times New Roman" w:hAnsi="Times New Roman"/>
                <w:szCs w:val="24"/>
              </w:rPr>
              <w:t>7 CFR 210.14 (f)</w:t>
            </w:r>
          </w:p>
        </w:tc>
        <w:tc>
          <w:tcPr>
            <w:tcW w:w="1528" w:type="dxa"/>
            <w:tcBorders>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57</w:t>
            </w:r>
          </w:p>
          <w:p w:rsidR="00347030" w:rsidRPr="00596919" w:rsidRDefault="00347030" w:rsidP="00347030">
            <w:pP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20,858</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20,858</w:t>
            </w:r>
          </w:p>
        </w:tc>
        <w:tc>
          <w:tcPr>
            <w:tcW w:w="1319" w:type="dxa"/>
            <w:tcBorders>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36</w:t>
            </w:r>
            <w:r w:rsidR="000B63FD">
              <w:rPr>
                <w:rFonts w:ascii="Times New Roman" w:hAnsi="Times New Roman"/>
                <w:szCs w:val="24"/>
              </w:rPr>
              <w:t>5.93</w:t>
            </w:r>
          </w:p>
          <w:p w:rsidR="00347030" w:rsidRPr="00596919" w:rsidRDefault="00347030" w:rsidP="00347030">
            <w:pP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1</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1</w:t>
            </w:r>
          </w:p>
        </w:tc>
        <w:tc>
          <w:tcPr>
            <w:tcW w:w="1275" w:type="dxa"/>
            <w:tcBorders>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20,8</w:t>
            </w:r>
            <w:r w:rsidR="000854C4">
              <w:rPr>
                <w:rFonts w:ascii="Times New Roman" w:hAnsi="Times New Roman"/>
                <w:szCs w:val="24"/>
              </w:rPr>
              <w:t>58</w:t>
            </w:r>
          </w:p>
          <w:p w:rsidR="00347030" w:rsidRPr="00596919" w:rsidRDefault="00347030" w:rsidP="00347030">
            <w:pP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20,858</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20,858</w:t>
            </w:r>
          </w:p>
        </w:tc>
        <w:tc>
          <w:tcPr>
            <w:tcW w:w="1177" w:type="dxa"/>
            <w:tcBorders>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0.2</w:t>
            </w:r>
          </w:p>
          <w:p w:rsidR="00347030" w:rsidRPr="00596919" w:rsidRDefault="00347030" w:rsidP="00347030">
            <w:pPr>
              <w:jc w:val="cente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5</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10</w:t>
            </w:r>
          </w:p>
        </w:tc>
        <w:tc>
          <w:tcPr>
            <w:tcW w:w="1291" w:type="dxa"/>
            <w:tcBorders>
              <w:left w:val="single" w:sz="4" w:space="0" w:color="auto"/>
              <w:right w:val="single" w:sz="4" w:space="0" w:color="auto"/>
            </w:tcBorders>
          </w:tcPr>
          <w:p w:rsidR="00347030" w:rsidRPr="00596919" w:rsidRDefault="003E4AF3" w:rsidP="00347030">
            <w:pPr>
              <w:jc w:val="center"/>
              <w:rPr>
                <w:rFonts w:ascii="Times New Roman" w:hAnsi="Times New Roman"/>
                <w:szCs w:val="24"/>
              </w:rPr>
            </w:pPr>
            <w:r w:rsidRPr="003E4AF3">
              <w:rPr>
                <w:rFonts w:ascii="Times New Roman" w:hAnsi="Times New Roman"/>
                <w:szCs w:val="24"/>
              </w:rPr>
              <w:t>4,172</w:t>
            </w:r>
          </w:p>
          <w:p w:rsidR="00347030" w:rsidRPr="00596919" w:rsidRDefault="00347030" w:rsidP="00347030">
            <w:pPr>
              <w:rPr>
                <w:rFonts w:ascii="Times New Roman" w:hAnsi="Times New Roman"/>
                <w:szCs w:val="24"/>
              </w:rPr>
            </w:pPr>
          </w:p>
          <w:p w:rsidR="00347030" w:rsidRPr="00596919" w:rsidRDefault="00347030" w:rsidP="00347030">
            <w:pP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104,290</w:t>
            </w: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47030" w:rsidP="00347030">
            <w:pPr>
              <w:jc w:val="center"/>
              <w:rPr>
                <w:rFonts w:ascii="Times New Roman" w:hAnsi="Times New Roman"/>
                <w:szCs w:val="24"/>
              </w:rPr>
            </w:pPr>
          </w:p>
          <w:p w:rsidR="00347030" w:rsidRPr="00596919" w:rsidRDefault="003E4AF3" w:rsidP="00347030">
            <w:pPr>
              <w:jc w:val="center"/>
              <w:rPr>
                <w:rFonts w:ascii="Times New Roman" w:hAnsi="Times New Roman"/>
                <w:szCs w:val="24"/>
              </w:rPr>
            </w:pPr>
            <w:r w:rsidRPr="003E4AF3">
              <w:rPr>
                <w:rFonts w:ascii="Times New Roman" w:hAnsi="Times New Roman"/>
                <w:szCs w:val="24"/>
              </w:rPr>
              <w:t>208,580</w:t>
            </w:r>
          </w:p>
        </w:tc>
      </w:tr>
      <w:tr w:rsidR="003D1F3B" w:rsidRPr="00596919" w:rsidTr="00B46E3B">
        <w:trPr>
          <w:jc w:val="center"/>
        </w:trPr>
        <w:tc>
          <w:tcPr>
            <w:tcW w:w="1763" w:type="dxa"/>
            <w:tcBorders>
              <w:left w:val="single" w:sz="4" w:space="0" w:color="auto"/>
            </w:tcBorders>
          </w:tcPr>
          <w:p w:rsidR="00347030" w:rsidRPr="00F42CFD" w:rsidRDefault="003E4AF3" w:rsidP="00347030">
            <w:pPr>
              <w:rPr>
                <w:rFonts w:ascii="Times New Roman" w:hAnsi="Times New Roman"/>
                <w:b/>
                <w:szCs w:val="24"/>
              </w:rPr>
            </w:pPr>
            <w:bookmarkStart w:id="0" w:name="_Hlk259172855"/>
            <w:r w:rsidRPr="00F42CFD">
              <w:rPr>
                <w:rFonts w:ascii="Times New Roman" w:hAnsi="Times New Roman"/>
                <w:b/>
                <w:szCs w:val="24"/>
              </w:rPr>
              <w:t>Total Recordkeeping for Interim Rule</w:t>
            </w:r>
          </w:p>
        </w:tc>
        <w:tc>
          <w:tcPr>
            <w:tcW w:w="1423" w:type="dxa"/>
          </w:tcPr>
          <w:p w:rsidR="00347030" w:rsidRPr="00F42CFD" w:rsidRDefault="00347030" w:rsidP="00347030">
            <w:pPr>
              <w:rPr>
                <w:rFonts w:ascii="Times New Roman" w:hAnsi="Times New Roman"/>
                <w:b/>
                <w:szCs w:val="24"/>
              </w:rPr>
            </w:pPr>
          </w:p>
        </w:tc>
        <w:tc>
          <w:tcPr>
            <w:tcW w:w="1528" w:type="dxa"/>
          </w:tcPr>
          <w:p w:rsidR="00347030" w:rsidRPr="00F42CFD" w:rsidRDefault="003E4AF3" w:rsidP="00347030">
            <w:pPr>
              <w:jc w:val="center"/>
              <w:rPr>
                <w:rFonts w:ascii="Times New Roman" w:hAnsi="Times New Roman"/>
                <w:b/>
                <w:szCs w:val="24"/>
              </w:rPr>
            </w:pPr>
            <w:r w:rsidRPr="00F42CFD">
              <w:rPr>
                <w:rFonts w:ascii="Times New Roman" w:hAnsi="Times New Roman"/>
                <w:b/>
                <w:szCs w:val="24"/>
              </w:rPr>
              <w:t>20,915</w:t>
            </w:r>
          </w:p>
        </w:tc>
        <w:tc>
          <w:tcPr>
            <w:tcW w:w="1319" w:type="dxa"/>
          </w:tcPr>
          <w:p w:rsidR="00347030" w:rsidRPr="00F42CFD" w:rsidRDefault="003E4AF3" w:rsidP="00347030">
            <w:pPr>
              <w:jc w:val="center"/>
              <w:rPr>
                <w:rFonts w:ascii="Times New Roman" w:hAnsi="Times New Roman"/>
                <w:b/>
                <w:szCs w:val="24"/>
              </w:rPr>
            </w:pPr>
            <w:r w:rsidRPr="00F42CFD">
              <w:rPr>
                <w:rFonts w:ascii="Times New Roman" w:hAnsi="Times New Roman"/>
                <w:b/>
                <w:szCs w:val="24"/>
              </w:rPr>
              <w:t>2.99</w:t>
            </w:r>
          </w:p>
        </w:tc>
        <w:tc>
          <w:tcPr>
            <w:tcW w:w="1275" w:type="dxa"/>
          </w:tcPr>
          <w:p w:rsidR="00347030" w:rsidRPr="00F42CFD" w:rsidRDefault="003E4AF3" w:rsidP="00347030">
            <w:pPr>
              <w:jc w:val="center"/>
              <w:rPr>
                <w:rFonts w:ascii="Times New Roman" w:hAnsi="Times New Roman"/>
                <w:b/>
                <w:szCs w:val="24"/>
              </w:rPr>
            </w:pPr>
            <w:r w:rsidRPr="00F42CFD">
              <w:rPr>
                <w:rFonts w:ascii="Times New Roman" w:hAnsi="Times New Roman"/>
                <w:b/>
                <w:szCs w:val="24"/>
              </w:rPr>
              <w:t>62,574</w:t>
            </w:r>
          </w:p>
        </w:tc>
        <w:tc>
          <w:tcPr>
            <w:tcW w:w="1177" w:type="dxa"/>
          </w:tcPr>
          <w:p w:rsidR="00347030" w:rsidRPr="00F42CFD" w:rsidRDefault="003E4AF3" w:rsidP="00347030">
            <w:pPr>
              <w:jc w:val="center"/>
              <w:rPr>
                <w:rFonts w:ascii="Times New Roman" w:hAnsi="Times New Roman"/>
                <w:b/>
                <w:szCs w:val="24"/>
              </w:rPr>
            </w:pPr>
            <w:r w:rsidRPr="00F42CFD">
              <w:rPr>
                <w:rFonts w:ascii="Times New Roman" w:hAnsi="Times New Roman"/>
                <w:b/>
                <w:szCs w:val="24"/>
              </w:rPr>
              <w:t>15.1586</w:t>
            </w:r>
          </w:p>
        </w:tc>
        <w:tc>
          <w:tcPr>
            <w:tcW w:w="1291" w:type="dxa"/>
            <w:tcBorders>
              <w:right w:val="single" w:sz="4" w:space="0" w:color="auto"/>
            </w:tcBorders>
          </w:tcPr>
          <w:p w:rsidR="00347030" w:rsidRPr="00F42CFD" w:rsidRDefault="003E4AF3" w:rsidP="00347030">
            <w:pPr>
              <w:jc w:val="right"/>
              <w:rPr>
                <w:rFonts w:ascii="Times New Roman" w:hAnsi="Times New Roman"/>
                <w:b/>
                <w:szCs w:val="24"/>
              </w:rPr>
            </w:pPr>
            <w:r w:rsidRPr="00F42CFD">
              <w:rPr>
                <w:rFonts w:ascii="Times New Roman" w:hAnsi="Times New Roman"/>
                <w:b/>
                <w:szCs w:val="24"/>
              </w:rPr>
              <w:t>317,042</w:t>
            </w:r>
          </w:p>
        </w:tc>
      </w:tr>
      <w:tr w:rsidR="003D1F3B" w:rsidRPr="00596919" w:rsidTr="00B46E3B">
        <w:trPr>
          <w:jc w:val="center"/>
        </w:trPr>
        <w:tc>
          <w:tcPr>
            <w:tcW w:w="1763" w:type="dxa"/>
            <w:tcBorders>
              <w:left w:val="single" w:sz="4" w:space="0" w:color="auto"/>
            </w:tcBorders>
          </w:tcPr>
          <w:p w:rsidR="00347030" w:rsidRPr="00596919" w:rsidRDefault="003E4AF3" w:rsidP="00347030">
            <w:pPr>
              <w:rPr>
                <w:rFonts w:ascii="Times New Roman" w:hAnsi="Times New Roman"/>
                <w:szCs w:val="24"/>
              </w:rPr>
            </w:pPr>
            <w:r w:rsidRPr="003E4AF3">
              <w:rPr>
                <w:rFonts w:ascii="Times New Roman" w:hAnsi="Times New Roman"/>
                <w:szCs w:val="24"/>
              </w:rPr>
              <w:t xml:space="preserve">Total Existing Recordkeeping Burden for 0584-0006, Part </w:t>
            </w:r>
            <w:r w:rsidRPr="003E4AF3">
              <w:rPr>
                <w:rFonts w:ascii="Times New Roman" w:hAnsi="Times New Roman"/>
                <w:szCs w:val="24"/>
              </w:rPr>
              <w:lastRenderedPageBreak/>
              <w:t>210</w:t>
            </w:r>
          </w:p>
        </w:tc>
        <w:tc>
          <w:tcPr>
            <w:tcW w:w="1423" w:type="dxa"/>
          </w:tcPr>
          <w:p w:rsidR="00347030" w:rsidRPr="00596919" w:rsidRDefault="00347030" w:rsidP="00347030">
            <w:pPr>
              <w:rPr>
                <w:rFonts w:ascii="Times New Roman" w:hAnsi="Times New Roman"/>
                <w:szCs w:val="24"/>
              </w:rPr>
            </w:pPr>
          </w:p>
        </w:tc>
        <w:tc>
          <w:tcPr>
            <w:tcW w:w="1528" w:type="dxa"/>
          </w:tcPr>
          <w:p w:rsidR="00347030" w:rsidRPr="00596919" w:rsidRDefault="00347030" w:rsidP="00347030">
            <w:pPr>
              <w:jc w:val="center"/>
              <w:rPr>
                <w:rFonts w:ascii="Times New Roman" w:hAnsi="Times New Roman"/>
                <w:szCs w:val="24"/>
              </w:rPr>
            </w:pPr>
          </w:p>
        </w:tc>
        <w:tc>
          <w:tcPr>
            <w:tcW w:w="1319" w:type="dxa"/>
          </w:tcPr>
          <w:p w:rsidR="00347030" w:rsidRPr="00596919" w:rsidRDefault="00347030" w:rsidP="00347030">
            <w:pPr>
              <w:jc w:val="center"/>
              <w:rPr>
                <w:rFonts w:ascii="Times New Roman" w:hAnsi="Times New Roman"/>
                <w:szCs w:val="24"/>
              </w:rPr>
            </w:pPr>
          </w:p>
        </w:tc>
        <w:tc>
          <w:tcPr>
            <w:tcW w:w="1275" w:type="dxa"/>
          </w:tcPr>
          <w:p w:rsidR="00347030" w:rsidRPr="00596919" w:rsidRDefault="00347030" w:rsidP="00347030">
            <w:pPr>
              <w:jc w:val="center"/>
              <w:rPr>
                <w:rFonts w:ascii="Times New Roman" w:hAnsi="Times New Roman"/>
                <w:szCs w:val="24"/>
              </w:rPr>
            </w:pPr>
          </w:p>
        </w:tc>
        <w:tc>
          <w:tcPr>
            <w:tcW w:w="1177" w:type="dxa"/>
          </w:tcPr>
          <w:p w:rsidR="00347030" w:rsidRPr="00596919" w:rsidRDefault="00347030" w:rsidP="00347030">
            <w:pPr>
              <w:jc w:val="center"/>
              <w:rPr>
                <w:rFonts w:ascii="Times New Roman" w:hAnsi="Times New Roman"/>
                <w:szCs w:val="24"/>
              </w:rPr>
            </w:pPr>
          </w:p>
        </w:tc>
        <w:tc>
          <w:tcPr>
            <w:tcW w:w="1291" w:type="dxa"/>
            <w:tcBorders>
              <w:right w:val="single" w:sz="4" w:space="0" w:color="auto"/>
            </w:tcBorders>
          </w:tcPr>
          <w:p w:rsidR="00347030" w:rsidRPr="00596919" w:rsidRDefault="003E4AF3" w:rsidP="00347030">
            <w:pPr>
              <w:jc w:val="right"/>
              <w:rPr>
                <w:rFonts w:ascii="Times New Roman" w:hAnsi="Times New Roman"/>
                <w:szCs w:val="24"/>
              </w:rPr>
            </w:pPr>
            <w:r w:rsidRPr="003E4AF3">
              <w:rPr>
                <w:rFonts w:ascii="Times New Roman" w:hAnsi="Times New Roman"/>
                <w:szCs w:val="24"/>
              </w:rPr>
              <w:t>9,276,300</w:t>
            </w:r>
          </w:p>
        </w:tc>
      </w:tr>
      <w:bookmarkEnd w:id="0"/>
      <w:tr w:rsidR="003D1F3B" w:rsidRPr="00596919" w:rsidTr="00B46E3B">
        <w:trPr>
          <w:jc w:val="center"/>
        </w:trPr>
        <w:tc>
          <w:tcPr>
            <w:tcW w:w="1763" w:type="dxa"/>
            <w:tcBorders>
              <w:left w:val="single" w:sz="4" w:space="0" w:color="auto"/>
              <w:bottom w:val="single" w:sz="4" w:space="0" w:color="auto"/>
            </w:tcBorders>
          </w:tcPr>
          <w:p w:rsidR="00347030" w:rsidRPr="00596919" w:rsidRDefault="003E4AF3" w:rsidP="00347030">
            <w:pPr>
              <w:rPr>
                <w:rFonts w:ascii="Times New Roman" w:hAnsi="Times New Roman"/>
                <w:szCs w:val="24"/>
              </w:rPr>
            </w:pPr>
            <w:r w:rsidRPr="003E4AF3">
              <w:rPr>
                <w:rFonts w:ascii="Times New Roman" w:hAnsi="Times New Roman"/>
                <w:szCs w:val="24"/>
              </w:rPr>
              <w:lastRenderedPageBreak/>
              <w:t>Total Recordkeeping Bur</w:t>
            </w:r>
            <w:r w:rsidR="001451F3">
              <w:rPr>
                <w:rFonts w:ascii="Times New Roman" w:hAnsi="Times New Roman"/>
                <w:szCs w:val="24"/>
              </w:rPr>
              <w:t>den for 0584-0006, Part 210</w:t>
            </w:r>
            <w:r w:rsidRPr="003E4AF3">
              <w:rPr>
                <w:rFonts w:ascii="Times New Roman" w:hAnsi="Times New Roman"/>
                <w:szCs w:val="24"/>
              </w:rPr>
              <w:t xml:space="preserve"> </w:t>
            </w:r>
            <w:r w:rsidR="001451F3">
              <w:rPr>
                <w:rFonts w:ascii="Times New Roman" w:hAnsi="Times New Roman"/>
                <w:szCs w:val="24"/>
              </w:rPr>
              <w:t>IR</w:t>
            </w:r>
          </w:p>
        </w:tc>
        <w:tc>
          <w:tcPr>
            <w:tcW w:w="1423" w:type="dxa"/>
            <w:tcBorders>
              <w:bottom w:val="single" w:sz="4" w:space="0" w:color="auto"/>
            </w:tcBorders>
          </w:tcPr>
          <w:p w:rsidR="00347030" w:rsidRPr="00596919" w:rsidRDefault="00347030" w:rsidP="00347030">
            <w:pPr>
              <w:rPr>
                <w:rFonts w:ascii="Times New Roman" w:hAnsi="Times New Roman"/>
                <w:szCs w:val="24"/>
              </w:rPr>
            </w:pPr>
          </w:p>
        </w:tc>
        <w:tc>
          <w:tcPr>
            <w:tcW w:w="1528" w:type="dxa"/>
            <w:tcBorders>
              <w:bottom w:val="single" w:sz="4" w:space="0" w:color="auto"/>
            </w:tcBorders>
          </w:tcPr>
          <w:p w:rsidR="00347030" w:rsidRPr="00596919" w:rsidRDefault="00347030" w:rsidP="00347030">
            <w:pPr>
              <w:jc w:val="center"/>
              <w:rPr>
                <w:rFonts w:ascii="Times New Roman" w:hAnsi="Times New Roman"/>
                <w:szCs w:val="24"/>
              </w:rPr>
            </w:pPr>
          </w:p>
        </w:tc>
        <w:tc>
          <w:tcPr>
            <w:tcW w:w="1319" w:type="dxa"/>
            <w:tcBorders>
              <w:bottom w:val="single" w:sz="4" w:space="0" w:color="auto"/>
            </w:tcBorders>
          </w:tcPr>
          <w:p w:rsidR="00347030" w:rsidRPr="00596919" w:rsidRDefault="00347030" w:rsidP="00347030">
            <w:pPr>
              <w:jc w:val="center"/>
              <w:rPr>
                <w:rFonts w:ascii="Times New Roman" w:hAnsi="Times New Roman"/>
                <w:szCs w:val="24"/>
              </w:rPr>
            </w:pPr>
          </w:p>
        </w:tc>
        <w:tc>
          <w:tcPr>
            <w:tcW w:w="1275" w:type="dxa"/>
            <w:tcBorders>
              <w:bottom w:val="single" w:sz="4" w:space="0" w:color="auto"/>
            </w:tcBorders>
          </w:tcPr>
          <w:p w:rsidR="00347030" w:rsidRPr="00596919" w:rsidRDefault="00347030" w:rsidP="00347030">
            <w:pPr>
              <w:jc w:val="center"/>
              <w:rPr>
                <w:rFonts w:ascii="Times New Roman" w:hAnsi="Times New Roman"/>
                <w:szCs w:val="24"/>
              </w:rPr>
            </w:pPr>
          </w:p>
        </w:tc>
        <w:tc>
          <w:tcPr>
            <w:tcW w:w="1177" w:type="dxa"/>
            <w:tcBorders>
              <w:bottom w:val="single" w:sz="4" w:space="0" w:color="auto"/>
            </w:tcBorders>
          </w:tcPr>
          <w:p w:rsidR="00347030" w:rsidRPr="00596919" w:rsidRDefault="00347030" w:rsidP="00347030">
            <w:pPr>
              <w:jc w:val="center"/>
              <w:rPr>
                <w:rFonts w:ascii="Times New Roman" w:hAnsi="Times New Roman"/>
                <w:szCs w:val="24"/>
              </w:rPr>
            </w:pPr>
          </w:p>
        </w:tc>
        <w:tc>
          <w:tcPr>
            <w:tcW w:w="1291" w:type="dxa"/>
            <w:tcBorders>
              <w:bottom w:val="single" w:sz="4" w:space="0" w:color="auto"/>
              <w:right w:val="single" w:sz="4" w:space="0" w:color="auto"/>
            </w:tcBorders>
          </w:tcPr>
          <w:p w:rsidR="00347030" w:rsidRPr="00596919" w:rsidRDefault="003E4AF3" w:rsidP="00347030">
            <w:pPr>
              <w:jc w:val="right"/>
              <w:rPr>
                <w:rFonts w:ascii="Times New Roman" w:hAnsi="Times New Roman"/>
                <w:szCs w:val="24"/>
              </w:rPr>
            </w:pPr>
            <w:r w:rsidRPr="003E4AF3">
              <w:rPr>
                <w:rFonts w:ascii="Times New Roman" w:hAnsi="Times New Roman"/>
                <w:szCs w:val="24"/>
              </w:rPr>
              <w:t>9,593,342</w:t>
            </w:r>
          </w:p>
        </w:tc>
      </w:tr>
    </w:tbl>
    <w:p w:rsidR="00347030" w:rsidRPr="00596919" w:rsidRDefault="00347030" w:rsidP="00347030">
      <w:pPr>
        <w:rPr>
          <w:rFonts w:ascii="Times New Roman" w:hAnsi="Times New Roman"/>
          <w:szCs w:val="24"/>
        </w:rPr>
      </w:pPr>
    </w:p>
    <w:tbl>
      <w:tblPr>
        <w:tblW w:w="9758" w:type="dxa"/>
        <w:jc w:val="center"/>
        <w:tblInd w:w="-104" w:type="dxa"/>
        <w:tblLook w:val="04A0"/>
      </w:tblPr>
      <w:tblGrid>
        <w:gridCol w:w="8383"/>
        <w:gridCol w:w="1375"/>
      </w:tblGrid>
      <w:tr w:rsidR="00347030" w:rsidRPr="00596919" w:rsidTr="00FB6CAC">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596919" w:rsidRDefault="00347030" w:rsidP="00347030">
            <w:pPr>
              <w:rPr>
                <w:rFonts w:ascii="Times New Roman" w:hAnsi="Times New Roman"/>
                <w:bCs/>
                <w:szCs w:val="24"/>
              </w:rPr>
            </w:pPr>
            <w:r w:rsidRPr="00596919">
              <w:rPr>
                <w:rFonts w:ascii="Times New Roman" w:hAnsi="Times New Roman"/>
                <w:bCs/>
                <w:szCs w:val="24"/>
              </w:rPr>
              <w:t>SUMMARY OF BURDEN (OMB #0584-NEW)</w:t>
            </w:r>
          </w:p>
        </w:tc>
      </w:tr>
      <w:tr w:rsidR="00347030" w:rsidRPr="00596919" w:rsidTr="00FB6CAC">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596919" w:rsidRDefault="00347030" w:rsidP="00347030">
            <w:pPr>
              <w:rPr>
                <w:rFonts w:ascii="Times New Roman" w:hAnsi="Times New Roman"/>
                <w:bCs/>
                <w:szCs w:val="24"/>
              </w:rPr>
            </w:pPr>
            <w:r w:rsidRPr="00596919">
              <w:rPr>
                <w:rFonts w:ascii="Times New Roman" w:hAnsi="Times New Roman"/>
                <w:bCs/>
                <w:szCs w:val="24"/>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347030" w:rsidRPr="00596919" w:rsidRDefault="00347030" w:rsidP="00347030">
            <w:pPr>
              <w:jc w:val="right"/>
              <w:rPr>
                <w:rFonts w:ascii="Times New Roman" w:hAnsi="Times New Roman"/>
                <w:bCs/>
                <w:szCs w:val="24"/>
              </w:rPr>
            </w:pPr>
            <w:r w:rsidRPr="00596919">
              <w:rPr>
                <w:rFonts w:ascii="Times New Roman" w:hAnsi="Times New Roman"/>
                <w:bCs/>
                <w:szCs w:val="24"/>
              </w:rPr>
              <w:t>20,915</w:t>
            </w:r>
          </w:p>
        </w:tc>
      </w:tr>
      <w:tr w:rsidR="00347030" w:rsidRPr="00596919" w:rsidTr="00FB6CAC">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596919" w:rsidRDefault="00347030" w:rsidP="00347030">
            <w:pPr>
              <w:rPr>
                <w:rFonts w:ascii="Times New Roman" w:hAnsi="Times New Roman"/>
                <w:bCs/>
                <w:szCs w:val="24"/>
              </w:rPr>
            </w:pPr>
            <w:r w:rsidRPr="00596919">
              <w:rPr>
                <w:rFonts w:ascii="Times New Roman" w:hAnsi="Times New Roman"/>
                <w:bCs/>
                <w:szCs w:val="24"/>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347030" w:rsidRPr="00596919" w:rsidRDefault="00347030" w:rsidP="00347030">
            <w:pPr>
              <w:jc w:val="right"/>
              <w:rPr>
                <w:rFonts w:ascii="Times New Roman" w:hAnsi="Times New Roman"/>
                <w:bCs/>
                <w:szCs w:val="24"/>
              </w:rPr>
            </w:pPr>
            <w:r w:rsidRPr="00596919">
              <w:rPr>
                <w:rFonts w:ascii="Times New Roman" w:hAnsi="Times New Roman"/>
                <w:bCs/>
                <w:szCs w:val="24"/>
              </w:rPr>
              <w:t>3.991824</w:t>
            </w:r>
          </w:p>
        </w:tc>
      </w:tr>
      <w:tr w:rsidR="00347030" w:rsidRPr="00596919" w:rsidTr="00FB6CAC">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596919" w:rsidRDefault="00347030" w:rsidP="00347030">
            <w:pPr>
              <w:rPr>
                <w:rFonts w:ascii="Times New Roman" w:hAnsi="Times New Roman"/>
                <w:bCs/>
                <w:szCs w:val="24"/>
              </w:rPr>
            </w:pPr>
            <w:r w:rsidRPr="00596919">
              <w:rPr>
                <w:rFonts w:ascii="Times New Roman" w:hAnsi="Times New Roman"/>
                <w:bCs/>
                <w:szCs w:val="24"/>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347030" w:rsidRPr="00596919" w:rsidRDefault="00347030" w:rsidP="00347030">
            <w:pPr>
              <w:jc w:val="right"/>
              <w:rPr>
                <w:rFonts w:ascii="Times New Roman" w:hAnsi="Times New Roman"/>
                <w:bCs/>
                <w:szCs w:val="24"/>
              </w:rPr>
            </w:pPr>
            <w:r w:rsidRPr="00596919">
              <w:rPr>
                <w:rFonts w:ascii="Times New Roman" w:hAnsi="Times New Roman"/>
                <w:bCs/>
                <w:szCs w:val="24"/>
              </w:rPr>
              <w:t xml:space="preserve">83,489 </w:t>
            </w:r>
          </w:p>
        </w:tc>
      </w:tr>
      <w:tr w:rsidR="00347030" w:rsidRPr="00596919" w:rsidTr="00FB6CAC">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596919" w:rsidRDefault="00347030" w:rsidP="00347030">
            <w:pPr>
              <w:rPr>
                <w:rFonts w:ascii="Times New Roman" w:hAnsi="Times New Roman"/>
                <w:bCs/>
                <w:szCs w:val="24"/>
              </w:rPr>
            </w:pPr>
            <w:r w:rsidRPr="00596919">
              <w:rPr>
                <w:rFonts w:ascii="Times New Roman" w:hAnsi="Times New Roman"/>
                <w:bCs/>
                <w:szCs w:val="24"/>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347030" w:rsidRPr="00596919" w:rsidRDefault="00347030" w:rsidP="00347030">
            <w:pPr>
              <w:jc w:val="right"/>
              <w:rPr>
                <w:rFonts w:ascii="Times New Roman" w:hAnsi="Times New Roman"/>
                <w:bCs/>
                <w:szCs w:val="24"/>
              </w:rPr>
            </w:pPr>
            <w:r w:rsidRPr="00596919">
              <w:rPr>
                <w:rFonts w:ascii="Times New Roman" w:hAnsi="Times New Roman"/>
                <w:bCs/>
                <w:szCs w:val="24"/>
              </w:rPr>
              <w:t>3.8667</w:t>
            </w:r>
          </w:p>
        </w:tc>
      </w:tr>
      <w:tr w:rsidR="00347030" w:rsidRPr="00596919" w:rsidTr="00FB6CAC">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596919" w:rsidRDefault="00347030" w:rsidP="00347030">
            <w:pPr>
              <w:rPr>
                <w:rFonts w:ascii="Times New Roman" w:hAnsi="Times New Roman"/>
                <w:bCs/>
                <w:szCs w:val="24"/>
              </w:rPr>
            </w:pPr>
            <w:r w:rsidRPr="00596919">
              <w:rPr>
                <w:rFonts w:ascii="Times New Roman" w:hAnsi="Times New Roman"/>
                <w:bCs/>
                <w:szCs w:val="24"/>
              </w:rPr>
              <w:t>DIFFERENCE (NEW BURDEN REQUESTED WITH  INTERIM  RULE)</w:t>
            </w:r>
          </w:p>
        </w:tc>
        <w:tc>
          <w:tcPr>
            <w:tcW w:w="1375" w:type="dxa"/>
            <w:tcBorders>
              <w:top w:val="nil"/>
              <w:left w:val="nil"/>
              <w:bottom w:val="single" w:sz="8" w:space="0" w:color="auto"/>
              <w:right w:val="single" w:sz="8" w:space="0" w:color="auto"/>
            </w:tcBorders>
            <w:shd w:val="clear" w:color="auto" w:fill="auto"/>
            <w:noWrap/>
            <w:vAlign w:val="bottom"/>
            <w:hideMark/>
          </w:tcPr>
          <w:p w:rsidR="00347030" w:rsidRPr="00596919" w:rsidRDefault="00347030" w:rsidP="00347030">
            <w:pPr>
              <w:jc w:val="right"/>
              <w:rPr>
                <w:rFonts w:ascii="Times New Roman" w:hAnsi="Times New Roman"/>
                <w:bCs/>
                <w:szCs w:val="24"/>
              </w:rPr>
            </w:pPr>
            <w:r w:rsidRPr="00596919">
              <w:rPr>
                <w:rFonts w:ascii="Times New Roman" w:hAnsi="Times New Roman"/>
                <w:bCs/>
                <w:szCs w:val="24"/>
              </w:rPr>
              <w:t xml:space="preserve">322,827    </w:t>
            </w:r>
          </w:p>
        </w:tc>
      </w:tr>
    </w:tbl>
    <w:p w:rsidR="00347030" w:rsidRPr="00596919" w:rsidRDefault="00347030" w:rsidP="003F1AEB">
      <w:pPr>
        <w:rPr>
          <w:rFonts w:ascii="Times New Roman" w:hAnsi="Times New Roman"/>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gridCol w:w="1596"/>
      </w:tblGrid>
      <w:tr w:rsidR="00F110E7" w:rsidRPr="00596919" w:rsidTr="00DF5DB2">
        <w:tc>
          <w:tcPr>
            <w:tcW w:w="1596" w:type="dxa"/>
            <w:vAlign w:val="center"/>
          </w:tcPr>
          <w:p w:rsidR="00F110E7" w:rsidRPr="00596919" w:rsidRDefault="00F110E7" w:rsidP="00DF5DB2">
            <w:pPr>
              <w:pStyle w:val="p6"/>
              <w:ind w:left="0"/>
              <w:jc w:val="center"/>
              <w:rPr>
                <w:color w:val="000000"/>
              </w:rPr>
            </w:pPr>
            <w:r w:rsidRPr="00596919">
              <w:rPr>
                <w:color w:val="000000"/>
              </w:rPr>
              <w:t># Respondents</w:t>
            </w:r>
          </w:p>
        </w:tc>
        <w:tc>
          <w:tcPr>
            <w:tcW w:w="1596" w:type="dxa"/>
            <w:vAlign w:val="center"/>
          </w:tcPr>
          <w:p w:rsidR="00F110E7" w:rsidRPr="00596919" w:rsidRDefault="00F110E7" w:rsidP="00DF5DB2">
            <w:pPr>
              <w:pStyle w:val="p6"/>
              <w:ind w:left="0"/>
              <w:jc w:val="center"/>
              <w:rPr>
                <w:color w:val="000000"/>
              </w:rPr>
            </w:pPr>
            <w:r w:rsidRPr="00596919">
              <w:rPr>
                <w:color w:val="000000"/>
              </w:rPr>
              <w:t># Responses Per Respondent</w:t>
            </w:r>
          </w:p>
        </w:tc>
        <w:tc>
          <w:tcPr>
            <w:tcW w:w="1596" w:type="dxa"/>
            <w:vAlign w:val="center"/>
          </w:tcPr>
          <w:p w:rsidR="00F110E7" w:rsidRPr="00596919" w:rsidRDefault="00F110E7" w:rsidP="00DF5DB2">
            <w:pPr>
              <w:pStyle w:val="p6"/>
              <w:ind w:left="0"/>
              <w:jc w:val="center"/>
              <w:rPr>
                <w:color w:val="000000"/>
              </w:rPr>
            </w:pPr>
            <w:r w:rsidRPr="00596919">
              <w:rPr>
                <w:color w:val="000000"/>
              </w:rPr>
              <w:t>Total Annual Responses</w:t>
            </w:r>
          </w:p>
        </w:tc>
        <w:tc>
          <w:tcPr>
            <w:tcW w:w="1596" w:type="dxa"/>
            <w:vAlign w:val="center"/>
          </w:tcPr>
          <w:p w:rsidR="00F110E7" w:rsidRPr="00596919" w:rsidRDefault="00F110E7" w:rsidP="00DF5DB2">
            <w:pPr>
              <w:pStyle w:val="p6"/>
              <w:ind w:left="0"/>
              <w:jc w:val="center"/>
              <w:rPr>
                <w:color w:val="000000"/>
              </w:rPr>
            </w:pPr>
            <w:r w:rsidRPr="00596919">
              <w:rPr>
                <w:color w:val="000000"/>
              </w:rPr>
              <w:t>Hours Per Response</w:t>
            </w:r>
          </w:p>
        </w:tc>
        <w:tc>
          <w:tcPr>
            <w:tcW w:w="1596" w:type="dxa"/>
            <w:vAlign w:val="center"/>
          </w:tcPr>
          <w:p w:rsidR="00F110E7" w:rsidRPr="00596919" w:rsidRDefault="00F110E7" w:rsidP="00DF5DB2">
            <w:pPr>
              <w:pStyle w:val="p6"/>
              <w:ind w:left="0"/>
              <w:jc w:val="center"/>
              <w:rPr>
                <w:color w:val="000000"/>
              </w:rPr>
            </w:pPr>
            <w:r w:rsidRPr="00596919">
              <w:rPr>
                <w:color w:val="000000"/>
              </w:rPr>
              <w:t>Total Annual Burden</w:t>
            </w:r>
          </w:p>
        </w:tc>
      </w:tr>
      <w:tr w:rsidR="00F110E7" w:rsidRPr="00596919" w:rsidTr="00DF5DB2">
        <w:tc>
          <w:tcPr>
            <w:tcW w:w="1596" w:type="dxa"/>
          </w:tcPr>
          <w:p w:rsidR="00F110E7" w:rsidRPr="00596919" w:rsidRDefault="00F110E7" w:rsidP="00DF5DB2">
            <w:pPr>
              <w:pStyle w:val="p6"/>
              <w:spacing w:before="120" w:after="120"/>
              <w:ind w:left="0"/>
              <w:jc w:val="center"/>
              <w:rPr>
                <w:color w:val="000000"/>
              </w:rPr>
            </w:pPr>
            <w:r w:rsidRPr="00596919">
              <w:rPr>
                <w:color w:val="000000"/>
              </w:rPr>
              <w:t>20,915</w:t>
            </w:r>
          </w:p>
        </w:tc>
        <w:tc>
          <w:tcPr>
            <w:tcW w:w="1596" w:type="dxa"/>
          </w:tcPr>
          <w:p w:rsidR="003E4AF3" w:rsidRDefault="00F110E7" w:rsidP="003E4AF3">
            <w:pPr>
              <w:pStyle w:val="p6"/>
              <w:spacing w:before="120" w:after="120"/>
              <w:ind w:left="0"/>
              <w:rPr>
                <w:color w:val="000000"/>
              </w:rPr>
            </w:pPr>
            <w:r w:rsidRPr="00596919">
              <w:rPr>
                <w:color w:val="000000"/>
              </w:rPr>
              <w:t>3.99</w:t>
            </w:r>
          </w:p>
        </w:tc>
        <w:tc>
          <w:tcPr>
            <w:tcW w:w="1596" w:type="dxa"/>
          </w:tcPr>
          <w:p w:rsidR="00F110E7" w:rsidRPr="00596919" w:rsidRDefault="00F110E7" w:rsidP="00DF5DB2">
            <w:pPr>
              <w:pStyle w:val="p6"/>
              <w:spacing w:before="120" w:after="120"/>
              <w:ind w:left="0"/>
              <w:jc w:val="center"/>
              <w:rPr>
                <w:color w:val="000000"/>
              </w:rPr>
            </w:pPr>
            <w:r w:rsidRPr="00596919">
              <w:rPr>
                <w:color w:val="000000"/>
              </w:rPr>
              <w:t>83,489</w:t>
            </w:r>
          </w:p>
        </w:tc>
        <w:tc>
          <w:tcPr>
            <w:tcW w:w="1596" w:type="dxa"/>
          </w:tcPr>
          <w:p w:rsidR="00F110E7" w:rsidRPr="00596919" w:rsidRDefault="00F110E7" w:rsidP="00DF5DB2">
            <w:pPr>
              <w:pStyle w:val="p6"/>
              <w:spacing w:before="120" w:after="120"/>
              <w:ind w:left="0"/>
              <w:jc w:val="center"/>
              <w:rPr>
                <w:color w:val="000000"/>
              </w:rPr>
            </w:pPr>
            <w:r w:rsidRPr="00596919">
              <w:rPr>
                <w:color w:val="000000"/>
              </w:rPr>
              <w:t>3.86</w:t>
            </w:r>
          </w:p>
        </w:tc>
        <w:tc>
          <w:tcPr>
            <w:tcW w:w="1596" w:type="dxa"/>
          </w:tcPr>
          <w:p w:rsidR="00F110E7" w:rsidRPr="00596919" w:rsidRDefault="00F110E7" w:rsidP="00DF5DB2">
            <w:pPr>
              <w:pStyle w:val="p6"/>
              <w:spacing w:before="120" w:after="120"/>
              <w:ind w:left="0"/>
              <w:jc w:val="center"/>
              <w:rPr>
                <w:color w:val="000000"/>
              </w:rPr>
            </w:pPr>
            <w:r w:rsidRPr="00596919">
              <w:rPr>
                <w:color w:val="000000"/>
              </w:rPr>
              <w:t>322,827</w:t>
            </w:r>
          </w:p>
        </w:tc>
      </w:tr>
    </w:tbl>
    <w:p w:rsidR="00DF5DB2" w:rsidRDefault="00DF5DB2">
      <w:pPr>
        <w:spacing w:line="480" w:lineRule="auto"/>
        <w:outlineLvl w:val="0"/>
        <w:rPr>
          <w:rFonts w:ascii="Times New Roman" w:hAnsi="Times New Roman"/>
          <w:spacing w:val="-3"/>
          <w:szCs w:val="24"/>
        </w:rPr>
      </w:pPr>
    </w:p>
    <w:p w:rsidR="00BD1475" w:rsidRPr="00FB6CAC" w:rsidRDefault="003E4AF3" w:rsidP="00FB6CAC">
      <w:pPr>
        <w:pStyle w:val="ListParagraph"/>
        <w:numPr>
          <w:ilvl w:val="0"/>
          <w:numId w:val="23"/>
        </w:numPr>
        <w:spacing w:line="480" w:lineRule="auto"/>
        <w:ind w:left="1080"/>
        <w:rPr>
          <w:b/>
        </w:rPr>
      </w:pPr>
      <w:r w:rsidRPr="00FB6CAC">
        <w:rPr>
          <w:b/>
        </w:rPr>
        <w:t>Provide estimates of annualized cost to respondents for the hour burdens for collections of information, identifying and using appropriate wage rate categories.</w:t>
      </w:r>
    </w:p>
    <w:p w:rsidR="003E4AF3" w:rsidRDefault="003E4AF3" w:rsidP="003E4AF3">
      <w:pPr>
        <w:widowControl/>
        <w:spacing w:line="480" w:lineRule="auto"/>
        <w:rPr>
          <w:rFonts w:ascii="Times New Roman" w:hAnsi="Times New Roman"/>
          <w:szCs w:val="24"/>
        </w:rPr>
      </w:pPr>
      <w:r w:rsidRPr="003E4AF3">
        <w:rPr>
          <w:rFonts w:ascii="Times New Roman" w:hAnsi="Times New Roman"/>
          <w:szCs w:val="24"/>
        </w:rPr>
        <w:t>The estimate of respondent cost is based on the burden estimates from the Bureau of Labor Statistics May 2009 Occupational and Wage Statistics (25-0000) (</w:t>
      </w:r>
      <w:hyperlink r:id="rId10" w:history="1">
        <w:r w:rsidRPr="003E4AF3">
          <w:rPr>
            <w:rStyle w:val="Hyperlink"/>
            <w:rFonts w:ascii="Times New Roman" w:hAnsi="Times New Roman"/>
            <w:szCs w:val="24"/>
          </w:rPr>
          <w:t>http://www.bls.gov/bls/wages.htm</w:t>
        </w:r>
      </w:hyperlink>
      <w:r w:rsidRPr="003E4AF3">
        <w:rPr>
          <w:rFonts w:ascii="Times New Roman" w:hAnsi="Times New Roman"/>
          <w:szCs w:val="24"/>
        </w:rPr>
        <w:t>).  The hourly mean wage (education-related occupation) for functions performed by State and local agency staff are estimated at $24.25 per staff hour.</w:t>
      </w:r>
    </w:p>
    <w:p w:rsidR="00DF5DB2" w:rsidRDefault="00DF5DB2">
      <w:pPr>
        <w:widowControl/>
        <w:spacing w:line="360" w:lineRule="auto"/>
        <w:rPr>
          <w:rFonts w:ascii="Times New Roman" w:hAnsi="Times New Roman"/>
          <w:szCs w:val="24"/>
        </w:rPr>
      </w:pPr>
    </w:p>
    <w:p w:rsidR="00994EBD" w:rsidRPr="00596919" w:rsidRDefault="00EA3D63" w:rsidP="00994EBD">
      <w:pPr>
        <w:pStyle w:val="p5"/>
        <w:tabs>
          <w:tab w:val="clear" w:pos="663"/>
        </w:tabs>
        <w:spacing w:line="360" w:lineRule="auto"/>
        <w:ind w:left="720" w:firstLine="180"/>
        <w:rPr>
          <w:color w:val="000000"/>
        </w:rPr>
      </w:pPr>
      <w:r w:rsidRPr="009424D0">
        <w:rPr>
          <w:color w:val="000000"/>
        </w:rPr>
        <w:t>TOTAL COST TO PUBLIC = 322,827 hours</w:t>
      </w:r>
      <w:r w:rsidR="003E4AF3" w:rsidRPr="009424D0">
        <w:rPr>
          <w:color w:val="000000"/>
        </w:rPr>
        <w:t xml:space="preserve"> X</w:t>
      </w:r>
      <w:r w:rsidR="009424D0">
        <w:rPr>
          <w:color w:val="000000"/>
        </w:rPr>
        <w:t xml:space="preserve"> $24.25 per hour = $7,828,554.75</w:t>
      </w:r>
    </w:p>
    <w:p w:rsidR="00BE5A25" w:rsidRPr="00596919" w:rsidRDefault="00BE5A25" w:rsidP="00994EBD">
      <w:pPr>
        <w:pStyle w:val="p5"/>
        <w:tabs>
          <w:tab w:val="clear" w:pos="663"/>
        </w:tabs>
        <w:spacing w:line="360" w:lineRule="auto"/>
        <w:ind w:left="720" w:firstLine="180"/>
        <w:rPr>
          <w:b/>
          <w:color w:val="000000"/>
        </w:rPr>
      </w:pPr>
    </w:p>
    <w:p w:rsidR="001A55B6" w:rsidRDefault="006028D4" w:rsidP="006028D4">
      <w:pPr>
        <w:pStyle w:val="ListParagraph"/>
        <w:numPr>
          <w:ilvl w:val="0"/>
          <w:numId w:val="26"/>
        </w:numPr>
        <w:tabs>
          <w:tab w:val="clear" w:pos="450"/>
        </w:tabs>
        <w:spacing w:line="480" w:lineRule="auto"/>
        <w:ind w:left="540" w:hanging="540"/>
        <w:rPr>
          <w:b/>
          <w:bCs/>
        </w:rPr>
      </w:pPr>
      <w:r w:rsidRPr="00596919">
        <w:rPr>
          <w:b/>
          <w:bCs/>
        </w:rPr>
        <w:t>Provide estimates of the total annual cost burden t</w:t>
      </w:r>
      <w:r w:rsidR="001A55B6">
        <w:rPr>
          <w:b/>
          <w:bCs/>
        </w:rPr>
        <w:t>o respondents or record</w:t>
      </w:r>
    </w:p>
    <w:p w:rsidR="006028D4" w:rsidRPr="001A55B6" w:rsidRDefault="001A55B6" w:rsidP="001A55B6">
      <w:pPr>
        <w:spacing w:line="480" w:lineRule="auto"/>
        <w:rPr>
          <w:rFonts w:ascii="Times New Roman" w:hAnsi="Times New Roman"/>
          <w:b/>
          <w:bCs/>
        </w:rPr>
      </w:pPr>
      <w:proofErr w:type="gramStart"/>
      <w:r w:rsidRPr="001A55B6">
        <w:rPr>
          <w:rFonts w:ascii="Times New Roman" w:hAnsi="Times New Roman"/>
          <w:b/>
          <w:bCs/>
        </w:rPr>
        <w:t>keepers</w:t>
      </w:r>
      <w:proofErr w:type="gramEnd"/>
      <w:r w:rsidRPr="001A55B6">
        <w:rPr>
          <w:rFonts w:ascii="Times New Roman" w:hAnsi="Times New Roman"/>
          <w:b/>
          <w:bCs/>
        </w:rPr>
        <w:t xml:space="preserve"> </w:t>
      </w:r>
      <w:r w:rsidR="006028D4" w:rsidRPr="001A55B6">
        <w:rPr>
          <w:rFonts w:ascii="Times New Roman" w:hAnsi="Times New Roman"/>
          <w:b/>
          <w:bCs/>
        </w:rPr>
        <w:t xml:space="preserve">resulting from the collection of information, (do not include the cost of any hour </w:t>
      </w:r>
      <w:r>
        <w:rPr>
          <w:rFonts w:ascii="Times New Roman" w:hAnsi="Times New Roman"/>
          <w:b/>
          <w:bCs/>
        </w:rPr>
        <w:t xml:space="preserve">   </w:t>
      </w:r>
      <w:r w:rsidR="006028D4" w:rsidRPr="001A55B6">
        <w:rPr>
          <w:rFonts w:ascii="Times New Roman" w:hAnsi="Times New Roman"/>
          <w:b/>
          <w:bCs/>
        </w:rPr>
        <w:lastRenderedPageBreak/>
        <w:t>burden shown in items 12 and 14).  The cost estimates should be split into two components: (a) a total capital and start-up cost component annualized over its expected useful life;</w:t>
      </w:r>
      <w:r w:rsidR="006028D4" w:rsidRPr="001A55B6">
        <w:rPr>
          <w:b/>
          <w:bCs/>
        </w:rPr>
        <w:t xml:space="preserve"> </w:t>
      </w:r>
      <w:r w:rsidR="006028D4" w:rsidRPr="001A55B6">
        <w:rPr>
          <w:rFonts w:ascii="Times New Roman" w:hAnsi="Times New Roman"/>
          <w:b/>
          <w:bCs/>
        </w:rPr>
        <w:t>and (b) a total operation and maintenance and purchase of services component.</w:t>
      </w:r>
    </w:p>
    <w:p w:rsidR="001A55B6" w:rsidRDefault="008C4B68" w:rsidP="001A55B6">
      <w:pPr>
        <w:tabs>
          <w:tab w:val="left" w:pos="-720"/>
          <w:tab w:val="left" w:pos="0"/>
        </w:tabs>
        <w:suppressAutoHyphens/>
        <w:spacing w:line="480" w:lineRule="auto"/>
        <w:rPr>
          <w:rFonts w:ascii="Times New Roman" w:hAnsi="Times New Roman"/>
          <w:spacing w:val="-3"/>
          <w:szCs w:val="24"/>
        </w:rPr>
      </w:pPr>
      <w:r w:rsidRPr="00596919">
        <w:rPr>
          <w:rFonts w:ascii="Times New Roman" w:hAnsi="Times New Roman"/>
          <w:spacing w:val="-3"/>
          <w:szCs w:val="24"/>
        </w:rPr>
        <w:t xml:space="preserve">There </w:t>
      </w:r>
      <w:r w:rsidR="004C697A" w:rsidRPr="00596919">
        <w:rPr>
          <w:rFonts w:ascii="Times New Roman" w:hAnsi="Times New Roman"/>
          <w:spacing w:val="-3"/>
          <w:szCs w:val="24"/>
        </w:rPr>
        <w:t>is</w:t>
      </w:r>
      <w:r w:rsidRPr="00596919">
        <w:rPr>
          <w:rFonts w:ascii="Times New Roman" w:hAnsi="Times New Roman"/>
          <w:spacing w:val="-3"/>
          <w:szCs w:val="24"/>
        </w:rPr>
        <w:t xml:space="preserve"> no</w:t>
      </w:r>
      <w:r w:rsidR="0066677E" w:rsidRPr="00596919">
        <w:rPr>
          <w:rFonts w:ascii="Times New Roman" w:hAnsi="Times New Roman"/>
          <w:spacing w:val="-3"/>
          <w:szCs w:val="24"/>
        </w:rPr>
        <w:t xml:space="preserve"> start-up</w:t>
      </w:r>
      <w:r w:rsidR="00CE5519">
        <w:rPr>
          <w:rFonts w:ascii="Times New Roman" w:hAnsi="Times New Roman"/>
          <w:spacing w:val="-3"/>
          <w:szCs w:val="24"/>
        </w:rPr>
        <w:t>, operating</w:t>
      </w:r>
      <w:r w:rsidR="0066677E" w:rsidRPr="00596919">
        <w:rPr>
          <w:rFonts w:ascii="Times New Roman" w:hAnsi="Times New Roman"/>
          <w:spacing w:val="-3"/>
          <w:szCs w:val="24"/>
        </w:rPr>
        <w:t xml:space="preserve"> or</w:t>
      </w:r>
      <w:r w:rsidRPr="00596919">
        <w:rPr>
          <w:rFonts w:ascii="Times New Roman" w:hAnsi="Times New Roman"/>
          <w:spacing w:val="-3"/>
          <w:szCs w:val="24"/>
        </w:rPr>
        <w:t xml:space="preserve"> annual maintenance costs for this collection of information</w:t>
      </w:r>
      <w:r w:rsidR="0066677E" w:rsidRPr="00596919">
        <w:rPr>
          <w:rFonts w:ascii="Times New Roman" w:hAnsi="Times New Roman"/>
          <w:spacing w:val="-3"/>
          <w:szCs w:val="24"/>
        </w:rPr>
        <w:t>.</w:t>
      </w:r>
      <w:r w:rsidR="007D4B1F" w:rsidRPr="00596919">
        <w:rPr>
          <w:rFonts w:ascii="Times New Roman" w:hAnsi="Times New Roman"/>
          <w:spacing w:val="-3"/>
          <w:szCs w:val="24"/>
        </w:rPr>
        <w:t xml:space="preserve"> </w:t>
      </w:r>
    </w:p>
    <w:p w:rsidR="00843CF1" w:rsidRDefault="00843CF1" w:rsidP="0089349C">
      <w:pPr>
        <w:tabs>
          <w:tab w:val="left" w:pos="-720"/>
          <w:tab w:val="left" w:pos="0"/>
        </w:tabs>
        <w:suppressAutoHyphens/>
        <w:spacing w:line="480" w:lineRule="auto"/>
        <w:rPr>
          <w:rFonts w:ascii="Times New Roman" w:hAnsi="Times New Roman"/>
          <w:b/>
          <w:color w:val="000000"/>
        </w:rPr>
      </w:pPr>
    </w:p>
    <w:p w:rsidR="003E4AF3" w:rsidRPr="009424D0" w:rsidRDefault="0089349C" w:rsidP="0089349C">
      <w:pPr>
        <w:tabs>
          <w:tab w:val="left" w:pos="-720"/>
          <w:tab w:val="left" w:pos="0"/>
        </w:tabs>
        <w:suppressAutoHyphens/>
        <w:spacing w:line="480" w:lineRule="auto"/>
        <w:rPr>
          <w:rFonts w:ascii="Times New Roman" w:hAnsi="Times New Roman"/>
          <w:spacing w:val="-3"/>
        </w:rPr>
      </w:pPr>
      <w:r w:rsidRPr="009424D0">
        <w:rPr>
          <w:rFonts w:ascii="Times New Roman" w:hAnsi="Times New Roman"/>
          <w:b/>
          <w:color w:val="000000"/>
        </w:rPr>
        <w:t xml:space="preserve">14. </w:t>
      </w:r>
      <w:r w:rsidR="009424D0">
        <w:rPr>
          <w:rFonts w:ascii="Times New Roman" w:hAnsi="Times New Roman"/>
          <w:b/>
          <w:color w:val="000000"/>
        </w:rPr>
        <w:t xml:space="preserve">  </w:t>
      </w:r>
      <w:r w:rsidR="003E4AF3" w:rsidRPr="009424D0">
        <w:rPr>
          <w:rFonts w:ascii="Times New Roman" w:hAnsi="Times New Roman"/>
          <w:b/>
          <w:color w:val="000000"/>
        </w:rPr>
        <w:t xml:space="preserve">Provide estimates of annualized cost to the Federal government.  </w:t>
      </w:r>
      <w:r w:rsidR="003E4AF3" w:rsidRPr="009424D0">
        <w:rPr>
          <w:rFonts w:ascii="Times New Roman" w:hAnsi="Times New Roman"/>
          <w:b/>
        </w:rPr>
        <w:t>Also, provide a description of the method used to estimate cost and any other expense that would not have been incurred without this collection of information.</w:t>
      </w:r>
    </w:p>
    <w:p w:rsidR="0089349C" w:rsidRDefault="000F6254" w:rsidP="009424D0">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It is estimated that a </w:t>
      </w:r>
      <w:r w:rsidR="009424D0">
        <w:rPr>
          <w:rFonts w:ascii="Times New Roman" w:hAnsi="Times New Roman"/>
          <w:spacing w:val="-3"/>
          <w:szCs w:val="24"/>
        </w:rPr>
        <w:t>G</w:t>
      </w:r>
      <w:r>
        <w:rPr>
          <w:rFonts w:ascii="Times New Roman" w:hAnsi="Times New Roman"/>
          <w:spacing w:val="-3"/>
          <w:szCs w:val="24"/>
        </w:rPr>
        <w:t xml:space="preserve">S 12/06 takes </w:t>
      </w:r>
      <w:r w:rsidR="009D124F">
        <w:rPr>
          <w:rFonts w:ascii="Times New Roman" w:hAnsi="Times New Roman"/>
          <w:spacing w:val="-3"/>
          <w:szCs w:val="24"/>
        </w:rPr>
        <w:t>approximately</w:t>
      </w:r>
      <w:r>
        <w:rPr>
          <w:rFonts w:ascii="Times New Roman" w:hAnsi="Times New Roman"/>
          <w:spacing w:val="-3"/>
          <w:szCs w:val="24"/>
        </w:rPr>
        <w:t xml:space="preserve"> 10 ho</w:t>
      </w:r>
      <w:r w:rsidR="009D124F">
        <w:rPr>
          <w:rFonts w:ascii="Times New Roman" w:hAnsi="Times New Roman"/>
          <w:spacing w:val="-3"/>
          <w:szCs w:val="24"/>
        </w:rPr>
        <w:t>u</w:t>
      </w:r>
      <w:r>
        <w:rPr>
          <w:rFonts w:ascii="Times New Roman" w:hAnsi="Times New Roman"/>
          <w:spacing w:val="-3"/>
          <w:szCs w:val="24"/>
        </w:rPr>
        <w:t xml:space="preserve">rs to analyze data received from </w:t>
      </w:r>
      <w:r w:rsidR="009424D0">
        <w:rPr>
          <w:rFonts w:ascii="Times New Roman" w:hAnsi="Times New Roman"/>
          <w:spacing w:val="-3"/>
          <w:szCs w:val="24"/>
        </w:rPr>
        <w:t>SAs</w:t>
      </w:r>
      <w:r>
        <w:rPr>
          <w:rFonts w:ascii="Times New Roman" w:hAnsi="Times New Roman"/>
          <w:spacing w:val="-3"/>
          <w:szCs w:val="24"/>
        </w:rPr>
        <w:t xml:space="preserve">: </w:t>
      </w:r>
      <w:r w:rsidR="001A55B6">
        <w:rPr>
          <w:rFonts w:ascii="Times New Roman" w:hAnsi="Times New Roman"/>
          <w:spacing w:val="-3"/>
          <w:szCs w:val="24"/>
        </w:rPr>
        <w:t xml:space="preserve"> </w:t>
      </w:r>
      <w:r w:rsidR="009D124F">
        <w:rPr>
          <w:rFonts w:ascii="Times New Roman" w:hAnsi="Times New Roman"/>
          <w:spacing w:val="-3"/>
          <w:szCs w:val="24"/>
        </w:rPr>
        <w:t>$41.85</w:t>
      </w:r>
      <w:r w:rsidR="009424D0">
        <w:rPr>
          <w:rFonts w:ascii="Times New Roman" w:hAnsi="Times New Roman"/>
          <w:spacing w:val="-3"/>
          <w:szCs w:val="24"/>
        </w:rPr>
        <w:t xml:space="preserve"> </w:t>
      </w:r>
      <w:r w:rsidR="009D124F">
        <w:rPr>
          <w:rFonts w:ascii="Times New Roman" w:hAnsi="Times New Roman"/>
          <w:spacing w:val="-3"/>
          <w:szCs w:val="24"/>
        </w:rPr>
        <w:t>x</w:t>
      </w:r>
      <w:r w:rsidR="009424D0">
        <w:rPr>
          <w:rFonts w:ascii="Times New Roman" w:hAnsi="Times New Roman"/>
          <w:spacing w:val="-3"/>
          <w:szCs w:val="24"/>
        </w:rPr>
        <w:t xml:space="preserve"> </w:t>
      </w:r>
      <w:r w:rsidR="009D124F">
        <w:rPr>
          <w:rFonts w:ascii="Times New Roman" w:hAnsi="Times New Roman"/>
          <w:spacing w:val="-3"/>
          <w:szCs w:val="24"/>
        </w:rPr>
        <w:t xml:space="preserve">10 = </w:t>
      </w:r>
      <w:r w:rsidR="009424D0">
        <w:rPr>
          <w:rFonts w:ascii="Times New Roman" w:hAnsi="Times New Roman"/>
          <w:spacing w:val="-3"/>
          <w:szCs w:val="24"/>
        </w:rPr>
        <w:t>$</w:t>
      </w:r>
      <w:r w:rsidR="009D124F">
        <w:rPr>
          <w:rFonts w:ascii="Times New Roman" w:hAnsi="Times New Roman"/>
          <w:spacing w:val="-3"/>
          <w:szCs w:val="24"/>
        </w:rPr>
        <w:t>418.50 (estimated annualized cost to federal government)</w:t>
      </w:r>
      <w:r w:rsidR="0089349C">
        <w:rPr>
          <w:rFonts w:ascii="Times New Roman" w:hAnsi="Times New Roman"/>
          <w:spacing w:val="-3"/>
          <w:szCs w:val="24"/>
        </w:rPr>
        <w:t>.</w:t>
      </w:r>
    </w:p>
    <w:p w:rsidR="009424D0" w:rsidRDefault="009424D0" w:rsidP="001451F3">
      <w:pPr>
        <w:tabs>
          <w:tab w:val="left" w:pos="-720"/>
        </w:tabs>
        <w:suppressAutoHyphens/>
        <w:spacing w:line="480" w:lineRule="auto"/>
        <w:rPr>
          <w:rFonts w:ascii="Times New Roman" w:hAnsi="Times New Roman"/>
          <w:b/>
          <w:spacing w:val="-3"/>
        </w:rPr>
      </w:pPr>
    </w:p>
    <w:p w:rsidR="00843CF1" w:rsidRDefault="001451F3" w:rsidP="00843CF1">
      <w:pPr>
        <w:tabs>
          <w:tab w:val="left" w:pos="-720"/>
        </w:tabs>
        <w:suppressAutoHyphens/>
        <w:spacing w:line="480" w:lineRule="auto"/>
        <w:rPr>
          <w:rFonts w:ascii="Times New Roman" w:hAnsi="Times New Roman"/>
          <w:spacing w:val="-3"/>
        </w:rPr>
      </w:pPr>
      <w:r w:rsidRPr="001451F3">
        <w:rPr>
          <w:rFonts w:ascii="Times New Roman" w:hAnsi="Times New Roman"/>
          <w:b/>
          <w:spacing w:val="-3"/>
        </w:rPr>
        <w:t>15.</w:t>
      </w:r>
      <w:r w:rsidR="0089349C" w:rsidRPr="001451F3">
        <w:rPr>
          <w:rFonts w:ascii="Times New Roman" w:hAnsi="Times New Roman"/>
          <w:b/>
          <w:spacing w:val="-3"/>
        </w:rPr>
        <w:t xml:space="preserve"> </w:t>
      </w:r>
      <w:r>
        <w:rPr>
          <w:rFonts w:ascii="Times New Roman" w:hAnsi="Times New Roman"/>
          <w:b/>
          <w:spacing w:val="-3"/>
        </w:rPr>
        <w:t xml:space="preserve">  </w:t>
      </w:r>
      <w:r w:rsidR="0089349C" w:rsidRPr="001451F3">
        <w:rPr>
          <w:rFonts w:ascii="Times New Roman" w:hAnsi="Times New Roman"/>
          <w:b/>
          <w:spacing w:val="-3"/>
        </w:rPr>
        <w:t>Explain the reasons for any program changes or adjustments reported in item13 or 14 of the OMB 83-1.</w:t>
      </w:r>
    </w:p>
    <w:p w:rsidR="0089349C" w:rsidRDefault="0089349C" w:rsidP="00843CF1">
      <w:pPr>
        <w:tabs>
          <w:tab w:val="left" w:pos="-720"/>
        </w:tabs>
        <w:suppressAutoHyphens/>
        <w:spacing w:line="480" w:lineRule="auto"/>
        <w:rPr>
          <w:rFonts w:ascii="Times New Roman" w:hAnsi="Times New Roman"/>
          <w:spacing w:val="-3"/>
        </w:rPr>
      </w:pPr>
      <w:r w:rsidRPr="0089349C">
        <w:rPr>
          <w:rFonts w:ascii="Times New Roman" w:hAnsi="Times New Roman"/>
          <w:spacing w:val="-3"/>
        </w:rPr>
        <w:t xml:space="preserve">This is a new </w:t>
      </w:r>
      <w:r w:rsidR="009424D0">
        <w:rPr>
          <w:rFonts w:ascii="Times New Roman" w:hAnsi="Times New Roman"/>
          <w:spacing w:val="-3"/>
        </w:rPr>
        <w:t>collection</w:t>
      </w:r>
      <w:r w:rsidR="00CE5519">
        <w:rPr>
          <w:rFonts w:ascii="Times New Roman" w:hAnsi="Times New Roman"/>
          <w:spacing w:val="-3"/>
        </w:rPr>
        <w:t>.  This program change will add 322,827 burden hours to OMB collection inventory</w:t>
      </w:r>
      <w:r w:rsidRPr="0089349C">
        <w:rPr>
          <w:rFonts w:ascii="Times New Roman" w:hAnsi="Times New Roman"/>
          <w:spacing w:val="-3"/>
        </w:rPr>
        <w:t xml:space="preserve">. </w:t>
      </w:r>
    </w:p>
    <w:p w:rsidR="001451F3" w:rsidRPr="0089349C" w:rsidRDefault="001451F3" w:rsidP="0089349C">
      <w:pPr>
        <w:tabs>
          <w:tab w:val="left" w:pos="-720"/>
        </w:tabs>
        <w:suppressAutoHyphens/>
        <w:spacing w:line="480" w:lineRule="auto"/>
        <w:ind w:left="90"/>
        <w:rPr>
          <w:rFonts w:ascii="Times New Roman" w:hAnsi="Times New Roman"/>
          <w:spacing w:val="-3"/>
        </w:rPr>
      </w:pPr>
    </w:p>
    <w:p w:rsidR="003E4AF3" w:rsidRPr="001451F3" w:rsidRDefault="001451F3" w:rsidP="001451F3">
      <w:pPr>
        <w:tabs>
          <w:tab w:val="left" w:pos="-720"/>
        </w:tabs>
        <w:suppressAutoHyphens/>
        <w:spacing w:line="480" w:lineRule="auto"/>
        <w:rPr>
          <w:rFonts w:ascii="Times New Roman" w:hAnsi="Times New Roman"/>
          <w:b/>
        </w:rPr>
      </w:pPr>
      <w:r w:rsidRPr="001451F3">
        <w:rPr>
          <w:rFonts w:ascii="Times New Roman" w:hAnsi="Times New Roman"/>
          <w:b/>
        </w:rPr>
        <w:t>16.</w:t>
      </w:r>
      <w:r w:rsidR="00843CF1">
        <w:rPr>
          <w:rFonts w:ascii="Times New Roman" w:hAnsi="Times New Roman"/>
          <w:b/>
        </w:rPr>
        <w:t xml:space="preserve">   </w:t>
      </w:r>
      <w:r w:rsidR="003E4AF3" w:rsidRPr="001451F3">
        <w:rPr>
          <w:rFonts w:ascii="Times New Roman" w:hAnsi="Times New Roman"/>
          <w:b/>
        </w:rPr>
        <w:t>For collections of information whose results are planned to be published, outline plans for tabulation and publication.</w:t>
      </w:r>
    </w:p>
    <w:p w:rsidR="00096489" w:rsidRPr="0089349C" w:rsidRDefault="005933B8" w:rsidP="00096489">
      <w:pPr>
        <w:tabs>
          <w:tab w:val="left" w:pos="-720"/>
        </w:tabs>
        <w:suppressAutoHyphens/>
        <w:spacing w:line="480" w:lineRule="auto"/>
        <w:rPr>
          <w:rFonts w:ascii="Times New Roman" w:hAnsi="Times New Roman"/>
          <w:spacing w:val="-3"/>
          <w:szCs w:val="24"/>
        </w:rPr>
      </w:pPr>
      <w:r w:rsidRPr="00596919">
        <w:rPr>
          <w:rFonts w:ascii="Times New Roman" w:hAnsi="Times New Roman"/>
          <w:spacing w:val="-3"/>
          <w:szCs w:val="24"/>
        </w:rPr>
        <w:t>This collection does not employ statistical methods and there are no plans to publish</w:t>
      </w:r>
      <w:r w:rsidR="00843CF1">
        <w:rPr>
          <w:rFonts w:ascii="Times New Roman" w:hAnsi="Times New Roman"/>
          <w:spacing w:val="-3"/>
          <w:szCs w:val="24"/>
        </w:rPr>
        <w:t xml:space="preserve"> </w:t>
      </w:r>
      <w:r w:rsidR="0089349C">
        <w:rPr>
          <w:rFonts w:ascii="Times New Roman" w:hAnsi="Times New Roman"/>
          <w:spacing w:val="-3"/>
          <w:szCs w:val="24"/>
        </w:rPr>
        <w:t>t</w:t>
      </w:r>
      <w:r w:rsidRPr="00596919">
        <w:rPr>
          <w:rFonts w:ascii="Times New Roman" w:hAnsi="Times New Roman"/>
          <w:spacing w:val="-3"/>
          <w:szCs w:val="24"/>
        </w:rPr>
        <w:t>he</w:t>
      </w:r>
      <w:r w:rsidR="00843CF1">
        <w:rPr>
          <w:rFonts w:ascii="Times New Roman" w:hAnsi="Times New Roman"/>
          <w:spacing w:val="-3"/>
          <w:szCs w:val="24"/>
        </w:rPr>
        <w:t xml:space="preserve"> results </w:t>
      </w:r>
      <w:r w:rsidRPr="00596919">
        <w:rPr>
          <w:rFonts w:ascii="Times New Roman" w:hAnsi="Times New Roman"/>
          <w:spacing w:val="-3"/>
          <w:szCs w:val="24"/>
        </w:rPr>
        <w:t>of this collection for statistical use</w:t>
      </w:r>
      <w:r w:rsidR="005D19E4" w:rsidRPr="00596919">
        <w:rPr>
          <w:rFonts w:ascii="Times New Roman" w:hAnsi="Times New Roman"/>
          <w:spacing w:val="-3"/>
          <w:szCs w:val="24"/>
        </w:rPr>
        <w:t>.</w:t>
      </w:r>
      <w:r w:rsidR="00096489" w:rsidRPr="00596919">
        <w:rPr>
          <w:rFonts w:ascii="Times New Roman" w:hAnsi="Times New Roman"/>
          <w:spacing w:val="-3"/>
          <w:szCs w:val="24"/>
        </w:rPr>
        <w:t xml:space="preserve"> </w:t>
      </w:r>
    </w:p>
    <w:p w:rsidR="00096489" w:rsidRDefault="00096489" w:rsidP="00096489">
      <w:pPr>
        <w:tabs>
          <w:tab w:val="left" w:pos="-720"/>
        </w:tabs>
        <w:suppressAutoHyphens/>
        <w:rPr>
          <w:rFonts w:ascii="Times New Roman" w:hAnsi="Times New Roman"/>
          <w:b/>
          <w:spacing w:val="-3"/>
          <w:szCs w:val="24"/>
        </w:rPr>
      </w:pPr>
    </w:p>
    <w:p w:rsidR="009424D0" w:rsidRPr="00596919" w:rsidRDefault="009424D0" w:rsidP="00096489">
      <w:pPr>
        <w:tabs>
          <w:tab w:val="left" w:pos="-720"/>
        </w:tabs>
        <w:suppressAutoHyphens/>
        <w:rPr>
          <w:rFonts w:ascii="Times New Roman" w:hAnsi="Times New Roman"/>
          <w:b/>
          <w:spacing w:val="-3"/>
          <w:szCs w:val="24"/>
        </w:rPr>
      </w:pPr>
    </w:p>
    <w:p w:rsidR="001451F3" w:rsidRPr="001451F3" w:rsidRDefault="003E4AF3" w:rsidP="00843CF1">
      <w:pPr>
        <w:pStyle w:val="ListParagraph"/>
        <w:numPr>
          <w:ilvl w:val="0"/>
          <w:numId w:val="35"/>
        </w:numPr>
        <w:tabs>
          <w:tab w:val="left" w:pos="-720"/>
        </w:tabs>
        <w:suppressAutoHyphens/>
        <w:spacing w:line="480" w:lineRule="auto"/>
        <w:ind w:left="450"/>
        <w:rPr>
          <w:b/>
        </w:rPr>
      </w:pPr>
      <w:r w:rsidRPr="001451F3">
        <w:rPr>
          <w:b/>
        </w:rPr>
        <w:t>If seeking approval to not display the expiration date for</w:t>
      </w:r>
      <w:r w:rsidR="001451F3" w:rsidRPr="001451F3">
        <w:rPr>
          <w:b/>
        </w:rPr>
        <w:t xml:space="preserve"> OMB approval of </w:t>
      </w:r>
    </w:p>
    <w:p w:rsidR="001451F3" w:rsidRPr="001451F3" w:rsidRDefault="001451F3" w:rsidP="001451F3">
      <w:pPr>
        <w:tabs>
          <w:tab w:val="left" w:pos="-720"/>
        </w:tabs>
        <w:suppressAutoHyphens/>
        <w:spacing w:line="480" w:lineRule="auto"/>
        <w:ind w:left="90"/>
        <w:rPr>
          <w:rFonts w:ascii="Times New Roman" w:hAnsi="Times New Roman"/>
          <w:b/>
        </w:rPr>
      </w:pPr>
      <w:proofErr w:type="gramStart"/>
      <w:r w:rsidRPr="001451F3">
        <w:rPr>
          <w:rFonts w:ascii="Times New Roman" w:hAnsi="Times New Roman"/>
          <w:b/>
        </w:rPr>
        <w:lastRenderedPageBreak/>
        <w:t>the</w:t>
      </w:r>
      <w:proofErr w:type="gramEnd"/>
      <w:r w:rsidRPr="001451F3">
        <w:rPr>
          <w:rFonts w:ascii="Times New Roman" w:hAnsi="Times New Roman"/>
          <w:b/>
        </w:rPr>
        <w:t xml:space="preserve"> </w:t>
      </w:r>
      <w:r w:rsidR="003E4AF3" w:rsidRPr="001451F3">
        <w:rPr>
          <w:rFonts w:ascii="Times New Roman" w:hAnsi="Times New Roman"/>
          <w:b/>
        </w:rPr>
        <w:t>information collection, explain the reasons that display would be inappropriate.</w:t>
      </w:r>
    </w:p>
    <w:p w:rsidR="003E4AF3" w:rsidRDefault="00843CF1" w:rsidP="003E4AF3">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 </w:t>
      </w:r>
      <w:r w:rsidR="0066677E" w:rsidRPr="00596919">
        <w:rPr>
          <w:rFonts w:ascii="Times New Roman" w:hAnsi="Times New Roman"/>
          <w:spacing w:val="-3"/>
          <w:szCs w:val="24"/>
        </w:rPr>
        <w:t xml:space="preserve">We are </w:t>
      </w:r>
      <w:r w:rsidR="00497FE9" w:rsidRPr="00596919">
        <w:rPr>
          <w:rFonts w:ascii="Times New Roman" w:hAnsi="Times New Roman"/>
          <w:spacing w:val="-3"/>
          <w:szCs w:val="24"/>
        </w:rPr>
        <w:t>not seeking approval concerning the display of the expiration data</w:t>
      </w:r>
      <w:r w:rsidR="0091635B" w:rsidRPr="00596919">
        <w:rPr>
          <w:rFonts w:ascii="Times New Roman" w:hAnsi="Times New Roman"/>
          <w:spacing w:val="-3"/>
          <w:szCs w:val="24"/>
        </w:rPr>
        <w:t>.</w:t>
      </w:r>
    </w:p>
    <w:p w:rsidR="001451F3" w:rsidRPr="003E4AF3" w:rsidRDefault="001451F3" w:rsidP="003E4AF3">
      <w:pPr>
        <w:tabs>
          <w:tab w:val="left" w:pos="-720"/>
        </w:tabs>
        <w:suppressAutoHyphens/>
        <w:spacing w:line="480" w:lineRule="auto"/>
        <w:rPr>
          <w:rFonts w:ascii="Times New Roman" w:hAnsi="Times New Roman"/>
          <w:b/>
          <w:szCs w:val="24"/>
        </w:rPr>
      </w:pPr>
    </w:p>
    <w:p w:rsidR="00843CF1" w:rsidRDefault="003E4AF3" w:rsidP="00843CF1">
      <w:pPr>
        <w:spacing w:line="480" w:lineRule="auto"/>
        <w:ind w:left="450" w:hanging="450"/>
        <w:rPr>
          <w:rFonts w:ascii="Times New Roman" w:hAnsi="Times New Roman"/>
          <w:b/>
          <w:szCs w:val="24"/>
        </w:rPr>
      </w:pPr>
      <w:r w:rsidRPr="003E4AF3">
        <w:rPr>
          <w:rFonts w:ascii="Times New Roman" w:hAnsi="Times New Roman"/>
          <w:b/>
          <w:szCs w:val="24"/>
        </w:rPr>
        <w:t>18.</w:t>
      </w:r>
      <w:r w:rsidRPr="003E4AF3">
        <w:rPr>
          <w:rFonts w:ascii="Times New Roman" w:hAnsi="Times New Roman"/>
          <w:b/>
          <w:szCs w:val="24"/>
        </w:rPr>
        <w:tab/>
        <w:t xml:space="preserve">Explain each exception to the certification statement identified in Item 19 </w:t>
      </w:r>
    </w:p>
    <w:p w:rsidR="001D6A72" w:rsidRPr="00596919" w:rsidRDefault="003E4AF3" w:rsidP="00843CF1">
      <w:pPr>
        <w:spacing w:line="480" w:lineRule="auto"/>
        <w:ind w:left="450" w:hanging="450"/>
        <w:rPr>
          <w:rFonts w:ascii="Times New Roman" w:hAnsi="Times New Roman"/>
          <w:b/>
          <w:szCs w:val="24"/>
        </w:rPr>
      </w:pPr>
      <w:proofErr w:type="gramStart"/>
      <w:r w:rsidRPr="003E4AF3">
        <w:rPr>
          <w:rFonts w:ascii="Times New Roman" w:hAnsi="Times New Roman"/>
          <w:b/>
          <w:szCs w:val="24"/>
        </w:rPr>
        <w:t>"Certification for Paperwork Reduction Act."</w:t>
      </w:r>
      <w:proofErr w:type="gramEnd"/>
    </w:p>
    <w:p w:rsidR="0066677E" w:rsidRPr="00596919" w:rsidRDefault="0066677E" w:rsidP="00507529">
      <w:pPr>
        <w:tabs>
          <w:tab w:val="left" w:pos="-720"/>
        </w:tabs>
        <w:suppressAutoHyphens/>
        <w:rPr>
          <w:rFonts w:ascii="Times New Roman" w:hAnsi="Times New Roman"/>
          <w:szCs w:val="24"/>
        </w:rPr>
      </w:pPr>
      <w:r w:rsidRPr="00596919">
        <w:rPr>
          <w:rFonts w:ascii="Times New Roman" w:hAnsi="Times New Roman"/>
          <w:szCs w:val="24"/>
        </w:rPr>
        <w:t>There are no exceptions to the certification statement.</w:t>
      </w:r>
    </w:p>
    <w:sectPr w:rsidR="0066677E" w:rsidRPr="00596919" w:rsidSect="00D76EC1">
      <w:headerReference w:type="default" r:id="rId11"/>
      <w:footerReference w:type="default" r:id="rId12"/>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EC1" w:rsidRDefault="00D76EC1">
      <w:pPr>
        <w:spacing w:line="20" w:lineRule="exact"/>
      </w:pPr>
    </w:p>
  </w:endnote>
  <w:endnote w:type="continuationSeparator" w:id="0">
    <w:p w:rsidR="00D76EC1" w:rsidRDefault="00D76EC1">
      <w:r>
        <w:t xml:space="preserve"> </w:t>
      </w:r>
    </w:p>
  </w:endnote>
  <w:endnote w:type="continuationNotice" w:id="1">
    <w:p w:rsidR="00D76EC1" w:rsidRDefault="00D76E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C1" w:rsidRDefault="00B5411D" w:rsidP="007902AF">
    <w:pPr>
      <w:pStyle w:val="Footer"/>
      <w:framePr w:wrap="around" w:vAnchor="text" w:hAnchor="margin" w:xAlign="center" w:y="1"/>
      <w:rPr>
        <w:rStyle w:val="PageNumber"/>
      </w:rPr>
    </w:pPr>
    <w:r>
      <w:rPr>
        <w:rStyle w:val="PageNumber"/>
      </w:rPr>
      <w:fldChar w:fldCharType="begin"/>
    </w:r>
    <w:r w:rsidR="00D76EC1">
      <w:rPr>
        <w:rStyle w:val="PageNumber"/>
      </w:rPr>
      <w:instrText xml:space="preserve">PAGE  </w:instrText>
    </w:r>
    <w:r>
      <w:rPr>
        <w:rStyle w:val="PageNumber"/>
      </w:rPr>
      <w:fldChar w:fldCharType="separate"/>
    </w:r>
    <w:r w:rsidR="007C6C82">
      <w:rPr>
        <w:rStyle w:val="PageNumber"/>
        <w:noProof/>
      </w:rPr>
      <w:t>1</w:t>
    </w:r>
    <w:r>
      <w:rPr>
        <w:rStyle w:val="PageNumber"/>
      </w:rPr>
      <w:fldChar w:fldCharType="end"/>
    </w:r>
  </w:p>
  <w:p w:rsidR="00D76EC1" w:rsidRDefault="00D76E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EC1" w:rsidRDefault="00D76EC1">
      <w:r>
        <w:separator/>
      </w:r>
    </w:p>
  </w:footnote>
  <w:footnote w:type="continuationSeparator" w:id="0">
    <w:p w:rsidR="00D76EC1" w:rsidRDefault="00D76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C1" w:rsidRDefault="00B5411D">
    <w:pPr>
      <w:tabs>
        <w:tab w:val="left" w:pos="-720"/>
      </w:tabs>
      <w:suppressAutoHyphens/>
      <w:jc w:val="both"/>
    </w:pPr>
    <w:r>
      <w:rPr>
        <w:noProof/>
      </w:rPr>
      <w:pict>
        <v:rect id="_x0000_s2049" style="position:absolute;left:0;text-align:left;margin-left:36pt;margin-top:0;width:540pt;height:12pt;z-index:251657728;mso-position-horizontal-relative:page" o:allowincell="f" filled="f" stroked="f" strokeweight="0">
          <v:textbox style="mso-next-textbox:#_x0000_s2049" inset="0,0,0,0">
            <w:txbxContent>
              <w:p w:rsidR="00D76EC1" w:rsidRDefault="00D76EC1">
                <w:pPr>
                  <w:tabs>
                    <w:tab w:val="center" w:pos="5400"/>
                    <w:tab w:val="right" w:pos="10800"/>
                  </w:tabs>
                </w:pPr>
              </w:p>
            </w:txbxContent>
          </v:textbox>
          <w10:wrap anchorx="page"/>
        </v:rect>
      </w:pict>
    </w:r>
  </w:p>
  <w:p w:rsidR="00D76EC1" w:rsidRDefault="00D76EC1">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8F2"/>
    <w:multiLevelType w:val="hybridMultilevel"/>
    <w:tmpl w:val="2280D34C"/>
    <w:lvl w:ilvl="0" w:tplc="725C8CF6">
      <w:start w:val="5"/>
      <w:numFmt w:val="decimal"/>
      <w:lvlText w:val="%1."/>
      <w:lvlJc w:val="left"/>
      <w:pPr>
        <w:ind w:left="1074" w:hanging="360"/>
      </w:pPr>
      <w:rPr>
        <w:rFonts w:hint="default"/>
        <w:color w:val="auto"/>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nsid w:val="081130EB"/>
    <w:multiLevelType w:val="hybridMultilevel"/>
    <w:tmpl w:val="285CD0FC"/>
    <w:lvl w:ilvl="0" w:tplc="30F0DB1A">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DAE6B95"/>
    <w:multiLevelType w:val="hybridMultilevel"/>
    <w:tmpl w:val="F10C0F6E"/>
    <w:lvl w:ilvl="0" w:tplc="07C21034">
      <w:start w:val="5"/>
      <w:numFmt w:val="decimal"/>
      <w:lvlText w:val="%1."/>
      <w:lvlJc w:val="left"/>
      <w:pPr>
        <w:ind w:left="1134" w:hanging="360"/>
      </w:pPr>
      <w:rPr>
        <w:rFonts w:hint="default"/>
        <w:color w:val="auto"/>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5">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6">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7">
    <w:nsid w:val="1661444D"/>
    <w:multiLevelType w:val="hybridMultilevel"/>
    <w:tmpl w:val="8F32EEE0"/>
    <w:lvl w:ilvl="0" w:tplc="4F2E0768">
      <w:start w:val="5"/>
      <w:numFmt w:val="decimal"/>
      <w:lvlText w:val="%1."/>
      <w:lvlJc w:val="left"/>
      <w:pPr>
        <w:ind w:left="1134" w:hanging="360"/>
      </w:pPr>
      <w:rPr>
        <w:rFonts w:hint="default"/>
        <w:color w:val="auto"/>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nsid w:val="197E236E"/>
    <w:multiLevelType w:val="hybridMultilevel"/>
    <w:tmpl w:val="5FFCB9A0"/>
    <w:lvl w:ilvl="0" w:tplc="AB4E458C">
      <w:start w:val="7"/>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9">
    <w:nsid w:val="1C3B4CB1"/>
    <w:multiLevelType w:val="hybridMultilevel"/>
    <w:tmpl w:val="72E0617C"/>
    <w:lvl w:ilvl="0" w:tplc="C3CE6C3A">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0">
    <w:nsid w:val="1F011F93"/>
    <w:multiLevelType w:val="hybridMultilevel"/>
    <w:tmpl w:val="17A45C1C"/>
    <w:lvl w:ilvl="0" w:tplc="5DFAB548">
      <w:start w:val="8"/>
      <w:numFmt w:val="decimal"/>
      <w:lvlText w:val="%1."/>
      <w:lvlJc w:val="left"/>
      <w:pPr>
        <w:ind w:left="474" w:hanging="360"/>
      </w:pPr>
      <w:rPr>
        <w:rFonts w:hint="default"/>
        <w:b/>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4F90D4B"/>
    <w:multiLevelType w:val="hybridMultilevel"/>
    <w:tmpl w:val="7F64A0C0"/>
    <w:lvl w:ilvl="0" w:tplc="A43AC9AC">
      <w:start w:val="10"/>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57035"/>
    <w:multiLevelType w:val="hybridMultilevel"/>
    <w:tmpl w:val="03D2EE6C"/>
    <w:lvl w:ilvl="0" w:tplc="E45A08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CA7443"/>
    <w:multiLevelType w:val="hybridMultilevel"/>
    <w:tmpl w:val="1D000452"/>
    <w:lvl w:ilvl="0" w:tplc="BA68A7F0">
      <w:start w:val="1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E9C485A"/>
    <w:multiLevelType w:val="hybridMultilevel"/>
    <w:tmpl w:val="A950D0BA"/>
    <w:lvl w:ilvl="0" w:tplc="26CA5A7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1C71E9"/>
    <w:multiLevelType w:val="hybridMultilevel"/>
    <w:tmpl w:val="A69C179C"/>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C000A"/>
    <w:multiLevelType w:val="hybridMultilevel"/>
    <w:tmpl w:val="D0ECA1F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A340A3"/>
    <w:multiLevelType w:val="hybridMultilevel"/>
    <w:tmpl w:val="065681B2"/>
    <w:lvl w:ilvl="0" w:tplc="64AA3F54">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8C120F"/>
    <w:multiLevelType w:val="hybridMultilevel"/>
    <w:tmpl w:val="F3DCC4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26964"/>
    <w:multiLevelType w:val="hybridMultilevel"/>
    <w:tmpl w:val="D72AE68A"/>
    <w:lvl w:ilvl="0" w:tplc="80EC4F9E">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87B4F1E"/>
    <w:multiLevelType w:val="hybridMultilevel"/>
    <w:tmpl w:val="B210A1D6"/>
    <w:lvl w:ilvl="0" w:tplc="D32CDF00">
      <w:start w:val="7"/>
      <w:numFmt w:val="decimal"/>
      <w:lvlText w:val="%1."/>
      <w:lvlJc w:val="left"/>
      <w:pPr>
        <w:ind w:left="474" w:hanging="360"/>
      </w:pPr>
      <w:rPr>
        <w:rFonts w:hint="default"/>
        <w:b/>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557C2"/>
    <w:multiLevelType w:val="hybridMultilevel"/>
    <w:tmpl w:val="C2D4D784"/>
    <w:lvl w:ilvl="0" w:tplc="D1E604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EE14250"/>
    <w:multiLevelType w:val="hybridMultilevel"/>
    <w:tmpl w:val="B366F5A4"/>
    <w:lvl w:ilvl="0" w:tplc="607008A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0A768D"/>
    <w:multiLevelType w:val="hybridMultilevel"/>
    <w:tmpl w:val="BC0A3CCC"/>
    <w:lvl w:ilvl="0" w:tplc="0409000F">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3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6">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7">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647E7F44"/>
    <w:multiLevelType w:val="hybridMultilevel"/>
    <w:tmpl w:val="0B306A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BD02F9"/>
    <w:multiLevelType w:val="hybridMultilevel"/>
    <w:tmpl w:val="F0B4B3D0"/>
    <w:lvl w:ilvl="0" w:tplc="BF20DA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634C9F"/>
    <w:multiLevelType w:val="hybridMultilevel"/>
    <w:tmpl w:val="47563CAC"/>
    <w:lvl w:ilvl="0" w:tplc="ECFC0482">
      <w:start w:val="7"/>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2">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4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2DC409A"/>
    <w:multiLevelType w:val="hybridMultilevel"/>
    <w:tmpl w:val="EF04F7E6"/>
    <w:lvl w:ilvl="0" w:tplc="49AE01E4">
      <w:start w:val="1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F62D58"/>
    <w:multiLevelType w:val="hybridMultilevel"/>
    <w:tmpl w:val="B1EA105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A4D23"/>
    <w:multiLevelType w:val="hybridMultilevel"/>
    <w:tmpl w:val="89B8BBFE"/>
    <w:lvl w:ilvl="0" w:tplc="7128681C">
      <w:start w:val="7"/>
      <w:numFmt w:val="decimal"/>
      <w:lvlText w:val="%1."/>
      <w:lvlJc w:val="left"/>
      <w:pPr>
        <w:ind w:left="474" w:hanging="360"/>
      </w:pPr>
      <w:rPr>
        <w:rFonts w:hint="default"/>
        <w:b/>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2"/>
  </w:num>
  <w:num w:numId="3">
    <w:abstractNumId w:val="20"/>
  </w:num>
  <w:num w:numId="4">
    <w:abstractNumId w:val="22"/>
  </w:num>
  <w:num w:numId="5">
    <w:abstractNumId w:val="42"/>
  </w:num>
  <w:num w:numId="6">
    <w:abstractNumId w:val="36"/>
  </w:num>
  <w:num w:numId="7">
    <w:abstractNumId w:val="45"/>
  </w:num>
  <w:num w:numId="8">
    <w:abstractNumId w:val="30"/>
  </w:num>
  <w:num w:numId="9">
    <w:abstractNumId w:val="37"/>
  </w:num>
  <w:num w:numId="10">
    <w:abstractNumId w:val="38"/>
  </w:num>
  <w:num w:numId="11">
    <w:abstractNumId w:val="0"/>
  </w:num>
  <w:num w:numId="12">
    <w:abstractNumId w:val="27"/>
  </w:num>
  <w:num w:numId="13">
    <w:abstractNumId w:val="24"/>
  </w:num>
  <w:num w:numId="14">
    <w:abstractNumId w:val="48"/>
  </w:num>
  <w:num w:numId="15">
    <w:abstractNumId w:val="43"/>
  </w:num>
  <w:num w:numId="16">
    <w:abstractNumId w:val="33"/>
  </w:num>
  <w:num w:numId="17">
    <w:abstractNumId w:val="11"/>
  </w:num>
  <w:num w:numId="18">
    <w:abstractNumId w:val="29"/>
  </w:num>
  <w:num w:numId="19">
    <w:abstractNumId w:val="35"/>
  </w:num>
  <w:num w:numId="20">
    <w:abstractNumId w:val="5"/>
  </w:num>
  <w:num w:numId="21">
    <w:abstractNumId w:val="31"/>
  </w:num>
  <w:num w:numId="22">
    <w:abstractNumId w:val="12"/>
  </w:num>
  <w:num w:numId="23">
    <w:abstractNumId w:val="21"/>
  </w:num>
  <w:num w:numId="24">
    <w:abstractNumId w:val="3"/>
  </w:num>
  <w:num w:numId="25">
    <w:abstractNumId w:val="44"/>
  </w:num>
  <w:num w:numId="26">
    <w:abstractNumId w:val="15"/>
  </w:num>
  <w:num w:numId="27">
    <w:abstractNumId w:val="4"/>
  </w:num>
  <w:num w:numId="28">
    <w:abstractNumId w:val="7"/>
  </w:num>
  <w:num w:numId="29">
    <w:abstractNumId w:val="40"/>
  </w:num>
  <w:num w:numId="30">
    <w:abstractNumId w:val="13"/>
  </w:num>
  <w:num w:numId="31">
    <w:abstractNumId w:val="46"/>
  </w:num>
  <w:num w:numId="32">
    <w:abstractNumId w:val="17"/>
  </w:num>
  <w:num w:numId="33">
    <w:abstractNumId w:val="23"/>
  </w:num>
  <w:num w:numId="34">
    <w:abstractNumId w:val="14"/>
  </w:num>
  <w:num w:numId="35">
    <w:abstractNumId w:val="16"/>
  </w:num>
  <w:num w:numId="36">
    <w:abstractNumId w:val="18"/>
  </w:num>
  <w:num w:numId="37">
    <w:abstractNumId w:val="1"/>
  </w:num>
  <w:num w:numId="38">
    <w:abstractNumId w:val="9"/>
  </w:num>
  <w:num w:numId="39">
    <w:abstractNumId w:val="6"/>
  </w:num>
  <w:num w:numId="40">
    <w:abstractNumId w:val="25"/>
  </w:num>
  <w:num w:numId="41">
    <w:abstractNumId w:val="47"/>
  </w:num>
  <w:num w:numId="42">
    <w:abstractNumId w:val="19"/>
  </w:num>
  <w:num w:numId="43">
    <w:abstractNumId w:val="10"/>
  </w:num>
  <w:num w:numId="44">
    <w:abstractNumId w:val="28"/>
  </w:num>
  <w:num w:numId="45">
    <w:abstractNumId w:val="26"/>
  </w:num>
  <w:num w:numId="46">
    <w:abstractNumId w:val="39"/>
  </w:num>
  <w:num w:numId="47">
    <w:abstractNumId w:val="8"/>
  </w:num>
  <w:num w:numId="48">
    <w:abstractNumId w:val="32"/>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66677E"/>
    <w:rsid w:val="00000107"/>
    <w:rsid w:val="000106BD"/>
    <w:rsid w:val="000109ED"/>
    <w:rsid w:val="00010B1C"/>
    <w:rsid w:val="00013675"/>
    <w:rsid w:val="00015698"/>
    <w:rsid w:val="000213FD"/>
    <w:rsid w:val="0002201D"/>
    <w:rsid w:val="000320C9"/>
    <w:rsid w:val="0003384E"/>
    <w:rsid w:val="0003459E"/>
    <w:rsid w:val="00042FD9"/>
    <w:rsid w:val="00052BEB"/>
    <w:rsid w:val="00056945"/>
    <w:rsid w:val="00061484"/>
    <w:rsid w:val="00065D4D"/>
    <w:rsid w:val="00067175"/>
    <w:rsid w:val="00067A77"/>
    <w:rsid w:val="000714C5"/>
    <w:rsid w:val="00080305"/>
    <w:rsid w:val="00080839"/>
    <w:rsid w:val="00084192"/>
    <w:rsid w:val="000854C4"/>
    <w:rsid w:val="00085CD3"/>
    <w:rsid w:val="00090506"/>
    <w:rsid w:val="0009233A"/>
    <w:rsid w:val="00096489"/>
    <w:rsid w:val="000A0810"/>
    <w:rsid w:val="000A0EF9"/>
    <w:rsid w:val="000A40A8"/>
    <w:rsid w:val="000B0C77"/>
    <w:rsid w:val="000B63FD"/>
    <w:rsid w:val="000C0166"/>
    <w:rsid w:val="000C2D32"/>
    <w:rsid w:val="000C30B9"/>
    <w:rsid w:val="000C582E"/>
    <w:rsid w:val="000C6C80"/>
    <w:rsid w:val="000D2ED7"/>
    <w:rsid w:val="000D3FA0"/>
    <w:rsid w:val="000D51AD"/>
    <w:rsid w:val="000D636F"/>
    <w:rsid w:val="000E0527"/>
    <w:rsid w:val="000E304C"/>
    <w:rsid w:val="000E74AE"/>
    <w:rsid w:val="000F0FCC"/>
    <w:rsid w:val="000F19E3"/>
    <w:rsid w:val="000F560B"/>
    <w:rsid w:val="000F6254"/>
    <w:rsid w:val="00100046"/>
    <w:rsid w:val="0010078B"/>
    <w:rsid w:val="00105C62"/>
    <w:rsid w:val="0010660B"/>
    <w:rsid w:val="001070DB"/>
    <w:rsid w:val="00111867"/>
    <w:rsid w:val="0011193B"/>
    <w:rsid w:val="00116146"/>
    <w:rsid w:val="00116FD2"/>
    <w:rsid w:val="00117EF4"/>
    <w:rsid w:val="00124C36"/>
    <w:rsid w:val="00127886"/>
    <w:rsid w:val="00127B81"/>
    <w:rsid w:val="00130578"/>
    <w:rsid w:val="00140F84"/>
    <w:rsid w:val="0014198C"/>
    <w:rsid w:val="00141F52"/>
    <w:rsid w:val="001435E7"/>
    <w:rsid w:val="001451F3"/>
    <w:rsid w:val="0015327A"/>
    <w:rsid w:val="0016097C"/>
    <w:rsid w:val="00162D9A"/>
    <w:rsid w:val="00162FCA"/>
    <w:rsid w:val="00170AF4"/>
    <w:rsid w:val="00172408"/>
    <w:rsid w:val="00180170"/>
    <w:rsid w:val="00180722"/>
    <w:rsid w:val="00185056"/>
    <w:rsid w:val="001861AE"/>
    <w:rsid w:val="00187E99"/>
    <w:rsid w:val="00191980"/>
    <w:rsid w:val="001966AF"/>
    <w:rsid w:val="001A038A"/>
    <w:rsid w:val="001A1743"/>
    <w:rsid w:val="001A2C6E"/>
    <w:rsid w:val="001A55B6"/>
    <w:rsid w:val="001A782C"/>
    <w:rsid w:val="001B0E98"/>
    <w:rsid w:val="001B19FE"/>
    <w:rsid w:val="001B49AB"/>
    <w:rsid w:val="001B6A69"/>
    <w:rsid w:val="001C588F"/>
    <w:rsid w:val="001D11E6"/>
    <w:rsid w:val="001D337F"/>
    <w:rsid w:val="001D3478"/>
    <w:rsid w:val="001D6A72"/>
    <w:rsid w:val="001E26FB"/>
    <w:rsid w:val="001E3AD3"/>
    <w:rsid w:val="001E3E42"/>
    <w:rsid w:val="001E50BB"/>
    <w:rsid w:val="001F0B8D"/>
    <w:rsid w:val="001F1FAA"/>
    <w:rsid w:val="00201CFE"/>
    <w:rsid w:val="0020595A"/>
    <w:rsid w:val="002113F9"/>
    <w:rsid w:val="00213FE2"/>
    <w:rsid w:val="00215DBA"/>
    <w:rsid w:val="00216FA1"/>
    <w:rsid w:val="002230C8"/>
    <w:rsid w:val="00223A0F"/>
    <w:rsid w:val="002267E6"/>
    <w:rsid w:val="00233A1E"/>
    <w:rsid w:val="0023696D"/>
    <w:rsid w:val="00240DD9"/>
    <w:rsid w:val="00241375"/>
    <w:rsid w:val="00244602"/>
    <w:rsid w:val="00245F78"/>
    <w:rsid w:val="002505FD"/>
    <w:rsid w:val="00253E10"/>
    <w:rsid w:val="00254E37"/>
    <w:rsid w:val="00261EFC"/>
    <w:rsid w:val="00275EA8"/>
    <w:rsid w:val="00280114"/>
    <w:rsid w:val="0028088F"/>
    <w:rsid w:val="00283F86"/>
    <w:rsid w:val="00284585"/>
    <w:rsid w:val="0029021B"/>
    <w:rsid w:val="00291177"/>
    <w:rsid w:val="00291F50"/>
    <w:rsid w:val="00292A8D"/>
    <w:rsid w:val="0029345C"/>
    <w:rsid w:val="00297765"/>
    <w:rsid w:val="00297E6F"/>
    <w:rsid w:val="002A090E"/>
    <w:rsid w:val="002A59AD"/>
    <w:rsid w:val="002A66E7"/>
    <w:rsid w:val="002A6912"/>
    <w:rsid w:val="002C1560"/>
    <w:rsid w:val="002C32F3"/>
    <w:rsid w:val="002C3AAF"/>
    <w:rsid w:val="002C5CA3"/>
    <w:rsid w:val="002C774B"/>
    <w:rsid w:val="002E0664"/>
    <w:rsid w:val="002E0C33"/>
    <w:rsid w:val="002E3DDD"/>
    <w:rsid w:val="002E462C"/>
    <w:rsid w:val="002E6CEE"/>
    <w:rsid w:val="002F0222"/>
    <w:rsid w:val="002F1A81"/>
    <w:rsid w:val="003007EE"/>
    <w:rsid w:val="00303134"/>
    <w:rsid w:val="00307E38"/>
    <w:rsid w:val="0031020E"/>
    <w:rsid w:val="00312813"/>
    <w:rsid w:val="00315CF8"/>
    <w:rsid w:val="003209CC"/>
    <w:rsid w:val="0032581E"/>
    <w:rsid w:val="003320EB"/>
    <w:rsid w:val="00332A1C"/>
    <w:rsid w:val="003350FF"/>
    <w:rsid w:val="003351C7"/>
    <w:rsid w:val="00336692"/>
    <w:rsid w:val="003453A1"/>
    <w:rsid w:val="00347030"/>
    <w:rsid w:val="00347206"/>
    <w:rsid w:val="00353440"/>
    <w:rsid w:val="00354FE8"/>
    <w:rsid w:val="003571EA"/>
    <w:rsid w:val="00361740"/>
    <w:rsid w:val="00362ACB"/>
    <w:rsid w:val="00363A31"/>
    <w:rsid w:val="00365DE7"/>
    <w:rsid w:val="003712E2"/>
    <w:rsid w:val="00375D7C"/>
    <w:rsid w:val="00382045"/>
    <w:rsid w:val="00382E66"/>
    <w:rsid w:val="003859D6"/>
    <w:rsid w:val="0038625A"/>
    <w:rsid w:val="00392ADD"/>
    <w:rsid w:val="003A260A"/>
    <w:rsid w:val="003A543B"/>
    <w:rsid w:val="003B0AD0"/>
    <w:rsid w:val="003B0F51"/>
    <w:rsid w:val="003B5D55"/>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F01EA"/>
    <w:rsid w:val="003F1AEB"/>
    <w:rsid w:val="003F43F8"/>
    <w:rsid w:val="003F46AC"/>
    <w:rsid w:val="004022F9"/>
    <w:rsid w:val="00406C91"/>
    <w:rsid w:val="00407129"/>
    <w:rsid w:val="004119F7"/>
    <w:rsid w:val="0042125D"/>
    <w:rsid w:val="00427E3A"/>
    <w:rsid w:val="00430680"/>
    <w:rsid w:val="004366A1"/>
    <w:rsid w:val="0044551E"/>
    <w:rsid w:val="00447EB0"/>
    <w:rsid w:val="0045034A"/>
    <w:rsid w:val="00452518"/>
    <w:rsid w:val="00452C63"/>
    <w:rsid w:val="004551C3"/>
    <w:rsid w:val="00457A70"/>
    <w:rsid w:val="00472E52"/>
    <w:rsid w:val="004730DC"/>
    <w:rsid w:val="0047322C"/>
    <w:rsid w:val="0047347E"/>
    <w:rsid w:val="004737A8"/>
    <w:rsid w:val="00474324"/>
    <w:rsid w:val="00480D3F"/>
    <w:rsid w:val="0048255C"/>
    <w:rsid w:val="0048716B"/>
    <w:rsid w:val="004878D7"/>
    <w:rsid w:val="00492350"/>
    <w:rsid w:val="00497FE9"/>
    <w:rsid w:val="004A232E"/>
    <w:rsid w:val="004A36E6"/>
    <w:rsid w:val="004A46C6"/>
    <w:rsid w:val="004A6DE5"/>
    <w:rsid w:val="004B6DFB"/>
    <w:rsid w:val="004C0C60"/>
    <w:rsid w:val="004C1134"/>
    <w:rsid w:val="004C301B"/>
    <w:rsid w:val="004C3A80"/>
    <w:rsid w:val="004C690D"/>
    <w:rsid w:val="004C697A"/>
    <w:rsid w:val="004D2321"/>
    <w:rsid w:val="004D2FF5"/>
    <w:rsid w:val="004D35BE"/>
    <w:rsid w:val="004D3EF1"/>
    <w:rsid w:val="004D402C"/>
    <w:rsid w:val="004D4475"/>
    <w:rsid w:val="004D7F85"/>
    <w:rsid w:val="004E0831"/>
    <w:rsid w:val="004F3997"/>
    <w:rsid w:val="004F4007"/>
    <w:rsid w:val="004F7568"/>
    <w:rsid w:val="00501921"/>
    <w:rsid w:val="00503E97"/>
    <w:rsid w:val="00507529"/>
    <w:rsid w:val="0050787F"/>
    <w:rsid w:val="0051118C"/>
    <w:rsid w:val="00511E88"/>
    <w:rsid w:val="00514A17"/>
    <w:rsid w:val="00514B89"/>
    <w:rsid w:val="0051679D"/>
    <w:rsid w:val="00516F28"/>
    <w:rsid w:val="0052359F"/>
    <w:rsid w:val="00524ED2"/>
    <w:rsid w:val="00525E7E"/>
    <w:rsid w:val="00526C25"/>
    <w:rsid w:val="00530F36"/>
    <w:rsid w:val="00534C2B"/>
    <w:rsid w:val="00540AB5"/>
    <w:rsid w:val="00541B8F"/>
    <w:rsid w:val="00542569"/>
    <w:rsid w:val="0054261D"/>
    <w:rsid w:val="00552A93"/>
    <w:rsid w:val="005546F4"/>
    <w:rsid w:val="005572A5"/>
    <w:rsid w:val="00560591"/>
    <w:rsid w:val="00562DB8"/>
    <w:rsid w:val="00563D62"/>
    <w:rsid w:val="00564C75"/>
    <w:rsid w:val="005662B4"/>
    <w:rsid w:val="005663D6"/>
    <w:rsid w:val="00566DD9"/>
    <w:rsid w:val="00567AC8"/>
    <w:rsid w:val="00576F1E"/>
    <w:rsid w:val="00577E03"/>
    <w:rsid w:val="0058033B"/>
    <w:rsid w:val="00582A51"/>
    <w:rsid w:val="00584D14"/>
    <w:rsid w:val="00584F66"/>
    <w:rsid w:val="00585BAB"/>
    <w:rsid w:val="005868B9"/>
    <w:rsid w:val="00590CCA"/>
    <w:rsid w:val="00591039"/>
    <w:rsid w:val="005933B8"/>
    <w:rsid w:val="00596363"/>
    <w:rsid w:val="005966E4"/>
    <w:rsid w:val="00596919"/>
    <w:rsid w:val="005A0995"/>
    <w:rsid w:val="005A309E"/>
    <w:rsid w:val="005A7F8B"/>
    <w:rsid w:val="005B02E7"/>
    <w:rsid w:val="005B1F05"/>
    <w:rsid w:val="005B5DC3"/>
    <w:rsid w:val="005B69CC"/>
    <w:rsid w:val="005B74A3"/>
    <w:rsid w:val="005C37AD"/>
    <w:rsid w:val="005C48CA"/>
    <w:rsid w:val="005C4A23"/>
    <w:rsid w:val="005C5FC6"/>
    <w:rsid w:val="005C606A"/>
    <w:rsid w:val="005C65A7"/>
    <w:rsid w:val="005D02A5"/>
    <w:rsid w:val="005D19E4"/>
    <w:rsid w:val="005E12DE"/>
    <w:rsid w:val="005E3DF8"/>
    <w:rsid w:val="005E5223"/>
    <w:rsid w:val="005E5646"/>
    <w:rsid w:val="005E67D5"/>
    <w:rsid w:val="005F16A8"/>
    <w:rsid w:val="005F2E4D"/>
    <w:rsid w:val="006028D4"/>
    <w:rsid w:val="00604E7D"/>
    <w:rsid w:val="006063D5"/>
    <w:rsid w:val="00610D64"/>
    <w:rsid w:val="00614520"/>
    <w:rsid w:val="006151B8"/>
    <w:rsid w:val="00623452"/>
    <w:rsid w:val="0062414B"/>
    <w:rsid w:val="00625128"/>
    <w:rsid w:val="00625E17"/>
    <w:rsid w:val="0062695F"/>
    <w:rsid w:val="00630523"/>
    <w:rsid w:val="006332B5"/>
    <w:rsid w:val="00640207"/>
    <w:rsid w:val="0064049E"/>
    <w:rsid w:val="006422F0"/>
    <w:rsid w:val="006442CF"/>
    <w:rsid w:val="00645776"/>
    <w:rsid w:val="006464DF"/>
    <w:rsid w:val="00646CD5"/>
    <w:rsid w:val="00650FC2"/>
    <w:rsid w:val="0065369A"/>
    <w:rsid w:val="00654763"/>
    <w:rsid w:val="00665058"/>
    <w:rsid w:val="00665E20"/>
    <w:rsid w:val="0066677E"/>
    <w:rsid w:val="006702B0"/>
    <w:rsid w:val="00672567"/>
    <w:rsid w:val="006745E2"/>
    <w:rsid w:val="00674882"/>
    <w:rsid w:val="00675175"/>
    <w:rsid w:val="00675763"/>
    <w:rsid w:val="006766D9"/>
    <w:rsid w:val="00677C41"/>
    <w:rsid w:val="006804B9"/>
    <w:rsid w:val="00682139"/>
    <w:rsid w:val="00682DD1"/>
    <w:rsid w:val="00683DD8"/>
    <w:rsid w:val="00686EDA"/>
    <w:rsid w:val="006A673E"/>
    <w:rsid w:val="006B056A"/>
    <w:rsid w:val="006B0A02"/>
    <w:rsid w:val="006B7D13"/>
    <w:rsid w:val="006B7D22"/>
    <w:rsid w:val="006C3E5D"/>
    <w:rsid w:val="006C56F6"/>
    <w:rsid w:val="006D2D46"/>
    <w:rsid w:val="006D44B7"/>
    <w:rsid w:val="006D459B"/>
    <w:rsid w:val="006D49DE"/>
    <w:rsid w:val="006D5674"/>
    <w:rsid w:val="006E2A29"/>
    <w:rsid w:val="006E2A97"/>
    <w:rsid w:val="006F2DC7"/>
    <w:rsid w:val="006F6793"/>
    <w:rsid w:val="006F6CA1"/>
    <w:rsid w:val="00701CD5"/>
    <w:rsid w:val="0070278B"/>
    <w:rsid w:val="007052E4"/>
    <w:rsid w:val="0070583C"/>
    <w:rsid w:val="007128B2"/>
    <w:rsid w:val="007153F5"/>
    <w:rsid w:val="0071548C"/>
    <w:rsid w:val="007157A2"/>
    <w:rsid w:val="007179A6"/>
    <w:rsid w:val="00723177"/>
    <w:rsid w:val="00725619"/>
    <w:rsid w:val="00725B9E"/>
    <w:rsid w:val="0073133A"/>
    <w:rsid w:val="0073358C"/>
    <w:rsid w:val="00733CFA"/>
    <w:rsid w:val="00735677"/>
    <w:rsid w:val="007455DF"/>
    <w:rsid w:val="00746E02"/>
    <w:rsid w:val="00746F40"/>
    <w:rsid w:val="00747B40"/>
    <w:rsid w:val="00754239"/>
    <w:rsid w:val="00761E63"/>
    <w:rsid w:val="0076252F"/>
    <w:rsid w:val="00771E9A"/>
    <w:rsid w:val="00774169"/>
    <w:rsid w:val="007834C9"/>
    <w:rsid w:val="007840F6"/>
    <w:rsid w:val="0078461D"/>
    <w:rsid w:val="00787FEA"/>
    <w:rsid w:val="007902AF"/>
    <w:rsid w:val="0079197D"/>
    <w:rsid w:val="007A1ACB"/>
    <w:rsid w:val="007A1FDC"/>
    <w:rsid w:val="007A3F32"/>
    <w:rsid w:val="007A505C"/>
    <w:rsid w:val="007A7922"/>
    <w:rsid w:val="007A7EE1"/>
    <w:rsid w:val="007C2A93"/>
    <w:rsid w:val="007C308C"/>
    <w:rsid w:val="007C6C82"/>
    <w:rsid w:val="007D275B"/>
    <w:rsid w:val="007D4691"/>
    <w:rsid w:val="007D4B1F"/>
    <w:rsid w:val="007D6482"/>
    <w:rsid w:val="007D7E06"/>
    <w:rsid w:val="007E179C"/>
    <w:rsid w:val="007E4AF0"/>
    <w:rsid w:val="007E5498"/>
    <w:rsid w:val="007E6E59"/>
    <w:rsid w:val="007E7C87"/>
    <w:rsid w:val="007E7D2D"/>
    <w:rsid w:val="007F0BD6"/>
    <w:rsid w:val="007F27A6"/>
    <w:rsid w:val="007F422F"/>
    <w:rsid w:val="007F53C6"/>
    <w:rsid w:val="007F7052"/>
    <w:rsid w:val="00802056"/>
    <w:rsid w:val="008027E6"/>
    <w:rsid w:val="008032FE"/>
    <w:rsid w:val="00804553"/>
    <w:rsid w:val="00810ADE"/>
    <w:rsid w:val="00816794"/>
    <w:rsid w:val="00820DF6"/>
    <w:rsid w:val="008251AC"/>
    <w:rsid w:val="0083162E"/>
    <w:rsid w:val="00835536"/>
    <w:rsid w:val="00836AE7"/>
    <w:rsid w:val="00840876"/>
    <w:rsid w:val="00841A06"/>
    <w:rsid w:val="00843CF1"/>
    <w:rsid w:val="00846139"/>
    <w:rsid w:val="0084699A"/>
    <w:rsid w:val="0084710B"/>
    <w:rsid w:val="00855A7A"/>
    <w:rsid w:val="00861A92"/>
    <w:rsid w:val="00871DBD"/>
    <w:rsid w:val="0087222F"/>
    <w:rsid w:val="008757E6"/>
    <w:rsid w:val="00885138"/>
    <w:rsid w:val="00887B70"/>
    <w:rsid w:val="00887B74"/>
    <w:rsid w:val="008914AA"/>
    <w:rsid w:val="0089349C"/>
    <w:rsid w:val="00893ED9"/>
    <w:rsid w:val="008A1185"/>
    <w:rsid w:val="008C0870"/>
    <w:rsid w:val="008C16A7"/>
    <w:rsid w:val="008C2A89"/>
    <w:rsid w:val="008C36F8"/>
    <w:rsid w:val="008C4B68"/>
    <w:rsid w:val="008C544C"/>
    <w:rsid w:val="008C701D"/>
    <w:rsid w:val="008D35A9"/>
    <w:rsid w:val="008D7BA9"/>
    <w:rsid w:val="008E19AD"/>
    <w:rsid w:val="008E2A53"/>
    <w:rsid w:val="008E4EF4"/>
    <w:rsid w:val="008E6420"/>
    <w:rsid w:val="008F168F"/>
    <w:rsid w:val="008F1C14"/>
    <w:rsid w:val="008F2F68"/>
    <w:rsid w:val="008F3EA4"/>
    <w:rsid w:val="00902BD0"/>
    <w:rsid w:val="009045CB"/>
    <w:rsid w:val="0090570F"/>
    <w:rsid w:val="00906529"/>
    <w:rsid w:val="009067F9"/>
    <w:rsid w:val="00906E48"/>
    <w:rsid w:val="00911686"/>
    <w:rsid w:val="00912B11"/>
    <w:rsid w:val="0091635B"/>
    <w:rsid w:val="00934CB9"/>
    <w:rsid w:val="00940A53"/>
    <w:rsid w:val="009424D0"/>
    <w:rsid w:val="00944A29"/>
    <w:rsid w:val="00946711"/>
    <w:rsid w:val="0095265D"/>
    <w:rsid w:val="00952857"/>
    <w:rsid w:val="00954728"/>
    <w:rsid w:val="00957A1F"/>
    <w:rsid w:val="00957FD6"/>
    <w:rsid w:val="00960837"/>
    <w:rsid w:val="00961D12"/>
    <w:rsid w:val="009715DC"/>
    <w:rsid w:val="00985983"/>
    <w:rsid w:val="00986A06"/>
    <w:rsid w:val="00994EBD"/>
    <w:rsid w:val="009A24FE"/>
    <w:rsid w:val="009A2807"/>
    <w:rsid w:val="009A7B41"/>
    <w:rsid w:val="009B1ED3"/>
    <w:rsid w:val="009B3E79"/>
    <w:rsid w:val="009B70E6"/>
    <w:rsid w:val="009C08F1"/>
    <w:rsid w:val="009C2387"/>
    <w:rsid w:val="009C645D"/>
    <w:rsid w:val="009C65D5"/>
    <w:rsid w:val="009D124F"/>
    <w:rsid w:val="009D1BB5"/>
    <w:rsid w:val="009E0C0D"/>
    <w:rsid w:val="009E29D3"/>
    <w:rsid w:val="009E765F"/>
    <w:rsid w:val="009F12E4"/>
    <w:rsid w:val="009F5C8C"/>
    <w:rsid w:val="00A01FFB"/>
    <w:rsid w:val="00A1657D"/>
    <w:rsid w:val="00A16C1C"/>
    <w:rsid w:val="00A16E31"/>
    <w:rsid w:val="00A2180A"/>
    <w:rsid w:val="00A30C26"/>
    <w:rsid w:val="00A31969"/>
    <w:rsid w:val="00A40406"/>
    <w:rsid w:val="00A41BD2"/>
    <w:rsid w:val="00A41FBA"/>
    <w:rsid w:val="00A43B28"/>
    <w:rsid w:val="00A45886"/>
    <w:rsid w:val="00A46E16"/>
    <w:rsid w:val="00A51DE7"/>
    <w:rsid w:val="00A53700"/>
    <w:rsid w:val="00A550FE"/>
    <w:rsid w:val="00A56443"/>
    <w:rsid w:val="00A5675D"/>
    <w:rsid w:val="00A56C43"/>
    <w:rsid w:val="00A66404"/>
    <w:rsid w:val="00A66619"/>
    <w:rsid w:val="00A72E7A"/>
    <w:rsid w:val="00A74782"/>
    <w:rsid w:val="00A76B0A"/>
    <w:rsid w:val="00A7780F"/>
    <w:rsid w:val="00A85E47"/>
    <w:rsid w:val="00A90148"/>
    <w:rsid w:val="00A92B87"/>
    <w:rsid w:val="00A953B4"/>
    <w:rsid w:val="00A97767"/>
    <w:rsid w:val="00AA1BAE"/>
    <w:rsid w:val="00AA32FA"/>
    <w:rsid w:val="00AA3664"/>
    <w:rsid w:val="00AA3CF3"/>
    <w:rsid w:val="00AB0E61"/>
    <w:rsid w:val="00AB35DC"/>
    <w:rsid w:val="00AB500C"/>
    <w:rsid w:val="00AB5505"/>
    <w:rsid w:val="00AB5AD6"/>
    <w:rsid w:val="00AB6432"/>
    <w:rsid w:val="00AC0F24"/>
    <w:rsid w:val="00AC6EAD"/>
    <w:rsid w:val="00AD0120"/>
    <w:rsid w:val="00AD1C46"/>
    <w:rsid w:val="00AD43A5"/>
    <w:rsid w:val="00AE39FC"/>
    <w:rsid w:val="00AE6094"/>
    <w:rsid w:val="00AF25F1"/>
    <w:rsid w:val="00AF41C7"/>
    <w:rsid w:val="00B01829"/>
    <w:rsid w:val="00B02E43"/>
    <w:rsid w:val="00B06AAA"/>
    <w:rsid w:val="00B06C98"/>
    <w:rsid w:val="00B07A0B"/>
    <w:rsid w:val="00B1376C"/>
    <w:rsid w:val="00B14CAA"/>
    <w:rsid w:val="00B15503"/>
    <w:rsid w:val="00B15EFF"/>
    <w:rsid w:val="00B1679B"/>
    <w:rsid w:val="00B20004"/>
    <w:rsid w:val="00B24B05"/>
    <w:rsid w:val="00B2540F"/>
    <w:rsid w:val="00B254D9"/>
    <w:rsid w:val="00B30320"/>
    <w:rsid w:val="00B311E9"/>
    <w:rsid w:val="00B3259D"/>
    <w:rsid w:val="00B32F4C"/>
    <w:rsid w:val="00B3705B"/>
    <w:rsid w:val="00B41E0D"/>
    <w:rsid w:val="00B41EE6"/>
    <w:rsid w:val="00B4589D"/>
    <w:rsid w:val="00B46E3B"/>
    <w:rsid w:val="00B530DB"/>
    <w:rsid w:val="00B5411D"/>
    <w:rsid w:val="00B54D5F"/>
    <w:rsid w:val="00B57EDD"/>
    <w:rsid w:val="00B605B3"/>
    <w:rsid w:val="00B60E3C"/>
    <w:rsid w:val="00B61314"/>
    <w:rsid w:val="00B64A3D"/>
    <w:rsid w:val="00B655B0"/>
    <w:rsid w:val="00B74900"/>
    <w:rsid w:val="00B77948"/>
    <w:rsid w:val="00B809F5"/>
    <w:rsid w:val="00B81BF4"/>
    <w:rsid w:val="00B821E3"/>
    <w:rsid w:val="00B90E1A"/>
    <w:rsid w:val="00B9357A"/>
    <w:rsid w:val="00B944C0"/>
    <w:rsid w:val="00BA14C8"/>
    <w:rsid w:val="00BA16B0"/>
    <w:rsid w:val="00BA374E"/>
    <w:rsid w:val="00BA482F"/>
    <w:rsid w:val="00BA598B"/>
    <w:rsid w:val="00BA61A5"/>
    <w:rsid w:val="00BA7362"/>
    <w:rsid w:val="00BA7DC6"/>
    <w:rsid w:val="00BB2322"/>
    <w:rsid w:val="00BC3220"/>
    <w:rsid w:val="00BD0788"/>
    <w:rsid w:val="00BD08F4"/>
    <w:rsid w:val="00BD1475"/>
    <w:rsid w:val="00BD5FA8"/>
    <w:rsid w:val="00BE004A"/>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2636"/>
    <w:rsid w:val="00C14BA8"/>
    <w:rsid w:val="00C16521"/>
    <w:rsid w:val="00C2611E"/>
    <w:rsid w:val="00C263CA"/>
    <w:rsid w:val="00C269D7"/>
    <w:rsid w:val="00C27E10"/>
    <w:rsid w:val="00C302BC"/>
    <w:rsid w:val="00C33463"/>
    <w:rsid w:val="00C367E4"/>
    <w:rsid w:val="00C42420"/>
    <w:rsid w:val="00C42DF6"/>
    <w:rsid w:val="00C43719"/>
    <w:rsid w:val="00C443E0"/>
    <w:rsid w:val="00C46D27"/>
    <w:rsid w:val="00C470DD"/>
    <w:rsid w:val="00C4759E"/>
    <w:rsid w:val="00C50B6C"/>
    <w:rsid w:val="00C56C59"/>
    <w:rsid w:val="00C622CA"/>
    <w:rsid w:val="00C6412F"/>
    <w:rsid w:val="00C66FC0"/>
    <w:rsid w:val="00C70D7B"/>
    <w:rsid w:val="00C711BD"/>
    <w:rsid w:val="00C73208"/>
    <w:rsid w:val="00C83E26"/>
    <w:rsid w:val="00C84F95"/>
    <w:rsid w:val="00C91766"/>
    <w:rsid w:val="00C97CB5"/>
    <w:rsid w:val="00CA7849"/>
    <w:rsid w:val="00CB2E0D"/>
    <w:rsid w:val="00CB4DF6"/>
    <w:rsid w:val="00CB5EBE"/>
    <w:rsid w:val="00CB667E"/>
    <w:rsid w:val="00CB69D7"/>
    <w:rsid w:val="00CD10E0"/>
    <w:rsid w:val="00CE00C0"/>
    <w:rsid w:val="00CE5157"/>
    <w:rsid w:val="00CE5519"/>
    <w:rsid w:val="00CF067B"/>
    <w:rsid w:val="00CF3F53"/>
    <w:rsid w:val="00CF5538"/>
    <w:rsid w:val="00CF65AD"/>
    <w:rsid w:val="00CF7B12"/>
    <w:rsid w:val="00D01881"/>
    <w:rsid w:val="00D07BA7"/>
    <w:rsid w:val="00D14B4B"/>
    <w:rsid w:val="00D15B32"/>
    <w:rsid w:val="00D17CA7"/>
    <w:rsid w:val="00D2094C"/>
    <w:rsid w:val="00D26BEB"/>
    <w:rsid w:val="00D27BBB"/>
    <w:rsid w:val="00D34B80"/>
    <w:rsid w:val="00D3595C"/>
    <w:rsid w:val="00D376F3"/>
    <w:rsid w:val="00D46E19"/>
    <w:rsid w:val="00D476D2"/>
    <w:rsid w:val="00D5123E"/>
    <w:rsid w:val="00D52942"/>
    <w:rsid w:val="00D6519D"/>
    <w:rsid w:val="00D701D1"/>
    <w:rsid w:val="00D73A96"/>
    <w:rsid w:val="00D75FF9"/>
    <w:rsid w:val="00D76EC1"/>
    <w:rsid w:val="00D77C95"/>
    <w:rsid w:val="00D814A6"/>
    <w:rsid w:val="00D817F9"/>
    <w:rsid w:val="00D86C67"/>
    <w:rsid w:val="00D916F5"/>
    <w:rsid w:val="00DA0F8F"/>
    <w:rsid w:val="00DA3097"/>
    <w:rsid w:val="00DA384A"/>
    <w:rsid w:val="00DA6C09"/>
    <w:rsid w:val="00DA765D"/>
    <w:rsid w:val="00DB087C"/>
    <w:rsid w:val="00DB0943"/>
    <w:rsid w:val="00DB24BC"/>
    <w:rsid w:val="00DB546A"/>
    <w:rsid w:val="00DC057C"/>
    <w:rsid w:val="00DC1653"/>
    <w:rsid w:val="00DC28F9"/>
    <w:rsid w:val="00DC603E"/>
    <w:rsid w:val="00DD28BA"/>
    <w:rsid w:val="00DD3673"/>
    <w:rsid w:val="00DE7690"/>
    <w:rsid w:val="00DF4D87"/>
    <w:rsid w:val="00DF513C"/>
    <w:rsid w:val="00DF5DB2"/>
    <w:rsid w:val="00DF5E88"/>
    <w:rsid w:val="00E00458"/>
    <w:rsid w:val="00E00DEF"/>
    <w:rsid w:val="00E067EB"/>
    <w:rsid w:val="00E11E77"/>
    <w:rsid w:val="00E15583"/>
    <w:rsid w:val="00E15A8F"/>
    <w:rsid w:val="00E21810"/>
    <w:rsid w:val="00E22B8C"/>
    <w:rsid w:val="00E247EF"/>
    <w:rsid w:val="00E2765C"/>
    <w:rsid w:val="00E37067"/>
    <w:rsid w:val="00E41410"/>
    <w:rsid w:val="00E43EF4"/>
    <w:rsid w:val="00E442FA"/>
    <w:rsid w:val="00E52AAF"/>
    <w:rsid w:val="00E52ABD"/>
    <w:rsid w:val="00E60698"/>
    <w:rsid w:val="00E61541"/>
    <w:rsid w:val="00E626C7"/>
    <w:rsid w:val="00E62F59"/>
    <w:rsid w:val="00E64C7C"/>
    <w:rsid w:val="00E65133"/>
    <w:rsid w:val="00E73C62"/>
    <w:rsid w:val="00E75CFB"/>
    <w:rsid w:val="00E77BF9"/>
    <w:rsid w:val="00E8270E"/>
    <w:rsid w:val="00E84285"/>
    <w:rsid w:val="00E85E17"/>
    <w:rsid w:val="00E871AC"/>
    <w:rsid w:val="00E9184D"/>
    <w:rsid w:val="00E921F8"/>
    <w:rsid w:val="00E92394"/>
    <w:rsid w:val="00EA187D"/>
    <w:rsid w:val="00EA3D63"/>
    <w:rsid w:val="00EB00D2"/>
    <w:rsid w:val="00EB23F3"/>
    <w:rsid w:val="00EB52F0"/>
    <w:rsid w:val="00EB76E5"/>
    <w:rsid w:val="00EC2F14"/>
    <w:rsid w:val="00EC6B89"/>
    <w:rsid w:val="00ED1E2F"/>
    <w:rsid w:val="00ED6B2E"/>
    <w:rsid w:val="00EE3B53"/>
    <w:rsid w:val="00EE6108"/>
    <w:rsid w:val="00EF70AB"/>
    <w:rsid w:val="00EF7489"/>
    <w:rsid w:val="00EF7FD5"/>
    <w:rsid w:val="00F002AC"/>
    <w:rsid w:val="00F02099"/>
    <w:rsid w:val="00F04F28"/>
    <w:rsid w:val="00F10B84"/>
    <w:rsid w:val="00F110E7"/>
    <w:rsid w:val="00F12CA6"/>
    <w:rsid w:val="00F1474C"/>
    <w:rsid w:val="00F211F4"/>
    <w:rsid w:val="00F22B9F"/>
    <w:rsid w:val="00F23BBA"/>
    <w:rsid w:val="00F257BE"/>
    <w:rsid w:val="00F31EA4"/>
    <w:rsid w:val="00F330A5"/>
    <w:rsid w:val="00F3453D"/>
    <w:rsid w:val="00F42CFD"/>
    <w:rsid w:val="00F44B08"/>
    <w:rsid w:val="00F474C0"/>
    <w:rsid w:val="00F53161"/>
    <w:rsid w:val="00F662C7"/>
    <w:rsid w:val="00F67160"/>
    <w:rsid w:val="00F70B25"/>
    <w:rsid w:val="00F73052"/>
    <w:rsid w:val="00F73CEA"/>
    <w:rsid w:val="00F74998"/>
    <w:rsid w:val="00F77D8C"/>
    <w:rsid w:val="00F805DF"/>
    <w:rsid w:val="00F85AA5"/>
    <w:rsid w:val="00F91FA3"/>
    <w:rsid w:val="00FA16F8"/>
    <w:rsid w:val="00FB2586"/>
    <w:rsid w:val="00FB2AC6"/>
    <w:rsid w:val="00FB36EA"/>
    <w:rsid w:val="00FB4F1E"/>
    <w:rsid w:val="00FB6CAC"/>
    <w:rsid w:val="00FB6DB8"/>
    <w:rsid w:val="00FB6E25"/>
    <w:rsid w:val="00FC18FC"/>
    <w:rsid w:val="00FC3584"/>
    <w:rsid w:val="00FC4852"/>
    <w:rsid w:val="00FC6E88"/>
    <w:rsid w:val="00FC6F16"/>
    <w:rsid w:val="00FD34B4"/>
    <w:rsid w:val="00FD7F1E"/>
    <w:rsid w:val="00FE50DC"/>
    <w:rsid w:val="00FE635A"/>
    <w:rsid w:val="00FF17F6"/>
    <w:rsid w:val="00FF23FD"/>
    <w:rsid w:val="00FF5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70B25"/>
    <w:rPr>
      <w:sz w:val="16"/>
      <w:szCs w:val="16"/>
    </w:rPr>
  </w:style>
  <w:style w:type="paragraph" w:styleId="CommentText">
    <w:name w:val="annotation text"/>
    <w:basedOn w:val="Normal"/>
    <w:link w:val="CommentTextChar"/>
    <w:uiPriority w:val="99"/>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uiPriority w:val="99"/>
    <w:semiHidden/>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weeks@fn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s.gov/bls/wages.htm" TargetMode="External"/><Relationship Id="rId4" Type="http://schemas.openxmlformats.org/officeDocument/2006/relationships/settings" Target="settings.xml"/><Relationship Id="rId9" Type="http://schemas.openxmlformats.org/officeDocument/2006/relationships/hyperlink" Target="http://www.gpo.gov/fdsys/pkg/PLAW-111publ296/pdf/PLAW-111publ29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A99A-6D60-4E42-8D49-4B8E04C9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2505</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16608</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cp:keywords/>
  <dc:description>                                 Supporting Statement;                                      for;                              7 CFR Part 210-NSLP ;  Justification ; 1. The National School Lunch Act (NSLA, P.L. 79-396), as amended, authorized the National </dc:description>
  <cp:lastModifiedBy>sweeks</cp:lastModifiedBy>
  <cp:revision>6</cp:revision>
  <cp:lastPrinted>2011-09-12T15:48:00Z</cp:lastPrinted>
  <dcterms:created xsi:type="dcterms:W3CDTF">2011-09-08T14:24:00Z</dcterms:created>
  <dcterms:modified xsi:type="dcterms:W3CDTF">2011-09-12T15:51:00Z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ies>
</file>