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B73" w:rsidRDefault="00856B73" w:rsidP="00862F33">
      <w:pPr>
        <w:spacing w:after="0" w:line="240" w:lineRule="auto"/>
        <w:jc w:val="both"/>
        <w:rPr>
          <w:rFonts w:asciiTheme="minorHAnsi" w:hAnsiTheme="minorHAnsi" w:cs="Arial"/>
          <w:b/>
          <w:color w:val="000000"/>
          <w:sz w:val="28"/>
          <w:szCs w:val="28"/>
        </w:rPr>
      </w:pPr>
    </w:p>
    <w:p w:rsidR="006C7456" w:rsidRDefault="006C7456" w:rsidP="00862F33">
      <w:pPr>
        <w:spacing w:after="0" w:line="240" w:lineRule="auto"/>
        <w:jc w:val="both"/>
        <w:rPr>
          <w:rFonts w:asciiTheme="minorHAnsi" w:hAnsiTheme="minorHAnsi" w:cs="Arial"/>
          <w:b/>
          <w:color w:val="000000"/>
          <w:sz w:val="28"/>
          <w:szCs w:val="28"/>
        </w:rPr>
      </w:pPr>
      <w:r w:rsidRPr="0071740D">
        <w:rPr>
          <w:rFonts w:asciiTheme="minorHAnsi" w:hAnsiTheme="minorHAnsi" w:cs="Arial"/>
          <w:b/>
          <w:color w:val="000000"/>
          <w:sz w:val="28"/>
          <w:szCs w:val="28"/>
        </w:rPr>
        <w:t xml:space="preserve">Information Collection </w:t>
      </w:r>
      <w:r w:rsidR="00663583" w:rsidRPr="00663583">
        <w:rPr>
          <w:rFonts w:asciiTheme="minorHAnsi" w:hAnsiTheme="minorHAnsi" w:cs="Arial"/>
          <w:b/>
          <w:color w:val="000000"/>
          <w:sz w:val="28"/>
          <w:szCs w:val="28"/>
        </w:rPr>
        <w:t>#</w:t>
      </w:r>
      <w:r w:rsidR="00862F33">
        <w:rPr>
          <w:rFonts w:asciiTheme="minorHAnsi" w:hAnsiTheme="minorHAnsi" w:cs="Arial"/>
          <w:b/>
          <w:color w:val="000000"/>
          <w:sz w:val="28"/>
          <w:szCs w:val="28"/>
        </w:rPr>
        <w:t>1</w:t>
      </w:r>
      <w:r w:rsidRPr="00663583">
        <w:rPr>
          <w:rFonts w:asciiTheme="minorHAnsi" w:hAnsiTheme="minorHAnsi" w:cs="Arial"/>
          <w:b/>
          <w:color w:val="000000"/>
          <w:sz w:val="28"/>
          <w:szCs w:val="28"/>
        </w:rPr>
        <w:t>:</w:t>
      </w:r>
    </w:p>
    <w:p w:rsidR="005C6DAE" w:rsidRPr="0071740D" w:rsidRDefault="005C6DAE" w:rsidP="005C6DAE">
      <w:pPr>
        <w:spacing w:after="0" w:line="240" w:lineRule="auto"/>
        <w:jc w:val="both"/>
        <w:rPr>
          <w:rFonts w:asciiTheme="minorHAnsi" w:hAnsiTheme="minorHAnsi" w:cs="Arial"/>
          <w:b/>
          <w:color w:val="000000"/>
          <w:sz w:val="28"/>
          <w:szCs w:val="28"/>
        </w:rPr>
      </w:pPr>
    </w:p>
    <w:p w:rsidR="00862F33" w:rsidRPr="007A3A39" w:rsidRDefault="00862F33" w:rsidP="00862F33">
      <w:pPr>
        <w:pStyle w:val="Cover-Title"/>
        <w:rPr>
          <w:rFonts w:ascii="Verdana" w:hAnsi="Verdana" w:cs="Times New Roman"/>
          <w:sz w:val="24"/>
          <w:szCs w:val="24"/>
        </w:rPr>
      </w:pPr>
      <w:r w:rsidRPr="007A3A39">
        <w:rPr>
          <w:rFonts w:ascii="Verdana" w:hAnsi="Verdana" w:cs="Times New Roman"/>
          <w:sz w:val="24"/>
          <w:szCs w:val="24"/>
        </w:rPr>
        <w:t>Perceptions of Health Risk from Smokeless Tobacco Products and Nicotine Replacement Therapy among Pregnant Women and Women Planning a Pregnancy</w:t>
      </w:r>
    </w:p>
    <w:p w:rsidR="006C7456" w:rsidRPr="00AF76FB" w:rsidRDefault="006C7456" w:rsidP="005C6DAE">
      <w:pPr>
        <w:spacing w:after="0" w:line="240" w:lineRule="auto"/>
        <w:jc w:val="both"/>
        <w:rPr>
          <w:rFonts w:asciiTheme="minorHAnsi" w:hAnsiTheme="minorHAnsi" w:cs="Arial"/>
          <w:b/>
          <w:color w:val="000000"/>
        </w:rPr>
      </w:pPr>
    </w:p>
    <w:p w:rsidR="006C7456" w:rsidRPr="00AF76FB" w:rsidRDefault="005F2200" w:rsidP="00AA31C4">
      <w:pPr>
        <w:spacing w:after="0" w:line="240" w:lineRule="auto"/>
        <w:jc w:val="both"/>
        <w:rPr>
          <w:rFonts w:asciiTheme="minorHAnsi" w:hAnsiTheme="minorHAnsi" w:cs="Arial"/>
          <w:color w:val="000000"/>
        </w:rPr>
      </w:pPr>
      <w:r w:rsidRPr="00AF76FB">
        <w:rPr>
          <w:rFonts w:asciiTheme="minorHAnsi" w:hAnsiTheme="minorHAnsi" w:cs="Arial"/>
          <w:color w:val="000000"/>
        </w:rPr>
        <w:t>Submitted for approval under CDC generic approval #</w:t>
      </w:r>
      <w:r w:rsidR="00ED683C" w:rsidRPr="005C6DAE">
        <w:rPr>
          <w:rFonts w:eastAsia="Times New Roman" w:cs="Calibri"/>
          <w:b/>
          <w:bCs/>
          <w:color w:val="000000" w:themeColor="text1"/>
        </w:rPr>
        <w:t>0920-0910</w:t>
      </w:r>
    </w:p>
    <w:p w:rsidR="00685346" w:rsidRPr="00746D4F" w:rsidRDefault="003D1F71" w:rsidP="005C6DAE">
      <w:pPr>
        <w:spacing w:after="0" w:line="240" w:lineRule="auto"/>
        <w:jc w:val="both"/>
        <w:rPr>
          <w:rFonts w:cs="Arial"/>
          <w:b/>
          <w:bCs/>
          <w:i/>
        </w:rPr>
      </w:pPr>
      <w:r>
        <w:rPr>
          <w:rFonts w:cs="Arial"/>
          <w:bCs/>
          <w:i/>
        </w:rPr>
        <w:t xml:space="preserve">Message </w:t>
      </w:r>
      <w:r w:rsidR="00685346" w:rsidRPr="00746D4F">
        <w:rPr>
          <w:rFonts w:cs="Arial"/>
          <w:bCs/>
          <w:i/>
        </w:rPr>
        <w:t xml:space="preserve">Testing </w:t>
      </w:r>
      <w:r>
        <w:rPr>
          <w:rFonts w:cs="Arial"/>
          <w:bCs/>
          <w:i/>
        </w:rPr>
        <w:t>for</w:t>
      </w:r>
      <w:r w:rsidR="00685346" w:rsidRPr="00746D4F">
        <w:rPr>
          <w:rFonts w:cs="Arial"/>
          <w:bCs/>
          <w:i/>
        </w:rPr>
        <w:t xml:space="preserve"> Tobacco Communication Activ</w:t>
      </w:r>
      <w:r w:rsidR="00685346" w:rsidRPr="00870CAE">
        <w:rPr>
          <w:rFonts w:cs="Arial"/>
          <w:bCs/>
          <w:i/>
        </w:rPr>
        <w:t>ities</w:t>
      </w:r>
    </w:p>
    <w:p w:rsidR="00685346" w:rsidRPr="00AF76FB" w:rsidRDefault="00685346" w:rsidP="005C6DAE">
      <w:pPr>
        <w:spacing w:after="0" w:line="240" w:lineRule="auto"/>
        <w:jc w:val="both"/>
        <w:rPr>
          <w:rFonts w:asciiTheme="minorHAnsi" w:hAnsiTheme="minorHAnsi" w:cs="Arial"/>
          <w:b/>
          <w:color w:val="000000"/>
        </w:rPr>
      </w:pPr>
    </w:p>
    <w:p w:rsidR="005A552C" w:rsidRDefault="007A3A39" w:rsidP="005C6DAE">
      <w:pPr>
        <w:spacing w:after="0" w:line="240" w:lineRule="auto"/>
        <w:jc w:val="both"/>
        <w:rPr>
          <w:rFonts w:asciiTheme="minorHAnsi" w:hAnsiTheme="minorHAnsi" w:cs="Arial"/>
          <w:color w:val="000000"/>
        </w:rPr>
      </w:pPr>
      <w:r>
        <w:rPr>
          <w:rFonts w:asciiTheme="minorHAnsi" w:hAnsiTheme="minorHAnsi" w:cs="Arial"/>
          <w:color w:val="000000"/>
        </w:rPr>
        <w:t xml:space="preserve">June </w:t>
      </w:r>
      <w:r w:rsidR="00C40308">
        <w:rPr>
          <w:rFonts w:asciiTheme="minorHAnsi" w:hAnsiTheme="minorHAnsi" w:cs="Arial"/>
          <w:color w:val="000000"/>
        </w:rPr>
        <w:t>25</w:t>
      </w:r>
      <w:r>
        <w:rPr>
          <w:rFonts w:asciiTheme="minorHAnsi" w:hAnsiTheme="minorHAnsi" w:cs="Arial"/>
          <w:color w:val="000000"/>
        </w:rPr>
        <w:t>, 2013</w:t>
      </w:r>
    </w:p>
    <w:p w:rsidR="007A3A39" w:rsidRPr="007A3A39" w:rsidRDefault="007A3A39" w:rsidP="005C6DAE">
      <w:pPr>
        <w:spacing w:after="0" w:line="240" w:lineRule="auto"/>
        <w:jc w:val="both"/>
        <w:rPr>
          <w:rFonts w:asciiTheme="minorHAnsi" w:hAnsiTheme="minorHAnsi" w:cs="Arial"/>
          <w:color w:val="000000"/>
        </w:rPr>
      </w:pPr>
      <w:r>
        <w:rPr>
          <w:rFonts w:asciiTheme="minorHAnsi" w:hAnsiTheme="minorHAnsi" w:cs="Arial"/>
          <w:color w:val="000000"/>
        </w:rPr>
        <w:t>_____________________________________________________________________________________</w:t>
      </w:r>
    </w:p>
    <w:p w:rsidR="005A552C" w:rsidRPr="00AF76FB" w:rsidRDefault="005A552C" w:rsidP="005C6DAE">
      <w:pPr>
        <w:spacing w:after="0" w:line="240" w:lineRule="auto"/>
        <w:jc w:val="both"/>
        <w:rPr>
          <w:rFonts w:asciiTheme="minorHAnsi" w:hAnsiTheme="minorHAnsi" w:cs="Arial"/>
        </w:rPr>
      </w:pPr>
    </w:p>
    <w:p w:rsidR="005A552C" w:rsidRPr="00AF76FB" w:rsidRDefault="00431256" w:rsidP="005C6DAE">
      <w:pPr>
        <w:spacing w:after="0" w:line="240" w:lineRule="auto"/>
        <w:jc w:val="both"/>
        <w:rPr>
          <w:rFonts w:asciiTheme="minorHAnsi" w:hAnsiTheme="minorHAnsi" w:cs="Arial"/>
        </w:rPr>
      </w:pPr>
      <w:r w:rsidRPr="00AF76FB">
        <w:rPr>
          <w:rFonts w:asciiTheme="minorHAnsi" w:hAnsiTheme="minorHAnsi" w:cs="Arial"/>
          <w:b/>
        </w:rPr>
        <w:t>Data Collection Instruments</w:t>
      </w:r>
    </w:p>
    <w:p w:rsidR="00C756E2" w:rsidRDefault="005711FF" w:rsidP="009E57D4">
      <w:pPr>
        <w:pStyle w:val="ListParagraph"/>
        <w:numPr>
          <w:ilvl w:val="0"/>
          <w:numId w:val="16"/>
        </w:numPr>
        <w:spacing w:after="0" w:line="240" w:lineRule="auto"/>
        <w:ind w:left="720"/>
        <w:contextualSpacing w:val="0"/>
        <w:jc w:val="both"/>
        <w:rPr>
          <w:rFonts w:asciiTheme="minorHAnsi" w:hAnsiTheme="minorHAnsi" w:cs="Arial"/>
        </w:rPr>
      </w:pPr>
      <w:r w:rsidRPr="00BD1C72">
        <w:rPr>
          <w:rFonts w:asciiTheme="minorHAnsi" w:hAnsiTheme="minorHAnsi" w:cs="Arial"/>
        </w:rPr>
        <w:t>Attachment 1</w:t>
      </w:r>
      <w:r w:rsidR="00DD2A23">
        <w:rPr>
          <w:rFonts w:asciiTheme="minorHAnsi" w:hAnsiTheme="minorHAnsi" w:cs="Arial"/>
        </w:rPr>
        <w:t>a</w:t>
      </w:r>
      <w:r w:rsidR="00C756E2">
        <w:rPr>
          <w:rFonts w:asciiTheme="minorHAnsi" w:hAnsiTheme="minorHAnsi" w:cs="Arial"/>
        </w:rPr>
        <w:t>.</w:t>
      </w:r>
      <w:r w:rsidRPr="00BD1C72">
        <w:rPr>
          <w:rFonts w:asciiTheme="minorHAnsi" w:hAnsiTheme="minorHAnsi" w:cs="Arial"/>
        </w:rPr>
        <w:t xml:space="preserve"> </w:t>
      </w:r>
      <w:r w:rsidR="00701A09" w:rsidRPr="00BD1C72">
        <w:rPr>
          <w:rFonts w:asciiTheme="minorHAnsi" w:hAnsiTheme="minorHAnsi" w:cs="Arial"/>
        </w:rPr>
        <w:t>Screener</w:t>
      </w:r>
      <w:r w:rsidR="00C756E2">
        <w:rPr>
          <w:rFonts w:asciiTheme="minorHAnsi" w:hAnsiTheme="minorHAnsi" w:cs="Arial"/>
        </w:rPr>
        <w:t xml:space="preserve"> (Pregnant Women)</w:t>
      </w:r>
    </w:p>
    <w:p w:rsidR="00987082" w:rsidRPr="00BD1C72" w:rsidRDefault="00C756E2" w:rsidP="009E57D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 1b. Screener (Non-pregnant Women)</w:t>
      </w:r>
      <w:r w:rsidR="00267C44" w:rsidRPr="00BD1C72">
        <w:rPr>
          <w:rFonts w:asciiTheme="minorHAnsi" w:hAnsiTheme="minorHAnsi" w:cs="Arial"/>
        </w:rPr>
        <w:t xml:space="preserve"> </w:t>
      </w:r>
      <w:r w:rsidR="00701A09" w:rsidRPr="00BD1C72">
        <w:rPr>
          <w:rFonts w:asciiTheme="minorHAnsi" w:hAnsiTheme="minorHAnsi" w:cs="Arial"/>
        </w:rPr>
        <w:t xml:space="preserve"> </w:t>
      </w:r>
    </w:p>
    <w:p w:rsidR="00702991" w:rsidRDefault="00702991" w:rsidP="009E57D4">
      <w:pPr>
        <w:pStyle w:val="ListParagraph"/>
        <w:numPr>
          <w:ilvl w:val="0"/>
          <w:numId w:val="16"/>
        </w:numPr>
        <w:spacing w:after="0" w:line="240" w:lineRule="auto"/>
        <w:ind w:left="720"/>
        <w:contextualSpacing w:val="0"/>
        <w:jc w:val="both"/>
        <w:rPr>
          <w:rFonts w:asciiTheme="minorHAnsi" w:hAnsiTheme="minorHAnsi" w:cs="Arial"/>
        </w:rPr>
      </w:pPr>
      <w:r w:rsidRPr="00BD1C72">
        <w:rPr>
          <w:rFonts w:asciiTheme="minorHAnsi" w:hAnsiTheme="minorHAnsi" w:cs="Arial"/>
        </w:rPr>
        <w:t>Attachment 2</w:t>
      </w:r>
      <w:r w:rsidR="00DD2A23">
        <w:rPr>
          <w:rFonts w:asciiTheme="minorHAnsi" w:hAnsiTheme="minorHAnsi" w:cs="Arial"/>
        </w:rPr>
        <w:t>a</w:t>
      </w:r>
      <w:r w:rsidR="00C756E2">
        <w:rPr>
          <w:rFonts w:asciiTheme="minorHAnsi" w:hAnsiTheme="minorHAnsi" w:cs="Arial"/>
        </w:rPr>
        <w:t xml:space="preserve">. </w:t>
      </w:r>
      <w:r w:rsidR="00196F52" w:rsidRPr="00BD1C72">
        <w:rPr>
          <w:rFonts w:asciiTheme="minorHAnsi" w:hAnsiTheme="minorHAnsi" w:cs="Arial"/>
        </w:rPr>
        <w:t>Moderator’s Guide</w:t>
      </w:r>
      <w:r w:rsidR="00C756E2">
        <w:rPr>
          <w:rFonts w:asciiTheme="minorHAnsi" w:hAnsiTheme="minorHAnsi" w:cs="Arial"/>
        </w:rPr>
        <w:t>: Women’s Perceptions of Tobacco Products (Pregnant Women)</w:t>
      </w:r>
    </w:p>
    <w:p w:rsidR="00C756E2" w:rsidRPr="00BD1C72" w:rsidRDefault="00C756E2" w:rsidP="009E57D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 2b. Moderator’s Guide: Women’s Perceptions of Tobacco Products (Non-pregnant Women)</w:t>
      </w:r>
    </w:p>
    <w:p w:rsidR="0002391D" w:rsidRPr="00BD1C72" w:rsidRDefault="0002391D" w:rsidP="00196F52">
      <w:pPr>
        <w:pStyle w:val="ListParagraph"/>
        <w:numPr>
          <w:ilvl w:val="0"/>
          <w:numId w:val="16"/>
        </w:numPr>
        <w:spacing w:after="0" w:line="240" w:lineRule="auto"/>
        <w:ind w:left="720"/>
        <w:contextualSpacing w:val="0"/>
        <w:jc w:val="both"/>
        <w:rPr>
          <w:rFonts w:asciiTheme="minorHAnsi" w:hAnsiTheme="minorHAnsi" w:cs="Arial"/>
        </w:rPr>
      </w:pPr>
      <w:r w:rsidRPr="00BD1C72">
        <w:rPr>
          <w:rFonts w:asciiTheme="minorHAnsi" w:hAnsiTheme="minorHAnsi" w:cs="Arial"/>
        </w:rPr>
        <w:t>Attachment 3. Informed Consent</w:t>
      </w:r>
    </w:p>
    <w:p w:rsidR="005515F4" w:rsidRDefault="005515F4" w:rsidP="005C6DAE">
      <w:pPr>
        <w:pStyle w:val="ListParagraph"/>
        <w:spacing w:after="0" w:line="240" w:lineRule="auto"/>
        <w:ind w:left="0"/>
        <w:contextualSpacing w:val="0"/>
        <w:jc w:val="both"/>
        <w:rPr>
          <w:rFonts w:asciiTheme="minorHAnsi" w:hAnsiTheme="minorHAnsi" w:cs="Arial"/>
          <w:b/>
        </w:rPr>
      </w:pPr>
    </w:p>
    <w:p w:rsidR="00D80688" w:rsidRPr="00AF76FB" w:rsidRDefault="005F2200" w:rsidP="005C6DAE">
      <w:pPr>
        <w:pStyle w:val="ListParagraph"/>
        <w:spacing w:after="0" w:line="240" w:lineRule="auto"/>
        <w:ind w:left="0"/>
        <w:contextualSpacing w:val="0"/>
        <w:jc w:val="both"/>
        <w:rPr>
          <w:rFonts w:asciiTheme="minorHAnsi" w:hAnsiTheme="minorHAnsi" w:cs="Arial"/>
          <w:b/>
        </w:rPr>
      </w:pPr>
      <w:r w:rsidRPr="00AF76FB">
        <w:rPr>
          <w:rFonts w:asciiTheme="minorHAnsi" w:hAnsiTheme="minorHAnsi" w:cs="Arial"/>
          <w:b/>
        </w:rPr>
        <w:t>Attachments</w:t>
      </w:r>
    </w:p>
    <w:p w:rsidR="0002391D" w:rsidRPr="00693414" w:rsidRDefault="00515933" w:rsidP="005C6DAE">
      <w:pPr>
        <w:pStyle w:val="ListParagraph"/>
        <w:numPr>
          <w:ilvl w:val="0"/>
          <w:numId w:val="17"/>
        </w:numPr>
        <w:spacing w:after="0" w:line="240" w:lineRule="auto"/>
        <w:ind w:left="720"/>
        <w:contextualSpacing w:val="0"/>
        <w:jc w:val="both"/>
        <w:rPr>
          <w:rFonts w:asciiTheme="minorHAnsi" w:hAnsiTheme="minorHAnsi" w:cs="Arial"/>
        </w:rPr>
      </w:pPr>
      <w:r w:rsidRPr="00693414">
        <w:rPr>
          <w:rFonts w:asciiTheme="minorHAnsi" w:hAnsiTheme="minorHAnsi" w:cs="Arial"/>
        </w:rPr>
        <w:t xml:space="preserve">Attachment </w:t>
      </w:r>
      <w:r w:rsidR="00693414" w:rsidRPr="00693414">
        <w:rPr>
          <w:rFonts w:asciiTheme="minorHAnsi" w:hAnsiTheme="minorHAnsi" w:cs="Arial"/>
        </w:rPr>
        <w:t>4</w:t>
      </w:r>
      <w:r w:rsidR="00DD2A23">
        <w:rPr>
          <w:rFonts w:asciiTheme="minorHAnsi" w:hAnsiTheme="minorHAnsi" w:cs="Arial"/>
        </w:rPr>
        <w:t xml:space="preserve"> a-b</w:t>
      </w:r>
      <w:r w:rsidRPr="00693414">
        <w:rPr>
          <w:rFonts w:asciiTheme="minorHAnsi" w:hAnsiTheme="minorHAnsi" w:cs="Arial"/>
        </w:rPr>
        <w:t xml:space="preserve">. </w:t>
      </w:r>
      <w:r w:rsidR="0002391D" w:rsidRPr="00693414">
        <w:rPr>
          <w:rFonts w:asciiTheme="minorHAnsi" w:hAnsiTheme="minorHAnsi" w:cs="Arial"/>
        </w:rPr>
        <w:t>RTI Institutional Review Board Approval</w:t>
      </w:r>
    </w:p>
    <w:p w:rsidR="00693414" w:rsidRDefault="00693414" w:rsidP="005C6DAE">
      <w:pPr>
        <w:pStyle w:val="ListParagraph"/>
        <w:numPr>
          <w:ilvl w:val="0"/>
          <w:numId w:val="17"/>
        </w:numPr>
        <w:spacing w:after="0" w:line="240" w:lineRule="auto"/>
        <w:ind w:left="720"/>
        <w:contextualSpacing w:val="0"/>
        <w:jc w:val="both"/>
        <w:rPr>
          <w:rFonts w:asciiTheme="minorHAnsi" w:hAnsiTheme="minorHAnsi" w:cs="Arial"/>
        </w:rPr>
      </w:pPr>
      <w:r w:rsidRPr="00693414">
        <w:rPr>
          <w:rFonts w:asciiTheme="minorHAnsi" w:hAnsiTheme="minorHAnsi" w:cs="Arial"/>
        </w:rPr>
        <w:t xml:space="preserve">Attachment 5. Recruitment Firm </w:t>
      </w:r>
      <w:r w:rsidR="009907FF">
        <w:rPr>
          <w:rFonts w:asciiTheme="minorHAnsi" w:hAnsiTheme="minorHAnsi" w:cs="Arial"/>
        </w:rPr>
        <w:t>Nondisclosure</w:t>
      </w:r>
      <w:r w:rsidR="009907FF" w:rsidRPr="00693414">
        <w:rPr>
          <w:rFonts w:asciiTheme="minorHAnsi" w:hAnsiTheme="minorHAnsi" w:cs="Arial"/>
        </w:rPr>
        <w:t xml:space="preserve"> </w:t>
      </w:r>
      <w:r w:rsidRPr="00693414">
        <w:rPr>
          <w:rFonts w:asciiTheme="minorHAnsi" w:hAnsiTheme="minorHAnsi" w:cs="Arial"/>
        </w:rPr>
        <w:t>Agreement</w:t>
      </w:r>
    </w:p>
    <w:p w:rsidR="000B3EBD" w:rsidRDefault="000B3EBD" w:rsidP="005C6DAE">
      <w:pPr>
        <w:pStyle w:val="ListParagraph"/>
        <w:numPr>
          <w:ilvl w:val="0"/>
          <w:numId w:val="17"/>
        </w:numPr>
        <w:spacing w:after="0" w:line="240" w:lineRule="auto"/>
        <w:ind w:left="720"/>
        <w:contextualSpacing w:val="0"/>
        <w:jc w:val="both"/>
        <w:rPr>
          <w:rFonts w:asciiTheme="minorHAnsi" w:hAnsiTheme="minorHAnsi" w:cs="Arial"/>
        </w:rPr>
      </w:pPr>
      <w:r>
        <w:rPr>
          <w:rFonts w:asciiTheme="minorHAnsi" w:hAnsiTheme="minorHAnsi" w:cs="Arial"/>
        </w:rPr>
        <w:t>Attachment 6</w:t>
      </w:r>
      <w:r w:rsidR="00F44D4D">
        <w:rPr>
          <w:rFonts w:asciiTheme="minorHAnsi" w:hAnsiTheme="minorHAnsi" w:cs="Arial"/>
        </w:rPr>
        <w:t>a-c</w:t>
      </w:r>
      <w:r>
        <w:rPr>
          <w:rFonts w:asciiTheme="minorHAnsi" w:hAnsiTheme="minorHAnsi" w:cs="Arial"/>
        </w:rPr>
        <w:t>. Educational materials for distribution at conclusion of sessions</w:t>
      </w:r>
    </w:p>
    <w:p w:rsidR="00856B73" w:rsidRPr="00693414" w:rsidRDefault="00856B73" w:rsidP="005C6DAE">
      <w:pPr>
        <w:pStyle w:val="ListParagraph"/>
        <w:numPr>
          <w:ilvl w:val="0"/>
          <w:numId w:val="17"/>
        </w:numPr>
        <w:spacing w:after="0" w:line="240" w:lineRule="auto"/>
        <w:ind w:left="720"/>
        <w:contextualSpacing w:val="0"/>
        <w:jc w:val="both"/>
        <w:rPr>
          <w:rFonts w:asciiTheme="minorHAnsi" w:hAnsiTheme="minorHAnsi" w:cs="Arial"/>
        </w:rPr>
      </w:pPr>
      <w:r>
        <w:rPr>
          <w:rFonts w:asciiTheme="minorHAnsi" w:hAnsiTheme="minorHAnsi" w:cs="Arial"/>
        </w:rPr>
        <w:t>Attachment 7. Tobacco product information</w:t>
      </w:r>
    </w:p>
    <w:p w:rsidR="0082712D" w:rsidRPr="00AF76FB" w:rsidRDefault="0082712D" w:rsidP="009505A2">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6E0C36" w:rsidRDefault="006E0C36" w:rsidP="009505A2">
      <w:pPr>
        <w:widowControl w:val="0"/>
        <w:tabs>
          <w:tab w:val="left" w:pos="0"/>
        </w:tabs>
        <w:spacing w:after="0" w:line="240" w:lineRule="auto"/>
        <w:ind w:left="720" w:hanging="720"/>
        <w:jc w:val="both"/>
        <w:outlineLvl w:val="1"/>
        <w:rPr>
          <w:rFonts w:asciiTheme="minorHAnsi" w:hAnsiTheme="minorHAnsi"/>
          <w:b/>
          <w:sz w:val="28"/>
          <w:szCs w:val="28"/>
        </w:rPr>
      </w:pPr>
    </w:p>
    <w:p w:rsidR="00044A5F" w:rsidRPr="006F63B3" w:rsidRDefault="00515933" w:rsidP="009505A2">
      <w:pPr>
        <w:widowControl w:val="0"/>
        <w:tabs>
          <w:tab w:val="left" w:pos="0"/>
        </w:tabs>
        <w:spacing w:after="0"/>
        <w:ind w:left="720" w:hanging="720"/>
        <w:jc w:val="both"/>
        <w:outlineLvl w:val="1"/>
        <w:rPr>
          <w:rFonts w:asciiTheme="minorHAnsi" w:hAnsiTheme="minorHAnsi"/>
          <w:b/>
          <w:sz w:val="28"/>
          <w:szCs w:val="28"/>
        </w:rPr>
      </w:pPr>
      <w:r w:rsidRPr="006F63B3">
        <w:rPr>
          <w:rFonts w:asciiTheme="minorHAnsi" w:hAnsiTheme="minorHAnsi"/>
          <w:b/>
          <w:sz w:val="28"/>
          <w:szCs w:val="28"/>
        </w:rPr>
        <w:t>Section A: Justification for Information Collection</w:t>
      </w:r>
    </w:p>
    <w:p w:rsidR="007F1ACE" w:rsidRDefault="007F1ACE" w:rsidP="009505A2">
      <w:pPr>
        <w:spacing w:after="0"/>
        <w:jc w:val="both"/>
        <w:rPr>
          <w:rFonts w:asciiTheme="minorHAnsi" w:hAnsiTheme="minorHAnsi"/>
          <w:b/>
        </w:rPr>
      </w:pPr>
    </w:p>
    <w:p w:rsidR="00044A5F" w:rsidRDefault="00044A5F" w:rsidP="009505A2">
      <w:pPr>
        <w:spacing w:after="0"/>
        <w:jc w:val="both"/>
        <w:rPr>
          <w:rFonts w:asciiTheme="minorHAnsi" w:hAnsiTheme="minorHAnsi"/>
          <w:b/>
        </w:rPr>
      </w:pPr>
      <w:r w:rsidRPr="00685346">
        <w:rPr>
          <w:rFonts w:asciiTheme="minorHAnsi" w:hAnsiTheme="minorHAnsi"/>
          <w:b/>
        </w:rPr>
        <w:t>A.1</w:t>
      </w:r>
      <w:r w:rsidRPr="00685346">
        <w:rPr>
          <w:rFonts w:asciiTheme="minorHAnsi" w:hAnsiTheme="minorHAnsi"/>
          <w:b/>
        </w:rPr>
        <w:tab/>
        <w:t>Circumstances Making the Collection of Information Necessary</w:t>
      </w:r>
    </w:p>
    <w:p w:rsidR="00746D4F" w:rsidRPr="00685346" w:rsidRDefault="00746D4F" w:rsidP="009505A2">
      <w:pPr>
        <w:spacing w:after="0"/>
        <w:jc w:val="both"/>
        <w:rPr>
          <w:rFonts w:asciiTheme="minorHAnsi" w:hAnsiTheme="minorHAnsi"/>
          <w:b/>
        </w:rPr>
      </w:pPr>
    </w:p>
    <w:p w:rsidR="00862F33" w:rsidRPr="00862F33" w:rsidRDefault="00862F33" w:rsidP="001478D3">
      <w:pPr>
        <w:pStyle w:val="bodyTextpsg"/>
        <w:rPr>
          <w:rFonts w:asciiTheme="minorHAnsi" w:hAnsiTheme="minorHAnsi" w:cstheme="minorHAnsi"/>
        </w:rPr>
      </w:pPr>
      <w:r w:rsidRPr="00862F33">
        <w:rPr>
          <w:rFonts w:asciiTheme="minorHAnsi" w:hAnsiTheme="minorHAnsi" w:cstheme="minorHAnsi"/>
          <w:szCs w:val="22"/>
        </w:rPr>
        <w:t>Cigarette smoking during pregnancy is known to increase the risk of adverse pregnancy outcomes</w:t>
      </w:r>
      <w:r w:rsidRPr="00862F33">
        <w:rPr>
          <w:rFonts w:asciiTheme="minorHAnsi" w:hAnsiTheme="minorHAnsi" w:cstheme="minorHAnsi"/>
        </w:rPr>
        <w:t xml:space="preserve">. Although exposure to cigarette smoke presents risks for all smokers (e.g., cancer, pulmonary disease), there are additional risks for women who smoke during pregnancy and for their fetuses. </w:t>
      </w:r>
      <w:r w:rsidRPr="00862F33">
        <w:rPr>
          <w:rFonts w:asciiTheme="minorHAnsi" w:hAnsiTheme="minorHAnsi" w:cstheme="minorHAnsi"/>
          <w:bCs/>
        </w:rPr>
        <w:t>Several studies have shown that smoking during pregnancy is associated with perinatal complica</w:t>
      </w:r>
      <w:r w:rsidRPr="00862F33">
        <w:rPr>
          <w:rFonts w:asciiTheme="minorHAnsi" w:hAnsiTheme="minorHAnsi" w:cstheme="minorHAnsi"/>
          <w:bCs/>
        </w:rPr>
        <w:softHyphen/>
        <w:t xml:space="preserve">tions, including </w:t>
      </w:r>
      <w:r w:rsidRPr="00862F33">
        <w:rPr>
          <w:rFonts w:asciiTheme="minorHAnsi" w:hAnsiTheme="minorHAnsi" w:cstheme="minorHAnsi"/>
        </w:rPr>
        <w:t xml:space="preserve">preterm delivery, placental abruption, placenta </w:t>
      </w:r>
      <w:proofErr w:type="spellStart"/>
      <w:r w:rsidRPr="00862F33">
        <w:rPr>
          <w:rFonts w:asciiTheme="minorHAnsi" w:hAnsiTheme="minorHAnsi" w:cstheme="minorHAnsi"/>
        </w:rPr>
        <w:t>previa</w:t>
      </w:r>
      <w:proofErr w:type="spellEnd"/>
      <w:r w:rsidRPr="00862F33">
        <w:rPr>
          <w:rFonts w:asciiTheme="minorHAnsi" w:hAnsiTheme="minorHAnsi" w:cstheme="minorHAnsi"/>
        </w:rPr>
        <w:t>, and fetal growth restriction (Andres &amp; Day, 2000). Additionally, secondhand smoke can increase an infant’s risk of SIDS, respiratory tract infections (e.g., bronchitis and pneumonia), and ear infec</w:t>
      </w:r>
      <w:r w:rsidRPr="00862F33">
        <w:rPr>
          <w:rFonts w:asciiTheme="minorHAnsi" w:hAnsiTheme="minorHAnsi" w:cstheme="minorHAnsi"/>
        </w:rPr>
        <w:softHyphen/>
        <w:t>tions (</w:t>
      </w:r>
      <w:r w:rsidRPr="00EC08B5">
        <w:rPr>
          <w:rFonts w:asciiTheme="minorHAnsi" w:hAnsiTheme="minorHAnsi" w:cstheme="minorHAnsi"/>
        </w:rPr>
        <w:t>CDC, 2001, 2004, 2006</w:t>
      </w:r>
      <w:r w:rsidRPr="00862F33">
        <w:rPr>
          <w:rFonts w:asciiTheme="minorHAnsi" w:hAnsiTheme="minorHAnsi" w:cstheme="minorHAnsi"/>
        </w:rPr>
        <w:t xml:space="preserve"> in Tong et al., 2009</w:t>
      </w:r>
      <w:r w:rsidR="00CA3607">
        <w:rPr>
          <w:rFonts w:asciiTheme="minorHAnsi" w:hAnsiTheme="minorHAnsi" w:cstheme="minorHAnsi"/>
        </w:rPr>
        <w:t xml:space="preserve">). </w:t>
      </w:r>
      <w:r w:rsidRPr="00862F33">
        <w:rPr>
          <w:rFonts w:asciiTheme="minorHAnsi" w:hAnsiTheme="minorHAnsi" w:cstheme="minorHAnsi"/>
        </w:rPr>
        <w:t xml:space="preserve">Furthermore, from 2000 to 2004, an estimated 776 infants died annually from causes attributed to maternal smoking during pregnancy (CDC, 2008 in Tong et al., 2009). </w:t>
      </w:r>
    </w:p>
    <w:p w:rsidR="00862F33" w:rsidRPr="00862F33" w:rsidRDefault="00862F33" w:rsidP="001478D3">
      <w:pPr>
        <w:pStyle w:val="bodyTextpsg"/>
        <w:rPr>
          <w:rFonts w:asciiTheme="minorHAnsi" w:hAnsiTheme="minorHAnsi" w:cstheme="minorHAnsi"/>
        </w:rPr>
      </w:pPr>
      <w:r w:rsidRPr="00862F33">
        <w:rPr>
          <w:rFonts w:asciiTheme="minorHAnsi" w:hAnsiTheme="minorHAnsi" w:cstheme="minorHAnsi"/>
        </w:rPr>
        <w:t xml:space="preserve">In recent years, manufacturers of tobacco products have invested heavily in a new generation of smokeless tobacco products that encompass a wide range of products. It has been suggested that using smokeless tobacco products is safer than smoking cigarettes because smokeless tobacco use does not </w:t>
      </w:r>
      <w:r w:rsidRPr="00862F33">
        <w:rPr>
          <w:rFonts w:asciiTheme="minorHAnsi" w:hAnsiTheme="minorHAnsi" w:cstheme="minorHAnsi"/>
        </w:rPr>
        <w:lastRenderedPageBreak/>
        <w:t>result in exposure to products of combustion (</w:t>
      </w:r>
      <w:proofErr w:type="spellStart"/>
      <w:r w:rsidRPr="00862F33">
        <w:rPr>
          <w:rFonts w:asciiTheme="minorHAnsi" w:hAnsiTheme="minorHAnsi" w:cstheme="minorHAnsi"/>
        </w:rPr>
        <w:t>Asplund</w:t>
      </w:r>
      <w:proofErr w:type="spellEnd"/>
      <w:r w:rsidRPr="00862F33">
        <w:rPr>
          <w:rFonts w:asciiTheme="minorHAnsi" w:hAnsiTheme="minorHAnsi" w:cstheme="minorHAnsi"/>
        </w:rPr>
        <w:t>, 2001</w:t>
      </w:r>
      <w:r w:rsidR="00CB0635">
        <w:rPr>
          <w:rFonts w:asciiTheme="minorHAnsi" w:hAnsiTheme="minorHAnsi" w:cstheme="minorHAnsi"/>
        </w:rPr>
        <w:t xml:space="preserve">; </w:t>
      </w:r>
      <w:proofErr w:type="spellStart"/>
      <w:r w:rsidRPr="00862F33">
        <w:rPr>
          <w:rFonts w:asciiTheme="minorHAnsi" w:hAnsiTheme="minorHAnsi" w:cstheme="minorHAnsi"/>
        </w:rPr>
        <w:t>Rodu</w:t>
      </w:r>
      <w:proofErr w:type="spellEnd"/>
      <w:r w:rsidRPr="00862F33">
        <w:rPr>
          <w:rFonts w:asciiTheme="minorHAnsi" w:hAnsiTheme="minorHAnsi" w:cstheme="minorHAnsi"/>
        </w:rPr>
        <w:t>, 2006</w:t>
      </w:r>
      <w:r w:rsidR="00CB0635">
        <w:rPr>
          <w:rFonts w:asciiTheme="minorHAnsi" w:hAnsiTheme="minorHAnsi" w:cstheme="minorHAnsi"/>
        </w:rPr>
        <w:t xml:space="preserve">). </w:t>
      </w:r>
      <w:r w:rsidRPr="00862F33">
        <w:rPr>
          <w:rFonts w:asciiTheme="minorHAnsi" w:hAnsiTheme="minorHAnsi" w:cstheme="minorHAnsi"/>
        </w:rPr>
        <w:t xml:space="preserve"> Researchers suggest that adults may perceive </w:t>
      </w:r>
      <w:proofErr w:type="spellStart"/>
      <w:r w:rsidRPr="00862F33">
        <w:rPr>
          <w:rFonts w:asciiTheme="minorHAnsi" w:hAnsiTheme="minorHAnsi" w:cstheme="minorHAnsi"/>
        </w:rPr>
        <w:t>dissolvables</w:t>
      </w:r>
      <w:proofErr w:type="spellEnd"/>
      <w:r w:rsidRPr="00862F33">
        <w:rPr>
          <w:rFonts w:asciiTheme="minorHAnsi" w:hAnsiTheme="minorHAnsi" w:cstheme="minorHAnsi"/>
        </w:rPr>
        <w:t xml:space="preserve"> to be less harmful than cigarettes (Kim &amp; Zhang, 2011; </w:t>
      </w:r>
      <w:proofErr w:type="spellStart"/>
      <w:r w:rsidRPr="00862F33">
        <w:rPr>
          <w:rFonts w:asciiTheme="minorHAnsi" w:hAnsiTheme="minorHAnsi" w:cstheme="minorHAnsi"/>
        </w:rPr>
        <w:t>McClave</w:t>
      </w:r>
      <w:proofErr w:type="spellEnd"/>
      <w:r w:rsidRPr="00862F33">
        <w:rPr>
          <w:rFonts w:asciiTheme="minorHAnsi" w:hAnsiTheme="minorHAnsi" w:cstheme="minorHAnsi"/>
        </w:rPr>
        <w:t xml:space="preserve"> et al., 2010). In a national sample, </w:t>
      </w:r>
      <w:proofErr w:type="spellStart"/>
      <w:r w:rsidRPr="00862F33">
        <w:rPr>
          <w:rFonts w:asciiTheme="minorHAnsi" w:hAnsiTheme="minorHAnsi" w:cstheme="minorHAnsi"/>
        </w:rPr>
        <w:t>McClave</w:t>
      </w:r>
      <w:proofErr w:type="spellEnd"/>
      <w:r w:rsidRPr="00862F33">
        <w:rPr>
          <w:rFonts w:asciiTheme="minorHAnsi" w:hAnsiTheme="minorHAnsi" w:cstheme="minorHAnsi"/>
        </w:rPr>
        <w:t xml:space="preserve"> and colleagues (2010</w:t>
      </w:r>
      <w:r w:rsidR="00CB0635">
        <w:rPr>
          <w:rFonts w:asciiTheme="minorHAnsi" w:hAnsiTheme="minorHAnsi" w:cstheme="minorHAnsi"/>
        </w:rPr>
        <w:t>)</w:t>
      </w:r>
      <w:r w:rsidRPr="00862F33">
        <w:rPr>
          <w:rFonts w:asciiTheme="minorHAnsi" w:hAnsiTheme="minorHAnsi" w:cstheme="minorHAnsi"/>
        </w:rPr>
        <w:t xml:space="preserve"> found that 39.3% of respondents believed </w:t>
      </w:r>
      <w:proofErr w:type="spellStart"/>
      <w:r w:rsidRPr="00862F33">
        <w:rPr>
          <w:rFonts w:asciiTheme="minorHAnsi" w:hAnsiTheme="minorHAnsi" w:cstheme="minorHAnsi"/>
        </w:rPr>
        <w:t>dissolvables</w:t>
      </w:r>
      <w:proofErr w:type="spellEnd"/>
      <w:r w:rsidRPr="00862F33">
        <w:rPr>
          <w:rFonts w:asciiTheme="minorHAnsi" w:hAnsiTheme="minorHAnsi" w:cstheme="minorHAnsi"/>
        </w:rPr>
        <w:t xml:space="preserve"> to be less harmful than cigarettes. Among Florida adult smokers, Kim and Zhang (2011) found that 22.6% perceived </w:t>
      </w:r>
      <w:proofErr w:type="spellStart"/>
      <w:r w:rsidRPr="00862F33">
        <w:rPr>
          <w:rFonts w:asciiTheme="minorHAnsi" w:hAnsiTheme="minorHAnsi" w:cstheme="minorHAnsi"/>
        </w:rPr>
        <w:t>dissolvables</w:t>
      </w:r>
      <w:proofErr w:type="spellEnd"/>
      <w:r w:rsidRPr="00862F33">
        <w:rPr>
          <w:rFonts w:asciiTheme="minorHAnsi" w:hAnsiTheme="minorHAnsi" w:cstheme="minorHAnsi"/>
        </w:rPr>
        <w:t xml:space="preserve"> to be less harmful than cigarettes and 37.6% reported not knowing the relative risk. </w:t>
      </w:r>
    </w:p>
    <w:p w:rsidR="00862F33" w:rsidRPr="00862F33" w:rsidRDefault="00862F33" w:rsidP="001478D3">
      <w:pPr>
        <w:spacing w:line="240" w:lineRule="auto"/>
        <w:ind w:firstLine="720"/>
        <w:rPr>
          <w:rFonts w:asciiTheme="minorHAnsi" w:hAnsiTheme="minorHAnsi" w:cstheme="minorHAnsi"/>
        </w:rPr>
      </w:pPr>
      <w:r w:rsidRPr="00D65CF2">
        <w:rPr>
          <w:rFonts w:asciiTheme="minorHAnsi" w:hAnsiTheme="minorHAnsi" w:cstheme="minorHAnsi"/>
        </w:rPr>
        <w:t xml:space="preserve">Although the prevalence of smokeless tobacco use in women is currently low in the United States, more research is needed to better understand perceptions of harm for smokeless tobacco products and how these beliefs </w:t>
      </w:r>
      <w:r w:rsidR="00622CD9" w:rsidRPr="00D65CF2">
        <w:rPr>
          <w:rFonts w:asciiTheme="minorHAnsi" w:hAnsiTheme="minorHAnsi" w:cstheme="minorHAnsi"/>
        </w:rPr>
        <w:t xml:space="preserve">compare to nicotine replacement therapy (NRT), how they </w:t>
      </w:r>
      <w:r w:rsidRPr="00D65CF2">
        <w:rPr>
          <w:rFonts w:asciiTheme="minorHAnsi" w:hAnsiTheme="minorHAnsi" w:cstheme="minorHAnsi"/>
        </w:rPr>
        <w:t>may vary by subgroups</w:t>
      </w:r>
      <w:r w:rsidR="00622CD9" w:rsidRPr="00D65CF2">
        <w:rPr>
          <w:rFonts w:asciiTheme="minorHAnsi" w:hAnsiTheme="minorHAnsi" w:cstheme="minorHAnsi"/>
        </w:rPr>
        <w:t>,</w:t>
      </w:r>
      <w:r w:rsidRPr="00D65CF2">
        <w:rPr>
          <w:rFonts w:asciiTheme="minorHAnsi" w:hAnsiTheme="minorHAnsi" w:cstheme="minorHAnsi"/>
        </w:rPr>
        <w:t xml:space="preserve"> and</w:t>
      </w:r>
      <w:r w:rsidR="00622CD9" w:rsidRPr="00D65CF2">
        <w:rPr>
          <w:rFonts w:asciiTheme="minorHAnsi" w:hAnsiTheme="minorHAnsi" w:cstheme="minorHAnsi"/>
        </w:rPr>
        <w:t xml:space="preserve"> how they may</w:t>
      </w:r>
      <w:r w:rsidRPr="00D65CF2">
        <w:rPr>
          <w:rFonts w:asciiTheme="minorHAnsi" w:hAnsiTheme="minorHAnsi" w:cstheme="minorHAnsi"/>
        </w:rPr>
        <w:t xml:space="preserve"> be predictive of use.</w:t>
      </w:r>
      <w:r w:rsidRPr="00862F33">
        <w:rPr>
          <w:rFonts w:asciiTheme="minorHAnsi" w:hAnsiTheme="minorHAnsi" w:cstheme="minorHAnsi"/>
        </w:rPr>
        <w:t xml:space="preserve"> Because pregnant women and women intending to become pregnant are often highly motivated to protect the health of their fetuses, these women may be especially attuned to smokeless tobacco products and marketing that expressly state or imply reduced harm. Therefore, knowing how smokeless products </w:t>
      </w:r>
      <w:r w:rsidR="00622CD9">
        <w:rPr>
          <w:rFonts w:asciiTheme="minorHAnsi" w:hAnsiTheme="minorHAnsi" w:cstheme="minorHAnsi"/>
        </w:rPr>
        <w:t xml:space="preserve">and NRT </w:t>
      </w:r>
      <w:r w:rsidRPr="00862F33">
        <w:rPr>
          <w:rFonts w:asciiTheme="minorHAnsi" w:hAnsiTheme="minorHAnsi" w:cstheme="minorHAnsi"/>
        </w:rPr>
        <w:t>are viewed by pregnant women and women intending to become pregnant merits attention in order to help shape</w:t>
      </w:r>
      <w:r w:rsidR="00447AFB">
        <w:rPr>
          <w:rFonts w:asciiTheme="minorHAnsi" w:hAnsiTheme="minorHAnsi" w:cstheme="minorHAnsi"/>
        </w:rPr>
        <w:t xml:space="preserve"> public health messages, </w:t>
      </w:r>
      <w:r w:rsidRPr="00862F33">
        <w:rPr>
          <w:rFonts w:asciiTheme="minorHAnsi" w:hAnsiTheme="minorHAnsi" w:cstheme="minorHAnsi"/>
        </w:rPr>
        <w:t>intervention and policy strategies to prevent smokeless tobacco use in pregnant women and women of reproductive age.</w:t>
      </w:r>
    </w:p>
    <w:p w:rsidR="006E0C36" w:rsidRPr="00870CAE" w:rsidRDefault="00F37C81" w:rsidP="009505A2">
      <w:pPr>
        <w:pStyle w:val="ListParagraph"/>
        <w:ind w:left="0"/>
        <w:jc w:val="both"/>
        <w:rPr>
          <w:b/>
        </w:rPr>
      </w:pPr>
      <w:r w:rsidRPr="00870CAE">
        <w:rPr>
          <w:b/>
        </w:rPr>
        <w:t>Privacy Impact Assessment Information</w:t>
      </w:r>
    </w:p>
    <w:p w:rsidR="00F37C81" w:rsidRDefault="00F37C81" w:rsidP="009505A2">
      <w:pPr>
        <w:pStyle w:val="ListParagraph"/>
        <w:ind w:left="0"/>
        <w:jc w:val="both"/>
      </w:pPr>
    </w:p>
    <w:p w:rsidR="00F37C81" w:rsidRPr="00870CAE" w:rsidRDefault="00F37C81" w:rsidP="009505A2">
      <w:pPr>
        <w:pStyle w:val="ListParagraph"/>
        <w:ind w:left="0"/>
        <w:jc w:val="both"/>
        <w:rPr>
          <w:u w:val="single"/>
        </w:rPr>
      </w:pPr>
      <w:r w:rsidRPr="00870CAE">
        <w:rPr>
          <w:u w:val="single"/>
        </w:rPr>
        <w:t>Overview of the Information Collection</w:t>
      </w:r>
    </w:p>
    <w:p w:rsidR="00860DDE" w:rsidRDefault="00862F33" w:rsidP="00B63EFD">
      <w:pPr>
        <w:spacing w:line="240" w:lineRule="auto"/>
        <w:ind w:firstLine="720"/>
        <w:rPr>
          <w:rFonts w:asciiTheme="minorHAnsi" w:hAnsiTheme="minorHAnsi" w:cstheme="minorHAnsi"/>
        </w:rPr>
      </w:pPr>
      <w:r w:rsidRPr="00862F33">
        <w:rPr>
          <w:rFonts w:asciiTheme="minorHAnsi" w:hAnsiTheme="minorHAnsi" w:cstheme="minorHAnsi"/>
        </w:rPr>
        <w:t>The objective of the proposed research is to assess, via focus groups</w:t>
      </w:r>
      <w:r w:rsidR="00BF23FA">
        <w:rPr>
          <w:rFonts w:asciiTheme="minorHAnsi" w:hAnsiTheme="minorHAnsi" w:cstheme="minorHAnsi"/>
        </w:rPr>
        <w:t xml:space="preserve"> and in-depth interviews (IDIs)</w:t>
      </w:r>
      <w:r w:rsidRPr="00862F33">
        <w:rPr>
          <w:rFonts w:asciiTheme="minorHAnsi" w:hAnsiTheme="minorHAnsi" w:cstheme="minorHAnsi"/>
        </w:rPr>
        <w:t xml:space="preserve">, the awareness, attitudes, and perceptions, particularly health risk perceptions </w:t>
      </w:r>
      <w:r w:rsidR="00CE5910" w:rsidRPr="00D65CF2">
        <w:rPr>
          <w:rFonts w:asciiTheme="minorHAnsi" w:hAnsiTheme="minorHAnsi" w:cstheme="minorHAnsi"/>
        </w:rPr>
        <w:t>of smokeless tobacco products and NRT</w:t>
      </w:r>
      <w:r w:rsidR="00CE5910" w:rsidRPr="00862F33">
        <w:rPr>
          <w:rFonts w:asciiTheme="minorHAnsi" w:hAnsiTheme="minorHAnsi" w:cstheme="minorHAnsi"/>
        </w:rPr>
        <w:t xml:space="preserve"> </w:t>
      </w:r>
      <w:r w:rsidRPr="00862F33">
        <w:rPr>
          <w:rFonts w:asciiTheme="minorHAnsi" w:hAnsiTheme="minorHAnsi" w:cstheme="minorHAnsi"/>
        </w:rPr>
        <w:t xml:space="preserve">to self and to fetus, of pregnant women and women of childbearing age (18 to 40 years) who are planning or trying to become pregnant in the next year. </w:t>
      </w:r>
      <w:r w:rsidR="00BD1C72">
        <w:rPr>
          <w:rFonts w:asciiTheme="minorHAnsi" w:hAnsiTheme="minorHAnsi" w:cstheme="minorHAnsi"/>
        </w:rPr>
        <w:t xml:space="preserve">Focus groups will be conducted with pregnant women who are smokers or who quit after they became pregnant and women who currently smoke who are planning to become pregnant. </w:t>
      </w:r>
      <w:r w:rsidR="00334196">
        <w:rPr>
          <w:rFonts w:asciiTheme="minorHAnsi" w:hAnsiTheme="minorHAnsi" w:cstheme="minorHAnsi"/>
        </w:rPr>
        <w:t xml:space="preserve">Based on recruitment findings from our pilot </w:t>
      </w:r>
      <w:r w:rsidR="00DC7A20">
        <w:rPr>
          <w:rFonts w:asciiTheme="minorHAnsi" w:hAnsiTheme="minorHAnsi" w:cstheme="minorHAnsi"/>
        </w:rPr>
        <w:t xml:space="preserve">test </w:t>
      </w:r>
      <w:r w:rsidR="00DC7A20" w:rsidRPr="009505A2">
        <w:t xml:space="preserve">with a minimal number of individuals </w:t>
      </w:r>
      <w:r w:rsidR="00DC7A20">
        <w:t>(&lt; 9)</w:t>
      </w:r>
      <w:r w:rsidR="00334196">
        <w:rPr>
          <w:rFonts w:asciiTheme="minorHAnsi" w:hAnsiTheme="minorHAnsi" w:cstheme="minorHAnsi"/>
        </w:rPr>
        <w:t>,</w:t>
      </w:r>
      <w:r w:rsidR="0063706B">
        <w:rPr>
          <w:rFonts w:asciiTheme="minorHAnsi" w:hAnsiTheme="minorHAnsi" w:cstheme="minorHAnsi"/>
        </w:rPr>
        <w:t xml:space="preserve"> we will give</w:t>
      </w:r>
      <w:r w:rsidR="00334196">
        <w:rPr>
          <w:rFonts w:asciiTheme="minorHAnsi" w:hAnsiTheme="minorHAnsi" w:cstheme="minorHAnsi"/>
        </w:rPr>
        <w:t xml:space="preserve"> </w:t>
      </w:r>
      <w:r w:rsidR="00860DDE">
        <w:rPr>
          <w:rFonts w:asciiTheme="minorHAnsi" w:hAnsiTheme="minorHAnsi" w:cstheme="minorHAnsi"/>
        </w:rPr>
        <w:t xml:space="preserve">pregnant </w:t>
      </w:r>
      <w:r w:rsidR="00334196">
        <w:rPr>
          <w:rFonts w:asciiTheme="minorHAnsi" w:hAnsiTheme="minorHAnsi" w:cstheme="minorHAnsi"/>
        </w:rPr>
        <w:t>smokers</w:t>
      </w:r>
      <w:r w:rsidR="00911E5B">
        <w:rPr>
          <w:rFonts w:asciiTheme="minorHAnsi" w:hAnsiTheme="minorHAnsi" w:cstheme="minorHAnsi"/>
        </w:rPr>
        <w:t xml:space="preserve"> the option to participate in a</w:t>
      </w:r>
      <w:r w:rsidR="00334196">
        <w:rPr>
          <w:rFonts w:asciiTheme="minorHAnsi" w:hAnsiTheme="minorHAnsi" w:cstheme="minorHAnsi"/>
        </w:rPr>
        <w:t xml:space="preserve"> </w:t>
      </w:r>
      <w:r w:rsidR="0063706B">
        <w:rPr>
          <w:rFonts w:asciiTheme="minorHAnsi" w:hAnsiTheme="minorHAnsi" w:cstheme="minorHAnsi"/>
        </w:rPr>
        <w:t>one-on-one</w:t>
      </w:r>
      <w:r w:rsidR="00C756E2">
        <w:rPr>
          <w:rFonts w:asciiTheme="minorHAnsi" w:hAnsiTheme="minorHAnsi" w:cstheme="minorHAnsi"/>
        </w:rPr>
        <w:t xml:space="preserve"> in-depth interview</w:t>
      </w:r>
      <w:r w:rsidR="0063706B">
        <w:rPr>
          <w:rFonts w:asciiTheme="minorHAnsi" w:hAnsiTheme="minorHAnsi" w:cstheme="minorHAnsi"/>
        </w:rPr>
        <w:t xml:space="preserve"> </w:t>
      </w:r>
      <w:r w:rsidR="00C756E2">
        <w:rPr>
          <w:rFonts w:asciiTheme="minorHAnsi" w:hAnsiTheme="minorHAnsi" w:cstheme="minorHAnsi"/>
        </w:rPr>
        <w:t>(</w:t>
      </w:r>
      <w:r w:rsidR="00334196">
        <w:rPr>
          <w:rFonts w:asciiTheme="minorHAnsi" w:hAnsiTheme="minorHAnsi" w:cstheme="minorHAnsi"/>
        </w:rPr>
        <w:t>IDI</w:t>
      </w:r>
      <w:r w:rsidR="00C756E2">
        <w:rPr>
          <w:rFonts w:asciiTheme="minorHAnsi" w:hAnsiTheme="minorHAnsi" w:cstheme="minorHAnsi"/>
        </w:rPr>
        <w:t>)</w:t>
      </w:r>
      <w:r w:rsidR="00334196">
        <w:rPr>
          <w:rFonts w:asciiTheme="minorHAnsi" w:hAnsiTheme="minorHAnsi" w:cstheme="minorHAnsi"/>
        </w:rPr>
        <w:t xml:space="preserve"> instead of a</w:t>
      </w:r>
      <w:r w:rsidR="0063706B">
        <w:rPr>
          <w:rFonts w:asciiTheme="minorHAnsi" w:hAnsiTheme="minorHAnsi" w:cstheme="minorHAnsi"/>
        </w:rPr>
        <w:t xml:space="preserve"> group setting</w:t>
      </w:r>
      <w:r w:rsidR="00334196">
        <w:rPr>
          <w:rFonts w:asciiTheme="minorHAnsi" w:hAnsiTheme="minorHAnsi" w:cstheme="minorHAnsi"/>
        </w:rPr>
        <w:t xml:space="preserve"> focus group should they prefer to do so. </w:t>
      </w:r>
    </w:p>
    <w:p w:rsidR="00862F33" w:rsidRPr="00862F33" w:rsidRDefault="00862F33" w:rsidP="00B63EFD">
      <w:pPr>
        <w:spacing w:line="240" w:lineRule="auto"/>
        <w:ind w:firstLine="720"/>
        <w:rPr>
          <w:rFonts w:asciiTheme="minorHAnsi" w:hAnsiTheme="minorHAnsi" w:cstheme="minorHAnsi"/>
        </w:rPr>
      </w:pPr>
      <w:r w:rsidRPr="00862F33">
        <w:rPr>
          <w:rFonts w:asciiTheme="minorHAnsi" w:hAnsiTheme="minorHAnsi" w:cstheme="minorHAnsi"/>
        </w:rPr>
        <w:t xml:space="preserve">Women who stopped smoking after they became pregnant must have stopped smoking for more than 30 days. We also examine factors that might influence this population to change products (especially from cigarettes to </w:t>
      </w:r>
      <w:r w:rsidRPr="00862F33">
        <w:rPr>
          <w:rFonts w:asciiTheme="minorHAnsi" w:hAnsiTheme="minorHAnsi" w:cstheme="minorHAnsi"/>
          <w:iCs/>
        </w:rPr>
        <w:t>smokeless tobacco products</w:t>
      </w:r>
      <w:r w:rsidRPr="00862F33">
        <w:rPr>
          <w:rFonts w:asciiTheme="minorHAnsi" w:hAnsiTheme="minorHAnsi" w:cstheme="minorHAnsi"/>
        </w:rPr>
        <w:t xml:space="preserve">) and/or resume tobacco use with a new product. </w:t>
      </w:r>
    </w:p>
    <w:p w:rsidR="00862F33" w:rsidRPr="00B223FC" w:rsidRDefault="00862F33" w:rsidP="00B63EFD">
      <w:pPr>
        <w:spacing w:line="240" w:lineRule="auto"/>
        <w:ind w:firstLine="720"/>
      </w:pPr>
      <w:r>
        <w:t>D</w:t>
      </w:r>
      <w:r w:rsidRPr="00B223FC">
        <w:t xml:space="preserve">ata collection for </w:t>
      </w:r>
      <w:r w:rsidRPr="00B223FC">
        <w:rPr>
          <w:iCs/>
        </w:rPr>
        <w:t>this effort</w:t>
      </w:r>
      <w:r w:rsidRPr="00B223FC">
        <w:t xml:space="preserve"> will consist of</w:t>
      </w:r>
      <w:r>
        <w:t xml:space="preserve"> </w:t>
      </w:r>
      <w:r w:rsidR="001B48A7">
        <w:t xml:space="preserve">a total of </w:t>
      </w:r>
      <w:r w:rsidR="001D3639">
        <w:t>eighteen</w:t>
      </w:r>
      <w:r>
        <w:t xml:space="preserve"> </w:t>
      </w:r>
      <w:r w:rsidR="006127A4">
        <w:t>90 minute</w:t>
      </w:r>
      <w:r w:rsidR="00235A56">
        <w:t xml:space="preserve"> </w:t>
      </w:r>
      <w:r w:rsidR="00235A56" w:rsidRPr="00B223FC">
        <w:t>focus</w:t>
      </w:r>
      <w:r w:rsidRPr="00B223FC">
        <w:t xml:space="preserve"> groups</w:t>
      </w:r>
      <w:r w:rsidR="00BF23FA">
        <w:t xml:space="preserve"> and up to four </w:t>
      </w:r>
      <w:r w:rsidR="006127A4">
        <w:t xml:space="preserve">60 minute </w:t>
      </w:r>
      <w:r w:rsidR="00BF23FA">
        <w:t>IDIs per city</w:t>
      </w:r>
      <w:r w:rsidR="001B48A7">
        <w:t xml:space="preserve"> </w:t>
      </w:r>
      <w:r w:rsidR="00AB5BBD">
        <w:t xml:space="preserve">(16 total) </w:t>
      </w:r>
      <w:r w:rsidR="00334196">
        <w:t>on an as needed basis</w:t>
      </w:r>
      <w:r w:rsidR="0063706B">
        <w:t xml:space="preserve"> (up to 4 per city)</w:t>
      </w:r>
      <w:r w:rsidR="00334196">
        <w:t xml:space="preserve"> contingent on participant preference</w:t>
      </w:r>
      <w:r w:rsidR="00D3328F">
        <w:t>.</w:t>
      </w:r>
      <w:r w:rsidRPr="00B223FC">
        <w:t xml:space="preserve"> </w:t>
      </w:r>
      <w:r w:rsidR="00B07987">
        <w:t xml:space="preserve"> The focus groups and IDIs will take place in </w:t>
      </w:r>
      <w:r w:rsidR="00235A56">
        <w:t>four cities. Proposed cities are</w:t>
      </w:r>
      <w:r w:rsidR="00B07987">
        <w:t xml:space="preserve"> Manchester, NH; Oklahoma City, OK; Billings, MT; and Lexington, KY</w:t>
      </w:r>
      <w:r w:rsidR="00235A56">
        <w:t xml:space="preserve"> although the loca</w:t>
      </w:r>
      <w:r w:rsidR="001B3C7E">
        <w:t xml:space="preserve">tions may be subject to change </w:t>
      </w:r>
      <w:r w:rsidR="00235A56">
        <w:t>due to logistical (e.g., change in availability of recruiting firms) or technical issues (e.g., increased or decreased tobacco sales).</w:t>
      </w:r>
    </w:p>
    <w:p w:rsidR="00F37C81" w:rsidRPr="00870CAE" w:rsidRDefault="00F37C81" w:rsidP="009505A2">
      <w:pPr>
        <w:pStyle w:val="ListParagraph"/>
        <w:spacing w:after="0"/>
        <w:ind w:left="0"/>
        <w:jc w:val="both"/>
        <w:rPr>
          <w:u w:val="single"/>
        </w:rPr>
      </w:pPr>
      <w:r w:rsidRPr="00870CAE">
        <w:rPr>
          <w:u w:val="single"/>
        </w:rPr>
        <w:t xml:space="preserve">Items of Information to be </w:t>
      </w:r>
      <w:proofErr w:type="gramStart"/>
      <w:r w:rsidRPr="00870CAE">
        <w:rPr>
          <w:u w:val="single"/>
        </w:rPr>
        <w:t>Collected</w:t>
      </w:r>
      <w:proofErr w:type="gramEnd"/>
    </w:p>
    <w:p w:rsidR="00F37C81" w:rsidRDefault="00F37C81" w:rsidP="001478D3">
      <w:pPr>
        <w:pStyle w:val="ListParagraph"/>
        <w:spacing w:after="0" w:line="240" w:lineRule="auto"/>
        <w:ind w:left="0"/>
        <w:jc w:val="both"/>
      </w:pPr>
    </w:p>
    <w:p w:rsidR="00B82985" w:rsidRDefault="00196F52" w:rsidP="00B63EFD">
      <w:pPr>
        <w:pStyle w:val="ListParagraph"/>
        <w:spacing w:after="0" w:line="240" w:lineRule="auto"/>
        <w:ind w:left="0" w:firstLine="720"/>
      </w:pPr>
      <w:r>
        <w:t xml:space="preserve">To determine eligibility for the study, a professional recruitment firm will collect information about participants, including age, pregnancy status, smoking status, potential conflicts to participation, </w:t>
      </w:r>
      <w:r>
        <w:lastRenderedPageBreak/>
        <w:t xml:space="preserve">education level, race/ethnicity, and preferred language. For a full list of </w:t>
      </w:r>
      <w:r w:rsidR="009C1A28">
        <w:t>item</w:t>
      </w:r>
      <w:r>
        <w:t>s, please see the screener (Attachment</w:t>
      </w:r>
      <w:r w:rsidR="00C756E2">
        <w:t>s</w:t>
      </w:r>
      <w:r>
        <w:t xml:space="preserve"> 1</w:t>
      </w:r>
      <w:r w:rsidR="00C756E2">
        <w:t>a and 1b</w:t>
      </w:r>
      <w:r>
        <w:t>).</w:t>
      </w:r>
    </w:p>
    <w:p w:rsidR="00B82985" w:rsidRDefault="00B82985" w:rsidP="001478D3">
      <w:pPr>
        <w:pStyle w:val="ListParagraph"/>
        <w:spacing w:after="0" w:line="240" w:lineRule="auto"/>
        <w:ind w:left="0"/>
        <w:jc w:val="both"/>
      </w:pPr>
    </w:p>
    <w:p w:rsidR="00196F52" w:rsidRPr="00196F52" w:rsidRDefault="00B82985" w:rsidP="00B63EFD">
      <w:pPr>
        <w:spacing w:line="240" w:lineRule="auto"/>
        <w:ind w:firstLine="720"/>
        <w:rPr>
          <w:iCs/>
        </w:rPr>
      </w:pPr>
      <w:r w:rsidRPr="00B223FC">
        <w:t>Attachment</w:t>
      </w:r>
      <w:r w:rsidR="00C756E2">
        <w:t>s</w:t>
      </w:r>
      <w:r w:rsidRPr="00B223FC">
        <w:t xml:space="preserve"> </w:t>
      </w:r>
      <w:r w:rsidRPr="00C955D0">
        <w:t>2</w:t>
      </w:r>
      <w:r w:rsidR="00C756E2">
        <w:t>a and 2b</w:t>
      </w:r>
      <w:r w:rsidRPr="00B223FC">
        <w:t xml:space="preserve"> </w:t>
      </w:r>
      <w:r w:rsidRPr="00B223FC">
        <w:rPr>
          <w:bCs/>
        </w:rPr>
        <w:t>contain</w:t>
      </w:r>
      <w:r>
        <w:rPr>
          <w:bCs/>
        </w:rPr>
        <w:t xml:space="preserve"> the</w:t>
      </w:r>
      <w:r w:rsidRPr="00B223FC">
        <w:rPr>
          <w:bCs/>
        </w:rPr>
        <w:t xml:space="preserve"> </w:t>
      </w:r>
      <w:r w:rsidR="009C1A28">
        <w:rPr>
          <w:bCs/>
        </w:rPr>
        <w:t xml:space="preserve">moderator’s </w:t>
      </w:r>
      <w:r>
        <w:t>guide for the focus groups</w:t>
      </w:r>
      <w:r w:rsidR="00BF23FA">
        <w:t xml:space="preserve"> and IDIs</w:t>
      </w:r>
      <w:r>
        <w:t>.</w:t>
      </w:r>
      <w:r w:rsidRPr="00B223FC">
        <w:t xml:space="preserve"> RTI International will conduct the focus groups and </w:t>
      </w:r>
      <w:r w:rsidR="00BF23FA">
        <w:t xml:space="preserve">IDIs and </w:t>
      </w:r>
      <w:r w:rsidRPr="00D65CF2">
        <w:t xml:space="preserve">will store resulting data for </w:t>
      </w:r>
      <w:r w:rsidR="0075158F" w:rsidRPr="00D65CF2">
        <w:t>three</w:t>
      </w:r>
      <w:r w:rsidRPr="00D65CF2">
        <w:t xml:space="preserve"> year</w:t>
      </w:r>
      <w:r w:rsidR="0075158F" w:rsidRPr="00D65CF2">
        <w:t>s</w:t>
      </w:r>
      <w:r w:rsidRPr="00D65CF2">
        <w:t xml:space="preserve"> after the completion of </w:t>
      </w:r>
      <w:r w:rsidR="002834E5" w:rsidRPr="00D65CF2">
        <w:t>the project</w:t>
      </w:r>
      <w:r w:rsidRPr="00D65CF2">
        <w:t>.</w:t>
      </w:r>
      <w:r w:rsidRPr="00B223FC">
        <w:t xml:space="preserve"> </w:t>
      </w:r>
      <w:r w:rsidR="00196F52" w:rsidRPr="00B223FC">
        <w:t>Discussion questions</w:t>
      </w:r>
      <w:r w:rsidR="009C1A28">
        <w:t xml:space="preserve"> will</w:t>
      </w:r>
      <w:r w:rsidR="00196F52" w:rsidRPr="00B223FC">
        <w:t xml:space="preserve"> focus on </w:t>
      </w:r>
      <w:r w:rsidR="00196F52">
        <w:t xml:space="preserve">smoking status and behaviors; </w:t>
      </w:r>
      <w:r w:rsidR="00196F52" w:rsidRPr="00B223FC">
        <w:t>awareness</w:t>
      </w:r>
      <w:r w:rsidR="00196F52">
        <w:t>, use, and reactions to emerging smokeless tobacco products; risk perceptions of these new products; and awareness</w:t>
      </w:r>
      <w:r w:rsidR="005855E6">
        <w:t xml:space="preserve"> of,</w:t>
      </w:r>
      <w:r w:rsidR="00196F52">
        <w:t xml:space="preserve"> </w:t>
      </w:r>
      <w:r w:rsidR="005855E6">
        <w:t xml:space="preserve">use, and reactions to </w:t>
      </w:r>
      <w:r w:rsidR="00196F52">
        <w:t>nicotine replacement therapy (NRT).</w:t>
      </w:r>
    </w:p>
    <w:p w:rsidR="00196F52" w:rsidRPr="00B223FC" w:rsidRDefault="00196F52" w:rsidP="00B63EFD">
      <w:pPr>
        <w:spacing w:line="240" w:lineRule="auto"/>
        <w:ind w:firstLine="720"/>
      </w:pPr>
      <w:r w:rsidRPr="00B223FC">
        <w:t>Notes, discussion transcripts, and questionnaires from the focus groups</w:t>
      </w:r>
      <w:r w:rsidR="00BF23FA">
        <w:t xml:space="preserve"> and IDIs</w:t>
      </w:r>
      <w:r w:rsidRPr="00B223FC">
        <w:t xml:space="preserve"> will not be in an identifiable form.  However, the recruitment firm</w:t>
      </w:r>
      <w:r w:rsidR="003C01A5">
        <w:t xml:space="preserve">s in each </w:t>
      </w:r>
      <w:r w:rsidR="00BF6406">
        <w:t>city</w:t>
      </w:r>
      <w:r w:rsidR="003C01A5">
        <w:t xml:space="preserve"> </w:t>
      </w:r>
      <w:r w:rsidRPr="00B223FC">
        <w:t>will collect limited information in identifiable form (IIF) through the screener (</w:t>
      </w:r>
      <w:r w:rsidR="00D3328F">
        <w:t>Attachment</w:t>
      </w:r>
      <w:r w:rsidR="00F84AE9">
        <w:t>s</w:t>
      </w:r>
      <w:r w:rsidR="00D3328F">
        <w:t xml:space="preserve"> 1</w:t>
      </w:r>
      <w:r w:rsidR="00F84AE9">
        <w:t>a and 1b</w:t>
      </w:r>
      <w:r w:rsidRPr="00B223FC">
        <w:t xml:space="preserve">) in order to categorize </w:t>
      </w:r>
      <w:r>
        <w:t xml:space="preserve">participants </w:t>
      </w:r>
      <w:r w:rsidRPr="00B223FC">
        <w:t>according to the audience segments.</w:t>
      </w:r>
    </w:p>
    <w:p w:rsidR="00F37C81" w:rsidRPr="008C4187" w:rsidRDefault="00747B84" w:rsidP="00B63EFD">
      <w:pPr>
        <w:pStyle w:val="ListParagraph"/>
        <w:spacing w:after="0" w:line="240" w:lineRule="auto"/>
        <w:ind w:left="0" w:firstLine="720"/>
        <w:jc w:val="both"/>
      </w:pPr>
      <w:r w:rsidRPr="009505A2">
        <w:t>The number of questions will be held to the absolute minimum required for the intended use of the data.</w:t>
      </w:r>
      <w:r w:rsidRPr="00870CAE">
        <w:t xml:space="preserve">  </w:t>
      </w:r>
    </w:p>
    <w:p w:rsidR="00F37C81" w:rsidRPr="00D30B16" w:rsidRDefault="00F37C81" w:rsidP="009505A2">
      <w:pPr>
        <w:pStyle w:val="ListParagraph"/>
        <w:spacing w:after="0"/>
        <w:ind w:left="0"/>
        <w:jc w:val="both"/>
      </w:pPr>
    </w:p>
    <w:p w:rsidR="00F37C81" w:rsidRPr="00870CAE" w:rsidRDefault="00F37C81" w:rsidP="009505A2">
      <w:pPr>
        <w:pStyle w:val="ListParagraph"/>
        <w:spacing w:after="0"/>
        <w:ind w:left="0"/>
        <w:jc w:val="both"/>
        <w:rPr>
          <w:u w:val="single"/>
        </w:rPr>
      </w:pPr>
      <w:r w:rsidRPr="00870CAE">
        <w:rPr>
          <w:u w:val="single"/>
        </w:rPr>
        <w:t>Identification of Website(s) and Website Content Directed at Children Under 13 Years of Age</w:t>
      </w:r>
    </w:p>
    <w:p w:rsidR="00F37C81" w:rsidRDefault="00F37C81" w:rsidP="001478D3">
      <w:pPr>
        <w:pStyle w:val="ListParagraph"/>
        <w:spacing w:after="0" w:line="240" w:lineRule="auto"/>
        <w:ind w:left="0"/>
        <w:jc w:val="both"/>
      </w:pPr>
    </w:p>
    <w:p w:rsidR="00F37C81" w:rsidRDefault="006B253A" w:rsidP="00B63EFD">
      <w:pPr>
        <w:pStyle w:val="ListParagraph"/>
        <w:spacing w:after="0" w:line="240" w:lineRule="auto"/>
        <w:ind w:left="0" w:firstLine="720"/>
        <w:jc w:val="both"/>
      </w:pPr>
      <w:r>
        <w:t xml:space="preserve">All </w:t>
      </w:r>
      <w:r w:rsidR="000138B7">
        <w:t>respondent</w:t>
      </w:r>
      <w:r>
        <w:t>s will be 18 years of age or older.  There is no website content directed at children younger than 13 years of age.</w:t>
      </w:r>
    </w:p>
    <w:p w:rsidR="00F37C81" w:rsidRDefault="00F37C81" w:rsidP="009505A2">
      <w:pPr>
        <w:pStyle w:val="ListParagraph"/>
        <w:spacing w:after="0"/>
        <w:ind w:left="0"/>
        <w:jc w:val="both"/>
      </w:pPr>
    </w:p>
    <w:p w:rsidR="00FE771D" w:rsidRPr="00685346" w:rsidRDefault="00931E48" w:rsidP="009505A2">
      <w:pPr>
        <w:spacing w:after="0"/>
        <w:jc w:val="both"/>
        <w:rPr>
          <w:rFonts w:asciiTheme="minorHAnsi" w:hAnsiTheme="minorHAnsi"/>
          <w:b/>
        </w:rPr>
      </w:pPr>
      <w:r w:rsidRPr="00685346">
        <w:rPr>
          <w:rFonts w:asciiTheme="minorHAnsi" w:hAnsiTheme="minorHAnsi"/>
          <w:b/>
        </w:rPr>
        <w:t>A.2</w:t>
      </w:r>
      <w:r w:rsidRPr="00685346">
        <w:rPr>
          <w:rFonts w:asciiTheme="minorHAnsi" w:hAnsiTheme="minorHAnsi"/>
          <w:b/>
        </w:rPr>
        <w:tab/>
        <w:t>Purpose and Use of Information Collection</w:t>
      </w:r>
    </w:p>
    <w:p w:rsidR="007F1ACE" w:rsidRPr="00B6328A" w:rsidRDefault="007F1ACE" w:rsidP="001478D3">
      <w:pPr>
        <w:pStyle w:val="Tbodytext"/>
        <w:spacing w:after="0"/>
        <w:rPr>
          <w:rFonts w:asciiTheme="minorHAnsi" w:hAnsiTheme="minorHAnsi"/>
          <w:sz w:val="22"/>
          <w:szCs w:val="22"/>
        </w:rPr>
      </w:pPr>
    </w:p>
    <w:p w:rsidR="0005140E" w:rsidRPr="00447AFB" w:rsidRDefault="00B63EFD" w:rsidP="001478D3">
      <w:pPr>
        <w:pStyle w:val="Tbodytext"/>
        <w:spacing w:after="0"/>
        <w:rPr>
          <w:rFonts w:asciiTheme="minorHAnsi" w:hAnsiTheme="minorHAnsi"/>
          <w:sz w:val="22"/>
          <w:szCs w:val="22"/>
        </w:rPr>
      </w:pPr>
      <w:r>
        <w:rPr>
          <w:rFonts w:asciiTheme="minorHAnsi" w:hAnsiTheme="minorHAnsi"/>
          <w:sz w:val="22"/>
          <w:szCs w:val="22"/>
        </w:rPr>
        <w:tab/>
      </w:r>
      <w:r w:rsidR="004B6B7B" w:rsidRPr="00447AFB">
        <w:rPr>
          <w:rFonts w:asciiTheme="minorHAnsi" w:hAnsiTheme="minorHAnsi"/>
          <w:sz w:val="22"/>
          <w:szCs w:val="22"/>
        </w:rPr>
        <w:t xml:space="preserve">The </w:t>
      </w:r>
      <w:r w:rsidR="000138B7" w:rsidRPr="00447AFB">
        <w:rPr>
          <w:rFonts w:asciiTheme="minorHAnsi" w:hAnsiTheme="minorHAnsi"/>
          <w:sz w:val="22"/>
          <w:szCs w:val="22"/>
        </w:rPr>
        <w:t xml:space="preserve">information to be collected </w:t>
      </w:r>
      <w:r w:rsidR="004B6B7B" w:rsidRPr="00447AFB">
        <w:rPr>
          <w:rFonts w:asciiTheme="minorHAnsi" w:hAnsiTheme="minorHAnsi"/>
          <w:sz w:val="22"/>
          <w:szCs w:val="22"/>
        </w:rPr>
        <w:t xml:space="preserve">will </w:t>
      </w:r>
      <w:r w:rsidR="00CE2015" w:rsidRPr="00447AFB">
        <w:rPr>
          <w:rFonts w:asciiTheme="minorHAnsi" w:hAnsiTheme="minorHAnsi"/>
          <w:sz w:val="22"/>
          <w:szCs w:val="22"/>
        </w:rPr>
        <w:t xml:space="preserve">allow </w:t>
      </w:r>
      <w:r w:rsidR="000138B7" w:rsidRPr="00447AFB">
        <w:rPr>
          <w:rFonts w:asciiTheme="minorHAnsi" w:hAnsiTheme="minorHAnsi"/>
          <w:sz w:val="22"/>
          <w:szCs w:val="22"/>
        </w:rPr>
        <w:t>CDC</w:t>
      </w:r>
      <w:r w:rsidR="004B6B7B" w:rsidRPr="00447AFB">
        <w:rPr>
          <w:rFonts w:asciiTheme="minorHAnsi" w:hAnsiTheme="minorHAnsi"/>
          <w:sz w:val="22"/>
          <w:szCs w:val="22"/>
        </w:rPr>
        <w:t xml:space="preserve"> to</w:t>
      </w:r>
      <w:r w:rsidR="000138B7" w:rsidRPr="00447AFB">
        <w:rPr>
          <w:rFonts w:asciiTheme="minorHAnsi" w:hAnsiTheme="minorHAnsi"/>
          <w:sz w:val="22"/>
          <w:szCs w:val="22"/>
        </w:rPr>
        <w:t xml:space="preserve"> assess</w:t>
      </w:r>
      <w:r w:rsidR="004B6B7B" w:rsidRPr="00447AFB">
        <w:rPr>
          <w:rFonts w:asciiTheme="minorHAnsi" w:hAnsiTheme="minorHAnsi"/>
          <w:sz w:val="22"/>
          <w:szCs w:val="22"/>
        </w:rPr>
        <w:t xml:space="preserve"> </w:t>
      </w:r>
      <w:r w:rsidR="000D7DE2" w:rsidRPr="00447AFB">
        <w:rPr>
          <w:rFonts w:asciiTheme="minorHAnsi" w:hAnsiTheme="minorHAnsi" w:cstheme="minorHAnsi"/>
          <w:sz w:val="22"/>
          <w:szCs w:val="22"/>
        </w:rPr>
        <w:t>awareness, attitudes, and perceptions</w:t>
      </w:r>
      <w:r w:rsidR="00C756E2">
        <w:rPr>
          <w:rFonts w:asciiTheme="minorHAnsi" w:hAnsiTheme="minorHAnsi" w:cstheme="minorHAnsi"/>
          <w:sz w:val="22"/>
          <w:szCs w:val="22"/>
        </w:rPr>
        <w:t>--</w:t>
      </w:r>
      <w:r w:rsidR="000D7DE2" w:rsidRPr="00447AFB">
        <w:rPr>
          <w:rFonts w:asciiTheme="minorHAnsi" w:hAnsiTheme="minorHAnsi" w:cstheme="minorHAnsi"/>
          <w:sz w:val="22"/>
          <w:szCs w:val="22"/>
        </w:rPr>
        <w:t xml:space="preserve"> particularly health risk perceptions</w:t>
      </w:r>
      <w:r w:rsidR="00CE5910" w:rsidRPr="00447AFB">
        <w:rPr>
          <w:rFonts w:asciiTheme="minorHAnsi" w:hAnsiTheme="minorHAnsi" w:cstheme="minorHAnsi"/>
          <w:sz w:val="22"/>
          <w:szCs w:val="22"/>
        </w:rPr>
        <w:t xml:space="preserve"> of smokeless tobacco products and NRT </w:t>
      </w:r>
      <w:r w:rsidR="000D7DE2" w:rsidRPr="00447AFB">
        <w:rPr>
          <w:rFonts w:asciiTheme="minorHAnsi" w:hAnsiTheme="minorHAnsi" w:cstheme="minorHAnsi"/>
          <w:sz w:val="22"/>
          <w:szCs w:val="22"/>
        </w:rPr>
        <w:t>to self and to fetus</w:t>
      </w:r>
      <w:r w:rsidR="00C756E2">
        <w:rPr>
          <w:rFonts w:asciiTheme="minorHAnsi" w:hAnsiTheme="minorHAnsi" w:cstheme="minorHAnsi"/>
          <w:sz w:val="22"/>
          <w:szCs w:val="22"/>
        </w:rPr>
        <w:t>--</w:t>
      </w:r>
      <w:r w:rsidR="000D7DE2" w:rsidRPr="00447AFB">
        <w:rPr>
          <w:rFonts w:asciiTheme="minorHAnsi" w:hAnsiTheme="minorHAnsi" w:cstheme="minorHAnsi"/>
          <w:sz w:val="22"/>
          <w:szCs w:val="22"/>
        </w:rPr>
        <w:t xml:space="preserve">of pregnant women and women of childbearing age (18 to 40 years) who are planning or trying to become pregnant in the next year. </w:t>
      </w:r>
      <w:r w:rsidR="00447AFB">
        <w:rPr>
          <w:rFonts w:asciiTheme="minorHAnsi" w:hAnsiTheme="minorHAnsi" w:cstheme="minorHAnsi"/>
          <w:sz w:val="22"/>
          <w:szCs w:val="22"/>
        </w:rPr>
        <w:t>This information will be used to inform the development of public health message concepts and communication strategies regarding smokeless tobacco use and reproductive health.</w:t>
      </w:r>
      <w:r w:rsidR="004315A2" w:rsidRPr="00447AFB">
        <w:rPr>
          <w:rFonts w:asciiTheme="minorHAnsi" w:hAnsiTheme="minorHAnsi" w:cstheme="minorHAnsi"/>
          <w:sz w:val="22"/>
          <w:szCs w:val="22"/>
        </w:rPr>
        <w:t xml:space="preserve"> </w:t>
      </w:r>
      <w:r w:rsidR="00D83CF3" w:rsidRPr="00447AFB">
        <w:rPr>
          <w:rFonts w:asciiTheme="minorHAnsi" w:hAnsiTheme="minorHAnsi" w:cstheme="minorHAnsi"/>
          <w:sz w:val="22"/>
          <w:szCs w:val="22"/>
        </w:rPr>
        <w:t>If th</w:t>
      </w:r>
      <w:r w:rsidR="00D83CF3" w:rsidRPr="00447AFB">
        <w:rPr>
          <w:rFonts w:asciiTheme="minorHAnsi" w:hAnsiTheme="minorHAnsi"/>
          <w:sz w:val="22"/>
          <w:szCs w:val="22"/>
        </w:rPr>
        <w:t xml:space="preserve">is </w:t>
      </w:r>
      <w:r w:rsidR="00D80075" w:rsidRPr="00447AFB">
        <w:rPr>
          <w:rFonts w:asciiTheme="minorHAnsi" w:hAnsiTheme="minorHAnsi"/>
          <w:sz w:val="22"/>
          <w:szCs w:val="22"/>
        </w:rPr>
        <w:t xml:space="preserve">data collection </w:t>
      </w:r>
      <w:r w:rsidR="00D83CF3" w:rsidRPr="00447AFB">
        <w:rPr>
          <w:rFonts w:asciiTheme="minorHAnsi" w:hAnsiTheme="minorHAnsi"/>
          <w:sz w:val="22"/>
          <w:szCs w:val="22"/>
        </w:rPr>
        <w:t>is not performed, CDC wil</w:t>
      </w:r>
      <w:r w:rsidR="00663583" w:rsidRPr="00447AFB">
        <w:rPr>
          <w:rFonts w:asciiTheme="minorHAnsi" w:hAnsiTheme="minorHAnsi"/>
          <w:sz w:val="22"/>
          <w:szCs w:val="22"/>
        </w:rPr>
        <w:t>l</w:t>
      </w:r>
      <w:r w:rsidR="00D83CF3" w:rsidRPr="00447AFB">
        <w:rPr>
          <w:rFonts w:asciiTheme="minorHAnsi" w:hAnsiTheme="minorHAnsi"/>
          <w:sz w:val="22"/>
          <w:szCs w:val="22"/>
        </w:rPr>
        <w:t xml:space="preserve"> not know </w:t>
      </w:r>
      <w:r w:rsidR="000D7DE2" w:rsidRPr="00447AFB">
        <w:rPr>
          <w:rFonts w:asciiTheme="minorHAnsi" w:hAnsiTheme="minorHAnsi"/>
          <w:sz w:val="22"/>
          <w:szCs w:val="22"/>
        </w:rPr>
        <w:t>how to develop</w:t>
      </w:r>
      <w:r w:rsidR="00492818" w:rsidRPr="00447AFB">
        <w:rPr>
          <w:rFonts w:asciiTheme="minorHAnsi" w:hAnsiTheme="minorHAnsi"/>
          <w:sz w:val="22"/>
          <w:szCs w:val="22"/>
        </w:rPr>
        <w:t xml:space="preserve"> messages</w:t>
      </w:r>
      <w:r w:rsidR="000D7DE2" w:rsidRPr="00447AFB">
        <w:rPr>
          <w:rFonts w:asciiTheme="minorHAnsi" w:hAnsiTheme="minorHAnsi"/>
          <w:sz w:val="22"/>
          <w:szCs w:val="22"/>
        </w:rPr>
        <w:t xml:space="preserve"> that</w:t>
      </w:r>
      <w:r w:rsidR="00492818" w:rsidRPr="00447AFB">
        <w:rPr>
          <w:rFonts w:asciiTheme="minorHAnsi" w:hAnsiTheme="minorHAnsi"/>
          <w:sz w:val="22"/>
          <w:szCs w:val="22"/>
        </w:rPr>
        <w:t xml:space="preserve"> credibly and effectively</w:t>
      </w:r>
      <w:r w:rsidR="00C94E83" w:rsidRPr="00447AFB">
        <w:rPr>
          <w:rFonts w:asciiTheme="minorHAnsi" w:hAnsiTheme="minorHAnsi"/>
          <w:sz w:val="22"/>
          <w:szCs w:val="22"/>
        </w:rPr>
        <w:t xml:space="preserve"> </w:t>
      </w:r>
      <w:r w:rsidR="000D7DE2" w:rsidRPr="00447AFB">
        <w:rPr>
          <w:rFonts w:asciiTheme="minorHAnsi" w:hAnsiTheme="minorHAnsi"/>
          <w:sz w:val="22"/>
          <w:szCs w:val="22"/>
        </w:rPr>
        <w:t xml:space="preserve">educate women </w:t>
      </w:r>
      <w:r w:rsidR="00C94E83" w:rsidRPr="00447AFB">
        <w:rPr>
          <w:rFonts w:asciiTheme="minorHAnsi" w:hAnsiTheme="minorHAnsi"/>
          <w:sz w:val="22"/>
          <w:szCs w:val="22"/>
        </w:rPr>
        <w:t>across</w:t>
      </w:r>
      <w:r w:rsidR="000D7DE2" w:rsidRPr="00447AFB">
        <w:rPr>
          <w:rFonts w:asciiTheme="minorHAnsi" w:hAnsiTheme="minorHAnsi"/>
          <w:sz w:val="22"/>
          <w:szCs w:val="22"/>
        </w:rPr>
        <w:t xml:space="preserve"> these</w:t>
      </w:r>
      <w:r w:rsidR="00C94E83" w:rsidRPr="00447AFB">
        <w:rPr>
          <w:rFonts w:asciiTheme="minorHAnsi" w:hAnsiTheme="minorHAnsi"/>
          <w:sz w:val="22"/>
          <w:szCs w:val="22"/>
        </w:rPr>
        <w:t xml:space="preserve"> audience segments</w:t>
      </w:r>
      <w:r w:rsidR="00492818" w:rsidRPr="00447AFB">
        <w:rPr>
          <w:rFonts w:asciiTheme="minorHAnsi" w:hAnsiTheme="minorHAnsi"/>
          <w:sz w:val="22"/>
          <w:szCs w:val="22"/>
        </w:rPr>
        <w:t xml:space="preserve">.  </w:t>
      </w:r>
    </w:p>
    <w:p w:rsidR="0005140E" w:rsidRPr="00447AFB" w:rsidRDefault="0005140E" w:rsidP="001478D3">
      <w:pPr>
        <w:pStyle w:val="Tbodytext"/>
        <w:spacing w:after="0"/>
        <w:rPr>
          <w:rFonts w:asciiTheme="minorHAnsi" w:hAnsiTheme="minorHAnsi"/>
          <w:sz w:val="22"/>
          <w:szCs w:val="22"/>
        </w:rPr>
      </w:pPr>
    </w:p>
    <w:p w:rsidR="00663583" w:rsidRPr="00447AFB" w:rsidRDefault="00B63EFD" w:rsidP="001478D3">
      <w:pPr>
        <w:pStyle w:val="Tbodytext"/>
        <w:spacing w:after="0"/>
        <w:jc w:val="left"/>
        <w:rPr>
          <w:rFonts w:asciiTheme="minorHAnsi" w:eastAsia="Calibri" w:hAnsiTheme="minorHAnsi"/>
          <w:b/>
          <w:sz w:val="22"/>
          <w:szCs w:val="22"/>
        </w:rPr>
      </w:pPr>
      <w:r>
        <w:rPr>
          <w:rFonts w:asciiTheme="minorHAnsi" w:hAnsiTheme="minorHAnsi"/>
          <w:sz w:val="22"/>
          <w:szCs w:val="22"/>
        </w:rPr>
        <w:tab/>
      </w:r>
      <w:r w:rsidR="000D7DE2" w:rsidRPr="00447AFB">
        <w:rPr>
          <w:rFonts w:asciiTheme="minorHAnsi" w:hAnsiTheme="minorHAnsi"/>
          <w:sz w:val="22"/>
          <w:szCs w:val="22"/>
        </w:rPr>
        <w:t xml:space="preserve">CDC and FDA will use this information to </w:t>
      </w:r>
      <w:r w:rsidR="008778FD" w:rsidRPr="00447AFB">
        <w:rPr>
          <w:rFonts w:asciiTheme="minorHAnsi" w:hAnsiTheme="minorHAnsi"/>
          <w:sz w:val="22"/>
          <w:szCs w:val="22"/>
        </w:rPr>
        <w:t>better understand how these target groups respond to marketing messages related to smokeless tobacco products and NRT</w:t>
      </w:r>
      <w:r w:rsidR="00CC3098" w:rsidRPr="00447AFB">
        <w:rPr>
          <w:rFonts w:asciiTheme="minorHAnsi" w:hAnsiTheme="minorHAnsi"/>
          <w:sz w:val="22"/>
          <w:szCs w:val="22"/>
        </w:rPr>
        <w:t>. Ultimately, this information will be used to</w:t>
      </w:r>
      <w:r w:rsidR="008778FD" w:rsidRPr="00447AFB">
        <w:rPr>
          <w:rFonts w:asciiTheme="minorHAnsi" w:hAnsiTheme="minorHAnsi"/>
          <w:sz w:val="22"/>
          <w:szCs w:val="22"/>
        </w:rPr>
        <w:t xml:space="preserve"> </w:t>
      </w:r>
      <w:r w:rsidR="000D7DE2" w:rsidRPr="00447AFB">
        <w:rPr>
          <w:rFonts w:asciiTheme="minorHAnsi" w:hAnsiTheme="minorHAnsi"/>
          <w:sz w:val="22"/>
          <w:szCs w:val="22"/>
        </w:rPr>
        <w:t>develop</w:t>
      </w:r>
      <w:r w:rsidR="008778FD" w:rsidRPr="00447AFB">
        <w:rPr>
          <w:rFonts w:asciiTheme="minorHAnsi" w:hAnsiTheme="minorHAnsi"/>
          <w:sz w:val="22"/>
          <w:szCs w:val="22"/>
        </w:rPr>
        <w:t xml:space="preserve"> </w:t>
      </w:r>
      <w:r w:rsidR="005855E6" w:rsidRPr="00447AFB">
        <w:rPr>
          <w:rFonts w:asciiTheme="minorHAnsi" w:hAnsiTheme="minorHAnsi"/>
          <w:sz w:val="22"/>
          <w:szCs w:val="22"/>
        </w:rPr>
        <w:t xml:space="preserve">educational </w:t>
      </w:r>
      <w:r w:rsidR="008778FD" w:rsidRPr="00447AFB">
        <w:rPr>
          <w:rFonts w:asciiTheme="minorHAnsi" w:hAnsiTheme="minorHAnsi"/>
          <w:sz w:val="22"/>
          <w:szCs w:val="22"/>
        </w:rPr>
        <w:t xml:space="preserve">messages to help women make informed decisions about </w:t>
      </w:r>
      <w:r w:rsidR="00CC3098" w:rsidRPr="00447AFB">
        <w:rPr>
          <w:rFonts w:asciiTheme="minorHAnsi" w:hAnsiTheme="minorHAnsi"/>
          <w:sz w:val="22"/>
          <w:szCs w:val="22"/>
        </w:rPr>
        <w:t>use of these products</w:t>
      </w:r>
      <w:r w:rsidR="008778FD" w:rsidRPr="00447AFB">
        <w:rPr>
          <w:rFonts w:asciiTheme="minorHAnsi" w:hAnsiTheme="minorHAnsi"/>
          <w:sz w:val="22"/>
          <w:szCs w:val="22"/>
        </w:rPr>
        <w:t xml:space="preserve"> before and during pregnancy.</w:t>
      </w:r>
    </w:p>
    <w:p w:rsidR="00AF05D8" w:rsidRDefault="00AF05D8"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A.3</w:t>
      </w:r>
      <w:r w:rsidRPr="007F1ACE">
        <w:rPr>
          <w:rFonts w:asciiTheme="minorHAnsi" w:hAnsiTheme="minorHAnsi"/>
          <w:b/>
        </w:rPr>
        <w:tab/>
        <w:t>Use of Improved Information Technology and Burden Reduction</w:t>
      </w:r>
    </w:p>
    <w:p w:rsidR="007F1ACE" w:rsidRDefault="007F1ACE" w:rsidP="001478D3">
      <w:pPr>
        <w:spacing w:after="0" w:line="240" w:lineRule="auto"/>
        <w:jc w:val="both"/>
        <w:rPr>
          <w:rFonts w:asciiTheme="minorHAnsi" w:hAnsiTheme="minorHAnsi"/>
        </w:rPr>
      </w:pPr>
    </w:p>
    <w:p w:rsidR="004E3D39" w:rsidRPr="00B223FC" w:rsidRDefault="004E3D39" w:rsidP="00B63EFD">
      <w:pPr>
        <w:spacing w:line="240" w:lineRule="auto"/>
        <w:ind w:firstLine="720"/>
      </w:pPr>
      <w:r w:rsidRPr="00B223FC">
        <w:t xml:space="preserve">Due to the nature </w:t>
      </w:r>
      <w:r w:rsidR="00BF6406">
        <w:t xml:space="preserve">and scope </w:t>
      </w:r>
      <w:r w:rsidRPr="00B223FC">
        <w:t xml:space="preserve">of this project, incorporating improved information technology </w:t>
      </w:r>
      <w:r w:rsidR="002834E5">
        <w:t xml:space="preserve">(e.g. web-based technology) </w:t>
      </w:r>
      <w:r w:rsidRPr="00B223FC">
        <w:t xml:space="preserve">for the purpose of data collection is not feasible. Upon consent from the participants, we will audio </w:t>
      </w:r>
      <w:r>
        <w:t xml:space="preserve">and video </w:t>
      </w:r>
      <w:r w:rsidRPr="00B223FC">
        <w:t>record the discussions to capture all information and assist with the preparation of reports. The use of electronic reporting is typically not feasible for this form of qualitative work.</w:t>
      </w:r>
    </w:p>
    <w:p w:rsidR="002D7FEF" w:rsidRPr="007F1ACE" w:rsidRDefault="002D7FEF" w:rsidP="001478D3">
      <w:pPr>
        <w:spacing w:after="0" w:line="240" w:lineRule="auto"/>
        <w:jc w:val="both"/>
        <w:rPr>
          <w:rFonts w:asciiTheme="minorHAnsi" w:hAnsiTheme="minorHAnsi"/>
        </w:rPr>
      </w:pPr>
    </w:p>
    <w:p w:rsidR="00044A5F" w:rsidRPr="007F1ACE" w:rsidRDefault="00044A5F" w:rsidP="001478D3">
      <w:pPr>
        <w:spacing w:after="0" w:line="240" w:lineRule="auto"/>
        <w:jc w:val="both"/>
        <w:rPr>
          <w:rFonts w:asciiTheme="minorHAnsi" w:hAnsiTheme="minorHAnsi"/>
          <w:b/>
        </w:rPr>
      </w:pPr>
      <w:r w:rsidRPr="007F1ACE">
        <w:rPr>
          <w:rFonts w:asciiTheme="minorHAnsi" w:hAnsiTheme="minorHAnsi"/>
          <w:b/>
        </w:rPr>
        <w:t>A.4</w:t>
      </w:r>
      <w:r w:rsidRPr="007F1ACE">
        <w:rPr>
          <w:rFonts w:asciiTheme="minorHAnsi" w:hAnsiTheme="minorHAnsi"/>
          <w:b/>
        </w:rPr>
        <w:tab/>
        <w:t>Efforts to Identify Duplication and Use of Similar Information</w:t>
      </w:r>
    </w:p>
    <w:p w:rsidR="007F1ACE" w:rsidRPr="007F1ACE" w:rsidRDefault="007F1ACE" w:rsidP="001478D3">
      <w:pPr>
        <w:spacing w:after="0" w:line="240" w:lineRule="auto"/>
        <w:jc w:val="both"/>
        <w:rPr>
          <w:rFonts w:asciiTheme="minorHAnsi" w:hAnsiTheme="minorHAnsi"/>
          <w:b/>
        </w:rPr>
      </w:pPr>
    </w:p>
    <w:p w:rsidR="002D7FEF" w:rsidRPr="00F67BBF" w:rsidRDefault="00B63EFD" w:rsidP="001478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szCs w:val="24"/>
        </w:rPr>
      </w:pPr>
      <w:r>
        <w:rPr>
          <w:szCs w:val="24"/>
        </w:rPr>
        <w:lastRenderedPageBreak/>
        <w:tab/>
      </w:r>
      <w:r w:rsidR="002D7FEF">
        <w:rPr>
          <w:szCs w:val="24"/>
        </w:rPr>
        <w:t xml:space="preserve">Prior to conducting any data collection, </w:t>
      </w:r>
      <w:r w:rsidR="002D7FEF" w:rsidRPr="00F67BBF">
        <w:rPr>
          <w:szCs w:val="24"/>
        </w:rPr>
        <w:t xml:space="preserve">CDC reviews existing published literature </w:t>
      </w:r>
      <w:r w:rsidR="006F0F0D">
        <w:rPr>
          <w:szCs w:val="24"/>
        </w:rPr>
        <w:t xml:space="preserve">on a bi-weekly basis </w:t>
      </w:r>
      <w:r w:rsidR="002D7FEF" w:rsidRPr="00F67BBF">
        <w:rPr>
          <w:szCs w:val="24"/>
        </w:rPr>
        <w:t>and unpublished qualitative pretesting reports when they are available</w:t>
      </w:r>
      <w:r w:rsidR="002D7FEF">
        <w:rPr>
          <w:szCs w:val="24"/>
        </w:rPr>
        <w:t>,</w:t>
      </w:r>
      <w:r w:rsidR="002D7FEF" w:rsidRPr="00F67BBF">
        <w:rPr>
          <w:szCs w:val="24"/>
        </w:rPr>
        <w:t xml:space="preserve"> and also consults with outside experts to identify information that could facilitate </w:t>
      </w:r>
      <w:r w:rsidR="000D7689">
        <w:rPr>
          <w:szCs w:val="24"/>
        </w:rPr>
        <w:t xml:space="preserve">future </w:t>
      </w:r>
      <w:r w:rsidR="002D7FEF" w:rsidRPr="00F67BBF">
        <w:rPr>
          <w:szCs w:val="24"/>
        </w:rPr>
        <w:t>message development</w:t>
      </w:r>
      <w:r w:rsidR="000D7689">
        <w:rPr>
          <w:szCs w:val="24"/>
        </w:rPr>
        <w:t xml:space="preserve"> based on the formative qualitative findings from this data collection</w:t>
      </w:r>
      <w:r w:rsidR="002D7FEF" w:rsidRPr="00F67BBF">
        <w:rPr>
          <w:szCs w:val="24"/>
        </w:rPr>
        <w:t xml:space="preserve">.  </w:t>
      </w:r>
      <w:r w:rsidR="002D7FEF">
        <w:rPr>
          <w:szCs w:val="24"/>
        </w:rPr>
        <w:t>H</w:t>
      </w:r>
      <w:r w:rsidR="002D7FEF" w:rsidRPr="00F67BBF">
        <w:rPr>
          <w:szCs w:val="24"/>
        </w:rPr>
        <w:t xml:space="preserve">ealth messages developed by </w:t>
      </w:r>
      <w:r w:rsidR="002131B5">
        <w:rPr>
          <w:szCs w:val="24"/>
        </w:rPr>
        <w:t>CDC</w:t>
      </w:r>
      <w:r w:rsidR="002131B5" w:rsidRPr="00F67BBF">
        <w:rPr>
          <w:szCs w:val="24"/>
        </w:rPr>
        <w:t xml:space="preserve"> </w:t>
      </w:r>
      <w:r w:rsidR="002D7FEF" w:rsidRPr="00F67BBF">
        <w:rPr>
          <w:szCs w:val="24"/>
        </w:rPr>
        <w:t xml:space="preserve">are unique in their mix of intended audience, health behavior, concept, and execution.  Therefore, there are no similar data available.  </w:t>
      </w:r>
    </w:p>
    <w:p w:rsidR="00A25C91" w:rsidRPr="00663583" w:rsidRDefault="00B63EFD" w:rsidP="001478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szCs w:val="24"/>
        </w:rPr>
      </w:pPr>
      <w:r>
        <w:rPr>
          <w:szCs w:val="24"/>
        </w:rPr>
        <w:tab/>
      </w:r>
      <w:r w:rsidR="002131B5">
        <w:rPr>
          <w:szCs w:val="24"/>
        </w:rPr>
        <w:t>CDC</w:t>
      </w:r>
      <w:r w:rsidR="00D80075">
        <w:rPr>
          <w:szCs w:val="24"/>
        </w:rPr>
        <w:t>/OSH</w:t>
      </w:r>
      <w:r w:rsidR="002131B5" w:rsidRPr="00F67BBF">
        <w:rPr>
          <w:szCs w:val="24"/>
        </w:rPr>
        <w:t xml:space="preserve"> </w:t>
      </w:r>
      <w:r w:rsidR="002D7FEF" w:rsidRPr="00F67BBF">
        <w:rPr>
          <w:szCs w:val="24"/>
        </w:rPr>
        <w:t>collaborate</w:t>
      </w:r>
      <w:r w:rsidR="002D7FEF">
        <w:rPr>
          <w:szCs w:val="24"/>
        </w:rPr>
        <w:t>s</w:t>
      </w:r>
      <w:r w:rsidR="002D7FEF" w:rsidRPr="00F67BBF">
        <w:rPr>
          <w:szCs w:val="24"/>
        </w:rPr>
        <w:t xml:space="preserve"> with other U.S. government agencies that sponsor health communication projects such as the </w:t>
      </w:r>
      <w:r w:rsidR="006E0C36">
        <w:rPr>
          <w:szCs w:val="24"/>
        </w:rPr>
        <w:t>U.S. Food and Drug Administration’s (FDA)</w:t>
      </w:r>
      <w:r w:rsidR="002D7FEF" w:rsidRPr="00F67BBF">
        <w:rPr>
          <w:szCs w:val="24"/>
        </w:rPr>
        <w:t xml:space="preserve"> Center for Tobacco Products.  These affiliations serve as information channels and help prevent redundancy.</w:t>
      </w:r>
      <w:r w:rsidR="002D7FEF">
        <w:rPr>
          <w:szCs w:val="24"/>
        </w:rPr>
        <w:t xml:space="preserve">  Ongoing communication</w:t>
      </w:r>
      <w:r w:rsidR="00D80075">
        <w:rPr>
          <w:szCs w:val="24"/>
        </w:rPr>
        <w:t>, including bi-weekly meetings</w:t>
      </w:r>
      <w:r w:rsidR="002D7FEF">
        <w:rPr>
          <w:szCs w:val="24"/>
        </w:rPr>
        <w:t xml:space="preserve"> between CDC’s Office of Smoking and Healt</w:t>
      </w:r>
      <w:r w:rsidR="002131B5">
        <w:rPr>
          <w:szCs w:val="24"/>
        </w:rPr>
        <w:t>h</w:t>
      </w:r>
      <w:r w:rsidR="002D7FEF">
        <w:rPr>
          <w:szCs w:val="24"/>
        </w:rPr>
        <w:t xml:space="preserve"> and FDA’s Center for Tobacco Products</w:t>
      </w:r>
      <w:r w:rsidR="00524485">
        <w:rPr>
          <w:szCs w:val="24"/>
        </w:rPr>
        <w:t>,</w:t>
      </w:r>
      <w:r w:rsidR="002D7FEF">
        <w:rPr>
          <w:szCs w:val="24"/>
        </w:rPr>
        <w:t xml:space="preserve"> </w:t>
      </w:r>
      <w:r w:rsidR="002834E5">
        <w:rPr>
          <w:szCs w:val="24"/>
        </w:rPr>
        <w:t xml:space="preserve">as well as other federal agencies </w:t>
      </w:r>
      <w:r w:rsidR="002D7FEF">
        <w:rPr>
          <w:szCs w:val="24"/>
        </w:rPr>
        <w:t>ensure</w:t>
      </w:r>
      <w:r w:rsidR="00D80075">
        <w:rPr>
          <w:szCs w:val="24"/>
        </w:rPr>
        <w:t>s</w:t>
      </w:r>
      <w:r w:rsidR="002D7FEF">
        <w:rPr>
          <w:szCs w:val="24"/>
        </w:rPr>
        <w:t xml:space="preserve"> that information collections are coordinated and not duplicative.   </w:t>
      </w:r>
    </w:p>
    <w:p w:rsidR="00044A5F" w:rsidRPr="007F1ACE" w:rsidRDefault="00044A5F" w:rsidP="009505A2">
      <w:pPr>
        <w:spacing w:after="0"/>
        <w:jc w:val="both"/>
        <w:rPr>
          <w:rFonts w:asciiTheme="minorHAnsi" w:hAnsiTheme="minorHAnsi"/>
          <w:b/>
        </w:rPr>
      </w:pPr>
      <w:r w:rsidRPr="007F1ACE">
        <w:rPr>
          <w:rFonts w:asciiTheme="minorHAnsi" w:hAnsiTheme="minorHAnsi"/>
          <w:b/>
        </w:rPr>
        <w:t>A.5</w:t>
      </w:r>
      <w:r w:rsidRPr="007F1ACE">
        <w:rPr>
          <w:rFonts w:asciiTheme="minorHAnsi" w:hAnsiTheme="minorHAnsi"/>
          <w:b/>
        </w:rPr>
        <w:tab/>
        <w:t>Impact on Small Business or Other Small Entities</w:t>
      </w:r>
    </w:p>
    <w:p w:rsidR="007F1ACE" w:rsidRDefault="007F1ACE" w:rsidP="009505A2">
      <w:pPr>
        <w:spacing w:after="0"/>
        <w:jc w:val="both"/>
        <w:rPr>
          <w:rFonts w:asciiTheme="minorHAnsi" w:hAnsiTheme="minorHAnsi"/>
        </w:rPr>
      </w:pPr>
    </w:p>
    <w:p w:rsidR="00044A5F" w:rsidRPr="007F1ACE" w:rsidRDefault="00A25C91" w:rsidP="009505A2">
      <w:pPr>
        <w:spacing w:after="0"/>
        <w:jc w:val="both"/>
        <w:rPr>
          <w:rFonts w:asciiTheme="minorHAnsi" w:hAnsiTheme="minorHAnsi"/>
        </w:rPr>
      </w:pPr>
      <w:r w:rsidRPr="007F1ACE">
        <w:rPr>
          <w:rFonts w:asciiTheme="minorHAnsi" w:hAnsiTheme="minorHAnsi"/>
        </w:rPr>
        <w:t>There will be no impact on small businesses or other small entities.</w:t>
      </w:r>
    </w:p>
    <w:p w:rsidR="007F1ACE" w:rsidRDefault="007F1ACE" w:rsidP="001478D3">
      <w:pPr>
        <w:spacing w:after="0" w:line="240" w:lineRule="auto"/>
        <w:jc w:val="both"/>
        <w:rPr>
          <w:rFonts w:asciiTheme="minorHAnsi" w:hAnsiTheme="minorHAnsi"/>
          <w:b/>
        </w:rPr>
      </w:pPr>
    </w:p>
    <w:p w:rsidR="00044A5F" w:rsidRPr="007F1ACE" w:rsidRDefault="00044A5F" w:rsidP="001478D3">
      <w:pPr>
        <w:spacing w:after="0" w:line="240" w:lineRule="auto"/>
        <w:jc w:val="both"/>
        <w:rPr>
          <w:rFonts w:asciiTheme="minorHAnsi" w:hAnsiTheme="minorHAnsi"/>
          <w:b/>
        </w:rPr>
      </w:pPr>
      <w:r w:rsidRPr="007F1ACE">
        <w:rPr>
          <w:rFonts w:asciiTheme="minorHAnsi" w:hAnsiTheme="minorHAnsi"/>
          <w:b/>
        </w:rPr>
        <w:t>A.6</w:t>
      </w:r>
      <w:r w:rsidRPr="007F1ACE">
        <w:rPr>
          <w:rFonts w:asciiTheme="minorHAnsi" w:hAnsiTheme="minorHAnsi"/>
          <w:b/>
        </w:rPr>
        <w:tab/>
        <w:t>Consequences of Collecting the Information Less Frequently</w:t>
      </w:r>
    </w:p>
    <w:p w:rsidR="007F1ACE" w:rsidRDefault="007F1ACE" w:rsidP="001478D3">
      <w:pPr>
        <w:spacing w:after="0" w:line="240" w:lineRule="auto"/>
        <w:jc w:val="both"/>
        <w:rPr>
          <w:rFonts w:asciiTheme="minorHAnsi" w:hAnsiTheme="minorHAnsi"/>
        </w:rPr>
      </w:pPr>
    </w:p>
    <w:p w:rsidR="002D5E05" w:rsidRPr="00B223FC" w:rsidRDefault="002D5E05" w:rsidP="00B63EFD">
      <w:pPr>
        <w:spacing w:line="240" w:lineRule="auto"/>
        <w:ind w:firstLine="720"/>
      </w:pPr>
      <w:r w:rsidRPr="00B223FC">
        <w:t xml:space="preserve">This is a one-time request; therefore, it is not possible to ask participants to participate in the focus </w:t>
      </w:r>
      <w:r w:rsidR="00BF23FA" w:rsidRPr="00B223FC">
        <w:t>groups</w:t>
      </w:r>
      <w:r w:rsidR="00BF23FA">
        <w:t xml:space="preserve"> or IDIs </w:t>
      </w:r>
      <w:r w:rsidR="00AC4FC4">
        <w:t>less</w:t>
      </w:r>
      <w:r w:rsidRPr="00B223FC">
        <w:t xml:space="preserve"> frequently.</w:t>
      </w:r>
    </w:p>
    <w:p w:rsidR="007F1ACE" w:rsidRDefault="007F1ACE" w:rsidP="001478D3">
      <w:pPr>
        <w:spacing w:after="0" w:line="240" w:lineRule="auto"/>
        <w:jc w:val="both"/>
        <w:rPr>
          <w:rFonts w:asciiTheme="minorHAnsi" w:hAnsiTheme="minorHAnsi"/>
          <w:b/>
        </w:rPr>
      </w:pPr>
    </w:p>
    <w:p w:rsidR="00044A5F" w:rsidRPr="007F1ACE" w:rsidRDefault="00044A5F" w:rsidP="001478D3">
      <w:pPr>
        <w:spacing w:after="0" w:line="240" w:lineRule="auto"/>
        <w:jc w:val="both"/>
        <w:rPr>
          <w:rFonts w:asciiTheme="minorHAnsi" w:hAnsiTheme="minorHAnsi"/>
          <w:b/>
        </w:rPr>
      </w:pPr>
      <w:r w:rsidRPr="007F1ACE">
        <w:rPr>
          <w:rFonts w:asciiTheme="minorHAnsi" w:hAnsiTheme="minorHAnsi"/>
          <w:b/>
        </w:rPr>
        <w:t>A.7</w:t>
      </w:r>
      <w:r w:rsidRPr="007F1ACE">
        <w:rPr>
          <w:rFonts w:asciiTheme="minorHAnsi" w:hAnsiTheme="minorHAnsi"/>
          <w:b/>
        </w:rPr>
        <w:tab/>
        <w:t>Special Circumstances Relating to the Guidelines of 5 CFR 1320.5</w:t>
      </w:r>
    </w:p>
    <w:p w:rsidR="007F1ACE" w:rsidRDefault="007F1ACE" w:rsidP="001478D3">
      <w:pPr>
        <w:spacing w:after="0" w:line="240" w:lineRule="auto"/>
        <w:jc w:val="both"/>
        <w:rPr>
          <w:rFonts w:asciiTheme="minorHAnsi" w:hAnsiTheme="minorHAnsi"/>
        </w:rPr>
      </w:pPr>
    </w:p>
    <w:p w:rsidR="00987082" w:rsidRDefault="00D83CF3" w:rsidP="00B63EFD">
      <w:pPr>
        <w:spacing w:after="0" w:line="240" w:lineRule="auto"/>
        <w:ind w:firstLine="720"/>
        <w:jc w:val="both"/>
        <w:rPr>
          <w:rFonts w:asciiTheme="minorHAnsi" w:hAnsiTheme="minorHAnsi"/>
        </w:rPr>
      </w:pPr>
      <w:r>
        <w:rPr>
          <w:rFonts w:asciiTheme="minorHAnsi" w:hAnsiTheme="minorHAnsi"/>
        </w:rPr>
        <w:t>The testing activities fully comply with the regulation and guidelines in 5</w:t>
      </w:r>
      <w:r w:rsidRPr="00D83CF3">
        <w:rPr>
          <w:rFonts w:asciiTheme="minorHAnsi" w:hAnsiTheme="minorHAnsi"/>
          <w:b/>
        </w:rPr>
        <w:t xml:space="preserve"> </w:t>
      </w:r>
      <w:r w:rsidRPr="007F1ACE">
        <w:rPr>
          <w:rFonts w:asciiTheme="minorHAnsi" w:hAnsiTheme="minorHAnsi"/>
          <w:b/>
        </w:rPr>
        <w:t>CFR 1320.5</w:t>
      </w:r>
      <w:r w:rsidR="00524485">
        <w:rPr>
          <w:rFonts w:asciiTheme="minorHAnsi" w:hAnsiTheme="minorHAnsi"/>
          <w:b/>
        </w:rPr>
        <w:t xml:space="preserve">. </w:t>
      </w:r>
      <w:r>
        <w:rPr>
          <w:rFonts w:asciiTheme="minorHAnsi" w:hAnsiTheme="minorHAnsi"/>
          <w:b/>
        </w:rPr>
        <w:t xml:space="preserve"> </w:t>
      </w:r>
      <w:r w:rsidR="00A25C91" w:rsidRPr="007F1ACE">
        <w:rPr>
          <w:rFonts w:asciiTheme="minorHAnsi" w:hAnsiTheme="minorHAnsi"/>
        </w:rPr>
        <w:t>There are no special circumstances.</w:t>
      </w:r>
    </w:p>
    <w:p w:rsidR="007F1ACE" w:rsidRDefault="007F1ACE" w:rsidP="001478D3">
      <w:pPr>
        <w:spacing w:after="0" w:line="240" w:lineRule="auto"/>
        <w:ind w:left="720" w:hanging="720"/>
        <w:jc w:val="both"/>
        <w:rPr>
          <w:rFonts w:asciiTheme="minorHAnsi" w:hAnsiTheme="minorHAnsi"/>
          <w:b/>
        </w:rPr>
      </w:pPr>
    </w:p>
    <w:p w:rsidR="00044A5F" w:rsidRPr="007F1ACE" w:rsidRDefault="00044A5F" w:rsidP="001478D3">
      <w:pPr>
        <w:spacing w:after="0" w:line="240" w:lineRule="auto"/>
        <w:ind w:left="720" w:hanging="720"/>
        <w:jc w:val="both"/>
        <w:rPr>
          <w:rFonts w:asciiTheme="minorHAnsi" w:hAnsiTheme="minorHAnsi"/>
          <w:b/>
        </w:rPr>
      </w:pPr>
      <w:r w:rsidRPr="007F1ACE">
        <w:rPr>
          <w:rFonts w:asciiTheme="minorHAnsi" w:hAnsiTheme="minorHAnsi"/>
          <w:b/>
        </w:rPr>
        <w:t>A.8</w:t>
      </w:r>
      <w:r w:rsidRPr="007F1ACE">
        <w:rPr>
          <w:rFonts w:asciiTheme="minorHAnsi" w:hAnsiTheme="minorHAnsi"/>
          <w:b/>
        </w:rPr>
        <w:tab/>
        <w:t>Comments in Response to the Federal Register Notice and Efforts to Consult Outside the Agency</w:t>
      </w:r>
    </w:p>
    <w:p w:rsidR="007F1ACE" w:rsidRDefault="007F1ACE" w:rsidP="001478D3">
      <w:pPr>
        <w:spacing w:after="0" w:line="240" w:lineRule="auto"/>
        <w:ind w:left="720" w:hanging="720"/>
        <w:jc w:val="both"/>
        <w:rPr>
          <w:rFonts w:asciiTheme="minorHAnsi" w:hAnsiTheme="minorHAnsi"/>
        </w:rPr>
      </w:pPr>
    </w:p>
    <w:p w:rsidR="008805EE" w:rsidRDefault="008805EE" w:rsidP="007E75CF">
      <w:pPr>
        <w:spacing w:after="0" w:line="240" w:lineRule="auto"/>
        <w:ind w:firstLine="720"/>
        <w:jc w:val="both"/>
        <w:rPr>
          <w:rFonts w:asciiTheme="minorHAnsi" w:eastAsia="Times New Roman" w:hAnsiTheme="minorHAnsi" w:cstheme="minorHAnsi"/>
          <w:szCs w:val="20"/>
        </w:rPr>
      </w:pPr>
      <w:r>
        <w:rPr>
          <w:rFonts w:asciiTheme="minorHAnsi" w:eastAsia="Times New Roman" w:hAnsiTheme="minorHAnsi" w:cstheme="minorHAnsi"/>
          <w:szCs w:val="20"/>
        </w:rPr>
        <w:t>CDC and FDA collaborated on the development of this information collection, including design of the overall message testing activity as well as the design of specific instruments.  Our collaborator at FDA is</w:t>
      </w:r>
    </w:p>
    <w:p w:rsidR="00987082" w:rsidRPr="007E75CF" w:rsidRDefault="002E3977" w:rsidP="007E75CF">
      <w:pPr>
        <w:spacing w:after="0" w:line="240" w:lineRule="auto"/>
        <w:ind w:firstLine="720"/>
        <w:jc w:val="both"/>
        <w:rPr>
          <w:rFonts w:asciiTheme="minorHAnsi" w:eastAsia="Times New Roman" w:hAnsiTheme="minorHAnsi" w:cstheme="minorHAnsi"/>
          <w:szCs w:val="20"/>
        </w:rPr>
      </w:pPr>
      <w:r w:rsidRPr="007E75CF">
        <w:rPr>
          <w:rFonts w:asciiTheme="minorHAnsi" w:eastAsia="Times New Roman" w:hAnsiTheme="minorHAnsi" w:cstheme="minorHAnsi"/>
          <w:szCs w:val="20"/>
        </w:rPr>
        <w:t xml:space="preserve">Greta </w:t>
      </w:r>
      <w:proofErr w:type="spellStart"/>
      <w:r w:rsidRPr="007E75CF">
        <w:rPr>
          <w:rFonts w:asciiTheme="minorHAnsi" w:eastAsia="Times New Roman" w:hAnsiTheme="minorHAnsi" w:cstheme="minorHAnsi"/>
          <w:szCs w:val="20"/>
        </w:rPr>
        <w:t>Tessman</w:t>
      </w:r>
      <w:proofErr w:type="spellEnd"/>
      <w:r w:rsidR="008805EE">
        <w:rPr>
          <w:rFonts w:asciiTheme="minorHAnsi" w:eastAsia="Times New Roman" w:hAnsiTheme="minorHAnsi" w:cstheme="minorHAnsi"/>
          <w:szCs w:val="20"/>
        </w:rPr>
        <w:t>, MA</w:t>
      </w:r>
    </w:p>
    <w:p w:rsidR="002E3977" w:rsidRPr="007E75CF" w:rsidRDefault="002E3977" w:rsidP="007E75CF">
      <w:pPr>
        <w:spacing w:after="0" w:line="240" w:lineRule="auto"/>
        <w:ind w:firstLine="720"/>
        <w:jc w:val="both"/>
        <w:rPr>
          <w:rFonts w:asciiTheme="minorHAnsi" w:eastAsia="Times New Roman" w:hAnsiTheme="minorHAnsi" w:cstheme="minorHAnsi"/>
          <w:szCs w:val="20"/>
        </w:rPr>
      </w:pPr>
      <w:r w:rsidRPr="007E75CF">
        <w:rPr>
          <w:rFonts w:asciiTheme="minorHAnsi" w:eastAsia="Times New Roman" w:hAnsiTheme="minorHAnsi" w:cstheme="minorHAnsi"/>
          <w:szCs w:val="20"/>
        </w:rPr>
        <w:t>Food and Drug Administration</w:t>
      </w:r>
    </w:p>
    <w:p w:rsidR="002E3977" w:rsidRPr="007E75CF" w:rsidRDefault="002E3977" w:rsidP="007E75CF">
      <w:pPr>
        <w:spacing w:after="0" w:line="240" w:lineRule="auto"/>
        <w:ind w:firstLine="720"/>
        <w:jc w:val="both"/>
        <w:rPr>
          <w:rFonts w:asciiTheme="minorHAnsi" w:eastAsia="Times New Roman" w:hAnsiTheme="minorHAnsi" w:cstheme="minorHAnsi"/>
          <w:szCs w:val="20"/>
        </w:rPr>
      </w:pPr>
      <w:r w:rsidRPr="007E75CF">
        <w:rPr>
          <w:rFonts w:asciiTheme="minorHAnsi" w:eastAsia="Times New Roman" w:hAnsiTheme="minorHAnsi" w:cstheme="minorHAnsi"/>
          <w:szCs w:val="20"/>
        </w:rPr>
        <w:t>301-796-6722</w:t>
      </w:r>
    </w:p>
    <w:p w:rsidR="002E3977" w:rsidRDefault="005E5BAF" w:rsidP="007E75CF">
      <w:pPr>
        <w:spacing w:after="0" w:line="240" w:lineRule="auto"/>
        <w:ind w:firstLine="720"/>
        <w:jc w:val="both"/>
        <w:rPr>
          <w:rFonts w:asciiTheme="minorHAnsi" w:hAnsiTheme="minorHAnsi"/>
        </w:rPr>
      </w:pPr>
      <w:hyperlink r:id="rId9" w:history="1">
        <w:r w:rsidR="002E3977" w:rsidRPr="00C2010B">
          <w:rPr>
            <w:rStyle w:val="Hyperlink"/>
            <w:rFonts w:asciiTheme="minorHAnsi" w:hAnsiTheme="minorHAnsi"/>
          </w:rPr>
          <w:t>Greta.Tessman@fda.hhs.gov</w:t>
        </w:r>
      </w:hyperlink>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A.9</w:t>
      </w:r>
      <w:r w:rsidRPr="007F1ACE">
        <w:rPr>
          <w:rFonts w:asciiTheme="minorHAnsi" w:hAnsiTheme="minorHAnsi"/>
          <w:b/>
        </w:rPr>
        <w:tab/>
        <w:t>Explanation of Any Payments or Gift to Respondents</w:t>
      </w:r>
    </w:p>
    <w:p w:rsidR="007F1ACE" w:rsidRDefault="007F1ACE" w:rsidP="009505A2">
      <w:pPr>
        <w:spacing w:after="0"/>
        <w:jc w:val="both"/>
        <w:rPr>
          <w:rFonts w:asciiTheme="minorHAnsi" w:hAnsiTheme="minorHAnsi"/>
        </w:rPr>
      </w:pPr>
    </w:p>
    <w:p w:rsidR="00CC3098" w:rsidRDefault="00CC3098" w:rsidP="00B63EFD">
      <w:pPr>
        <w:pStyle w:val="bodytextpsg0"/>
        <w:ind w:firstLine="720"/>
        <w:rPr>
          <w:rFonts w:asciiTheme="minorHAnsi" w:hAnsiTheme="minorHAnsi" w:cstheme="minorHAnsi"/>
          <w:szCs w:val="22"/>
        </w:rPr>
      </w:pPr>
      <w:r w:rsidRPr="000C623D">
        <w:rPr>
          <w:rFonts w:asciiTheme="minorHAnsi" w:hAnsiTheme="minorHAnsi" w:cstheme="minorHAnsi"/>
        </w:rPr>
        <w:t xml:space="preserve">We will give participants in the focus groups </w:t>
      </w:r>
      <w:r w:rsidR="00BF23FA" w:rsidRPr="000C623D">
        <w:rPr>
          <w:rFonts w:asciiTheme="minorHAnsi" w:hAnsiTheme="minorHAnsi" w:cstheme="minorHAnsi"/>
        </w:rPr>
        <w:t xml:space="preserve">and IDIs </w:t>
      </w:r>
      <w:r w:rsidR="00C756E2">
        <w:rPr>
          <w:rFonts w:asciiTheme="minorHAnsi" w:hAnsiTheme="minorHAnsi" w:cstheme="minorHAnsi"/>
        </w:rPr>
        <w:t xml:space="preserve">a </w:t>
      </w:r>
      <w:r w:rsidRPr="000C623D">
        <w:rPr>
          <w:rFonts w:asciiTheme="minorHAnsi" w:hAnsiTheme="minorHAnsi" w:cstheme="minorHAnsi"/>
        </w:rPr>
        <w:t>monetary</w:t>
      </w:r>
      <w:r w:rsidR="007210AD" w:rsidRPr="000C623D">
        <w:rPr>
          <w:rFonts w:asciiTheme="minorHAnsi" w:hAnsiTheme="minorHAnsi" w:cstheme="minorHAnsi"/>
        </w:rPr>
        <w:t xml:space="preserve"> </w:t>
      </w:r>
      <w:r w:rsidR="004A512E">
        <w:rPr>
          <w:rFonts w:asciiTheme="minorHAnsi" w:hAnsiTheme="minorHAnsi" w:cstheme="minorHAnsi"/>
        </w:rPr>
        <w:t>gift</w:t>
      </w:r>
      <w:r w:rsidR="00C756E2">
        <w:rPr>
          <w:rFonts w:asciiTheme="minorHAnsi" w:hAnsiTheme="minorHAnsi" w:cstheme="minorHAnsi"/>
        </w:rPr>
        <w:t xml:space="preserve"> to show appreciation</w:t>
      </w:r>
      <w:r w:rsidR="004A512E" w:rsidRPr="000C623D">
        <w:rPr>
          <w:rFonts w:asciiTheme="minorHAnsi" w:hAnsiTheme="minorHAnsi" w:cstheme="minorHAnsi"/>
        </w:rPr>
        <w:t xml:space="preserve"> </w:t>
      </w:r>
      <w:r w:rsidRPr="000C623D">
        <w:rPr>
          <w:rFonts w:asciiTheme="minorHAnsi" w:hAnsiTheme="minorHAnsi" w:cstheme="minorHAnsi"/>
        </w:rPr>
        <w:t xml:space="preserve">for their </w:t>
      </w:r>
      <w:r w:rsidR="002F14D3">
        <w:rPr>
          <w:rFonts w:asciiTheme="minorHAnsi" w:hAnsiTheme="minorHAnsi" w:cstheme="minorHAnsi"/>
        </w:rPr>
        <w:t xml:space="preserve">participation. </w:t>
      </w:r>
      <w:r w:rsidR="00334196" w:rsidRPr="000C623D">
        <w:rPr>
          <w:rFonts w:asciiTheme="minorHAnsi" w:hAnsiTheme="minorHAnsi" w:cstheme="minorHAnsi"/>
        </w:rPr>
        <w:t xml:space="preserve"> Given th</w:t>
      </w:r>
      <w:r w:rsidR="009E57D4" w:rsidRPr="000C623D">
        <w:rPr>
          <w:rFonts w:asciiTheme="minorHAnsi" w:hAnsiTheme="minorHAnsi" w:cstheme="minorHAnsi"/>
        </w:rPr>
        <w:t>is study targets a</w:t>
      </w:r>
      <w:r w:rsidR="00334196" w:rsidRPr="000C623D">
        <w:rPr>
          <w:rFonts w:asciiTheme="minorHAnsi" w:hAnsiTheme="minorHAnsi" w:cstheme="minorHAnsi"/>
        </w:rPr>
        <w:t xml:space="preserve"> specific </w:t>
      </w:r>
      <w:r w:rsidR="009E57D4" w:rsidRPr="000C623D">
        <w:rPr>
          <w:rFonts w:asciiTheme="minorHAnsi" w:hAnsiTheme="minorHAnsi" w:cstheme="minorHAnsi"/>
        </w:rPr>
        <w:t xml:space="preserve">population (i.e., </w:t>
      </w:r>
      <w:r w:rsidR="00334196" w:rsidRPr="000C623D">
        <w:rPr>
          <w:rFonts w:asciiTheme="minorHAnsi" w:hAnsiTheme="minorHAnsi" w:cstheme="minorHAnsi"/>
        </w:rPr>
        <w:t>pregnant smokers</w:t>
      </w:r>
      <w:r w:rsidR="009E57D4" w:rsidRPr="000C623D">
        <w:rPr>
          <w:rFonts w:asciiTheme="minorHAnsi" w:hAnsiTheme="minorHAnsi" w:cstheme="minorHAnsi"/>
        </w:rPr>
        <w:t>)</w:t>
      </w:r>
      <w:proofErr w:type="gramStart"/>
      <w:r w:rsidR="00A8515B">
        <w:rPr>
          <w:rFonts w:asciiTheme="minorHAnsi" w:hAnsiTheme="minorHAnsi" w:cstheme="minorHAnsi"/>
        </w:rPr>
        <w:t>,</w:t>
      </w:r>
      <w:proofErr w:type="gramEnd"/>
      <w:r w:rsidR="00334196" w:rsidRPr="000C623D">
        <w:rPr>
          <w:rFonts w:asciiTheme="minorHAnsi" w:hAnsiTheme="minorHAnsi" w:cstheme="minorHAnsi"/>
        </w:rPr>
        <w:t xml:space="preserve"> the recruiting firm may need to expand their efforts beyond their standard geographic recruitment area. </w:t>
      </w:r>
      <w:r w:rsidRPr="000C623D">
        <w:rPr>
          <w:rFonts w:asciiTheme="minorHAnsi" w:hAnsiTheme="minorHAnsi" w:cstheme="minorHAnsi"/>
        </w:rPr>
        <w:t xml:space="preserve"> Because many of these participants will have </w:t>
      </w:r>
      <w:r w:rsidR="00BF23FA" w:rsidRPr="000C623D">
        <w:rPr>
          <w:rFonts w:asciiTheme="minorHAnsi" w:hAnsiTheme="minorHAnsi" w:cstheme="minorHAnsi"/>
        </w:rPr>
        <w:t xml:space="preserve">to travel, and in some cases </w:t>
      </w:r>
      <w:r w:rsidR="00334196" w:rsidRPr="000C623D">
        <w:rPr>
          <w:rFonts w:asciiTheme="minorHAnsi" w:hAnsiTheme="minorHAnsi" w:cstheme="minorHAnsi"/>
        </w:rPr>
        <w:t>longer than average</w:t>
      </w:r>
      <w:r w:rsidR="00BF23FA" w:rsidRPr="000C623D">
        <w:rPr>
          <w:rFonts w:asciiTheme="minorHAnsi" w:hAnsiTheme="minorHAnsi" w:cstheme="minorHAnsi"/>
        </w:rPr>
        <w:t xml:space="preserve"> distances, the </w:t>
      </w:r>
      <w:r w:rsidR="007B3852">
        <w:rPr>
          <w:rFonts w:asciiTheme="minorHAnsi" w:hAnsiTheme="minorHAnsi" w:cstheme="minorHAnsi"/>
        </w:rPr>
        <w:t>gift</w:t>
      </w:r>
      <w:r w:rsidR="007B3852" w:rsidRPr="000C623D">
        <w:rPr>
          <w:rFonts w:asciiTheme="minorHAnsi" w:hAnsiTheme="minorHAnsi" w:cstheme="minorHAnsi"/>
        </w:rPr>
        <w:t xml:space="preserve"> </w:t>
      </w:r>
      <w:r w:rsidR="00D42A48">
        <w:rPr>
          <w:rFonts w:asciiTheme="minorHAnsi" w:hAnsiTheme="minorHAnsi" w:cstheme="minorHAnsi"/>
        </w:rPr>
        <w:t xml:space="preserve">may </w:t>
      </w:r>
      <w:r w:rsidR="00BF23FA" w:rsidRPr="000C623D">
        <w:rPr>
          <w:rFonts w:asciiTheme="minorHAnsi" w:hAnsiTheme="minorHAnsi" w:cstheme="minorHAnsi"/>
        </w:rPr>
        <w:t>serve to offset costs related to traveling to the</w:t>
      </w:r>
      <w:r w:rsidR="0063706B" w:rsidRPr="000C623D">
        <w:rPr>
          <w:rFonts w:asciiTheme="minorHAnsi" w:hAnsiTheme="minorHAnsi" w:cstheme="minorHAnsi"/>
        </w:rPr>
        <w:t xml:space="preserve"> focus group/IDI </w:t>
      </w:r>
      <w:r w:rsidR="00BF23FA" w:rsidRPr="000C623D">
        <w:rPr>
          <w:rFonts w:asciiTheme="minorHAnsi" w:hAnsiTheme="minorHAnsi" w:cstheme="minorHAnsi"/>
        </w:rPr>
        <w:t>facility</w:t>
      </w:r>
      <w:r w:rsidR="0063706B" w:rsidRPr="000C623D">
        <w:rPr>
          <w:rFonts w:asciiTheme="minorHAnsi" w:hAnsiTheme="minorHAnsi" w:cstheme="minorHAnsi"/>
        </w:rPr>
        <w:t xml:space="preserve">. </w:t>
      </w:r>
      <w:r w:rsidR="001B3C7E" w:rsidRPr="000C623D">
        <w:rPr>
          <w:rFonts w:asciiTheme="minorHAnsi" w:hAnsiTheme="minorHAnsi" w:cstheme="minorHAnsi"/>
        </w:rPr>
        <w:t>Many</w:t>
      </w:r>
      <w:r w:rsidR="00BF23FA" w:rsidRPr="000C623D">
        <w:rPr>
          <w:rFonts w:asciiTheme="minorHAnsi" w:hAnsiTheme="minorHAnsi" w:cstheme="minorHAnsi"/>
        </w:rPr>
        <w:t xml:space="preserve"> participants will also </w:t>
      </w:r>
      <w:r w:rsidR="00BF23FA" w:rsidRPr="000C623D">
        <w:rPr>
          <w:rFonts w:asciiTheme="minorHAnsi" w:hAnsiTheme="minorHAnsi" w:cstheme="minorHAnsi"/>
        </w:rPr>
        <w:lastRenderedPageBreak/>
        <w:t xml:space="preserve">have </w:t>
      </w:r>
      <w:r w:rsidRPr="000C623D">
        <w:rPr>
          <w:rFonts w:asciiTheme="minorHAnsi" w:hAnsiTheme="minorHAnsi" w:cstheme="minorHAnsi"/>
        </w:rPr>
        <w:t xml:space="preserve">children, </w:t>
      </w:r>
      <w:r w:rsidR="00BF23FA" w:rsidRPr="000C623D">
        <w:rPr>
          <w:rFonts w:asciiTheme="minorHAnsi" w:hAnsiTheme="minorHAnsi" w:cstheme="minorHAnsi"/>
        </w:rPr>
        <w:t xml:space="preserve">and </w:t>
      </w:r>
      <w:r w:rsidRPr="000C623D">
        <w:rPr>
          <w:rFonts w:asciiTheme="minorHAnsi" w:hAnsiTheme="minorHAnsi" w:cstheme="minorHAnsi"/>
        </w:rPr>
        <w:t>the</w:t>
      </w:r>
      <w:r w:rsidR="005855E6" w:rsidRPr="000C623D">
        <w:rPr>
          <w:rFonts w:asciiTheme="minorHAnsi" w:hAnsiTheme="minorHAnsi" w:cstheme="minorHAnsi"/>
        </w:rPr>
        <w:t xml:space="preserve"> </w:t>
      </w:r>
      <w:r w:rsidR="007B3852">
        <w:rPr>
          <w:rFonts w:asciiTheme="minorHAnsi" w:hAnsiTheme="minorHAnsi" w:cstheme="minorHAnsi"/>
        </w:rPr>
        <w:t>gift</w:t>
      </w:r>
      <w:r w:rsidR="007B3852" w:rsidRPr="000C623D">
        <w:rPr>
          <w:rFonts w:asciiTheme="minorHAnsi" w:hAnsiTheme="minorHAnsi" w:cstheme="minorHAnsi"/>
        </w:rPr>
        <w:t xml:space="preserve"> </w:t>
      </w:r>
      <w:r w:rsidR="006A792E">
        <w:rPr>
          <w:rFonts w:asciiTheme="minorHAnsi" w:hAnsiTheme="minorHAnsi" w:cstheme="minorHAnsi"/>
        </w:rPr>
        <w:t xml:space="preserve">may </w:t>
      </w:r>
      <w:r w:rsidRPr="000C623D">
        <w:rPr>
          <w:rFonts w:asciiTheme="minorHAnsi" w:hAnsiTheme="minorHAnsi" w:cstheme="minorHAnsi"/>
        </w:rPr>
        <w:t>also serve to offset childcare costs related to participating in the study. The amount is $</w:t>
      </w:r>
      <w:r w:rsidR="009907FF">
        <w:rPr>
          <w:rFonts w:asciiTheme="minorHAnsi" w:hAnsiTheme="minorHAnsi" w:cstheme="minorHAnsi"/>
        </w:rPr>
        <w:t>75.00</w:t>
      </w:r>
      <w:r w:rsidR="00A8515B">
        <w:rPr>
          <w:rFonts w:asciiTheme="minorHAnsi" w:hAnsiTheme="minorHAnsi" w:cstheme="minorHAnsi"/>
        </w:rPr>
        <w:t xml:space="preserve"> for participation in a </w:t>
      </w:r>
      <w:r w:rsidR="001B3C7E" w:rsidRPr="000C623D">
        <w:rPr>
          <w:rFonts w:asciiTheme="minorHAnsi" w:hAnsiTheme="minorHAnsi" w:cstheme="minorHAnsi"/>
        </w:rPr>
        <w:t>90 minute</w:t>
      </w:r>
      <w:r w:rsidR="009E57D4" w:rsidRPr="000C623D">
        <w:rPr>
          <w:rFonts w:asciiTheme="minorHAnsi" w:hAnsiTheme="minorHAnsi" w:cstheme="minorHAnsi"/>
        </w:rPr>
        <w:t xml:space="preserve"> </w:t>
      </w:r>
      <w:r w:rsidR="00BF23FA" w:rsidRPr="000C623D">
        <w:rPr>
          <w:rFonts w:asciiTheme="minorHAnsi" w:hAnsiTheme="minorHAnsi" w:cstheme="minorHAnsi"/>
        </w:rPr>
        <w:t>focus group or 60 minute IDI.</w:t>
      </w:r>
      <w:r>
        <w:rPr>
          <w:rFonts w:asciiTheme="minorHAnsi" w:hAnsiTheme="minorHAnsi" w:cstheme="minorHAnsi"/>
        </w:rPr>
        <w:t xml:space="preserve"> </w:t>
      </w:r>
    </w:p>
    <w:p w:rsidR="00CC3098" w:rsidRPr="00711A07" w:rsidRDefault="00CC3098" w:rsidP="00B63EFD">
      <w:pPr>
        <w:spacing w:line="240" w:lineRule="auto"/>
        <w:ind w:firstLine="720"/>
        <w:rPr>
          <w:rFonts w:asciiTheme="minorHAnsi" w:hAnsiTheme="minorHAnsi" w:cstheme="minorHAnsi"/>
          <w:bCs/>
        </w:rPr>
      </w:pPr>
      <w:r w:rsidRPr="000C623D">
        <w:rPr>
          <w:rFonts w:cstheme="minorHAnsi"/>
          <w:color w:val="000000"/>
        </w:rPr>
        <w:t xml:space="preserve">This proposed </w:t>
      </w:r>
      <w:r w:rsidR="004A512E">
        <w:rPr>
          <w:rFonts w:cstheme="minorHAnsi"/>
          <w:color w:val="000000"/>
        </w:rPr>
        <w:t>gift</w:t>
      </w:r>
      <w:r w:rsidR="004A512E" w:rsidRPr="000C623D">
        <w:rPr>
          <w:rFonts w:cstheme="minorHAnsi"/>
          <w:color w:val="000000"/>
        </w:rPr>
        <w:t xml:space="preserve"> </w:t>
      </w:r>
      <w:r w:rsidRPr="000C623D">
        <w:rPr>
          <w:rFonts w:cstheme="minorHAnsi"/>
          <w:color w:val="000000"/>
        </w:rPr>
        <w:t>of $</w:t>
      </w:r>
      <w:r w:rsidR="009907FF">
        <w:rPr>
          <w:rFonts w:cstheme="minorHAnsi"/>
          <w:color w:val="000000"/>
        </w:rPr>
        <w:t>75.00</w:t>
      </w:r>
      <w:r w:rsidRPr="000C623D">
        <w:rPr>
          <w:rFonts w:cstheme="minorHAnsi"/>
          <w:color w:val="000000"/>
        </w:rPr>
        <w:t>/participant is intended to recognize the time burden placed on the participants,</w:t>
      </w:r>
      <w:r w:rsidR="001B3C7E" w:rsidRPr="000C623D">
        <w:rPr>
          <w:rFonts w:cstheme="minorHAnsi"/>
          <w:color w:val="000000"/>
        </w:rPr>
        <w:t xml:space="preserve"> travel and childcare costs,</w:t>
      </w:r>
      <w:r w:rsidRPr="000C623D">
        <w:rPr>
          <w:rFonts w:cstheme="minorHAnsi"/>
          <w:color w:val="000000"/>
        </w:rPr>
        <w:t xml:space="preserve"> encourage their cooperation, and to convey appreciation for contributing to this important activity. Numerous empirical studies have shown that </w:t>
      </w:r>
      <w:r w:rsidR="004A512E">
        <w:rPr>
          <w:rFonts w:cstheme="minorHAnsi"/>
          <w:color w:val="000000"/>
        </w:rPr>
        <w:t xml:space="preserve">a </w:t>
      </w:r>
      <w:r w:rsidR="007210AD" w:rsidRPr="000C623D">
        <w:rPr>
          <w:rFonts w:cstheme="minorHAnsi"/>
          <w:color w:val="000000"/>
        </w:rPr>
        <w:t xml:space="preserve">monetary </w:t>
      </w:r>
      <w:r w:rsidR="004A512E">
        <w:rPr>
          <w:rFonts w:cstheme="minorHAnsi"/>
          <w:color w:val="000000"/>
        </w:rPr>
        <w:t>gift</w:t>
      </w:r>
      <w:r w:rsidR="004A512E" w:rsidRPr="000C623D">
        <w:rPr>
          <w:rFonts w:cstheme="minorHAnsi"/>
          <w:color w:val="000000"/>
        </w:rPr>
        <w:t xml:space="preserve"> </w:t>
      </w:r>
      <w:r w:rsidRPr="000C623D">
        <w:rPr>
          <w:rFonts w:cstheme="minorHAnsi"/>
          <w:color w:val="000000"/>
        </w:rPr>
        <w:t>can significantly increase</w:t>
      </w:r>
      <w:r>
        <w:rPr>
          <w:rFonts w:cstheme="minorHAnsi"/>
          <w:color w:val="000000"/>
        </w:rPr>
        <w:t xml:space="preserve"> response rates (e.g., </w:t>
      </w:r>
      <w:r w:rsidRPr="00711A07">
        <w:rPr>
          <w:rFonts w:cstheme="minorHAnsi"/>
          <w:color w:val="000000"/>
        </w:rPr>
        <w:t xml:space="preserve">Abreu &amp; Winters, 1999; </w:t>
      </w:r>
      <w:proofErr w:type="spellStart"/>
      <w:r w:rsidRPr="00711A07">
        <w:rPr>
          <w:rFonts w:cstheme="minorHAnsi"/>
          <w:color w:val="000000"/>
        </w:rPr>
        <w:t>Shettle</w:t>
      </w:r>
      <w:proofErr w:type="spellEnd"/>
      <w:r w:rsidRPr="00711A07">
        <w:rPr>
          <w:rFonts w:cstheme="minorHAnsi"/>
          <w:color w:val="000000"/>
        </w:rPr>
        <w:t xml:space="preserve"> &amp; Mooney, 1999; </w:t>
      </w:r>
      <w:proofErr w:type="spellStart"/>
      <w:r w:rsidRPr="00711A07">
        <w:rPr>
          <w:rFonts w:cstheme="minorHAnsi"/>
          <w:color w:val="000000"/>
        </w:rPr>
        <w:t>Greenbaum</w:t>
      </w:r>
      <w:proofErr w:type="spellEnd"/>
      <w:r w:rsidRPr="00711A07">
        <w:rPr>
          <w:rFonts w:cstheme="minorHAnsi"/>
          <w:color w:val="000000"/>
        </w:rPr>
        <w:t xml:space="preserve">, 2000). </w:t>
      </w:r>
    </w:p>
    <w:p w:rsidR="002D5E05" w:rsidRPr="00226B4C" w:rsidRDefault="00216CD1" w:rsidP="00B63EFD">
      <w:pPr>
        <w:spacing w:line="240" w:lineRule="auto"/>
        <w:ind w:firstLine="720"/>
        <w:rPr>
          <w:rFonts w:asciiTheme="minorHAnsi" w:hAnsiTheme="minorHAnsi" w:cstheme="minorHAnsi"/>
          <w:bCs/>
        </w:rPr>
      </w:pPr>
      <w:r w:rsidRPr="00711A07">
        <w:rPr>
          <w:rFonts w:asciiTheme="minorHAnsi" w:hAnsiTheme="minorHAnsi" w:cstheme="minorHAnsi"/>
          <w:bCs/>
        </w:rPr>
        <w:t xml:space="preserve">The </w:t>
      </w:r>
      <w:r w:rsidR="00AC4FC4" w:rsidRPr="00711A07">
        <w:rPr>
          <w:rFonts w:asciiTheme="minorHAnsi" w:hAnsiTheme="minorHAnsi" w:cstheme="minorHAnsi"/>
          <w:bCs/>
        </w:rPr>
        <w:t>primary firm</w:t>
      </w:r>
      <w:r w:rsidR="002D5E05" w:rsidRPr="00711A07">
        <w:rPr>
          <w:rFonts w:asciiTheme="minorHAnsi" w:hAnsiTheme="minorHAnsi" w:cstheme="minorHAnsi"/>
          <w:bCs/>
        </w:rPr>
        <w:t xml:space="preserve"> that will recruit the women for the focus groups</w:t>
      </w:r>
      <w:r w:rsidR="00BF23FA" w:rsidRPr="00711A07">
        <w:rPr>
          <w:rFonts w:asciiTheme="minorHAnsi" w:hAnsiTheme="minorHAnsi" w:cstheme="minorHAnsi"/>
          <w:bCs/>
        </w:rPr>
        <w:t xml:space="preserve"> and IDIs</w:t>
      </w:r>
      <w:r w:rsidR="002D5E05" w:rsidRPr="00711A07">
        <w:rPr>
          <w:rFonts w:asciiTheme="minorHAnsi" w:hAnsiTheme="minorHAnsi" w:cstheme="minorHAnsi"/>
          <w:bCs/>
        </w:rPr>
        <w:t xml:space="preserve">, </w:t>
      </w:r>
      <w:r w:rsidRPr="00711A07">
        <w:rPr>
          <w:rFonts w:asciiTheme="minorHAnsi" w:hAnsiTheme="minorHAnsi" w:cstheme="minorHAnsi"/>
        </w:rPr>
        <w:t>Schlesinger</w:t>
      </w:r>
      <w:r w:rsidR="002D5E05" w:rsidRPr="00711A07">
        <w:rPr>
          <w:rFonts w:asciiTheme="minorHAnsi" w:hAnsiTheme="minorHAnsi" w:cstheme="minorHAnsi"/>
        </w:rPr>
        <w:t xml:space="preserve"> Associates, Inc</w:t>
      </w:r>
      <w:r w:rsidR="000C623D">
        <w:rPr>
          <w:rFonts w:asciiTheme="minorHAnsi" w:hAnsiTheme="minorHAnsi" w:cstheme="minorHAnsi"/>
        </w:rPr>
        <w:t>.</w:t>
      </w:r>
      <w:r w:rsidR="002D5E05" w:rsidRPr="00711A07">
        <w:rPr>
          <w:rFonts w:asciiTheme="minorHAnsi" w:hAnsiTheme="minorHAnsi" w:cstheme="minorHAnsi"/>
        </w:rPr>
        <w:t>,</w:t>
      </w:r>
      <w:r w:rsidR="002D5E05" w:rsidRPr="00711A07">
        <w:rPr>
          <w:rFonts w:asciiTheme="minorHAnsi" w:hAnsiTheme="minorHAnsi" w:cstheme="minorHAnsi"/>
          <w:bCs/>
        </w:rPr>
        <w:t xml:space="preserve"> recommends a minimum </w:t>
      </w:r>
      <w:r w:rsidR="002C4D39">
        <w:rPr>
          <w:rFonts w:asciiTheme="minorHAnsi" w:hAnsiTheme="minorHAnsi" w:cstheme="minorHAnsi"/>
          <w:bCs/>
        </w:rPr>
        <w:t>gift</w:t>
      </w:r>
      <w:r w:rsidR="002C4D39" w:rsidRPr="00711A07">
        <w:rPr>
          <w:rFonts w:asciiTheme="minorHAnsi" w:hAnsiTheme="minorHAnsi" w:cstheme="minorHAnsi"/>
          <w:bCs/>
        </w:rPr>
        <w:t xml:space="preserve"> </w:t>
      </w:r>
      <w:r w:rsidR="002D5E05" w:rsidRPr="00711A07">
        <w:rPr>
          <w:rFonts w:asciiTheme="minorHAnsi" w:hAnsiTheme="minorHAnsi" w:cstheme="minorHAnsi"/>
          <w:bCs/>
        </w:rPr>
        <w:t xml:space="preserve">of </w:t>
      </w:r>
      <w:r w:rsidR="002D5E05" w:rsidRPr="002C4D39">
        <w:rPr>
          <w:rFonts w:asciiTheme="minorHAnsi" w:hAnsiTheme="minorHAnsi" w:cstheme="minorHAnsi"/>
          <w:bCs/>
        </w:rPr>
        <w:t>$</w:t>
      </w:r>
      <w:r w:rsidR="009907FF">
        <w:rPr>
          <w:rFonts w:asciiTheme="minorHAnsi" w:hAnsiTheme="minorHAnsi" w:cstheme="minorHAnsi"/>
          <w:bCs/>
        </w:rPr>
        <w:t>75</w:t>
      </w:r>
      <w:r w:rsidR="009907FF" w:rsidRPr="00711A07">
        <w:rPr>
          <w:rFonts w:asciiTheme="minorHAnsi" w:hAnsiTheme="minorHAnsi" w:cstheme="minorHAnsi"/>
          <w:bCs/>
        </w:rPr>
        <w:t xml:space="preserve"> </w:t>
      </w:r>
      <w:r w:rsidR="002D5E05" w:rsidRPr="00711A07">
        <w:rPr>
          <w:rFonts w:asciiTheme="minorHAnsi" w:hAnsiTheme="minorHAnsi" w:cstheme="minorHAnsi"/>
          <w:bCs/>
        </w:rPr>
        <w:t>per participant</w:t>
      </w:r>
      <w:r w:rsidR="0063706B" w:rsidRPr="00711A07">
        <w:rPr>
          <w:rFonts w:asciiTheme="minorHAnsi" w:hAnsiTheme="minorHAnsi" w:cstheme="minorHAnsi"/>
          <w:bCs/>
        </w:rPr>
        <w:t xml:space="preserve"> for this hard to reach population</w:t>
      </w:r>
      <w:r w:rsidR="00CC3098" w:rsidRPr="00711A07">
        <w:rPr>
          <w:rFonts w:asciiTheme="minorHAnsi" w:hAnsiTheme="minorHAnsi" w:cstheme="minorHAnsi"/>
          <w:bCs/>
        </w:rPr>
        <w:t>.</w:t>
      </w:r>
      <w:r w:rsidR="002D5E05" w:rsidRPr="00711A07">
        <w:rPr>
          <w:rFonts w:asciiTheme="minorHAnsi" w:hAnsiTheme="minorHAnsi" w:cstheme="minorHAnsi"/>
          <w:bCs/>
        </w:rPr>
        <w:t xml:space="preserve"> In their experience, they find a drop off in respondent commitment with any lower amount. In response to offering this level, respondents are much more likely to honor their commitment of participating in the focus group</w:t>
      </w:r>
      <w:r w:rsidR="00AB5BBD" w:rsidRPr="00711A07">
        <w:rPr>
          <w:rFonts w:asciiTheme="minorHAnsi" w:hAnsiTheme="minorHAnsi" w:cstheme="minorHAnsi"/>
          <w:bCs/>
        </w:rPr>
        <w:t>/IDI</w:t>
      </w:r>
      <w:r w:rsidR="002D5E05" w:rsidRPr="00711A07">
        <w:rPr>
          <w:rFonts w:asciiTheme="minorHAnsi" w:hAnsiTheme="minorHAnsi" w:cstheme="minorHAnsi"/>
          <w:bCs/>
        </w:rPr>
        <w:t xml:space="preserve">. Lower </w:t>
      </w:r>
      <w:r w:rsidR="005855E6" w:rsidRPr="00711A07">
        <w:rPr>
          <w:rFonts w:asciiTheme="minorHAnsi" w:hAnsiTheme="minorHAnsi" w:cstheme="minorHAnsi"/>
          <w:bCs/>
        </w:rPr>
        <w:t xml:space="preserve">amounts </w:t>
      </w:r>
      <w:r w:rsidR="002D5E05" w:rsidRPr="00711A07">
        <w:rPr>
          <w:rFonts w:asciiTheme="minorHAnsi" w:hAnsiTheme="minorHAnsi" w:cstheme="minorHAnsi"/>
          <w:bCs/>
        </w:rPr>
        <w:t>could actually result in higher recruiting costs due to the need to over recruit by higher percentages (Krueger &amp; Casey, 2009).</w:t>
      </w:r>
      <w:r w:rsidR="002D5E05" w:rsidRPr="00226B4C">
        <w:rPr>
          <w:rFonts w:asciiTheme="minorHAnsi" w:hAnsiTheme="minorHAnsi" w:cstheme="minorHAnsi"/>
          <w:bCs/>
        </w:rPr>
        <w:t xml:space="preserve"> Additionally, </w:t>
      </w:r>
      <w:r w:rsidR="00AB5BBD" w:rsidRPr="00226B4C">
        <w:rPr>
          <w:rFonts w:asciiTheme="minorHAnsi" w:hAnsiTheme="minorHAnsi" w:cstheme="minorHAnsi"/>
          <w:bCs/>
        </w:rPr>
        <w:t>th</w:t>
      </w:r>
      <w:r w:rsidR="00AB5BBD">
        <w:rPr>
          <w:rFonts w:asciiTheme="minorHAnsi" w:hAnsiTheme="minorHAnsi" w:cstheme="minorHAnsi"/>
          <w:bCs/>
        </w:rPr>
        <w:t>e</w:t>
      </w:r>
      <w:r w:rsidR="00AB5BBD" w:rsidRPr="00226B4C">
        <w:rPr>
          <w:rFonts w:asciiTheme="minorHAnsi" w:hAnsiTheme="minorHAnsi" w:cstheme="minorHAnsi"/>
          <w:bCs/>
        </w:rPr>
        <w:t xml:space="preserve"> </w:t>
      </w:r>
      <w:r w:rsidR="002D5E05" w:rsidRPr="00226B4C">
        <w:rPr>
          <w:rFonts w:asciiTheme="minorHAnsi" w:hAnsiTheme="minorHAnsi" w:cstheme="minorHAnsi"/>
          <w:bCs/>
        </w:rPr>
        <w:t>focus group</w:t>
      </w:r>
      <w:r w:rsidR="00AB5BBD">
        <w:rPr>
          <w:rFonts w:asciiTheme="minorHAnsi" w:hAnsiTheme="minorHAnsi" w:cstheme="minorHAnsi"/>
          <w:bCs/>
        </w:rPr>
        <w:t>s</w:t>
      </w:r>
      <w:r w:rsidR="002D5E05" w:rsidRPr="00226B4C">
        <w:rPr>
          <w:rFonts w:asciiTheme="minorHAnsi" w:hAnsiTheme="minorHAnsi" w:cstheme="minorHAnsi"/>
          <w:bCs/>
        </w:rPr>
        <w:t xml:space="preserve"> will last</w:t>
      </w:r>
      <w:r w:rsidR="0063706B">
        <w:rPr>
          <w:rFonts w:asciiTheme="minorHAnsi" w:hAnsiTheme="minorHAnsi" w:cstheme="minorHAnsi"/>
          <w:bCs/>
        </w:rPr>
        <w:t xml:space="preserve"> not more than </w:t>
      </w:r>
      <w:r w:rsidR="00AA571C">
        <w:rPr>
          <w:rFonts w:asciiTheme="minorHAnsi" w:hAnsiTheme="minorHAnsi" w:cstheme="minorHAnsi"/>
          <w:bCs/>
        </w:rPr>
        <w:t>1.5</w:t>
      </w:r>
      <w:r w:rsidR="0063706B">
        <w:rPr>
          <w:rFonts w:asciiTheme="minorHAnsi" w:hAnsiTheme="minorHAnsi" w:cstheme="minorHAnsi"/>
          <w:bCs/>
        </w:rPr>
        <w:t xml:space="preserve"> hours</w:t>
      </w:r>
      <w:r w:rsidR="00AB5BBD">
        <w:rPr>
          <w:rFonts w:asciiTheme="minorHAnsi" w:hAnsiTheme="minorHAnsi" w:cstheme="minorHAnsi"/>
          <w:bCs/>
        </w:rPr>
        <w:t xml:space="preserve"> and IDIs one hour</w:t>
      </w:r>
      <w:r w:rsidR="00236401">
        <w:rPr>
          <w:rFonts w:asciiTheme="minorHAnsi" w:hAnsiTheme="minorHAnsi" w:cstheme="minorHAnsi"/>
          <w:bCs/>
        </w:rPr>
        <w:t>.</w:t>
      </w:r>
    </w:p>
    <w:p w:rsidR="00987082" w:rsidRDefault="00277A67" w:rsidP="00C900A9">
      <w:pPr>
        <w:pStyle w:val="HarrisBody"/>
        <w:tabs>
          <w:tab w:val="clear" w:pos="720"/>
          <w:tab w:val="left" w:pos="0"/>
        </w:tabs>
        <w:spacing w:after="0" w:line="276" w:lineRule="auto"/>
        <w:jc w:val="both"/>
        <w:rPr>
          <w:rFonts w:ascii="Calibri" w:hAnsi="Calibri"/>
        </w:rPr>
      </w:pPr>
      <w:r w:rsidRPr="00DB592D">
        <w:rPr>
          <w:rFonts w:ascii="Calibri" w:hAnsi="Calibri"/>
        </w:rPr>
        <w:t xml:space="preserve"> </w:t>
      </w:r>
    </w:p>
    <w:p w:rsidR="00044A5F" w:rsidRDefault="00044A5F" w:rsidP="009505A2">
      <w:pPr>
        <w:spacing w:after="0"/>
        <w:jc w:val="both"/>
        <w:rPr>
          <w:rFonts w:asciiTheme="minorHAnsi" w:hAnsiTheme="minorHAnsi"/>
          <w:b/>
        </w:rPr>
      </w:pPr>
      <w:r w:rsidRPr="007F1ACE">
        <w:rPr>
          <w:rFonts w:asciiTheme="minorHAnsi" w:hAnsiTheme="minorHAnsi"/>
          <w:b/>
        </w:rPr>
        <w:t>A.10</w:t>
      </w:r>
      <w:r w:rsidRPr="007F1ACE">
        <w:rPr>
          <w:rFonts w:asciiTheme="minorHAnsi" w:hAnsiTheme="minorHAnsi"/>
          <w:b/>
        </w:rPr>
        <w:tab/>
        <w:t>Assurance of Confidentiality Provided to Respondents</w:t>
      </w:r>
    </w:p>
    <w:p w:rsidR="00663583" w:rsidRPr="007F1ACE" w:rsidRDefault="00663583" w:rsidP="009505A2">
      <w:pPr>
        <w:spacing w:after="0"/>
        <w:jc w:val="both"/>
        <w:rPr>
          <w:rFonts w:asciiTheme="minorHAnsi" w:hAnsiTheme="minorHAnsi"/>
          <w:b/>
        </w:rPr>
      </w:pPr>
    </w:p>
    <w:p w:rsidR="00955FED" w:rsidRPr="001478D3" w:rsidRDefault="00B63EFD" w:rsidP="003A4D30">
      <w:pPr>
        <w:pStyle w:val="Tbodytext"/>
        <w:tabs>
          <w:tab w:val="clear" w:pos="432"/>
          <w:tab w:val="left" w:pos="720"/>
        </w:tabs>
        <w:spacing w:after="0"/>
        <w:rPr>
          <w:rFonts w:asciiTheme="minorHAnsi" w:hAnsiTheme="minorHAnsi" w:cs="Arial"/>
          <w:sz w:val="22"/>
          <w:szCs w:val="22"/>
        </w:rPr>
      </w:pPr>
      <w:r w:rsidRPr="00B63EFD">
        <w:rPr>
          <w:rFonts w:asciiTheme="minorHAnsi" w:hAnsiTheme="minorHAnsi" w:cs="Arial"/>
          <w:sz w:val="22"/>
          <w:szCs w:val="22"/>
        </w:rPr>
        <w:tab/>
      </w:r>
      <w:proofErr w:type="gramStart"/>
      <w:r w:rsidR="000936DD" w:rsidRPr="001478D3">
        <w:rPr>
          <w:rFonts w:asciiTheme="minorHAnsi" w:hAnsiTheme="minorHAnsi" w:cs="Arial"/>
          <w:sz w:val="22"/>
          <w:szCs w:val="22"/>
          <w:u w:val="single"/>
        </w:rPr>
        <w:t>Privacy Act Determination</w:t>
      </w:r>
      <w:r w:rsidR="000936DD" w:rsidRPr="001478D3">
        <w:rPr>
          <w:rFonts w:asciiTheme="minorHAnsi" w:hAnsiTheme="minorHAnsi" w:cs="Arial"/>
          <w:sz w:val="22"/>
          <w:szCs w:val="22"/>
        </w:rPr>
        <w:t>.</w:t>
      </w:r>
      <w:proofErr w:type="gramEnd"/>
      <w:r w:rsidR="000936DD" w:rsidRPr="001478D3">
        <w:rPr>
          <w:rFonts w:asciiTheme="minorHAnsi" w:hAnsiTheme="minorHAnsi" w:cs="Arial"/>
          <w:sz w:val="22"/>
          <w:szCs w:val="22"/>
        </w:rPr>
        <w:t xml:space="preserve">  </w:t>
      </w:r>
      <w:r w:rsidR="00955FED" w:rsidRPr="001478D3">
        <w:rPr>
          <w:rFonts w:asciiTheme="minorHAnsi" w:hAnsiTheme="minorHAnsi" w:cs="Arial"/>
          <w:sz w:val="22"/>
          <w:szCs w:val="22"/>
        </w:rPr>
        <w:t>Respondents will be recruited from an existing panel maintained by the data collection contractor</w:t>
      </w:r>
      <w:r w:rsidR="00216CD1" w:rsidRPr="001478D3">
        <w:rPr>
          <w:rFonts w:asciiTheme="minorHAnsi" w:hAnsiTheme="minorHAnsi" w:cs="Arial"/>
          <w:sz w:val="22"/>
          <w:szCs w:val="22"/>
        </w:rPr>
        <w:t xml:space="preserve"> (i.e., focus group</w:t>
      </w:r>
      <w:r w:rsidR="00AB5BBD" w:rsidRPr="001478D3">
        <w:rPr>
          <w:rFonts w:asciiTheme="minorHAnsi" w:hAnsiTheme="minorHAnsi" w:cs="Arial"/>
          <w:sz w:val="22"/>
          <w:szCs w:val="22"/>
        </w:rPr>
        <w:t>/IDI</w:t>
      </w:r>
      <w:r w:rsidR="00216CD1" w:rsidRPr="001478D3">
        <w:rPr>
          <w:rFonts w:asciiTheme="minorHAnsi" w:hAnsiTheme="minorHAnsi" w:cs="Arial"/>
          <w:sz w:val="22"/>
          <w:szCs w:val="22"/>
        </w:rPr>
        <w:t xml:space="preserve"> facility)</w:t>
      </w:r>
      <w:r w:rsidR="00955FED" w:rsidRPr="001478D3">
        <w:rPr>
          <w:rFonts w:asciiTheme="minorHAnsi" w:hAnsiTheme="minorHAnsi" w:cs="Arial"/>
          <w:sz w:val="22"/>
          <w:szCs w:val="22"/>
        </w:rPr>
        <w:t xml:space="preserve">.  </w:t>
      </w:r>
      <w:r w:rsidR="000936DD" w:rsidRPr="001478D3">
        <w:rPr>
          <w:rFonts w:asciiTheme="minorHAnsi" w:hAnsiTheme="minorHAnsi" w:cs="Arial"/>
          <w:sz w:val="22"/>
          <w:szCs w:val="22"/>
        </w:rPr>
        <w:t>Although demographic information (e.g., gender, age, and race) will be gathered, no direct personal identifiers (e.g., full name, phone number, social security number, etc.) will be collected or maintained as part of the Screener (</w:t>
      </w:r>
      <w:r w:rsidR="000936DD" w:rsidRPr="001478D3">
        <w:rPr>
          <w:rFonts w:asciiTheme="minorHAnsi" w:hAnsiTheme="minorHAnsi"/>
          <w:b/>
          <w:sz w:val="22"/>
          <w:szCs w:val="22"/>
        </w:rPr>
        <w:t>Attachment</w:t>
      </w:r>
      <w:r w:rsidR="00F84AE9">
        <w:rPr>
          <w:rFonts w:asciiTheme="minorHAnsi" w:hAnsiTheme="minorHAnsi"/>
          <w:b/>
          <w:sz w:val="22"/>
          <w:szCs w:val="22"/>
        </w:rPr>
        <w:t>s</w:t>
      </w:r>
      <w:r w:rsidR="000936DD" w:rsidRPr="001478D3">
        <w:rPr>
          <w:rFonts w:asciiTheme="minorHAnsi" w:hAnsiTheme="minorHAnsi"/>
          <w:b/>
          <w:sz w:val="22"/>
          <w:szCs w:val="22"/>
        </w:rPr>
        <w:t xml:space="preserve"> 1</w:t>
      </w:r>
      <w:r w:rsidR="00F84AE9">
        <w:rPr>
          <w:rFonts w:asciiTheme="minorHAnsi" w:hAnsiTheme="minorHAnsi"/>
          <w:b/>
          <w:sz w:val="22"/>
          <w:szCs w:val="22"/>
        </w:rPr>
        <w:t>a and 1b</w:t>
      </w:r>
      <w:r w:rsidR="000936DD" w:rsidRPr="001478D3">
        <w:rPr>
          <w:rFonts w:asciiTheme="minorHAnsi" w:hAnsiTheme="minorHAnsi"/>
          <w:sz w:val="22"/>
          <w:szCs w:val="22"/>
        </w:rPr>
        <w:t xml:space="preserve">), </w:t>
      </w:r>
      <w:r w:rsidR="000936DD" w:rsidRPr="001478D3">
        <w:rPr>
          <w:rFonts w:asciiTheme="minorHAnsi" w:hAnsiTheme="minorHAnsi" w:cs="Arial"/>
          <w:sz w:val="22"/>
          <w:szCs w:val="22"/>
        </w:rPr>
        <w:t xml:space="preserve">or </w:t>
      </w:r>
      <w:r w:rsidR="0002391D" w:rsidRPr="001478D3">
        <w:rPr>
          <w:rFonts w:asciiTheme="minorHAnsi" w:hAnsiTheme="minorHAnsi" w:cs="Arial"/>
          <w:sz w:val="22"/>
          <w:szCs w:val="22"/>
        </w:rPr>
        <w:t>Focus Group</w:t>
      </w:r>
      <w:r w:rsidR="00AB5BBD" w:rsidRPr="001478D3">
        <w:rPr>
          <w:rFonts w:asciiTheme="minorHAnsi" w:hAnsiTheme="minorHAnsi" w:cs="Arial"/>
          <w:sz w:val="22"/>
          <w:szCs w:val="22"/>
        </w:rPr>
        <w:t xml:space="preserve"> or IDI</w:t>
      </w:r>
      <w:r w:rsidR="000936DD" w:rsidRPr="001478D3">
        <w:rPr>
          <w:rFonts w:asciiTheme="minorHAnsi" w:hAnsiTheme="minorHAnsi" w:cs="Arial"/>
          <w:sz w:val="22"/>
          <w:szCs w:val="22"/>
        </w:rPr>
        <w:t xml:space="preserve"> (</w:t>
      </w:r>
      <w:r w:rsidR="000936DD" w:rsidRPr="001478D3">
        <w:rPr>
          <w:rFonts w:asciiTheme="minorHAnsi" w:hAnsiTheme="minorHAnsi"/>
          <w:b/>
          <w:sz w:val="22"/>
          <w:szCs w:val="22"/>
        </w:rPr>
        <w:t>Attachment</w:t>
      </w:r>
      <w:r w:rsidR="00F84AE9">
        <w:rPr>
          <w:rFonts w:asciiTheme="minorHAnsi" w:hAnsiTheme="minorHAnsi"/>
          <w:b/>
          <w:sz w:val="22"/>
          <w:szCs w:val="22"/>
        </w:rPr>
        <w:t>s</w:t>
      </w:r>
      <w:r w:rsidR="000936DD" w:rsidRPr="001478D3">
        <w:rPr>
          <w:rFonts w:asciiTheme="minorHAnsi" w:hAnsiTheme="minorHAnsi"/>
          <w:b/>
          <w:sz w:val="22"/>
          <w:szCs w:val="22"/>
        </w:rPr>
        <w:t xml:space="preserve"> 2</w:t>
      </w:r>
      <w:r w:rsidR="00F84AE9">
        <w:rPr>
          <w:rFonts w:asciiTheme="minorHAnsi" w:hAnsiTheme="minorHAnsi"/>
          <w:b/>
          <w:sz w:val="22"/>
          <w:szCs w:val="22"/>
        </w:rPr>
        <w:t>a and 2b</w:t>
      </w:r>
      <w:r w:rsidR="000936DD" w:rsidRPr="001478D3">
        <w:rPr>
          <w:rFonts w:asciiTheme="minorHAnsi" w:hAnsiTheme="minorHAnsi"/>
          <w:sz w:val="22"/>
          <w:szCs w:val="22"/>
        </w:rPr>
        <w:t>)</w:t>
      </w:r>
      <w:r w:rsidR="000936DD" w:rsidRPr="001478D3">
        <w:rPr>
          <w:rFonts w:asciiTheme="minorHAnsi" w:hAnsiTheme="minorHAnsi" w:cs="Arial"/>
          <w:sz w:val="22"/>
          <w:szCs w:val="22"/>
        </w:rPr>
        <w:t xml:space="preserve">.  </w:t>
      </w:r>
      <w:r w:rsidR="00CA5454" w:rsidRPr="001478D3">
        <w:rPr>
          <w:rFonts w:asciiTheme="minorHAnsi" w:hAnsiTheme="minorHAnsi" w:cs="Arial"/>
          <w:sz w:val="22"/>
          <w:szCs w:val="22"/>
        </w:rPr>
        <w:t xml:space="preserve">No directly identifying information will be transmitted to CDC.  </w:t>
      </w:r>
      <w:r w:rsidR="00955FED" w:rsidRPr="001478D3">
        <w:rPr>
          <w:rFonts w:asciiTheme="minorHAnsi" w:hAnsiTheme="minorHAnsi" w:cs="Arial"/>
          <w:sz w:val="22"/>
          <w:szCs w:val="22"/>
        </w:rPr>
        <w:t>The Privacy Act does not apply.</w:t>
      </w:r>
      <w:r w:rsidR="00C955D0" w:rsidRPr="001478D3">
        <w:rPr>
          <w:rFonts w:asciiTheme="minorHAnsi" w:hAnsiTheme="minorHAnsi" w:cs="Arial"/>
          <w:sz w:val="22"/>
          <w:szCs w:val="22"/>
        </w:rPr>
        <w:t xml:space="preserve"> </w:t>
      </w:r>
      <w:r w:rsidR="00216CD1" w:rsidRPr="001478D3">
        <w:rPr>
          <w:rFonts w:asciiTheme="minorHAnsi" w:hAnsiTheme="minorHAnsi" w:cs="Arial"/>
          <w:sz w:val="22"/>
          <w:szCs w:val="22"/>
        </w:rPr>
        <w:t xml:space="preserve">Focus group facility </w:t>
      </w:r>
      <w:proofErr w:type="gramStart"/>
      <w:r w:rsidR="00216CD1" w:rsidRPr="001478D3">
        <w:rPr>
          <w:rFonts w:asciiTheme="minorHAnsi" w:hAnsiTheme="minorHAnsi" w:cs="Arial"/>
          <w:sz w:val="22"/>
          <w:szCs w:val="22"/>
        </w:rPr>
        <w:t>staff</w:t>
      </w:r>
      <w:proofErr w:type="gramEnd"/>
      <w:r w:rsidR="00216CD1" w:rsidRPr="001478D3">
        <w:rPr>
          <w:rFonts w:asciiTheme="minorHAnsi" w:hAnsiTheme="minorHAnsi" w:cs="Arial"/>
          <w:sz w:val="22"/>
          <w:szCs w:val="22"/>
        </w:rPr>
        <w:t xml:space="preserve"> who have contact with the respondents are required to sign a </w:t>
      </w:r>
      <w:r w:rsidR="006918CF">
        <w:rPr>
          <w:rFonts w:asciiTheme="minorHAnsi" w:hAnsiTheme="minorHAnsi" w:cs="Arial"/>
          <w:sz w:val="22"/>
          <w:szCs w:val="22"/>
        </w:rPr>
        <w:t>nondisclosure</w:t>
      </w:r>
      <w:r w:rsidR="006918CF" w:rsidRPr="001478D3">
        <w:rPr>
          <w:rFonts w:asciiTheme="minorHAnsi" w:hAnsiTheme="minorHAnsi" w:cs="Arial"/>
          <w:sz w:val="22"/>
          <w:szCs w:val="22"/>
        </w:rPr>
        <w:t xml:space="preserve"> </w:t>
      </w:r>
      <w:r w:rsidR="00216CD1" w:rsidRPr="001478D3">
        <w:rPr>
          <w:rFonts w:asciiTheme="minorHAnsi" w:hAnsiTheme="minorHAnsi" w:cs="Arial"/>
          <w:sz w:val="22"/>
          <w:szCs w:val="22"/>
        </w:rPr>
        <w:t xml:space="preserve">agreement to help ensure the respondent’s privacy. </w:t>
      </w:r>
      <w:r w:rsidR="00C955D0" w:rsidRPr="001478D3">
        <w:rPr>
          <w:rFonts w:asciiTheme="minorHAnsi" w:hAnsiTheme="minorHAnsi" w:cs="Arial"/>
          <w:sz w:val="22"/>
          <w:szCs w:val="22"/>
        </w:rPr>
        <w:t xml:space="preserve">Please see Attachment 5 for the Recruitment Firm </w:t>
      </w:r>
      <w:r w:rsidR="007B3852">
        <w:rPr>
          <w:rFonts w:asciiTheme="minorHAnsi" w:hAnsiTheme="minorHAnsi" w:cs="Arial"/>
          <w:sz w:val="22"/>
          <w:szCs w:val="22"/>
        </w:rPr>
        <w:t>Nondisclosure</w:t>
      </w:r>
      <w:r w:rsidR="007B3852" w:rsidRPr="001478D3">
        <w:rPr>
          <w:rFonts w:asciiTheme="minorHAnsi" w:hAnsiTheme="minorHAnsi" w:cs="Arial"/>
          <w:sz w:val="22"/>
          <w:szCs w:val="22"/>
        </w:rPr>
        <w:t xml:space="preserve"> </w:t>
      </w:r>
      <w:r w:rsidR="00C955D0" w:rsidRPr="001478D3">
        <w:rPr>
          <w:rFonts w:asciiTheme="minorHAnsi" w:hAnsiTheme="minorHAnsi" w:cs="Arial"/>
          <w:sz w:val="22"/>
          <w:szCs w:val="22"/>
        </w:rPr>
        <w:t xml:space="preserve">Agreement. </w:t>
      </w:r>
    </w:p>
    <w:p w:rsidR="00955FED" w:rsidRPr="001478D3" w:rsidRDefault="00955FED" w:rsidP="001478D3">
      <w:pPr>
        <w:pStyle w:val="Tbodytext"/>
        <w:spacing w:after="0"/>
        <w:rPr>
          <w:rFonts w:asciiTheme="minorHAnsi" w:hAnsiTheme="minorHAnsi" w:cs="Arial"/>
          <w:sz w:val="22"/>
          <w:szCs w:val="22"/>
        </w:rPr>
      </w:pPr>
    </w:p>
    <w:p w:rsidR="0002391D" w:rsidRPr="001478D3" w:rsidRDefault="00753049" w:rsidP="00B63EFD">
      <w:pPr>
        <w:spacing w:line="240" w:lineRule="auto"/>
        <w:ind w:firstLine="720"/>
        <w:rPr>
          <w:bCs/>
        </w:rPr>
      </w:pPr>
      <w:proofErr w:type="gramStart"/>
      <w:r w:rsidRPr="001478D3">
        <w:rPr>
          <w:rFonts w:asciiTheme="minorHAnsi" w:eastAsiaTheme="minorHAnsi" w:hAnsiTheme="minorHAnsi" w:cs="Calibri"/>
          <w:u w:val="single"/>
        </w:rPr>
        <w:t>Safeguards</w:t>
      </w:r>
      <w:r w:rsidRPr="001478D3">
        <w:rPr>
          <w:rFonts w:asciiTheme="minorHAnsi" w:eastAsiaTheme="minorHAnsi" w:hAnsiTheme="minorHAnsi" w:cs="Calibri"/>
        </w:rPr>
        <w:t>.</w:t>
      </w:r>
      <w:proofErr w:type="gramEnd"/>
      <w:r w:rsidRPr="001478D3">
        <w:rPr>
          <w:rFonts w:asciiTheme="minorHAnsi" w:eastAsiaTheme="minorHAnsi" w:hAnsiTheme="minorHAnsi" w:cs="Calibri"/>
        </w:rPr>
        <w:t xml:space="preserve">  </w:t>
      </w:r>
      <w:r w:rsidR="0002391D" w:rsidRPr="001478D3">
        <w:rPr>
          <w:bCs/>
        </w:rPr>
        <w:t xml:space="preserve">CDC and RTI will take many precautions to secure participants’ identifiable information (see Privacy section of Consent Forms – Attachment </w:t>
      </w:r>
      <w:r w:rsidR="00693414" w:rsidRPr="001478D3">
        <w:rPr>
          <w:bCs/>
        </w:rPr>
        <w:t>3</w:t>
      </w:r>
      <w:r w:rsidR="0002391D" w:rsidRPr="001478D3">
        <w:rPr>
          <w:bCs/>
        </w:rPr>
        <w:t>). The information p</w:t>
      </w:r>
      <w:r w:rsidR="00D3328F" w:rsidRPr="001478D3">
        <w:rPr>
          <w:bCs/>
        </w:rPr>
        <w:t>articipants provide during the focu</w:t>
      </w:r>
      <w:r w:rsidR="0002391D" w:rsidRPr="001478D3">
        <w:rPr>
          <w:bCs/>
        </w:rPr>
        <w:t>s</w:t>
      </w:r>
      <w:r w:rsidR="00D3328F" w:rsidRPr="001478D3">
        <w:rPr>
          <w:bCs/>
        </w:rPr>
        <w:t xml:space="preserve"> groups</w:t>
      </w:r>
      <w:r w:rsidR="0002391D" w:rsidRPr="001478D3">
        <w:rPr>
          <w:bCs/>
        </w:rPr>
        <w:t xml:space="preserve"> </w:t>
      </w:r>
      <w:r w:rsidR="00BF23FA" w:rsidRPr="001478D3">
        <w:rPr>
          <w:bCs/>
        </w:rPr>
        <w:t xml:space="preserve">and IDIs </w:t>
      </w:r>
      <w:r w:rsidR="0002391D" w:rsidRPr="001478D3">
        <w:rPr>
          <w:bCs/>
        </w:rPr>
        <w:t>will not be linked to the</w:t>
      </w:r>
      <w:r w:rsidR="00D3328F" w:rsidRPr="001478D3">
        <w:rPr>
          <w:bCs/>
        </w:rPr>
        <w:t>ir</w:t>
      </w:r>
      <w:r w:rsidR="0002391D" w:rsidRPr="001478D3">
        <w:rPr>
          <w:bCs/>
        </w:rPr>
        <w:t xml:space="preserve"> identities.  Participants will use only first names or pseudonyms during the discussions.  Transcripts and notes will not include participants’ names.  Audio files of the</w:t>
      </w:r>
      <w:r w:rsidR="000D7689" w:rsidRPr="001478D3">
        <w:rPr>
          <w:bCs/>
        </w:rPr>
        <w:t xml:space="preserve"> groups</w:t>
      </w:r>
      <w:r w:rsidR="0002391D" w:rsidRPr="001478D3">
        <w:rPr>
          <w:bCs/>
        </w:rPr>
        <w:t xml:space="preserve"> will be stored by RTI on a secure share drive and password-protected computers. </w:t>
      </w:r>
      <w:r w:rsidR="007210AD" w:rsidRPr="001478D3">
        <w:rPr>
          <w:bCs/>
        </w:rPr>
        <w:t>Transcripts and r</w:t>
      </w:r>
      <w:r w:rsidR="0002391D" w:rsidRPr="001478D3">
        <w:rPr>
          <w:bCs/>
        </w:rPr>
        <w:t>eports will not include any identifiable information.</w:t>
      </w:r>
    </w:p>
    <w:p w:rsidR="0002391D" w:rsidRPr="001478D3" w:rsidRDefault="0002391D" w:rsidP="00B63EFD">
      <w:pPr>
        <w:spacing w:line="240" w:lineRule="auto"/>
        <w:ind w:firstLine="720"/>
        <w:rPr>
          <w:bCs/>
        </w:rPr>
      </w:pPr>
      <w:r w:rsidRPr="001478D3">
        <w:rPr>
          <w:bCs/>
        </w:rPr>
        <w:t xml:space="preserve">Identifying information (name, address, telephone number) will be used by the professional recruitment firm to make </w:t>
      </w:r>
      <w:r w:rsidR="00D3328F" w:rsidRPr="001478D3">
        <w:rPr>
          <w:bCs/>
        </w:rPr>
        <w:t xml:space="preserve">contact and send </w:t>
      </w:r>
      <w:r w:rsidRPr="001478D3">
        <w:rPr>
          <w:bCs/>
        </w:rPr>
        <w:t>reminder calls to respondents. This information will be kept by the recruiting firm separately from any information collected in the</w:t>
      </w:r>
      <w:r w:rsidR="00216CD1" w:rsidRPr="001478D3">
        <w:rPr>
          <w:bCs/>
        </w:rPr>
        <w:t xml:space="preserve"> groups</w:t>
      </w:r>
      <w:r w:rsidRPr="001478D3">
        <w:rPr>
          <w:bCs/>
        </w:rPr>
        <w:t>. Screeners will be kept in a locked file cabinet at the recruitment firm or in password-protected computer files. The recruiter will only provide RTI and CDC a summary of participant information on the recruitment grids, which will be stripped of identifiable information, such as the last names, addresses, and telephone numbers of the participants.  The professional recruiting firm will be instructed to destroy their project-related records at the conclusion of the project.</w:t>
      </w:r>
    </w:p>
    <w:p w:rsidR="0002391D" w:rsidRDefault="0002391D" w:rsidP="00B63EFD">
      <w:pPr>
        <w:spacing w:line="240" w:lineRule="auto"/>
        <w:ind w:firstLine="720"/>
        <w:rPr>
          <w:bCs/>
        </w:rPr>
      </w:pPr>
      <w:proofErr w:type="gramStart"/>
      <w:r w:rsidRPr="00B223FC">
        <w:rPr>
          <w:bCs/>
        </w:rPr>
        <w:t xml:space="preserve">The precautions taken by CDC and RTI have been evaluated by the Institutional Review Board of RTI and found to be acceptable (see RTI IRB approval – Attachment </w:t>
      </w:r>
      <w:r w:rsidR="00693414">
        <w:rPr>
          <w:bCs/>
        </w:rPr>
        <w:t>4</w:t>
      </w:r>
      <w:r w:rsidRPr="00B223FC">
        <w:rPr>
          <w:bCs/>
        </w:rPr>
        <w:t>).</w:t>
      </w:r>
      <w:proofErr w:type="gramEnd"/>
    </w:p>
    <w:p w:rsidR="00075F2C" w:rsidRPr="00B223FC" w:rsidRDefault="00075F2C" w:rsidP="00B63EFD">
      <w:pPr>
        <w:spacing w:line="240" w:lineRule="auto"/>
        <w:ind w:firstLine="720"/>
        <w:rPr>
          <w:bCs/>
        </w:rPr>
      </w:pPr>
    </w:p>
    <w:p w:rsidR="00BC7BC7" w:rsidRPr="00663583" w:rsidRDefault="00B63EFD" w:rsidP="003A4D30">
      <w:pPr>
        <w:pStyle w:val="Tbodytext"/>
        <w:tabs>
          <w:tab w:val="clear" w:pos="432"/>
          <w:tab w:val="left" w:pos="720"/>
        </w:tabs>
        <w:spacing w:after="0"/>
        <w:jc w:val="left"/>
        <w:rPr>
          <w:rFonts w:asciiTheme="minorHAnsi" w:hAnsiTheme="minorHAnsi" w:cs="Arial"/>
          <w:sz w:val="22"/>
          <w:szCs w:val="22"/>
        </w:rPr>
      </w:pPr>
      <w:r w:rsidRPr="007E75CF">
        <w:rPr>
          <w:rFonts w:asciiTheme="minorHAnsi" w:hAnsiTheme="minorHAnsi" w:cs="Arial"/>
          <w:sz w:val="22"/>
          <w:szCs w:val="22"/>
        </w:rPr>
        <w:lastRenderedPageBreak/>
        <w:tab/>
      </w:r>
      <w:proofErr w:type="gramStart"/>
      <w:r w:rsidR="000936DD" w:rsidRPr="009505A2">
        <w:rPr>
          <w:rFonts w:asciiTheme="minorHAnsi" w:hAnsiTheme="minorHAnsi" w:cs="Arial"/>
          <w:sz w:val="22"/>
          <w:szCs w:val="22"/>
          <w:u w:val="single"/>
        </w:rPr>
        <w:t>Respondent Advisements and Consent</w:t>
      </w:r>
      <w:r w:rsidR="000936DD">
        <w:rPr>
          <w:rFonts w:asciiTheme="minorHAnsi" w:hAnsiTheme="minorHAnsi" w:cs="Arial"/>
          <w:sz w:val="22"/>
          <w:szCs w:val="22"/>
        </w:rPr>
        <w:t>.</w:t>
      </w:r>
      <w:proofErr w:type="gramEnd"/>
      <w:r w:rsidR="000936DD">
        <w:rPr>
          <w:rFonts w:asciiTheme="minorHAnsi" w:hAnsiTheme="minorHAnsi" w:cs="Arial"/>
          <w:sz w:val="22"/>
          <w:szCs w:val="22"/>
        </w:rPr>
        <w:t xml:space="preserve">  </w:t>
      </w:r>
      <w:r w:rsidR="00955FED" w:rsidRPr="00663583">
        <w:rPr>
          <w:rFonts w:asciiTheme="minorHAnsi" w:hAnsiTheme="minorHAnsi" w:cs="Arial"/>
          <w:sz w:val="22"/>
          <w:szCs w:val="22"/>
        </w:rPr>
        <w:t xml:space="preserve">Respondents will be advised of the nature of the activity, the length of time it will require, and that participation is purely voluntary. </w:t>
      </w:r>
      <w:r w:rsidR="00651B57">
        <w:rPr>
          <w:rFonts w:asciiTheme="minorHAnsi" w:hAnsiTheme="minorHAnsi" w:cs="Arial"/>
          <w:sz w:val="22"/>
          <w:szCs w:val="22"/>
        </w:rPr>
        <w:t xml:space="preserve"> </w:t>
      </w:r>
      <w:r w:rsidR="00693414">
        <w:rPr>
          <w:rFonts w:asciiTheme="minorHAnsi" w:hAnsiTheme="minorHAnsi" w:cs="Arial"/>
          <w:sz w:val="22"/>
          <w:szCs w:val="22"/>
        </w:rPr>
        <w:t xml:space="preserve">Please see the Informed Consent Form (Attachment 3). </w:t>
      </w:r>
      <w:r w:rsidR="00BC7BC7" w:rsidRPr="00663583">
        <w:rPr>
          <w:rFonts w:asciiTheme="minorHAnsi" w:hAnsiTheme="minorHAnsi" w:cs="Arial"/>
          <w:sz w:val="22"/>
          <w:szCs w:val="22"/>
        </w:rPr>
        <w:t xml:space="preserve">Respondents will be assured that </w:t>
      </w:r>
      <w:r w:rsidR="00BC7BC7">
        <w:rPr>
          <w:rFonts w:asciiTheme="minorHAnsi" w:hAnsiTheme="minorHAnsi" w:cs="Arial"/>
          <w:sz w:val="22"/>
          <w:szCs w:val="22"/>
        </w:rPr>
        <w:t xml:space="preserve">they will incur </w:t>
      </w:r>
      <w:r w:rsidR="00BC7BC7" w:rsidRPr="00663583">
        <w:rPr>
          <w:rFonts w:asciiTheme="minorHAnsi" w:hAnsiTheme="minorHAnsi" w:cs="Arial"/>
          <w:sz w:val="22"/>
          <w:szCs w:val="22"/>
        </w:rPr>
        <w:t>no penalties if they wish not to respond to the information collection as a whole or to any specific questions.  These procedures conform to ethical practices for collecting data from human participants.</w:t>
      </w:r>
    </w:p>
    <w:p w:rsidR="00BC7BC7" w:rsidRDefault="00BC7BC7" w:rsidP="001478D3">
      <w:pPr>
        <w:pStyle w:val="Tbodytext"/>
        <w:spacing w:after="0"/>
        <w:rPr>
          <w:rFonts w:asciiTheme="minorHAnsi" w:hAnsiTheme="minorHAnsi" w:cs="Arial"/>
          <w:sz w:val="22"/>
          <w:szCs w:val="22"/>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A.11</w:t>
      </w:r>
      <w:r w:rsidRPr="007F1ACE">
        <w:rPr>
          <w:rFonts w:asciiTheme="minorHAnsi" w:hAnsiTheme="minorHAnsi"/>
          <w:b/>
        </w:rPr>
        <w:tab/>
        <w:t>Justification for Sensitive Questions</w:t>
      </w:r>
    </w:p>
    <w:p w:rsidR="007F1ACE" w:rsidRDefault="007F1ACE" w:rsidP="009505A2">
      <w:pPr>
        <w:spacing w:after="0"/>
        <w:jc w:val="both"/>
        <w:rPr>
          <w:rFonts w:asciiTheme="minorHAnsi" w:hAnsiTheme="minorHAnsi"/>
        </w:rPr>
      </w:pPr>
    </w:p>
    <w:p w:rsidR="00460B72" w:rsidRPr="00460B72" w:rsidRDefault="00460B72" w:rsidP="00B63EFD">
      <w:pPr>
        <w:spacing w:after="0" w:line="240" w:lineRule="auto"/>
        <w:ind w:firstLine="720"/>
        <w:jc w:val="both"/>
        <w:rPr>
          <w:rFonts w:asciiTheme="minorHAnsi" w:hAnsiTheme="minorHAnsi"/>
        </w:rPr>
      </w:pPr>
      <w:r w:rsidRPr="00460B72">
        <w:rPr>
          <w:rFonts w:asciiTheme="minorHAnsi" w:hAnsiTheme="minorHAnsi"/>
        </w:rPr>
        <w:t xml:space="preserve">The majority of questions asked will not be of a sensitive nature.  There will be no requests for a respondent’s Social Security Number (SSN). </w:t>
      </w:r>
    </w:p>
    <w:p w:rsidR="00460B72" w:rsidRPr="00460B72" w:rsidRDefault="00460B72" w:rsidP="001478D3">
      <w:pPr>
        <w:spacing w:after="0" w:line="240" w:lineRule="auto"/>
        <w:jc w:val="both"/>
        <w:rPr>
          <w:rFonts w:asciiTheme="minorHAnsi" w:hAnsiTheme="minorHAnsi"/>
        </w:rPr>
      </w:pPr>
    </w:p>
    <w:p w:rsidR="00460B72" w:rsidRPr="00793D02" w:rsidRDefault="005D2A18" w:rsidP="00B63EFD">
      <w:pPr>
        <w:spacing w:after="0" w:line="240" w:lineRule="auto"/>
        <w:ind w:firstLine="720"/>
        <w:jc w:val="both"/>
        <w:rPr>
          <w:rFonts w:asciiTheme="minorHAnsi" w:hAnsiTheme="minorHAnsi"/>
        </w:rPr>
      </w:pPr>
      <w:r>
        <w:rPr>
          <w:rFonts w:asciiTheme="minorHAnsi" w:hAnsiTheme="minorHAnsi"/>
        </w:rPr>
        <w:t>It will</w:t>
      </w:r>
      <w:r w:rsidR="00460B72" w:rsidRPr="00460B72">
        <w:rPr>
          <w:rFonts w:asciiTheme="minorHAnsi" w:hAnsiTheme="minorHAnsi"/>
        </w:rPr>
        <w:t xml:space="preserve"> be necessary to ask </w:t>
      </w:r>
      <w:r w:rsidR="007B126F">
        <w:rPr>
          <w:rFonts w:asciiTheme="minorHAnsi" w:hAnsiTheme="minorHAnsi"/>
        </w:rPr>
        <w:t xml:space="preserve">some </w:t>
      </w:r>
      <w:r w:rsidR="00460B72" w:rsidRPr="00460B72">
        <w:rPr>
          <w:rFonts w:asciiTheme="minorHAnsi" w:hAnsiTheme="minorHAnsi"/>
        </w:rPr>
        <w:t>questions considered to be of a sensitive nature in order to assess individuals’ attitudes and behaviors</w:t>
      </w:r>
      <w:r w:rsidR="00226B4C">
        <w:rPr>
          <w:rFonts w:asciiTheme="minorHAnsi" w:hAnsiTheme="minorHAnsi"/>
        </w:rPr>
        <w:t>, such as tobacco use during pregnancy</w:t>
      </w:r>
      <w:r w:rsidR="00460B72" w:rsidRPr="00460B72">
        <w:rPr>
          <w:rFonts w:asciiTheme="minorHAnsi" w:hAnsiTheme="minorHAnsi"/>
        </w:rPr>
        <w:t>.  Questions about messages concerning</w:t>
      </w:r>
      <w:r w:rsidR="00254FAD">
        <w:rPr>
          <w:rFonts w:asciiTheme="minorHAnsi" w:hAnsiTheme="minorHAnsi"/>
        </w:rPr>
        <w:t xml:space="preserve"> smoking behavior</w:t>
      </w:r>
      <w:r w:rsidR="00460B72" w:rsidRPr="00460B72">
        <w:rPr>
          <w:rFonts w:asciiTheme="minorHAnsi" w:hAnsiTheme="minorHAnsi"/>
        </w:rPr>
        <w:t xml:space="preserve"> (e.g.,</w:t>
      </w:r>
      <w:r w:rsidR="00254FAD">
        <w:rPr>
          <w:rFonts w:asciiTheme="minorHAnsi" w:hAnsiTheme="minorHAnsi"/>
        </w:rPr>
        <w:t xml:space="preserve"> tobacco use</w:t>
      </w:r>
      <w:r>
        <w:rPr>
          <w:rFonts w:asciiTheme="minorHAnsi" w:hAnsiTheme="minorHAnsi"/>
        </w:rPr>
        <w:t xml:space="preserve">) </w:t>
      </w:r>
      <w:r w:rsidR="00CA5454">
        <w:rPr>
          <w:rFonts w:asciiTheme="minorHAnsi" w:hAnsiTheme="minorHAnsi"/>
        </w:rPr>
        <w:t xml:space="preserve">and some demographic information (e.g., </w:t>
      </w:r>
      <w:r w:rsidR="00216CD1">
        <w:rPr>
          <w:rFonts w:asciiTheme="minorHAnsi" w:hAnsiTheme="minorHAnsi"/>
        </w:rPr>
        <w:t xml:space="preserve">race </w:t>
      </w:r>
      <w:r w:rsidR="00CA5454">
        <w:rPr>
          <w:rFonts w:asciiTheme="minorHAnsi" w:hAnsiTheme="minorHAnsi"/>
        </w:rPr>
        <w:t xml:space="preserve">or </w:t>
      </w:r>
      <w:r w:rsidR="00216CD1">
        <w:rPr>
          <w:rFonts w:asciiTheme="minorHAnsi" w:hAnsiTheme="minorHAnsi"/>
        </w:rPr>
        <w:t>ethnicity</w:t>
      </w:r>
      <w:r w:rsidR="00CA5454">
        <w:rPr>
          <w:rFonts w:asciiTheme="minorHAnsi" w:hAnsiTheme="minorHAnsi"/>
        </w:rPr>
        <w:t xml:space="preserve">) </w:t>
      </w:r>
      <w:r w:rsidR="00460B72" w:rsidRPr="00460B72">
        <w:rPr>
          <w:rFonts w:asciiTheme="minorHAnsi" w:hAnsiTheme="minorHAnsi"/>
        </w:rPr>
        <w:t>could be considered sensitive</w:t>
      </w:r>
      <w:r w:rsidR="00CA5454">
        <w:rPr>
          <w:rFonts w:asciiTheme="minorHAnsi" w:hAnsiTheme="minorHAnsi"/>
        </w:rPr>
        <w:t>, although these items would not generally be considered highly sensitive</w:t>
      </w:r>
      <w:r w:rsidR="00460B72" w:rsidRPr="00460B72">
        <w:rPr>
          <w:rFonts w:asciiTheme="minorHAnsi" w:hAnsiTheme="minorHAnsi"/>
        </w:rPr>
        <w:t>.</w:t>
      </w:r>
      <w:r w:rsidR="00254FAD">
        <w:rPr>
          <w:rFonts w:asciiTheme="minorHAnsi" w:hAnsiTheme="minorHAnsi"/>
        </w:rPr>
        <w:t xml:space="preserve">  </w:t>
      </w:r>
      <w:proofErr w:type="gramStart"/>
      <w:r w:rsidR="00216CD1">
        <w:rPr>
          <w:rFonts w:asciiTheme="minorHAnsi" w:hAnsiTheme="minorHAnsi"/>
        </w:rPr>
        <w:t>A subset of q</w:t>
      </w:r>
      <w:r w:rsidR="00460B72" w:rsidRPr="00460B72">
        <w:rPr>
          <w:rFonts w:asciiTheme="minorHAnsi" w:hAnsiTheme="minorHAnsi"/>
        </w:rPr>
        <w:t xml:space="preserve">uestions about sensitive issues </w:t>
      </w:r>
      <w:r w:rsidR="00093928">
        <w:rPr>
          <w:rFonts w:asciiTheme="minorHAnsi" w:hAnsiTheme="minorHAnsi"/>
        </w:rPr>
        <w:t>are</w:t>
      </w:r>
      <w:proofErr w:type="gramEnd"/>
      <w:r w:rsidR="00460B72" w:rsidRPr="00460B72">
        <w:rPr>
          <w:rFonts w:asciiTheme="minorHAnsi" w:hAnsiTheme="minorHAnsi"/>
        </w:rPr>
        <w:t xml:space="preserve"> necessary for audience segmentation</w:t>
      </w:r>
      <w:r w:rsidR="00254FAD">
        <w:rPr>
          <w:rFonts w:asciiTheme="minorHAnsi" w:hAnsiTheme="minorHAnsi"/>
        </w:rPr>
        <w:t xml:space="preserve"> </w:t>
      </w:r>
      <w:r w:rsidR="00254FAD" w:rsidRPr="009505A2">
        <w:rPr>
          <w:rFonts w:asciiTheme="minorHAnsi" w:hAnsiTheme="minorHAnsi"/>
        </w:rPr>
        <w:t xml:space="preserve">and to </w:t>
      </w:r>
      <w:r w:rsidR="006506B0">
        <w:rPr>
          <w:rFonts w:asciiTheme="minorHAnsi" w:hAnsiTheme="minorHAnsi"/>
        </w:rPr>
        <w:t>collect information integral to the purpose of this study</w:t>
      </w:r>
      <w:r w:rsidR="00460B72" w:rsidRPr="009505A2">
        <w:rPr>
          <w:rFonts w:asciiTheme="minorHAnsi" w:hAnsiTheme="minorHAnsi"/>
        </w:rPr>
        <w:t>.</w:t>
      </w:r>
      <w:r w:rsidR="00460B72" w:rsidRPr="00426789">
        <w:rPr>
          <w:rFonts w:asciiTheme="minorHAnsi" w:hAnsiTheme="minorHAnsi"/>
        </w:rPr>
        <w:t xml:space="preserve"> </w:t>
      </w:r>
    </w:p>
    <w:p w:rsidR="00460B72" w:rsidRPr="00426789" w:rsidRDefault="00460B72" w:rsidP="001478D3">
      <w:pPr>
        <w:spacing w:after="0" w:line="240" w:lineRule="auto"/>
        <w:jc w:val="both"/>
        <w:rPr>
          <w:rFonts w:asciiTheme="minorHAnsi" w:hAnsiTheme="minorHAnsi"/>
        </w:rPr>
      </w:pPr>
    </w:p>
    <w:p w:rsidR="0014772F" w:rsidRPr="009505A2" w:rsidRDefault="00460B72" w:rsidP="00B63EFD">
      <w:pPr>
        <w:spacing w:after="0" w:line="240" w:lineRule="auto"/>
        <w:ind w:firstLine="720"/>
        <w:jc w:val="both"/>
        <w:rPr>
          <w:rFonts w:asciiTheme="minorHAnsi" w:hAnsiTheme="minorHAnsi"/>
        </w:rPr>
      </w:pPr>
      <w:r w:rsidRPr="00426789">
        <w:rPr>
          <w:rFonts w:asciiTheme="minorHAnsi" w:hAnsiTheme="minorHAnsi"/>
        </w:rPr>
        <w:t>Sensitive information will only be requested when necessary for specific project objectives</w:t>
      </w:r>
      <w:r w:rsidR="0014772F" w:rsidRPr="00426789">
        <w:rPr>
          <w:rFonts w:asciiTheme="minorHAnsi" w:hAnsiTheme="minorHAnsi"/>
        </w:rPr>
        <w:t xml:space="preserve"> and steps to avoid negative reactions will be taken, including:</w:t>
      </w:r>
    </w:p>
    <w:p w:rsidR="006F24E4" w:rsidRDefault="00226B4C" w:rsidP="001478D3">
      <w:pPr>
        <w:numPr>
          <w:ilvl w:val="0"/>
          <w:numId w:val="18"/>
        </w:numPr>
        <w:autoSpaceDE w:val="0"/>
        <w:autoSpaceDN w:val="0"/>
        <w:adjustRightInd w:val="0"/>
        <w:spacing w:after="0" w:line="240" w:lineRule="auto"/>
        <w:jc w:val="both"/>
      </w:pPr>
      <w:r>
        <w:t>Participan</w:t>
      </w:r>
      <w:r w:rsidR="0014772F" w:rsidRPr="009505A2">
        <w:t xml:space="preserve">ts will be informed that they need not answer any question that makes them feel uncomfortable or that they simply do not wish to answer.  </w:t>
      </w:r>
    </w:p>
    <w:p w:rsidR="006F24E4" w:rsidRDefault="0014772F" w:rsidP="001478D3">
      <w:pPr>
        <w:numPr>
          <w:ilvl w:val="0"/>
          <w:numId w:val="18"/>
        </w:numPr>
        <w:autoSpaceDE w:val="0"/>
        <w:autoSpaceDN w:val="0"/>
        <w:adjustRightInd w:val="0"/>
        <w:spacing w:after="0" w:line="240" w:lineRule="auto"/>
        <w:jc w:val="both"/>
      </w:pPr>
      <w:r w:rsidRPr="009505A2">
        <w:t xml:space="preserve">Questions included in these </w:t>
      </w:r>
      <w:r w:rsidR="000D7689">
        <w:t>focus groups</w:t>
      </w:r>
      <w:r w:rsidR="000D7689" w:rsidRPr="009505A2">
        <w:t xml:space="preserve"> </w:t>
      </w:r>
      <w:r w:rsidR="00FC3D45">
        <w:t xml:space="preserve">and IDIs </w:t>
      </w:r>
      <w:r w:rsidR="00216CD1">
        <w:t>were</w:t>
      </w:r>
      <w:r w:rsidRPr="009505A2">
        <w:t xml:space="preserve"> pilot-tested with a minimal number of individuals </w:t>
      </w:r>
      <w:r w:rsidR="00216CD1">
        <w:t xml:space="preserve">(&lt; 9) </w:t>
      </w:r>
      <w:r w:rsidRPr="009505A2">
        <w:t xml:space="preserve">matching the characteristics of the target audience. </w:t>
      </w:r>
    </w:p>
    <w:p w:rsidR="0014772F" w:rsidRDefault="0014772F"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A.12</w:t>
      </w:r>
      <w:r w:rsidRPr="007F1ACE">
        <w:rPr>
          <w:rFonts w:asciiTheme="minorHAnsi" w:hAnsiTheme="minorHAnsi"/>
          <w:b/>
        </w:rPr>
        <w:tab/>
        <w:t>Estimates of Annualized Burden Hours and Costs</w:t>
      </w:r>
    </w:p>
    <w:p w:rsidR="000C5981" w:rsidRDefault="000C5981" w:rsidP="009505A2">
      <w:pPr>
        <w:pStyle w:val="Ttableheading"/>
        <w:spacing w:after="0" w:line="276" w:lineRule="auto"/>
        <w:jc w:val="both"/>
        <w:rPr>
          <w:rFonts w:asciiTheme="minorHAnsi" w:hAnsiTheme="minorHAnsi"/>
        </w:rPr>
      </w:pPr>
    </w:p>
    <w:p w:rsidR="0086169A" w:rsidRDefault="009D3B1E" w:rsidP="00B63EFD">
      <w:pPr>
        <w:spacing w:after="0" w:line="240" w:lineRule="auto"/>
        <w:ind w:firstLine="720"/>
        <w:rPr>
          <w:rFonts w:asciiTheme="minorHAnsi" w:hAnsiTheme="minorHAnsi"/>
        </w:rPr>
      </w:pPr>
      <w:r w:rsidRPr="009D3B1E">
        <w:rPr>
          <w:rFonts w:asciiTheme="minorHAnsi" w:hAnsiTheme="minorHAnsi"/>
        </w:rPr>
        <w:t xml:space="preserve">Screening of the audience with </w:t>
      </w:r>
      <w:r w:rsidR="0086169A" w:rsidRPr="009D3B1E">
        <w:rPr>
          <w:rFonts w:asciiTheme="minorHAnsi" w:hAnsiTheme="minorHAnsi"/>
        </w:rPr>
        <w:t>up to 6</w:t>
      </w:r>
      <w:r w:rsidRPr="009D3B1E">
        <w:rPr>
          <w:rFonts w:asciiTheme="minorHAnsi" w:hAnsiTheme="minorHAnsi"/>
        </w:rPr>
        <w:t>48</w:t>
      </w:r>
      <w:r w:rsidR="0086169A" w:rsidRPr="009D3B1E">
        <w:rPr>
          <w:rFonts w:asciiTheme="minorHAnsi" w:hAnsiTheme="minorHAnsi"/>
        </w:rPr>
        <w:t xml:space="preserve"> </w:t>
      </w:r>
      <w:r w:rsidRPr="009D3B1E">
        <w:rPr>
          <w:rFonts w:asciiTheme="minorHAnsi" w:hAnsiTheme="minorHAnsi"/>
        </w:rPr>
        <w:t>women (396 pregnant women and 252 women smokers planning a pregnancy</w:t>
      </w:r>
      <w:r w:rsidR="0086169A" w:rsidRPr="009D3B1E">
        <w:rPr>
          <w:rFonts w:asciiTheme="minorHAnsi" w:hAnsiTheme="minorHAnsi"/>
        </w:rPr>
        <w:t xml:space="preserve">) </w:t>
      </w:r>
      <w:r w:rsidR="00722531" w:rsidRPr="009D3B1E">
        <w:rPr>
          <w:rFonts w:asciiTheme="minorHAnsi" w:hAnsiTheme="minorHAnsi"/>
        </w:rPr>
        <w:t>will be conducted to determine qualification status for participating</w:t>
      </w:r>
      <w:r w:rsidR="000F238A" w:rsidRPr="009D3B1E">
        <w:rPr>
          <w:rFonts w:asciiTheme="minorHAnsi" w:hAnsiTheme="minorHAnsi"/>
        </w:rPr>
        <w:t xml:space="preserve"> in the research.</w:t>
      </w:r>
      <w:r w:rsidR="000F238A" w:rsidRPr="00426789">
        <w:rPr>
          <w:rFonts w:asciiTheme="minorHAnsi" w:hAnsiTheme="minorHAnsi"/>
        </w:rPr>
        <w:t xml:space="preserve">  </w:t>
      </w:r>
      <w:r w:rsidR="00722531">
        <w:rPr>
          <w:rFonts w:asciiTheme="minorHAnsi" w:hAnsiTheme="minorHAnsi"/>
        </w:rPr>
        <w:t xml:space="preserve"> </w:t>
      </w:r>
    </w:p>
    <w:p w:rsidR="0086169A" w:rsidRDefault="0086169A" w:rsidP="001478D3">
      <w:pPr>
        <w:spacing w:after="0" w:line="240" w:lineRule="auto"/>
        <w:jc w:val="both"/>
        <w:rPr>
          <w:rFonts w:asciiTheme="minorHAnsi" w:hAnsiTheme="minorHAnsi"/>
        </w:rPr>
      </w:pPr>
    </w:p>
    <w:p w:rsidR="000F238A" w:rsidRDefault="001D3639" w:rsidP="00B63EFD">
      <w:pPr>
        <w:spacing w:after="0" w:line="240" w:lineRule="auto"/>
        <w:ind w:firstLine="720"/>
        <w:jc w:val="both"/>
        <w:rPr>
          <w:rFonts w:asciiTheme="minorHAnsi" w:hAnsiTheme="minorHAnsi"/>
        </w:rPr>
      </w:pPr>
      <w:r>
        <w:rPr>
          <w:rFonts w:asciiTheme="minorHAnsi" w:hAnsiTheme="minorHAnsi"/>
        </w:rPr>
        <w:t>Eighteen</w:t>
      </w:r>
      <w:r w:rsidR="0086169A">
        <w:rPr>
          <w:rFonts w:asciiTheme="minorHAnsi" w:hAnsiTheme="minorHAnsi"/>
        </w:rPr>
        <w:t xml:space="preserve"> focus groups</w:t>
      </w:r>
      <w:r w:rsidR="009E57D4">
        <w:rPr>
          <w:rFonts w:asciiTheme="minorHAnsi" w:hAnsiTheme="minorHAnsi"/>
        </w:rPr>
        <w:t xml:space="preserve"> and up</w:t>
      </w:r>
      <w:r w:rsidR="00AB5BBD">
        <w:rPr>
          <w:rFonts w:asciiTheme="minorHAnsi" w:hAnsiTheme="minorHAnsi"/>
        </w:rPr>
        <w:t xml:space="preserve"> </w:t>
      </w:r>
      <w:r w:rsidR="009E57D4">
        <w:rPr>
          <w:rFonts w:asciiTheme="minorHAnsi" w:hAnsiTheme="minorHAnsi"/>
        </w:rPr>
        <w:t>to 16 IDIs</w:t>
      </w:r>
      <w:r w:rsidR="0086169A">
        <w:rPr>
          <w:rFonts w:asciiTheme="minorHAnsi" w:hAnsiTheme="minorHAnsi"/>
        </w:rPr>
        <w:t xml:space="preserve"> will be conducted with up to </w:t>
      </w:r>
      <w:r w:rsidR="008A5E08">
        <w:rPr>
          <w:rFonts w:asciiTheme="minorHAnsi" w:hAnsiTheme="minorHAnsi"/>
        </w:rPr>
        <w:t xml:space="preserve">144 </w:t>
      </w:r>
      <w:r w:rsidR="009D3B1E">
        <w:rPr>
          <w:rFonts w:asciiTheme="minorHAnsi" w:hAnsiTheme="minorHAnsi"/>
        </w:rPr>
        <w:t xml:space="preserve">women </w:t>
      </w:r>
      <w:r w:rsidR="009D3B1E" w:rsidRPr="009D3B1E">
        <w:rPr>
          <w:rFonts w:asciiTheme="minorHAnsi" w:hAnsiTheme="minorHAnsi"/>
        </w:rPr>
        <w:t>(</w:t>
      </w:r>
      <w:r w:rsidR="008A5E08">
        <w:rPr>
          <w:rFonts w:asciiTheme="minorHAnsi" w:hAnsiTheme="minorHAnsi"/>
        </w:rPr>
        <w:t>88</w:t>
      </w:r>
      <w:r w:rsidR="006127A4">
        <w:rPr>
          <w:rFonts w:asciiTheme="minorHAnsi" w:hAnsiTheme="minorHAnsi"/>
        </w:rPr>
        <w:t xml:space="preserve"> </w:t>
      </w:r>
      <w:r w:rsidR="009D3B1E">
        <w:rPr>
          <w:rFonts w:asciiTheme="minorHAnsi" w:hAnsiTheme="minorHAnsi"/>
        </w:rPr>
        <w:t xml:space="preserve">pregnant women and </w:t>
      </w:r>
      <w:r w:rsidR="008A5E08">
        <w:rPr>
          <w:rFonts w:asciiTheme="minorHAnsi" w:hAnsiTheme="minorHAnsi"/>
        </w:rPr>
        <w:t xml:space="preserve">56 </w:t>
      </w:r>
      <w:r w:rsidR="009D3B1E" w:rsidRPr="009D3B1E">
        <w:rPr>
          <w:rFonts w:asciiTheme="minorHAnsi" w:hAnsiTheme="minorHAnsi"/>
        </w:rPr>
        <w:t>women smokers planning a pregnancy</w:t>
      </w:r>
      <w:r w:rsidR="009D3B1E">
        <w:rPr>
          <w:rFonts w:asciiTheme="minorHAnsi" w:hAnsiTheme="minorHAnsi"/>
        </w:rPr>
        <w:t>).</w:t>
      </w:r>
    </w:p>
    <w:p w:rsidR="00D50D26" w:rsidRDefault="00D50D26" w:rsidP="001478D3">
      <w:pPr>
        <w:spacing w:after="0" w:line="240" w:lineRule="auto"/>
        <w:jc w:val="both"/>
        <w:rPr>
          <w:rFonts w:asciiTheme="minorHAnsi" w:hAnsiTheme="minorHAnsi"/>
        </w:rPr>
      </w:pPr>
    </w:p>
    <w:p w:rsidR="001236EE" w:rsidRDefault="000F238A" w:rsidP="00B63EFD">
      <w:pPr>
        <w:spacing w:after="0" w:line="240" w:lineRule="auto"/>
        <w:ind w:firstLine="720"/>
        <w:jc w:val="both"/>
        <w:rPr>
          <w:rFonts w:asciiTheme="minorHAnsi" w:hAnsiTheme="minorHAnsi"/>
        </w:rPr>
      </w:pPr>
      <w:r>
        <w:rPr>
          <w:rFonts w:asciiTheme="minorHAnsi" w:hAnsiTheme="minorHAnsi"/>
        </w:rPr>
        <w:t xml:space="preserve">The estimated burden to respondents is </w:t>
      </w:r>
      <w:r w:rsidR="0086169A">
        <w:rPr>
          <w:rFonts w:asciiTheme="minorHAnsi" w:hAnsiTheme="minorHAnsi"/>
        </w:rPr>
        <w:t>5</w:t>
      </w:r>
      <w:r>
        <w:rPr>
          <w:rFonts w:asciiTheme="minorHAnsi" w:hAnsiTheme="minorHAnsi"/>
        </w:rPr>
        <w:t xml:space="preserve"> minutes for screening and </w:t>
      </w:r>
      <w:r w:rsidR="0063706B">
        <w:rPr>
          <w:rFonts w:asciiTheme="minorHAnsi" w:hAnsiTheme="minorHAnsi"/>
        </w:rPr>
        <w:t>no</w:t>
      </w:r>
      <w:r w:rsidR="005D4B56">
        <w:rPr>
          <w:rFonts w:asciiTheme="minorHAnsi" w:hAnsiTheme="minorHAnsi"/>
        </w:rPr>
        <w:t xml:space="preserve"> more than </w:t>
      </w:r>
      <w:r w:rsidR="008A5E08">
        <w:rPr>
          <w:rFonts w:asciiTheme="minorHAnsi" w:hAnsiTheme="minorHAnsi"/>
        </w:rPr>
        <w:t xml:space="preserve">90 </w:t>
      </w:r>
      <w:r w:rsidR="00860DDE">
        <w:rPr>
          <w:rFonts w:asciiTheme="minorHAnsi" w:hAnsiTheme="minorHAnsi"/>
        </w:rPr>
        <w:t>minutes</w:t>
      </w:r>
      <w:r w:rsidR="0063706B">
        <w:rPr>
          <w:rFonts w:asciiTheme="minorHAnsi" w:hAnsiTheme="minorHAnsi"/>
        </w:rPr>
        <w:t xml:space="preserve"> </w:t>
      </w:r>
      <w:r>
        <w:rPr>
          <w:rFonts w:asciiTheme="minorHAnsi" w:hAnsiTheme="minorHAnsi"/>
        </w:rPr>
        <w:t xml:space="preserve">for </w:t>
      </w:r>
      <w:r w:rsidR="0086169A">
        <w:rPr>
          <w:rFonts w:asciiTheme="minorHAnsi" w:hAnsiTheme="minorHAnsi"/>
        </w:rPr>
        <w:t>a focus group.</w:t>
      </w:r>
      <w:r>
        <w:rPr>
          <w:rFonts w:asciiTheme="minorHAnsi" w:hAnsiTheme="minorHAnsi"/>
        </w:rPr>
        <w:t xml:space="preserve">  The total estimated burden for all responses is </w:t>
      </w:r>
      <w:r w:rsidR="001E1215">
        <w:rPr>
          <w:rFonts w:asciiTheme="minorHAnsi" w:hAnsiTheme="minorHAnsi"/>
        </w:rPr>
        <w:t>2</w:t>
      </w:r>
      <w:r w:rsidR="007A0692">
        <w:rPr>
          <w:rFonts w:asciiTheme="minorHAnsi" w:hAnsiTheme="minorHAnsi"/>
        </w:rPr>
        <w:t>70</w:t>
      </w:r>
      <w:r w:rsidR="00860DDE">
        <w:rPr>
          <w:rFonts w:asciiTheme="minorHAnsi" w:hAnsiTheme="minorHAnsi"/>
        </w:rPr>
        <w:t xml:space="preserve"> </w:t>
      </w:r>
      <w:r>
        <w:rPr>
          <w:rFonts w:asciiTheme="minorHAnsi" w:hAnsiTheme="minorHAnsi"/>
        </w:rPr>
        <w:t xml:space="preserve">hours.  </w:t>
      </w:r>
      <w:r w:rsidR="00860DDE">
        <w:rPr>
          <w:rFonts w:asciiTheme="minorHAnsi" w:hAnsiTheme="minorHAnsi"/>
        </w:rPr>
        <w:t xml:space="preserve">We assumed labor hours for </w:t>
      </w:r>
      <w:r w:rsidR="00A5753F">
        <w:rPr>
          <w:rFonts w:asciiTheme="minorHAnsi" w:hAnsiTheme="minorHAnsi"/>
        </w:rPr>
        <w:t xml:space="preserve">all participants attending </w:t>
      </w:r>
      <w:r w:rsidR="00860DDE">
        <w:rPr>
          <w:rFonts w:asciiTheme="minorHAnsi" w:hAnsiTheme="minorHAnsi"/>
        </w:rPr>
        <w:t xml:space="preserve">focus groups. </w:t>
      </w:r>
      <w:r w:rsidR="00B952D6" w:rsidRPr="00CA3607">
        <w:rPr>
          <w:rFonts w:asciiTheme="minorHAnsi" w:hAnsiTheme="minorHAnsi"/>
          <w:i/>
        </w:rPr>
        <w:t>If</w:t>
      </w:r>
      <w:r w:rsidR="00860DDE" w:rsidRPr="00CA3607">
        <w:rPr>
          <w:rFonts w:asciiTheme="minorHAnsi" w:hAnsiTheme="minorHAnsi"/>
          <w:i/>
        </w:rPr>
        <w:t xml:space="preserve"> </w:t>
      </w:r>
      <w:r w:rsidR="00B77AD4" w:rsidRPr="00CA3607">
        <w:rPr>
          <w:rFonts w:asciiTheme="minorHAnsi" w:hAnsiTheme="minorHAnsi"/>
          <w:i/>
        </w:rPr>
        <w:t>pregnant smokers</w:t>
      </w:r>
      <w:r w:rsidR="00B952D6" w:rsidRPr="00CA3607">
        <w:rPr>
          <w:rFonts w:asciiTheme="minorHAnsi" w:hAnsiTheme="minorHAnsi"/>
          <w:i/>
        </w:rPr>
        <w:t xml:space="preserve"> (up to 16 women) </w:t>
      </w:r>
      <w:r w:rsidR="00B77AD4" w:rsidRPr="00CA3607">
        <w:rPr>
          <w:rFonts w:asciiTheme="minorHAnsi" w:hAnsiTheme="minorHAnsi"/>
          <w:i/>
        </w:rPr>
        <w:t xml:space="preserve">opt to </w:t>
      </w:r>
      <w:r w:rsidR="00A5753F" w:rsidRPr="00CA3607">
        <w:rPr>
          <w:rFonts w:asciiTheme="minorHAnsi" w:hAnsiTheme="minorHAnsi"/>
          <w:i/>
        </w:rPr>
        <w:t>conduct</w:t>
      </w:r>
      <w:r w:rsidR="00B77AD4" w:rsidRPr="00CA3607">
        <w:rPr>
          <w:rFonts w:asciiTheme="minorHAnsi" w:hAnsiTheme="minorHAnsi"/>
          <w:i/>
        </w:rPr>
        <w:t xml:space="preserve"> an </w:t>
      </w:r>
      <w:r w:rsidR="00B952D6" w:rsidRPr="00CA3607">
        <w:rPr>
          <w:rFonts w:asciiTheme="minorHAnsi" w:hAnsiTheme="minorHAnsi"/>
          <w:i/>
        </w:rPr>
        <w:t>IDI</w:t>
      </w:r>
      <w:r w:rsidR="00860DDE" w:rsidRPr="00CA3607">
        <w:rPr>
          <w:rFonts w:asciiTheme="minorHAnsi" w:hAnsiTheme="minorHAnsi"/>
          <w:i/>
        </w:rPr>
        <w:t xml:space="preserve"> instead of </w:t>
      </w:r>
      <w:r w:rsidR="00B952D6" w:rsidRPr="00CA3607">
        <w:rPr>
          <w:rFonts w:asciiTheme="minorHAnsi" w:hAnsiTheme="minorHAnsi"/>
          <w:i/>
        </w:rPr>
        <w:t>a focus group</w:t>
      </w:r>
      <w:r w:rsidR="00860DDE" w:rsidRPr="00CA3607">
        <w:rPr>
          <w:rFonts w:asciiTheme="minorHAnsi" w:hAnsiTheme="minorHAnsi"/>
          <w:i/>
        </w:rPr>
        <w:t xml:space="preserve">, the burden </w:t>
      </w:r>
      <w:r w:rsidR="00B952D6" w:rsidRPr="00CA3607">
        <w:rPr>
          <w:rFonts w:asciiTheme="minorHAnsi" w:hAnsiTheme="minorHAnsi"/>
          <w:i/>
        </w:rPr>
        <w:t xml:space="preserve">hours would decrease. The reduction would range from one to </w:t>
      </w:r>
      <w:r w:rsidR="00B77AD4" w:rsidRPr="00CA3607">
        <w:rPr>
          <w:rFonts w:asciiTheme="minorHAnsi" w:hAnsiTheme="minorHAnsi"/>
          <w:i/>
        </w:rPr>
        <w:t>16 hours</w:t>
      </w:r>
      <w:r w:rsidR="00A5753F" w:rsidRPr="00CA3607">
        <w:rPr>
          <w:rFonts w:asciiTheme="minorHAnsi" w:hAnsiTheme="minorHAnsi"/>
          <w:i/>
        </w:rPr>
        <w:t xml:space="preserve"> </w:t>
      </w:r>
      <w:r w:rsidR="00B952D6" w:rsidRPr="00CA3607">
        <w:rPr>
          <w:rFonts w:asciiTheme="minorHAnsi" w:hAnsiTheme="minorHAnsi"/>
          <w:i/>
        </w:rPr>
        <w:t>depending upon the number of women who opt to conduct an IDI</w:t>
      </w:r>
      <w:r w:rsidR="00B77AD4" w:rsidRPr="00CA3607">
        <w:rPr>
          <w:rFonts w:asciiTheme="minorHAnsi" w:hAnsiTheme="minorHAnsi"/>
          <w:i/>
        </w:rPr>
        <w:t>.</w:t>
      </w:r>
      <w:r w:rsidR="00B77AD4">
        <w:rPr>
          <w:rFonts w:asciiTheme="minorHAnsi" w:hAnsiTheme="minorHAnsi"/>
        </w:rPr>
        <w:t xml:space="preserve"> </w:t>
      </w:r>
    </w:p>
    <w:p w:rsidR="00CA3607" w:rsidRDefault="00CA3607" w:rsidP="001478D3">
      <w:pPr>
        <w:pStyle w:val="Ttableheading"/>
        <w:spacing w:after="0"/>
        <w:jc w:val="both"/>
        <w:rPr>
          <w:rFonts w:asciiTheme="minorHAnsi" w:hAnsiTheme="minorHAnsi"/>
        </w:rPr>
      </w:pPr>
    </w:p>
    <w:p w:rsidR="00CA3607" w:rsidRDefault="00CA3607" w:rsidP="0006073B">
      <w:pPr>
        <w:pStyle w:val="Ttableheading"/>
        <w:spacing w:after="0" w:line="276" w:lineRule="auto"/>
        <w:jc w:val="both"/>
        <w:rPr>
          <w:rFonts w:asciiTheme="minorHAnsi" w:hAnsiTheme="minorHAnsi"/>
        </w:rPr>
      </w:pPr>
    </w:p>
    <w:p w:rsidR="005760A2" w:rsidRDefault="005760A2" w:rsidP="0006073B">
      <w:pPr>
        <w:pStyle w:val="Ttableheading"/>
        <w:spacing w:after="0" w:line="276" w:lineRule="auto"/>
        <w:jc w:val="both"/>
        <w:rPr>
          <w:rFonts w:asciiTheme="minorHAnsi" w:hAnsiTheme="minorHAnsi"/>
        </w:rPr>
      </w:pPr>
      <w:r>
        <w:rPr>
          <w:rFonts w:asciiTheme="minorHAnsi" w:hAnsiTheme="minorHAnsi"/>
        </w:rPr>
        <w:br w:type="page"/>
      </w:r>
    </w:p>
    <w:p w:rsidR="0006073B" w:rsidRDefault="0006073B" w:rsidP="0006073B">
      <w:pPr>
        <w:pStyle w:val="Ttableheading"/>
        <w:spacing w:after="0" w:line="276" w:lineRule="auto"/>
        <w:jc w:val="both"/>
        <w:rPr>
          <w:rFonts w:asciiTheme="minorHAnsi" w:hAnsiTheme="minorHAnsi"/>
        </w:rPr>
      </w:pPr>
      <w:r w:rsidRPr="007F1ACE">
        <w:rPr>
          <w:rFonts w:asciiTheme="minorHAnsi" w:hAnsiTheme="minorHAnsi"/>
        </w:rPr>
        <w:t>Table A.12.A.  Estimated Annualized Burden to Respondents</w:t>
      </w:r>
    </w:p>
    <w:tbl>
      <w:tblPr>
        <w:tblW w:w="9468" w:type="dxa"/>
        <w:jc w:val="center"/>
        <w:tblLook w:val="0000" w:firstRow="0" w:lastRow="0" w:firstColumn="0" w:lastColumn="0" w:noHBand="0" w:noVBand="0"/>
      </w:tblPr>
      <w:tblGrid>
        <w:gridCol w:w="1369"/>
        <w:gridCol w:w="2555"/>
        <w:gridCol w:w="1620"/>
        <w:gridCol w:w="1530"/>
        <w:gridCol w:w="1350"/>
        <w:gridCol w:w="1044"/>
      </w:tblGrid>
      <w:tr w:rsidR="006506B0" w:rsidRPr="00507542" w:rsidTr="006506B0">
        <w:trPr>
          <w:trHeight w:val="940"/>
          <w:jc w:val="center"/>
        </w:trPr>
        <w:tc>
          <w:tcPr>
            <w:tcW w:w="1369" w:type="dxa"/>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rPr>
                <w:rFonts w:ascii="Tahoma" w:hAnsi="Tahoma" w:cs="Tahoma"/>
                <w:color w:val="auto"/>
                <w:sz w:val="16"/>
                <w:szCs w:val="16"/>
              </w:rPr>
            </w:pPr>
            <w:r w:rsidRPr="00507542">
              <w:rPr>
                <w:rFonts w:ascii="Tahoma" w:hAnsi="Tahoma" w:cs="Tahoma"/>
                <w:b/>
                <w:bCs/>
                <w:color w:val="auto"/>
                <w:sz w:val="16"/>
                <w:szCs w:val="16"/>
              </w:rPr>
              <w:t>Type of Respondent</w:t>
            </w:r>
          </w:p>
        </w:tc>
        <w:tc>
          <w:tcPr>
            <w:tcW w:w="2555" w:type="dxa"/>
            <w:tcBorders>
              <w:top w:val="single" w:sz="4" w:space="0" w:color="000000"/>
              <w:left w:val="single" w:sz="4" w:space="0" w:color="000000"/>
              <w:bottom w:val="single" w:sz="4" w:space="0" w:color="000000"/>
              <w:right w:val="single" w:sz="4" w:space="0" w:color="000000"/>
            </w:tcBorders>
            <w:vAlign w:val="center"/>
          </w:tcPr>
          <w:p w:rsidR="006506B0" w:rsidRPr="00507542" w:rsidRDefault="006506B0" w:rsidP="006506B0">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Form Name</w:t>
            </w:r>
          </w:p>
        </w:tc>
        <w:tc>
          <w:tcPr>
            <w:tcW w:w="1620" w:type="dxa"/>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No. of Respondents</w:t>
            </w:r>
          </w:p>
        </w:tc>
        <w:tc>
          <w:tcPr>
            <w:tcW w:w="1530" w:type="dxa"/>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No. Responses per Respondent</w:t>
            </w:r>
          </w:p>
        </w:tc>
        <w:tc>
          <w:tcPr>
            <w:tcW w:w="1350" w:type="dxa"/>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jc w:val="center"/>
              <w:rPr>
                <w:rFonts w:ascii="Tahoma" w:hAnsi="Tahoma" w:cs="Tahoma"/>
                <w:b/>
                <w:bCs/>
                <w:color w:val="auto"/>
                <w:sz w:val="16"/>
                <w:szCs w:val="16"/>
              </w:rPr>
            </w:pPr>
            <w:r w:rsidRPr="00507542">
              <w:rPr>
                <w:rFonts w:ascii="Tahoma" w:hAnsi="Tahoma" w:cs="Tahoma"/>
                <w:b/>
                <w:bCs/>
                <w:color w:val="auto"/>
                <w:sz w:val="16"/>
                <w:szCs w:val="16"/>
              </w:rPr>
              <w:t>Average Burden per Response</w:t>
            </w:r>
          </w:p>
          <w:p w:rsidR="006506B0" w:rsidRDefault="006506B0" w:rsidP="006506B0">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(in hours)</w:t>
            </w:r>
          </w:p>
        </w:tc>
        <w:tc>
          <w:tcPr>
            <w:tcW w:w="1044" w:type="dxa"/>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Total Burden Hours</w:t>
            </w:r>
          </w:p>
        </w:tc>
      </w:tr>
      <w:tr w:rsidR="006506B0" w:rsidRPr="00FC3175" w:rsidTr="006506B0">
        <w:trPr>
          <w:trHeight w:val="240"/>
          <w:jc w:val="center"/>
        </w:trPr>
        <w:tc>
          <w:tcPr>
            <w:tcW w:w="1369" w:type="dxa"/>
            <w:vMerge w:val="restart"/>
            <w:tcBorders>
              <w:top w:val="single" w:sz="4" w:space="0" w:color="000000"/>
              <w:left w:val="single" w:sz="4" w:space="0" w:color="000000"/>
              <w:right w:val="single" w:sz="4" w:space="0" w:color="000000"/>
            </w:tcBorders>
            <w:vAlign w:val="center"/>
          </w:tcPr>
          <w:p w:rsidR="006506B0" w:rsidRDefault="00C5067B" w:rsidP="006506B0">
            <w:pPr>
              <w:pStyle w:val="Default"/>
              <w:spacing w:line="276" w:lineRule="auto"/>
              <w:rPr>
                <w:rFonts w:ascii="Tahoma" w:hAnsi="Tahoma" w:cs="Tahoma"/>
                <w:color w:val="auto"/>
                <w:sz w:val="18"/>
                <w:szCs w:val="18"/>
              </w:rPr>
            </w:pPr>
            <w:r>
              <w:rPr>
                <w:rFonts w:ascii="Tahoma" w:hAnsi="Tahoma" w:cs="Tahoma"/>
                <w:color w:val="auto"/>
                <w:sz w:val="18"/>
                <w:szCs w:val="18"/>
              </w:rPr>
              <w:t xml:space="preserve">Pregnant </w:t>
            </w:r>
            <w:r>
              <w:rPr>
                <w:rFonts w:ascii="Tahoma" w:hAnsi="Tahoma" w:cs="Tahoma"/>
                <w:color w:val="auto"/>
                <w:sz w:val="18"/>
                <w:szCs w:val="18"/>
              </w:rPr>
              <w:lastRenderedPageBreak/>
              <w:t>Women (18-40)</w:t>
            </w:r>
            <w:r w:rsidR="00AB45DA">
              <w:rPr>
                <w:rFonts w:ascii="Tahoma" w:hAnsi="Tahoma" w:cs="Tahoma"/>
                <w:color w:val="auto"/>
                <w:sz w:val="18"/>
                <w:szCs w:val="18"/>
              </w:rPr>
              <w:t xml:space="preserve"> who smoke or who quit after becoming pregnant</w:t>
            </w:r>
          </w:p>
        </w:tc>
        <w:tc>
          <w:tcPr>
            <w:tcW w:w="2555" w:type="dxa"/>
            <w:tcBorders>
              <w:top w:val="single" w:sz="4" w:space="0" w:color="000000"/>
              <w:left w:val="single" w:sz="4" w:space="0" w:color="000000"/>
              <w:bottom w:val="single" w:sz="4" w:space="0" w:color="000000"/>
              <w:right w:val="single" w:sz="4" w:space="0" w:color="000000"/>
            </w:tcBorders>
            <w:vAlign w:val="center"/>
          </w:tcPr>
          <w:p w:rsidR="006506B0" w:rsidRPr="00FC3175" w:rsidRDefault="006506B0" w:rsidP="006506B0">
            <w:pPr>
              <w:pStyle w:val="Default"/>
              <w:spacing w:line="276" w:lineRule="auto"/>
              <w:jc w:val="both"/>
              <w:rPr>
                <w:rFonts w:ascii="Tahoma" w:hAnsi="Tahoma" w:cs="Tahoma"/>
                <w:color w:val="auto"/>
                <w:sz w:val="18"/>
                <w:szCs w:val="18"/>
              </w:rPr>
            </w:pPr>
            <w:r w:rsidRPr="00821F05">
              <w:rPr>
                <w:rFonts w:ascii="Tahoma" w:hAnsi="Tahoma" w:cs="Tahoma"/>
                <w:color w:val="auto"/>
                <w:sz w:val="18"/>
                <w:szCs w:val="18"/>
              </w:rPr>
              <w:lastRenderedPageBreak/>
              <w:t xml:space="preserve">Screener </w:t>
            </w:r>
            <w:r w:rsidR="00D42A48" w:rsidRPr="00821F05">
              <w:rPr>
                <w:rFonts w:ascii="Tahoma" w:hAnsi="Tahoma" w:cs="Tahoma"/>
                <w:color w:val="auto"/>
                <w:sz w:val="18"/>
                <w:szCs w:val="18"/>
              </w:rPr>
              <w:t>(Pregnant Women)</w:t>
            </w:r>
          </w:p>
        </w:tc>
        <w:tc>
          <w:tcPr>
            <w:tcW w:w="1620" w:type="dxa"/>
            <w:tcBorders>
              <w:top w:val="single" w:sz="4" w:space="0" w:color="000000"/>
              <w:left w:val="single" w:sz="4" w:space="0" w:color="000000"/>
              <w:bottom w:val="single" w:sz="4" w:space="0" w:color="000000"/>
              <w:right w:val="single" w:sz="4" w:space="0" w:color="000000"/>
            </w:tcBorders>
            <w:vAlign w:val="center"/>
          </w:tcPr>
          <w:p w:rsidR="006506B0" w:rsidRDefault="007A0692" w:rsidP="007A0692">
            <w:pPr>
              <w:pStyle w:val="Default"/>
              <w:spacing w:line="276" w:lineRule="auto"/>
              <w:jc w:val="center"/>
              <w:rPr>
                <w:rFonts w:ascii="Tahoma" w:hAnsi="Tahoma" w:cs="Tahoma"/>
                <w:color w:val="auto"/>
                <w:sz w:val="18"/>
                <w:szCs w:val="18"/>
              </w:rPr>
            </w:pPr>
            <w:r>
              <w:rPr>
                <w:rFonts w:ascii="Tahoma" w:hAnsi="Tahoma" w:cs="Tahoma"/>
                <w:color w:val="auto"/>
                <w:sz w:val="18"/>
                <w:szCs w:val="18"/>
              </w:rPr>
              <w:t>396</w:t>
            </w:r>
          </w:p>
        </w:tc>
        <w:tc>
          <w:tcPr>
            <w:tcW w:w="1530" w:type="dxa"/>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506B0" w:rsidRDefault="00AB45DA"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5</w:t>
            </w:r>
            <w:r w:rsidR="006506B0" w:rsidRPr="00FC3175">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6506B0" w:rsidRDefault="00AB45DA"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33</w:t>
            </w:r>
          </w:p>
        </w:tc>
      </w:tr>
      <w:tr w:rsidR="006506B0" w:rsidTr="006506B0">
        <w:trPr>
          <w:trHeight w:val="240"/>
          <w:jc w:val="center"/>
        </w:trPr>
        <w:tc>
          <w:tcPr>
            <w:tcW w:w="1369" w:type="dxa"/>
            <w:vMerge/>
            <w:tcBorders>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rPr>
                <w:rFonts w:ascii="Tahoma" w:hAnsi="Tahoma" w:cs="Tahoma"/>
                <w:color w:val="auto"/>
                <w:sz w:val="18"/>
                <w:szCs w:val="18"/>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6506B0" w:rsidRPr="00FC3175" w:rsidRDefault="00C5067B" w:rsidP="00C5067B">
            <w:pPr>
              <w:pStyle w:val="Default"/>
              <w:spacing w:line="276" w:lineRule="auto"/>
              <w:rPr>
                <w:rFonts w:ascii="Tahoma" w:hAnsi="Tahoma" w:cs="Tahoma"/>
                <w:color w:val="auto"/>
                <w:sz w:val="18"/>
                <w:szCs w:val="18"/>
              </w:rPr>
            </w:pPr>
            <w:r>
              <w:rPr>
                <w:rFonts w:ascii="Tahoma" w:hAnsi="Tahoma" w:cs="Tahoma"/>
                <w:color w:val="auto"/>
                <w:sz w:val="18"/>
                <w:szCs w:val="18"/>
              </w:rPr>
              <w:t>Moderator’s Guide</w:t>
            </w:r>
            <w:r w:rsidR="00D42A48">
              <w:rPr>
                <w:rFonts w:ascii="Tahoma" w:hAnsi="Tahoma" w:cs="Tahoma"/>
                <w:color w:val="auto"/>
                <w:sz w:val="18"/>
                <w:szCs w:val="18"/>
              </w:rPr>
              <w:t>: Women’s Perceptions of Tobacco Products (Pregnant Women)</w:t>
            </w:r>
          </w:p>
        </w:tc>
        <w:tc>
          <w:tcPr>
            <w:tcW w:w="1620" w:type="dxa"/>
            <w:tcBorders>
              <w:top w:val="single" w:sz="4" w:space="0" w:color="000000"/>
              <w:left w:val="single" w:sz="4" w:space="0" w:color="000000"/>
              <w:bottom w:val="single" w:sz="4" w:space="0" w:color="000000"/>
              <w:right w:val="single" w:sz="4" w:space="0" w:color="000000"/>
            </w:tcBorders>
            <w:vAlign w:val="center"/>
          </w:tcPr>
          <w:p w:rsidR="006506B0" w:rsidRDefault="008A5E08"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88</w:t>
            </w:r>
          </w:p>
        </w:tc>
        <w:tc>
          <w:tcPr>
            <w:tcW w:w="1530" w:type="dxa"/>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506B0" w:rsidRDefault="008A5E08"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90</w:t>
            </w:r>
            <w:r w:rsidR="006506B0" w:rsidRPr="00FC3175">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6506B0" w:rsidRDefault="008A5E08"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132</w:t>
            </w:r>
          </w:p>
        </w:tc>
      </w:tr>
      <w:tr w:rsidR="00C5067B" w:rsidTr="006506B0">
        <w:trPr>
          <w:trHeight w:val="240"/>
          <w:jc w:val="center"/>
        </w:trPr>
        <w:tc>
          <w:tcPr>
            <w:tcW w:w="1369" w:type="dxa"/>
            <w:vMerge w:val="restart"/>
            <w:tcBorders>
              <w:left w:val="single" w:sz="4" w:space="0" w:color="000000"/>
              <w:right w:val="single" w:sz="4" w:space="0" w:color="000000"/>
            </w:tcBorders>
            <w:vAlign w:val="center"/>
          </w:tcPr>
          <w:p w:rsidR="00C5067B" w:rsidRDefault="00C5067B" w:rsidP="00AB45DA">
            <w:pPr>
              <w:pStyle w:val="Default"/>
              <w:spacing w:line="276" w:lineRule="auto"/>
              <w:rPr>
                <w:rFonts w:ascii="Tahoma" w:hAnsi="Tahoma" w:cs="Tahoma"/>
                <w:color w:val="auto"/>
                <w:sz w:val="18"/>
                <w:szCs w:val="18"/>
              </w:rPr>
            </w:pPr>
            <w:r>
              <w:rPr>
                <w:rFonts w:ascii="Tahoma" w:hAnsi="Tahoma" w:cs="Tahoma"/>
                <w:color w:val="auto"/>
                <w:sz w:val="18"/>
                <w:szCs w:val="18"/>
              </w:rPr>
              <w:lastRenderedPageBreak/>
              <w:t xml:space="preserve">Non-pregnant women </w:t>
            </w:r>
            <w:r w:rsidR="00AB45DA">
              <w:rPr>
                <w:rFonts w:ascii="Tahoma" w:hAnsi="Tahoma" w:cs="Tahoma"/>
                <w:color w:val="auto"/>
                <w:sz w:val="18"/>
                <w:szCs w:val="18"/>
              </w:rPr>
              <w:t xml:space="preserve">(18-40) smokers </w:t>
            </w:r>
            <w:r>
              <w:rPr>
                <w:rFonts w:ascii="Tahoma" w:hAnsi="Tahoma" w:cs="Tahoma"/>
                <w:color w:val="auto"/>
                <w:sz w:val="18"/>
                <w:szCs w:val="18"/>
              </w:rPr>
              <w:t xml:space="preserve">planning a pregnancy </w:t>
            </w:r>
          </w:p>
        </w:tc>
        <w:tc>
          <w:tcPr>
            <w:tcW w:w="2555" w:type="dxa"/>
            <w:tcBorders>
              <w:top w:val="single" w:sz="4" w:space="0" w:color="000000"/>
              <w:left w:val="single" w:sz="4" w:space="0" w:color="000000"/>
              <w:bottom w:val="single" w:sz="4" w:space="0" w:color="000000"/>
              <w:right w:val="single" w:sz="4" w:space="0" w:color="000000"/>
            </w:tcBorders>
            <w:vAlign w:val="center"/>
          </w:tcPr>
          <w:p w:rsidR="00C5067B" w:rsidRPr="00FC3175" w:rsidRDefault="00C5067B" w:rsidP="00821F05">
            <w:pPr>
              <w:pStyle w:val="Default"/>
              <w:spacing w:line="276" w:lineRule="auto"/>
              <w:rPr>
                <w:rFonts w:ascii="Tahoma" w:hAnsi="Tahoma" w:cs="Tahoma"/>
                <w:color w:val="auto"/>
                <w:sz w:val="18"/>
                <w:szCs w:val="18"/>
              </w:rPr>
            </w:pPr>
            <w:r w:rsidRPr="00FC3175">
              <w:rPr>
                <w:rFonts w:ascii="Tahoma" w:hAnsi="Tahoma" w:cs="Tahoma"/>
                <w:color w:val="auto"/>
                <w:sz w:val="18"/>
                <w:szCs w:val="18"/>
              </w:rPr>
              <w:t>Screener</w:t>
            </w:r>
            <w:r w:rsidR="00821F05">
              <w:rPr>
                <w:rFonts w:ascii="Tahoma" w:hAnsi="Tahoma" w:cs="Tahoma"/>
                <w:color w:val="auto"/>
                <w:sz w:val="18"/>
                <w:szCs w:val="18"/>
              </w:rPr>
              <w:t xml:space="preserve"> </w:t>
            </w:r>
            <w:r w:rsidR="00D42A48">
              <w:rPr>
                <w:rFonts w:ascii="Tahoma" w:hAnsi="Tahoma" w:cs="Tahoma"/>
                <w:color w:val="auto"/>
                <w:sz w:val="18"/>
                <w:szCs w:val="18"/>
              </w:rPr>
              <w:t>(</w:t>
            </w:r>
            <w:proofErr w:type="spellStart"/>
            <w:r w:rsidR="00D42A48">
              <w:rPr>
                <w:rFonts w:ascii="Tahoma" w:hAnsi="Tahoma" w:cs="Tahoma"/>
                <w:color w:val="auto"/>
                <w:sz w:val="18"/>
                <w:szCs w:val="18"/>
              </w:rPr>
              <w:t>Nonpregnant</w:t>
            </w:r>
            <w:proofErr w:type="spellEnd"/>
            <w:r w:rsidR="00D42A48">
              <w:rPr>
                <w:rFonts w:ascii="Tahoma" w:hAnsi="Tahoma" w:cs="Tahoma"/>
                <w:color w:val="auto"/>
                <w:sz w:val="18"/>
                <w:szCs w:val="18"/>
              </w:rPr>
              <w:t xml:space="preserve"> Women)</w:t>
            </w:r>
          </w:p>
        </w:tc>
        <w:tc>
          <w:tcPr>
            <w:tcW w:w="1620" w:type="dxa"/>
            <w:tcBorders>
              <w:top w:val="single" w:sz="4" w:space="0" w:color="000000"/>
              <w:left w:val="single" w:sz="4" w:space="0" w:color="000000"/>
              <w:bottom w:val="single" w:sz="4" w:space="0" w:color="000000"/>
              <w:right w:val="single" w:sz="4" w:space="0" w:color="000000"/>
            </w:tcBorders>
            <w:vAlign w:val="center"/>
          </w:tcPr>
          <w:p w:rsidR="00C5067B" w:rsidRDefault="007A0692"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252</w:t>
            </w:r>
          </w:p>
        </w:tc>
        <w:tc>
          <w:tcPr>
            <w:tcW w:w="1530" w:type="dxa"/>
            <w:tcBorders>
              <w:top w:val="single" w:sz="4" w:space="0" w:color="000000"/>
              <w:left w:val="single" w:sz="4" w:space="0" w:color="000000"/>
              <w:bottom w:val="single" w:sz="4" w:space="0" w:color="000000"/>
              <w:right w:val="single" w:sz="4" w:space="0" w:color="000000"/>
            </w:tcBorders>
            <w:vAlign w:val="center"/>
          </w:tcPr>
          <w:p w:rsidR="00C5067B" w:rsidRDefault="00C5067B" w:rsidP="006506B0">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C5067B" w:rsidRDefault="00AB45DA"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5</w:t>
            </w:r>
            <w:r w:rsidR="00C5067B" w:rsidRPr="00FC3175">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C5067B" w:rsidRDefault="00AB45DA"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21</w:t>
            </w:r>
          </w:p>
        </w:tc>
      </w:tr>
      <w:tr w:rsidR="00C5067B" w:rsidTr="006506B0">
        <w:trPr>
          <w:trHeight w:val="240"/>
          <w:jc w:val="center"/>
        </w:trPr>
        <w:tc>
          <w:tcPr>
            <w:tcW w:w="1369" w:type="dxa"/>
            <w:vMerge/>
            <w:tcBorders>
              <w:left w:val="single" w:sz="4" w:space="0" w:color="000000"/>
              <w:right w:val="single" w:sz="4" w:space="0" w:color="000000"/>
            </w:tcBorders>
            <w:vAlign w:val="center"/>
          </w:tcPr>
          <w:p w:rsidR="00C5067B" w:rsidRPr="00FC3175" w:rsidRDefault="00C5067B" w:rsidP="006506B0">
            <w:pPr>
              <w:pStyle w:val="Default"/>
              <w:spacing w:line="276" w:lineRule="auto"/>
              <w:jc w:val="both"/>
              <w:rPr>
                <w:rFonts w:ascii="Tahoma" w:hAnsi="Tahoma" w:cs="Tahoma"/>
                <w:color w:val="auto"/>
                <w:sz w:val="18"/>
                <w:szCs w:val="18"/>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C5067B" w:rsidRPr="00FC3175" w:rsidRDefault="00C5067B" w:rsidP="00A84985">
            <w:pPr>
              <w:pStyle w:val="Default"/>
              <w:spacing w:line="276" w:lineRule="auto"/>
              <w:rPr>
                <w:rFonts w:ascii="Tahoma" w:hAnsi="Tahoma" w:cs="Tahoma"/>
                <w:color w:val="auto"/>
                <w:sz w:val="18"/>
                <w:szCs w:val="18"/>
              </w:rPr>
            </w:pPr>
            <w:r>
              <w:rPr>
                <w:rFonts w:ascii="Tahoma" w:hAnsi="Tahoma" w:cs="Tahoma"/>
                <w:color w:val="auto"/>
                <w:sz w:val="18"/>
                <w:szCs w:val="18"/>
              </w:rPr>
              <w:t>Moderator’s Guide</w:t>
            </w:r>
            <w:r w:rsidR="00D42A48">
              <w:rPr>
                <w:rFonts w:ascii="Tahoma" w:hAnsi="Tahoma" w:cs="Tahoma"/>
                <w:color w:val="auto"/>
                <w:sz w:val="18"/>
                <w:szCs w:val="18"/>
              </w:rPr>
              <w:t>: Women’s Perceptions of Tobacco Products (</w:t>
            </w:r>
            <w:proofErr w:type="spellStart"/>
            <w:r w:rsidR="00D42A48">
              <w:rPr>
                <w:rFonts w:ascii="Tahoma" w:hAnsi="Tahoma" w:cs="Tahoma"/>
                <w:color w:val="auto"/>
                <w:sz w:val="18"/>
                <w:szCs w:val="18"/>
              </w:rPr>
              <w:t>Nonpregnant</w:t>
            </w:r>
            <w:proofErr w:type="spellEnd"/>
            <w:r w:rsidR="00D42A48">
              <w:rPr>
                <w:rFonts w:ascii="Tahoma" w:hAnsi="Tahoma" w:cs="Tahoma"/>
                <w:color w:val="auto"/>
                <w:sz w:val="18"/>
                <w:szCs w:val="18"/>
              </w:rPr>
              <w:t xml:space="preserve"> Women)</w:t>
            </w:r>
          </w:p>
        </w:tc>
        <w:tc>
          <w:tcPr>
            <w:tcW w:w="1620" w:type="dxa"/>
            <w:tcBorders>
              <w:top w:val="single" w:sz="4" w:space="0" w:color="000000"/>
              <w:left w:val="single" w:sz="4" w:space="0" w:color="000000"/>
              <w:bottom w:val="single" w:sz="4" w:space="0" w:color="000000"/>
              <w:right w:val="single" w:sz="4" w:space="0" w:color="000000"/>
            </w:tcBorders>
            <w:vAlign w:val="center"/>
          </w:tcPr>
          <w:p w:rsidR="00C5067B" w:rsidRDefault="008A5E08"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56</w:t>
            </w:r>
          </w:p>
        </w:tc>
        <w:tc>
          <w:tcPr>
            <w:tcW w:w="1530" w:type="dxa"/>
            <w:tcBorders>
              <w:top w:val="single" w:sz="4" w:space="0" w:color="000000"/>
              <w:left w:val="single" w:sz="4" w:space="0" w:color="000000"/>
              <w:bottom w:val="single" w:sz="4" w:space="0" w:color="000000"/>
              <w:right w:val="single" w:sz="4" w:space="0" w:color="000000"/>
            </w:tcBorders>
            <w:vAlign w:val="center"/>
          </w:tcPr>
          <w:p w:rsidR="00C5067B" w:rsidRDefault="00C5067B" w:rsidP="006506B0">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C5067B" w:rsidRDefault="008A5E08" w:rsidP="00AB45DA">
            <w:pPr>
              <w:pStyle w:val="Default"/>
              <w:spacing w:line="276" w:lineRule="auto"/>
              <w:jc w:val="center"/>
              <w:rPr>
                <w:rFonts w:ascii="Tahoma" w:hAnsi="Tahoma" w:cs="Tahoma"/>
                <w:color w:val="auto"/>
                <w:sz w:val="18"/>
                <w:szCs w:val="18"/>
              </w:rPr>
            </w:pPr>
            <w:r>
              <w:rPr>
                <w:rFonts w:ascii="Tahoma" w:hAnsi="Tahoma" w:cs="Tahoma"/>
                <w:color w:val="auto"/>
                <w:sz w:val="18"/>
                <w:szCs w:val="18"/>
              </w:rPr>
              <w:t>9</w:t>
            </w:r>
            <w:r w:rsidR="005D4B56">
              <w:rPr>
                <w:rFonts w:ascii="Tahoma" w:hAnsi="Tahoma" w:cs="Tahoma"/>
                <w:color w:val="auto"/>
                <w:sz w:val="18"/>
                <w:szCs w:val="18"/>
              </w:rPr>
              <w:t>0</w:t>
            </w:r>
            <w:r w:rsidR="00AB45DA">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C5067B" w:rsidRDefault="008A5E08" w:rsidP="006506B0">
            <w:pPr>
              <w:pStyle w:val="Default"/>
              <w:spacing w:line="276" w:lineRule="auto"/>
              <w:jc w:val="center"/>
              <w:rPr>
                <w:rFonts w:ascii="Tahoma" w:hAnsi="Tahoma" w:cs="Tahoma"/>
                <w:color w:val="auto"/>
                <w:sz w:val="18"/>
                <w:szCs w:val="18"/>
              </w:rPr>
            </w:pPr>
            <w:r>
              <w:rPr>
                <w:rFonts w:ascii="Tahoma" w:hAnsi="Tahoma" w:cs="Tahoma"/>
                <w:color w:val="auto"/>
                <w:sz w:val="18"/>
                <w:szCs w:val="18"/>
              </w:rPr>
              <w:t>84</w:t>
            </w:r>
          </w:p>
        </w:tc>
      </w:tr>
      <w:tr w:rsidR="006506B0" w:rsidRPr="00507542" w:rsidTr="006506B0">
        <w:trPr>
          <w:trHeight w:val="240"/>
          <w:jc w:val="center"/>
        </w:trPr>
        <w:tc>
          <w:tcPr>
            <w:tcW w:w="8424" w:type="dxa"/>
            <w:gridSpan w:val="5"/>
            <w:tcBorders>
              <w:top w:val="single" w:sz="4" w:space="0" w:color="000000"/>
              <w:left w:val="single" w:sz="4" w:space="0" w:color="000000"/>
              <w:bottom w:val="single" w:sz="4" w:space="0" w:color="000000"/>
              <w:right w:val="single" w:sz="4" w:space="0" w:color="000000"/>
            </w:tcBorders>
            <w:vAlign w:val="center"/>
          </w:tcPr>
          <w:p w:rsidR="006506B0" w:rsidRDefault="006506B0" w:rsidP="006506B0">
            <w:pPr>
              <w:pStyle w:val="Default"/>
              <w:spacing w:line="276" w:lineRule="auto"/>
              <w:jc w:val="right"/>
              <w:rPr>
                <w:rFonts w:ascii="Tahoma" w:hAnsi="Tahoma" w:cs="Tahoma"/>
                <w:color w:val="auto"/>
                <w:sz w:val="18"/>
                <w:szCs w:val="18"/>
              </w:rPr>
            </w:pPr>
            <w:r w:rsidRPr="00FC3175">
              <w:rPr>
                <w:rFonts w:ascii="Tahoma" w:hAnsi="Tahoma" w:cs="Tahoma"/>
                <w:b/>
                <w:color w:val="auto"/>
                <w:sz w:val="16"/>
                <w:szCs w:val="16"/>
              </w:rPr>
              <w:t>Total</w:t>
            </w:r>
          </w:p>
        </w:tc>
        <w:tc>
          <w:tcPr>
            <w:tcW w:w="1044" w:type="dxa"/>
            <w:tcBorders>
              <w:top w:val="single" w:sz="4" w:space="0" w:color="000000"/>
              <w:left w:val="single" w:sz="4" w:space="0" w:color="000000"/>
              <w:bottom w:val="single" w:sz="4" w:space="0" w:color="000000"/>
              <w:right w:val="single" w:sz="4" w:space="0" w:color="000000"/>
            </w:tcBorders>
            <w:vAlign w:val="center"/>
          </w:tcPr>
          <w:p w:rsidR="006506B0" w:rsidRDefault="008A5E08" w:rsidP="007A0692">
            <w:pPr>
              <w:pStyle w:val="Default"/>
              <w:spacing w:line="276" w:lineRule="auto"/>
              <w:jc w:val="center"/>
              <w:rPr>
                <w:rFonts w:ascii="Tahoma" w:hAnsi="Tahoma" w:cs="Tahoma"/>
                <w:b/>
                <w:color w:val="auto"/>
                <w:sz w:val="18"/>
                <w:szCs w:val="18"/>
              </w:rPr>
            </w:pPr>
            <w:r>
              <w:rPr>
                <w:rFonts w:ascii="Tahoma" w:hAnsi="Tahoma" w:cs="Tahoma"/>
                <w:b/>
                <w:color w:val="auto"/>
                <w:sz w:val="18"/>
                <w:szCs w:val="18"/>
              </w:rPr>
              <w:t>2</w:t>
            </w:r>
            <w:r w:rsidR="007A0692">
              <w:rPr>
                <w:rFonts w:ascii="Tahoma" w:hAnsi="Tahoma" w:cs="Tahoma"/>
                <w:b/>
                <w:color w:val="auto"/>
                <w:sz w:val="18"/>
                <w:szCs w:val="18"/>
              </w:rPr>
              <w:t>70</w:t>
            </w:r>
          </w:p>
        </w:tc>
      </w:tr>
    </w:tbl>
    <w:p w:rsidR="009520A4" w:rsidRDefault="009520A4" w:rsidP="009505A2">
      <w:pPr>
        <w:pStyle w:val="Ttableheading"/>
        <w:spacing w:after="0" w:line="276" w:lineRule="auto"/>
        <w:jc w:val="both"/>
        <w:rPr>
          <w:rFonts w:asciiTheme="minorHAnsi" w:hAnsiTheme="minorHAnsi"/>
        </w:rPr>
      </w:pPr>
    </w:p>
    <w:p w:rsidR="0078253C" w:rsidRDefault="0078253C" w:rsidP="009505A2">
      <w:pPr>
        <w:pStyle w:val="Ttableheading"/>
        <w:spacing w:after="0" w:line="276" w:lineRule="auto"/>
        <w:jc w:val="both"/>
        <w:rPr>
          <w:rFonts w:asciiTheme="minorHAnsi" w:hAnsiTheme="minorHAnsi"/>
        </w:rPr>
      </w:pPr>
    </w:p>
    <w:p w:rsidR="0078253C" w:rsidRPr="00D667F6" w:rsidRDefault="00F632B2" w:rsidP="00B63EFD">
      <w:pPr>
        <w:spacing w:line="240" w:lineRule="auto"/>
        <w:ind w:firstLine="720"/>
        <w:jc w:val="both"/>
      </w:pPr>
      <w:r>
        <w:rPr>
          <w:rFonts w:asciiTheme="minorHAnsi" w:hAnsiTheme="minorHAnsi"/>
        </w:rPr>
        <w:t>The esti</w:t>
      </w:r>
      <w:r w:rsidR="007B7926">
        <w:rPr>
          <w:rFonts w:asciiTheme="minorHAnsi" w:hAnsiTheme="minorHAnsi"/>
        </w:rPr>
        <w:t>mated cost of the time devoted to this information collection by respondents is $</w:t>
      </w:r>
      <w:r w:rsidR="006A7494">
        <w:rPr>
          <w:rFonts w:asciiTheme="minorHAnsi" w:hAnsiTheme="minorHAnsi"/>
        </w:rPr>
        <w:t>6</w:t>
      </w:r>
      <w:r w:rsidR="00D42A48">
        <w:rPr>
          <w:rFonts w:asciiTheme="minorHAnsi" w:hAnsiTheme="minorHAnsi"/>
        </w:rPr>
        <w:t>,</w:t>
      </w:r>
      <w:r w:rsidR="006A7494">
        <w:rPr>
          <w:rFonts w:asciiTheme="minorHAnsi" w:hAnsiTheme="minorHAnsi"/>
        </w:rPr>
        <w:t>210</w:t>
      </w:r>
      <w:r w:rsidR="001C510B">
        <w:rPr>
          <w:rFonts w:asciiTheme="minorHAnsi" w:hAnsiTheme="minorHAnsi"/>
        </w:rPr>
        <w:t xml:space="preserve"> as summarized in Table A.12.B</w:t>
      </w:r>
      <w:r>
        <w:rPr>
          <w:rFonts w:asciiTheme="minorHAnsi" w:hAnsiTheme="minorHAnsi"/>
        </w:rPr>
        <w:t xml:space="preserve">.  To calculate this cost, we used the </w:t>
      </w:r>
      <w:r w:rsidR="001C510B">
        <w:rPr>
          <w:rFonts w:asciiTheme="minorHAnsi" w:hAnsiTheme="minorHAnsi"/>
        </w:rPr>
        <w:t xml:space="preserve">mean hourly wage of $23, which represents the DOL estimated mean for state, local, and private industry </w:t>
      </w:r>
      <w:r w:rsidR="007915D6">
        <w:rPr>
          <w:rFonts w:asciiTheme="minorHAnsi" w:hAnsiTheme="minorHAnsi"/>
        </w:rPr>
        <w:t>earnings (</w:t>
      </w:r>
      <w:r w:rsidR="007915D6">
        <w:t>U.S. Bureau of Labor Statistics, 2013</w:t>
      </w:r>
      <w:r w:rsidR="00711A07">
        <w:t>).</w:t>
      </w:r>
      <w:r w:rsidR="007915D6">
        <w:t xml:space="preserve"> </w:t>
      </w:r>
      <w:r w:rsidR="001C510B">
        <w:rPr>
          <w:rFonts w:asciiTheme="minorHAnsi" w:hAnsiTheme="minorHAnsi"/>
        </w:rPr>
        <w:t xml:space="preserve">There are no direct costs to respondents associated with participation in this information collection.  </w:t>
      </w:r>
    </w:p>
    <w:p w:rsidR="00F632B2" w:rsidRPr="009505A2" w:rsidRDefault="00F632B2" w:rsidP="009505A2">
      <w:pPr>
        <w:spacing w:after="0"/>
        <w:jc w:val="both"/>
        <w:rPr>
          <w:rFonts w:asciiTheme="minorHAnsi" w:hAnsiTheme="minorHAnsi"/>
          <w:b/>
        </w:rPr>
      </w:pPr>
      <w:r w:rsidRPr="009D3B1E">
        <w:rPr>
          <w:rFonts w:asciiTheme="minorHAnsi" w:hAnsiTheme="minorHAnsi"/>
          <w:b/>
        </w:rPr>
        <w:t>Table A.12.B Estimated Annualized Cost to Respondents</w:t>
      </w:r>
    </w:p>
    <w:tbl>
      <w:tblPr>
        <w:tblW w:w="9576" w:type="dxa"/>
        <w:jc w:val="center"/>
        <w:tblLook w:val="0000" w:firstRow="0" w:lastRow="0" w:firstColumn="0" w:lastColumn="0" w:noHBand="0" w:noVBand="0"/>
      </w:tblPr>
      <w:tblGrid>
        <w:gridCol w:w="1353"/>
        <w:gridCol w:w="2265"/>
        <w:gridCol w:w="1434"/>
        <w:gridCol w:w="1176"/>
        <w:gridCol w:w="1080"/>
        <w:gridCol w:w="1080"/>
        <w:gridCol w:w="1188"/>
      </w:tblGrid>
      <w:tr w:rsidR="00DE429D" w:rsidRPr="00507542" w:rsidTr="00DE004F">
        <w:trPr>
          <w:trHeight w:val="940"/>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DE004F">
            <w:pPr>
              <w:pStyle w:val="Default"/>
              <w:spacing w:line="276" w:lineRule="auto"/>
              <w:rPr>
                <w:rFonts w:ascii="Tahoma" w:hAnsi="Tahoma" w:cs="Tahoma"/>
                <w:color w:val="auto"/>
                <w:sz w:val="16"/>
                <w:szCs w:val="16"/>
              </w:rPr>
            </w:pPr>
            <w:r w:rsidRPr="00507542">
              <w:rPr>
                <w:rFonts w:ascii="Tahoma" w:hAnsi="Tahoma" w:cs="Tahoma"/>
                <w:b/>
                <w:bCs/>
                <w:color w:val="auto"/>
                <w:sz w:val="16"/>
                <w:szCs w:val="16"/>
              </w:rPr>
              <w:t>Type of Respondent</w:t>
            </w:r>
          </w:p>
        </w:tc>
        <w:tc>
          <w:tcPr>
            <w:tcW w:w="2265"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Form Name</w:t>
            </w:r>
          </w:p>
        </w:tc>
        <w:tc>
          <w:tcPr>
            <w:tcW w:w="1434"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DE004F">
            <w:pPr>
              <w:pStyle w:val="Default"/>
              <w:spacing w:line="276" w:lineRule="auto"/>
              <w:rPr>
                <w:rFonts w:ascii="Tahoma" w:hAnsi="Tahoma" w:cs="Tahoma"/>
                <w:color w:val="auto"/>
                <w:sz w:val="16"/>
                <w:szCs w:val="16"/>
              </w:rPr>
            </w:pPr>
            <w:r w:rsidRPr="00507542">
              <w:rPr>
                <w:rFonts w:ascii="Tahoma" w:hAnsi="Tahoma" w:cs="Tahoma"/>
                <w:b/>
                <w:bCs/>
                <w:color w:val="auto"/>
                <w:sz w:val="16"/>
                <w:szCs w:val="16"/>
              </w:rPr>
              <w:t xml:space="preserve">No. of Respondents </w:t>
            </w:r>
          </w:p>
        </w:tc>
        <w:tc>
          <w:tcPr>
            <w:tcW w:w="1176"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No. Responses per Respondent </w:t>
            </w:r>
          </w:p>
        </w:tc>
        <w:tc>
          <w:tcPr>
            <w:tcW w:w="1080"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Pr>
                <w:rFonts w:ascii="Tahoma" w:hAnsi="Tahoma" w:cs="Tahoma"/>
                <w:b/>
                <w:bCs/>
                <w:color w:val="auto"/>
                <w:sz w:val="16"/>
                <w:szCs w:val="16"/>
              </w:rPr>
              <w:t>Average Hourly Wage</w:t>
            </w:r>
            <w:r w:rsidRPr="00507542">
              <w:rPr>
                <w:rFonts w:ascii="Tahoma" w:hAnsi="Tahoma" w:cs="Tahoma"/>
                <w:b/>
                <w:bCs/>
                <w:color w:val="auto"/>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Total Burden Hours</w:t>
            </w:r>
          </w:p>
        </w:tc>
        <w:tc>
          <w:tcPr>
            <w:tcW w:w="1188"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b/>
                <w:bCs/>
                <w:color w:val="auto"/>
                <w:sz w:val="16"/>
                <w:szCs w:val="16"/>
              </w:rPr>
            </w:pPr>
            <w:r>
              <w:rPr>
                <w:rFonts w:ascii="Tahoma" w:hAnsi="Tahoma" w:cs="Tahoma"/>
                <w:b/>
                <w:bCs/>
                <w:color w:val="auto"/>
                <w:sz w:val="16"/>
                <w:szCs w:val="16"/>
              </w:rPr>
              <w:t>Total Cost</w:t>
            </w:r>
          </w:p>
        </w:tc>
      </w:tr>
      <w:tr w:rsidR="001E1215" w:rsidRPr="00FC3175" w:rsidTr="00AD1978">
        <w:trPr>
          <w:trHeight w:val="240"/>
          <w:jc w:val="center"/>
        </w:trPr>
        <w:tc>
          <w:tcPr>
            <w:tcW w:w="1353" w:type="dxa"/>
            <w:vMerge w:val="restart"/>
            <w:tcBorders>
              <w:top w:val="single" w:sz="4" w:space="0" w:color="000000"/>
              <w:left w:val="single" w:sz="4" w:space="0" w:color="000000"/>
              <w:right w:val="single" w:sz="4" w:space="0" w:color="000000"/>
            </w:tcBorders>
            <w:vAlign w:val="center"/>
          </w:tcPr>
          <w:p w:rsidR="001E1215" w:rsidRPr="00FC3175" w:rsidRDefault="001E1215" w:rsidP="00DE004F">
            <w:pPr>
              <w:pStyle w:val="Default"/>
              <w:spacing w:line="276" w:lineRule="auto"/>
              <w:rPr>
                <w:rFonts w:ascii="Tahoma" w:hAnsi="Tahoma" w:cs="Tahoma"/>
                <w:color w:val="auto"/>
                <w:sz w:val="18"/>
                <w:szCs w:val="18"/>
              </w:rPr>
            </w:pPr>
            <w:r w:rsidRPr="009D3B1E">
              <w:rPr>
                <w:rFonts w:ascii="Tahoma" w:hAnsi="Tahoma" w:cs="Tahoma"/>
                <w:color w:val="auto"/>
                <w:sz w:val="18"/>
                <w:szCs w:val="18"/>
              </w:rPr>
              <w:t>Pregnant Women (18-40) who smoke or who quit after becoming pregnant</w:t>
            </w:r>
          </w:p>
        </w:tc>
        <w:tc>
          <w:tcPr>
            <w:tcW w:w="2265" w:type="dxa"/>
            <w:tcBorders>
              <w:top w:val="single" w:sz="4" w:space="0" w:color="000000"/>
              <w:left w:val="single" w:sz="4" w:space="0" w:color="000000"/>
              <w:bottom w:val="single" w:sz="4" w:space="0" w:color="000000"/>
              <w:right w:val="single" w:sz="4" w:space="0" w:color="000000"/>
            </w:tcBorders>
            <w:vAlign w:val="center"/>
          </w:tcPr>
          <w:p w:rsidR="001E1215" w:rsidRPr="00FC3175" w:rsidRDefault="001E1215" w:rsidP="00821F05">
            <w:pPr>
              <w:pStyle w:val="Default"/>
              <w:spacing w:line="276" w:lineRule="auto"/>
              <w:rPr>
                <w:rFonts w:ascii="Tahoma" w:hAnsi="Tahoma" w:cs="Tahoma"/>
                <w:color w:val="auto"/>
                <w:sz w:val="18"/>
                <w:szCs w:val="18"/>
              </w:rPr>
            </w:pPr>
            <w:r>
              <w:rPr>
                <w:rFonts w:ascii="Tahoma" w:hAnsi="Tahoma" w:cs="Tahoma"/>
                <w:color w:val="auto"/>
                <w:sz w:val="18"/>
                <w:szCs w:val="18"/>
              </w:rPr>
              <w:t xml:space="preserve"> </w:t>
            </w:r>
            <w:r w:rsidRPr="00FC3175">
              <w:rPr>
                <w:rFonts w:ascii="Tahoma" w:hAnsi="Tahoma" w:cs="Tahoma"/>
                <w:color w:val="auto"/>
                <w:sz w:val="18"/>
                <w:szCs w:val="18"/>
              </w:rPr>
              <w:t>Screener</w:t>
            </w:r>
            <w:r w:rsidR="00D42A48">
              <w:rPr>
                <w:rFonts w:ascii="Tahoma" w:hAnsi="Tahoma" w:cs="Tahoma"/>
                <w:color w:val="auto"/>
                <w:sz w:val="18"/>
                <w:szCs w:val="18"/>
              </w:rPr>
              <w:t xml:space="preserve"> (Pregnant Women)</w:t>
            </w:r>
          </w:p>
        </w:tc>
        <w:tc>
          <w:tcPr>
            <w:tcW w:w="1434" w:type="dxa"/>
            <w:tcBorders>
              <w:top w:val="single" w:sz="4" w:space="0" w:color="000000"/>
              <w:left w:val="single" w:sz="4" w:space="0" w:color="000000"/>
              <w:bottom w:val="single" w:sz="4" w:space="0" w:color="000000"/>
              <w:right w:val="single" w:sz="4" w:space="0" w:color="000000"/>
            </w:tcBorders>
            <w:vAlign w:val="center"/>
          </w:tcPr>
          <w:p w:rsidR="001E1215" w:rsidRDefault="00F52E3A"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396</w:t>
            </w:r>
          </w:p>
        </w:tc>
        <w:tc>
          <w:tcPr>
            <w:tcW w:w="1176" w:type="dxa"/>
            <w:tcBorders>
              <w:top w:val="single" w:sz="4" w:space="0" w:color="000000"/>
              <w:left w:val="single" w:sz="4" w:space="0" w:color="000000"/>
              <w:bottom w:val="single" w:sz="4" w:space="0" w:color="000000"/>
              <w:right w:val="single" w:sz="4" w:space="0" w:color="000000"/>
            </w:tcBorders>
            <w:vAlign w:val="center"/>
          </w:tcPr>
          <w:p w:rsidR="001E1215" w:rsidRPr="00FC3175" w:rsidRDefault="001E1215"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E1215" w:rsidRDefault="001E1215"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1E1215" w:rsidRDefault="007A0692"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33</w:t>
            </w:r>
          </w:p>
        </w:tc>
        <w:tc>
          <w:tcPr>
            <w:tcW w:w="1188" w:type="dxa"/>
            <w:tcBorders>
              <w:top w:val="single" w:sz="4" w:space="0" w:color="000000"/>
              <w:left w:val="single" w:sz="4" w:space="0" w:color="000000"/>
              <w:bottom w:val="single" w:sz="4" w:space="0" w:color="000000"/>
              <w:right w:val="single" w:sz="4" w:space="0" w:color="000000"/>
            </w:tcBorders>
            <w:vAlign w:val="center"/>
          </w:tcPr>
          <w:p w:rsidR="001E1215" w:rsidRDefault="001E1215" w:rsidP="001E1215">
            <w:pPr>
              <w:pStyle w:val="Default"/>
              <w:spacing w:line="276" w:lineRule="auto"/>
              <w:jc w:val="right"/>
              <w:rPr>
                <w:rFonts w:ascii="Tahoma" w:hAnsi="Tahoma" w:cs="Tahoma"/>
                <w:color w:val="auto"/>
                <w:sz w:val="18"/>
                <w:szCs w:val="18"/>
              </w:rPr>
            </w:pPr>
            <w:r>
              <w:rPr>
                <w:rFonts w:ascii="Tahoma" w:hAnsi="Tahoma" w:cs="Tahoma"/>
                <w:color w:val="auto"/>
                <w:sz w:val="18"/>
                <w:szCs w:val="18"/>
              </w:rPr>
              <w:t>$759</w:t>
            </w:r>
          </w:p>
        </w:tc>
      </w:tr>
      <w:tr w:rsidR="001E1215" w:rsidRPr="00FC3175" w:rsidTr="00AD1978">
        <w:trPr>
          <w:trHeight w:val="240"/>
          <w:jc w:val="center"/>
        </w:trPr>
        <w:tc>
          <w:tcPr>
            <w:tcW w:w="1353" w:type="dxa"/>
            <w:vMerge/>
            <w:tcBorders>
              <w:left w:val="single" w:sz="4" w:space="0" w:color="000000"/>
              <w:right w:val="single" w:sz="4" w:space="0" w:color="000000"/>
            </w:tcBorders>
            <w:vAlign w:val="center"/>
          </w:tcPr>
          <w:p w:rsidR="001E1215" w:rsidRPr="00FC3175" w:rsidRDefault="001E1215" w:rsidP="00DE004F">
            <w:pPr>
              <w:pStyle w:val="Default"/>
              <w:spacing w:line="276" w:lineRule="auto"/>
              <w:rPr>
                <w:rFonts w:ascii="Tahoma" w:hAnsi="Tahoma" w:cs="Tahoma"/>
                <w:color w:val="auto"/>
                <w:sz w:val="18"/>
                <w:szCs w:val="18"/>
              </w:rPr>
            </w:pPr>
          </w:p>
        </w:tc>
        <w:tc>
          <w:tcPr>
            <w:tcW w:w="2265" w:type="dxa"/>
            <w:tcBorders>
              <w:top w:val="single" w:sz="4" w:space="0" w:color="000000"/>
              <w:left w:val="single" w:sz="4" w:space="0" w:color="000000"/>
              <w:bottom w:val="single" w:sz="4" w:space="0" w:color="000000"/>
              <w:right w:val="single" w:sz="4" w:space="0" w:color="000000"/>
            </w:tcBorders>
            <w:shd w:val="pct12" w:color="auto" w:fill="auto"/>
            <w:vAlign w:val="center"/>
          </w:tcPr>
          <w:p w:rsidR="001E1215" w:rsidRPr="00FC3175" w:rsidRDefault="001E1215" w:rsidP="00821F05">
            <w:pPr>
              <w:pStyle w:val="Default"/>
              <w:spacing w:line="276" w:lineRule="auto"/>
              <w:rPr>
                <w:rFonts w:ascii="Tahoma" w:hAnsi="Tahoma" w:cs="Tahoma"/>
                <w:color w:val="auto"/>
                <w:sz w:val="18"/>
                <w:szCs w:val="18"/>
              </w:rPr>
            </w:pPr>
            <w:r>
              <w:rPr>
                <w:rFonts w:ascii="Tahoma" w:hAnsi="Tahoma" w:cs="Tahoma"/>
                <w:color w:val="auto"/>
                <w:sz w:val="18"/>
                <w:szCs w:val="18"/>
              </w:rPr>
              <w:t xml:space="preserve">  Moderator’s Guide</w:t>
            </w:r>
            <w:r w:rsidR="00D42A48">
              <w:rPr>
                <w:rFonts w:ascii="Tahoma" w:hAnsi="Tahoma" w:cs="Tahoma"/>
                <w:color w:val="auto"/>
                <w:sz w:val="18"/>
                <w:szCs w:val="18"/>
              </w:rPr>
              <w:t>: Women’s Perceptions of Tobacco Products (Pregnant Women)</w:t>
            </w:r>
          </w:p>
        </w:tc>
        <w:tc>
          <w:tcPr>
            <w:tcW w:w="1434" w:type="dxa"/>
            <w:tcBorders>
              <w:top w:val="single" w:sz="4" w:space="0" w:color="000000"/>
              <w:left w:val="single" w:sz="4" w:space="0" w:color="000000"/>
              <w:bottom w:val="single" w:sz="4" w:space="0" w:color="000000"/>
              <w:right w:val="single" w:sz="4" w:space="0" w:color="000000"/>
            </w:tcBorders>
            <w:shd w:val="pct12" w:color="auto" w:fill="auto"/>
            <w:vAlign w:val="center"/>
          </w:tcPr>
          <w:p w:rsidR="001E1215" w:rsidRDefault="001E1215"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88</w:t>
            </w:r>
          </w:p>
        </w:tc>
        <w:tc>
          <w:tcPr>
            <w:tcW w:w="1176" w:type="dxa"/>
            <w:tcBorders>
              <w:top w:val="single" w:sz="4" w:space="0" w:color="000000"/>
              <w:left w:val="single" w:sz="4" w:space="0" w:color="000000"/>
              <w:bottom w:val="single" w:sz="4" w:space="0" w:color="000000"/>
              <w:right w:val="single" w:sz="4" w:space="0" w:color="000000"/>
            </w:tcBorders>
            <w:shd w:val="pct12" w:color="auto" w:fill="auto"/>
            <w:vAlign w:val="center"/>
          </w:tcPr>
          <w:p w:rsidR="001E1215" w:rsidRPr="00FC3175" w:rsidRDefault="001E1215"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shd w:val="pct12" w:color="auto" w:fill="auto"/>
            <w:vAlign w:val="center"/>
          </w:tcPr>
          <w:p w:rsidR="001E1215" w:rsidRDefault="001E1215"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shd w:val="pct12" w:color="auto" w:fill="auto"/>
            <w:vAlign w:val="center"/>
          </w:tcPr>
          <w:p w:rsidR="001E1215" w:rsidRDefault="001E1215"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132</w:t>
            </w:r>
          </w:p>
        </w:tc>
        <w:tc>
          <w:tcPr>
            <w:tcW w:w="1188" w:type="dxa"/>
            <w:tcBorders>
              <w:top w:val="single" w:sz="4" w:space="0" w:color="000000"/>
              <w:left w:val="single" w:sz="4" w:space="0" w:color="000000"/>
              <w:bottom w:val="single" w:sz="4" w:space="0" w:color="000000"/>
              <w:right w:val="single" w:sz="4" w:space="0" w:color="000000"/>
            </w:tcBorders>
            <w:shd w:val="pct12" w:color="auto" w:fill="auto"/>
            <w:vAlign w:val="center"/>
          </w:tcPr>
          <w:p w:rsidR="001E1215" w:rsidRDefault="001E1215" w:rsidP="001E1215">
            <w:pPr>
              <w:pStyle w:val="Default"/>
              <w:spacing w:line="276" w:lineRule="auto"/>
              <w:jc w:val="right"/>
              <w:rPr>
                <w:rFonts w:ascii="Tahoma" w:hAnsi="Tahoma" w:cs="Tahoma"/>
                <w:color w:val="auto"/>
                <w:sz w:val="18"/>
                <w:szCs w:val="18"/>
              </w:rPr>
            </w:pPr>
            <w:r>
              <w:rPr>
                <w:rFonts w:ascii="Tahoma" w:hAnsi="Tahoma" w:cs="Tahoma"/>
                <w:color w:val="auto"/>
                <w:sz w:val="18"/>
                <w:szCs w:val="18"/>
              </w:rPr>
              <w:t>$3</w:t>
            </w:r>
            <w:r w:rsidR="00D42A48">
              <w:rPr>
                <w:rFonts w:ascii="Tahoma" w:hAnsi="Tahoma" w:cs="Tahoma"/>
                <w:color w:val="auto"/>
                <w:sz w:val="18"/>
                <w:szCs w:val="18"/>
              </w:rPr>
              <w:t>,</w:t>
            </w:r>
            <w:r>
              <w:rPr>
                <w:rFonts w:ascii="Tahoma" w:hAnsi="Tahoma" w:cs="Tahoma"/>
                <w:color w:val="auto"/>
                <w:sz w:val="18"/>
                <w:szCs w:val="18"/>
              </w:rPr>
              <w:t>036</w:t>
            </w:r>
          </w:p>
        </w:tc>
      </w:tr>
      <w:tr w:rsidR="001E1215" w:rsidRPr="00FC3175" w:rsidTr="00AD1978">
        <w:trPr>
          <w:trHeight w:val="240"/>
          <w:jc w:val="center"/>
        </w:trPr>
        <w:tc>
          <w:tcPr>
            <w:tcW w:w="1353" w:type="dxa"/>
            <w:vMerge w:val="restart"/>
            <w:tcBorders>
              <w:top w:val="single" w:sz="4" w:space="0" w:color="000000"/>
              <w:left w:val="single" w:sz="4" w:space="0" w:color="000000"/>
              <w:right w:val="single" w:sz="4" w:space="0" w:color="000000"/>
            </w:tcBorders>
            <w:vAlign w:val="center"/>
          </w:tcPr>
          <w:p w:rsidR="001E1215" w:rsidRPr="00FC3175" w:rsidRDefault="001E1215" w:rsidP="00DE004F">
            <w:pPr>
              <w:pStyle w:val="Default"/>
              <w:spacing w:line="276" w:lineRule="auto"/>
              <w:rPr>
                <w:rFonts w:ascii="Tahoma" w:hAnsi="Tahoma" w:cs="Tahoma"/>
                <w:color w:val="auto"/>
                <w:sz w:val="18"/>
                <w:szCs w:val="18"/>
              </w:rPr>
            </w:pPr>
            <w:r w:rsidRPr="009D3B1E">
              <w:rPr>
                <w:rFonts w:ascii="Tahoma" w:hAnsi="Tahoma" w:cs="Tahoma"/>
                <w:color w:val="auto"/>
                <w:sz w:val="18"/>
                <w:szCs w:val="18"/>
              </w:rPr>
              <w:t>Non-pregnant women (18-40) smokers planning a pregnancy</w:t>
            </w:r>
          </w:p>
        </w:tc>
        <w:tc>
          <w:tcPr>
            <w:tcW w:w="22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1E1215" w:rsidRPr="00FC3175" w:rsidRDefault="001E1215" w:rsidP="00821F05">
            <w:pPr>
              <w:pStyle w:val="Default"/>
              <w:spacing w:line="276" w:lineRule="auto"/>
              <w:rPr>
                <w:rFonts w:ascii="Tahoma" w:hAnsi="Tahoma" w:cs="Tahoma"/>
                <w:color w:val="auto"/>
                <w:sz w:val="18"/>
                <w:szCs w:val="18"/>
              </w:rPr>
            </w:pPr>
            <w:r>
              <w:rPr>
                <w:rFonts w:ascii="Tahoma" w:hAnsi="Tahoma" w:cs="Tahoma"/>
                <w:color w:val="auto"/>
                <w:sz w:val="18"/>
                <w:szCs w:val="18"/>
              </w:rPr>
              <w:t xml:space="preserve"> </w:t>
            </w:r>
            <w:r w:rsidRPr="00FC3175">
              <w:rPr>
                <w:rFonts w:ascii="Tahoma" w:hAnsi="Tahoma" w:cs="Tahoma"/>
                <w:color w:val="auto"/>
                <w:sz w:val="18"/>
                <w:szCs w:val="18"/>
              </w:rPr>
              <w:t xml:space="preserve">  Screener</w:t>
            </w:r>
            <w:r w:rsidR="00D42A48">
              <w:rPr>
                <w:rFonts w:ascii="Tahoma" w:hAnsi="Tahoma" w:cs="Tahoma"/>
                <w:color w:val="auto"/>
                <w:sz w:val="18"/>
                <w:szCs w:val="18"/>
              </w:rPr>
              <w:t xml:space="preserve"> (</w:t>
            </w:r>
            <w:proofErr w:type="spellStart"/>
            <w:r w:rsidR="00D42A48">
              <w:rPr>
                <w:rFonts w:ascii="Tahoma" w:hAnsi="Tahoma" w:cs="Tahoma"/>
                <w:color w:val="auto"/>
                <w:sz w:val="18"/>
                <w:szCs w:val="18"/>
              </w:rPr>
              <w:t>Nonpregnant</w:t>
            </w:r>
            <w:proofErr w:type="spellEnd"/>
            <w:r w:rsidR="00D42A48">
              <w:rPr>
                <w:rFonts w:ascii="Tahoma" w:hAnsi="Tahoma" w:cs="Tahoma"/>
                <w:color w:val="auto"/>
                <w:sz w:val="18"/>
                <w:szCs w:val="18"/>
              </w:rPr>
              <w:t xml:space="preserve"> Women)</w:t>
            </w:r>
          </w:p>
        </w:tc>
        <w:tc>
          <w:tcPr>
            <w:tcW w:w="1434" w:type="dxa"/>
            <w:tcBorders>
              <w:top w:val="single" w:sz="4" w:space="0" w:color="000000"/>
              <w:left w:val="single" w:sz="4" w:space="0" w:color="000000"/>
              <w:bottom w:val="single" w:sz="4" w:space="0" w:color="000000"/>
              <w:right w:val="single" w:sz="4" w:space="0" w:color="000000"/>
            </w:tcBorders>
            <w:shd w:val="pct20" w:color="auto" w:fill="auto"/>
            <w:vAlign w:val="center"/>
          </w:tcPr>
          <w:p w:rsidR="001E1215" w:rsidRDefault="00F52E3A"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252</w:t>
            </w:r>
          </w:p>
        </w:tc>
        <w:tc>
          <w:tcPr>
            <w:tcW w:w="1176" w:type="dxa"/>
            <w:tcBorders>
              <w:top w:val="single" w:sz="4" w:space="0" w:color="000000"/>
              <w:left w:val="single" w:sz="4" w:space="0" w:color="000000"/>
              <w:bottom w:val="single" w:sz="4" w:space="0" w:color="000000"/>
              <w:right w:val="single" w:sz="4" w:space="0" w:color="000000"/>
            </w:tcBorders>
            <w:shd w:val="pct20" w:color="auto" w:fill="auto"/>
            <w:vAlign w:val="center"/>
          </w:tcPr>
          <w:p w:rsidR="001E1215" w:rsidRPr="00FC3175" w:rsidRDefault="001E1215"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shd w:val="pct20" w:color="auto" w:fill="auto"/>
            <w:vAlign w:val="center"/>
          </w:tcPr>
          <w:p w:rsidR="001E1215" w:rsidRPr="00FC3175" w:rsidRDefault="001E1215"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shd w:val="pct20" w:color="auto" w:fill="auto"/>
            <w:vAlign w:val="center"/>
          </w:tcPr>
          <w:p w:rsidR="001E1215" w:rsidRDefault="007A0692"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21</w:t>
            </w:r>
          </w:p>
        </w:tc>
        <w:tc>
          <w:tcPr>
            <w:tcW w:w="1188" w:type="dxa"/>
            <w:tcBorders>
              <w:top w:val="single" w:sz="4" w:space="0" w:color="000000"/>
              <w:left w:val="single" w:sz="4" w:space="0" w:color="000000"/>
              <w:bottom w:val="single" w:sz="4" w:space="0" w:color="000000"/>
              <w:right w:val="single" w:sz="4" w:space="0" w:color="000000"/>
            </w:tcBorders>
            <w:shd w:val="pct20" w:color="auto" w:fill="auto"/>
            <w:vAlign w:val="center"/>
          </w:tcPr>
          <w:p w:rsidR="001E1215" w:rsidRDefault="001E1215" w:rsidP="001E1215">
            <w:pPr>
              <w:pStyle w:val="Default"/>
              <w:spacing w:line="276" w:lineRule="auto"/>
              <w:jc w:val="right"/>
              <w:rPr>
                <w:rFonts w:ascii="Tahoma" w:hAnsi="Tahoma" w:cs="Tahoma"/>
                <w:color w:val="auto"/>
                <w:sz w:val="18"/>
                <w:szCs w:val="18"/>
              </w:rPr>
            </w:pPr>
            <w:r>
              <w:rPr>
                <w:rFonts w:ascii="Tahoma" w:hAnsi="Tahoma" w:cs="Tahoma"/>
                <w:color w:val="auto"/>
                <w:sz w:val="18"/>
                <w:szCs w:val="18"/>
              </w:rPr>
              <w:t>$483</w:t>
            </w:r>
          </w:p>
        </w:tc>
      </w:tr>
      <w:tr w:rsidR="001E1215" w:rsidRPr="00FC3175" w:rsidTr="00AD1978">
        <w:trPr>
          <w:trHeight w:val="240"/>
          <w:jc w:val="center"/>
        </w:trPr>
        <w:tc>
          <w:tcPr>
            <w:tcW w:w="1353" w:type="dxa"/>
            <w:vMerge/>
            <w:tcBorders>
              <w:left w:val="single" w:sz="4" w:space="0" w:color="000000"/>
              <w:bottom w:val="single" w:sz="4" w:space="0" w:color="000000"/>
              <w:right w:val="single" w:sz="4" w:space="0" w:color="000000"/>
            </w:tcBorders>
            <w:vAlign w:val="center"/>
          </w:tcPr>
          <w:p w:rsidR="001E1215" w:rsidRPr="00FC3175" w:rsidRDefault="001E1215" w:rsidP="009505A2">
            <w:pPr>
              <w:pStyle w:val="Default"/>
              <w:spacing w:line="276" w:lineRule="auto"/>
              <w:jc w:val="both"/>
              <w:rPr>
                <w:rFonts w:ascii="Tahoma" w:hAnsi="Tahoma" w:cs="Tahoma"/>
                <w:color w:val="auto"/>
                <w:sz w:val="18"/>
                <w:szCs w:val="18"/>
              </w:rPr>
            </w:pPr>
          </w:p>
        </w:tc>
        <w:tc>
          <w:tcPr>
            <w:tcW w:w="2265" w:type="dxa"/>
            <w:tcBorders>
              <w:top w:val="single" w:sz="4" w:space="0" w:color="000000"/>
              <w:left w:val="single" w:sz="4" w:space="0" w:color="000000"/>
              <w:bottom w:val="single" w:sz="4" w:space="0" w:color="000000"/>
              <w:right w:val="single" w:sz="4" w:space="0" w:color="000000"/>
            </w:tcBorders>
            <w:shd w:val="pct25" w:color="auto" w:fill="auto"/>
            <w:vAlign w:val="center"/>
          </w:tcPr>
          <w:p w:rsidR="001E1215" w:rsidRPr="00FC3175" w:rsidRDefault="001E1215" w:rsidP="00821F05">
            <w:pPr>
              <w:pStyle w:val="Default"/>
              <w:spacing w:line="276" w:lineRule="auto"/>
              <w:rPr>
                <w:rFonts w:ascii="Tahoma" w:hAnsi="Tahoma" w:cs="Tahoma"/>
                <w:color w:val="auto"/>
                <w:sz w:val="18"/>
                <w:szCs w:val="18"/>
              </w:rPr>
            </w:pPr>
            <w:r>
              <w:rPr>
                <w:rFonts w:ascii="Tahoma" w:hAnsi="Tahoma" w:cs="Tahoma"/>
                <w:color w:val="auto"/>
                <w:sz w:val="18"/>
                <w:szCs w:val="18"/>
              </w:rPr>
              <w:t xml:space="preserve">  Moderator’s Guide</w:t>
            </w:r>
            <w:r w:rsidR="00D42A48">
              <w:rPr>
                <w:rFonts w:ascii="Tahoma" w:hAnsi="Tahoma" w:cs="Tahoma"/>
                <w:color w:val="auto"/>
                <w:sz w:val="18"/>
                <w:szCs w:val="18"/>
              </w:rPr>
              <w:t>: Women’s Perceptions of Tobacco Products (</w:t>
            </w:r>
            <w:proofErr w:type="spellStart"/>
            <w:r w:rsidR="00D42A48">
              <w:rPr>
                <w:rFonts w:ascii="Tahoma" w:hAnsi="Tahoma" w:cs="Tahoma"/>
                <w:color w:val="auto"/>
                <w:sz w:val="18"/>
                <w:szCs w:val="18"/>
              </w:rPr>
              <w:t>Nonpregnant</w:t>
            </w:r>
            <w:proofErr w:type="spellEnd"/>
            <w:r w:rsidR="00D42A48">
              <w:rPr>
                <w:rFonts w:ascii="Tahoma" w:hAnsi="Tahoma" w:cs="Tahoma"/>
                <w:color w:val="auto"/>
                <w:sz w:val="18"/>
                <w:szCs w:val="18"/>
              </w:rPr>
              <w:t xml:space="preserve"> Women)</w:t>
            </w:r>
          </w:p>
        </w:tc>
        <w:tc>
          <w:tcPr>
            <w:tcW w:w="1434" w:type="dxa"/>
            <w:tcBorders>
              <w:top w:val="single" w:sz="4" w:space="0" w:color="000000"/>
              <w:left w:val="single" w:sz="4" w:space="0" w:color="000000"/>
              <w:bottom w:val="single" w:sz="4" w:space="0" w:color="000000"/>
              <w:right w:val="single" w:sz="4" w:space="0" w:color="000000"/>
            </w:tcBorders>
            <w:shd w:val="pct25" w:color="auto" w:fill="auto"/>
            <w:vAlign w:val="center"/>
          </w:tcPr>
          <w:p w:rsidR="001E1215" w:rsidRDefault="001E1215"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56</w:t>
            </w:r>
          </w:p>
        </w:tc>
        <w:tc>
          <w:tcPr>
            <w:tcW w:w="1176" w:type="dxa"/>
            <w:tcBorders>
              <w:top w:val="single" w:sz="4" w:space="0" w:color="000000"/>
              <w:left w:val="single" w:sz="4" w:space="0" w:color="000000"/>
              <w:bottom w:val="single" w:sz="4" w:space="0" w:color="000000"/>
              <w:right w:val="single" w:sz="4" w:space="0" w:color="000000"/>
            </w:tcBorders>
            <w:shd w:val="pct25" w:color="auto" w:fill="auto"/>
            <w:vAlign w:val="center"/>
          </w:tcPr>
          <w:p w:rsidR="001E1215" w:rsidRPr="00FC3175" w:rsidRDefault="001E1215"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shd w:val="pct25" w:color="auto" w:fill="auto"/>
            <w:vAlign w:val="center"/>
          </w:tcPr>
          <w:p w:rsidR="001E1215" w:rsidRDefault="001E1215"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shd w:val="pct25" w:color="auto" w:fill="auto"/>
            <w:vAlign w:val="center"/>
          </w:tcPr>
          <w:p w:rsidR="001E1215" w:rsidRDefault="001E1215" w:rsidP="00A84985">
            <w:pPr>
              <w:pStyle w:val="Default"/>
              <w:spacing w:line="276" w:lineRule="auto"/>
              <w:jc w:val="center"/>
              <w:rPr>
                <w:rFonts w:ascii="Tahoma" w:hAnsi="Tahoma" w:cs="Tahoma"/>
                <w:color w:val="auto"/>
                <w:sz w:val="18"/>
                <w:szCs w:val="18"/>
              </w:rPr>
            </w:pPr>
            <w:r>
              <w:rPr>
                <w:rFonts w:ascii="Tahoma" w:hAnsi="Tahoma" w:cs="Tahoma"/>
                <w:color w:val="auto"/>
                <w:sz w:val="18"/>
                <w:szCs w:val="18"/>
              </w:rPr>
              <w:t>84</w:t>
            </w:r>
          </w:p>
        </w:tc>
        <w:tc>
          <w:tcPr>
            <w:tcW w:w="1188" w:type="dxa"/>
            <w:tcBorders>
              <w:top w:val="single" w:sz="4" w:space="0" w:color="000000"/>
              <w:left w:val="single" w:sz="4" w:space="0" w:color="000000"/>
              <w:bottom w:val="single" w:sz="4" w:space="0" w:color="000000"/>
              <w:right w:val="single" w:sz="4" w:space="0" w:color="000000"/>
            </w:tcBorders>
            <w:shd w:val="pct25" w:color="auto" w:fill="auto"/>
            <w:vAlign w:val="center"/>
          </w:tcPr>
          <w:p w:rsidR="001E1215" w:rsidRDefault="001E1215" w:rsidP="001E1215">
            <w:pPr>
              <w:pStyle w:val="Default"/>
              <w:spacing w:line="276" w:lineRule="auto"/>
              <w:jc w:val="right"/>
              <w:rPr>
                <w:rFonts w:ascii="Tahoma" w:hAnsi="Tahoma" w:cs="Tahoma"/>
                <w:color w:val="auto"/>
                <w:sz w:val="18"/>
                <w:szCs w:val="18"/>
              </w:rPr>
            </w:pPr>
            <w:r>
              <w:rPr>
                <w:rFonts w:ascii="Tahoma" w:hAnsi="Tahoma" w:cs="Tahoma"/>
                <w:color w:val="auto"/>
                <w:sz w:val="18"/>
                <w:szCs w:val="18"/>
              </w:rPr>
              <w:t>$1</w:t>
            </w:r>
            <w:r w:rsidR="005E5BAF">
              <w:rPr>
                <w:rFonts w:ascii="Tahoma" w:hAnsi="Tahoma" w:cs="Tahoma"/>
                <w:color w:val="auto"/>
                <w:sz w:val="18"/>
                <w:szCs w:val="18"/>
              </w:rPr>
              <w:t>,</w:t>
            </w:r>
            <w:r>
              <w:rPr>
                <w:rFonts w:ascii="Tahoma" w:hAnsi="Tahoma" w:cs="Tahoma"/>
                <w:color w:val="auto"/>
                <w:sz w:val="18"/>
                <w:szCs w:val="18"/>
              </w:rPr>
              <w:t xml:space="preserve">932 </w:t>
            </w:r>
          </w:p>
        </w:tc>
      </w:tr>
      <w:tr w:rsidR="007B7926" w:rsidRPr="00FC3175" w:rsidTr="00DE004F">
        <w:trPr>
          <w:trHeight w:val="240"/>
          <w:jc w:val="center"/>
        </w:trPr>
        <w:tc>
          <w:tcPr>
            <w:tcW w:w="8388" w:type="dxa"/>
            <w:gridSpan w:val="6"/>
            <w:tcBorders>
              <w:left w:val="single" w:sz="4" w:space="0" w:color="000000"/>
              <w:bottom w:val="single" w:sz="4" w:space="0" w:color="000000"/>
              <w:right w:val="single" w:sz="4" w:space="0" w:color="000000"/>
            </w:tcBorders>
            <w:vAlign w:val="center"/>
          </w:tcPr>
          <w:p w:rsidR="007B7926" w:rsidRDefault="007B7926"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Total</w:t>
            </w:r>
          </w:p>
        </w:tc>
        <w:tc>
          <w:tcPr>
            <w:tcW w:w="1188" w:type="dxa"/>
            <w:tcBorders>
              <w:top w:val="single" w:sz="4" w:space="0" w:color="000000"/>
              <w:left w:val="single" w:sz="4" w:space="0" w:color="000000"/>
              <w:bottom w:val="single" w:sz="4" w:space="0" w:color="000000"/>
              <w:right w:val="single" w:sz="4" w:space="0" w:color="000000"/>
            </w:tcBorders>
            <w:vAlign w:val="center"/>
          </w:tcPr>
          <w:p w:rsidR="007B7926" w:rsidRDefault="001C510B" w:rsidP="001E1215">
            <w:pPr>
              <w:pStyle w:val="Default"/>
              <w:spacing w:line="276" w:lineRule="auto"/>
              <w:jc w:val="right"/>
              <w:rPr>
                <w:rFonts w:ascii="Tahoma" w:hAnsi="Tahoma" w:cs="Tahoma"/>
                <w:color w:val="auto"/>
                <w:sz w:val="18"/>
                <w:szCs w:val="18"/>
              </w:rPr>
            </w:pPr>
            <w:r>
              <w:rPr>
                <w:rFonts w:ascii="Tahoma" w:hAnsi="Tahoma" w:cs="Tahoma"/>
                <w:color w:val="auto"/>
                <w:sz w:val="18"/>
                <w:szCs w:val="18"/>
              </w:rPr>
              <w:t>$</w:t>
            </w:r>
            <w:r w:rsidR="007A0692">
              <w:rPr>
                <w:rFonts w:ascii="Tahoma" w:hAnsi="Tahoma" w:cs="Tahoma"/>
                <w:color w:val="auto"/>
                <w:sz w:val="18"/>
                <w:szCs w:val="18"/>
              </w:rPr>
              <w:t>6</w:t>
            </w:r>
            <w:r w:rsidR="005E5BAF">
              <w:rPr>
                <w:rFonts w:ascii="Tahoma" w:hAnsi="Tahoma" w:cs="Tahoma"/>
                <w:color w:val="auto"/>
                <w:sz w:val="18"/>
                <w:szCs w:val="18"/>
              </w:rPr>
              <w:t>,</w:t>
            </w:r>
            <w:r w:rsidR="007A0692">
              <w:rPr>
                <w:rFonts w:ascii="Tahoma" w:hAnsi="Tahoma" w:cs="Tahoma"/>
                <w:color w:val="auto"/>
                <w:sz w:val="18"/>
                <w:szCs w:val="18"/>
              </w:rPr>
              <w:t>210</w:t>
            </w:r>
          </w:p>
        </w:tc>
      </w:tr>
    </w:tbl>
    <w:p w:rsidR="00F632B2" w:rsidRDefault="00F632B2" w:rsidP="009505A2">
      <w:pPr>
        <w:spacing w:after="0"/>
        <w:jc w:val="both"/>
        <w:rPr>
          <w:rFonts w:asciiTheme="minorHAnsi" w:hAnsiTheme="minorHAnsi"/>
        </w:rPr>
      </w:pPr>
    </w:p>
    <w:p w:rsidR="00F632B2" w:rsidRPr="007F1ACE" w:rsidRDefault="00F632B2" w:rsidP="009505A2">
      <w:pPr>
        <w:spacing w:after="0"/>
        <w:jc w:val="both"/>
        <w:rPr>
          <w:rFonts w:asciiTheme="minorHAnsi" w:hAnsiTheme="minorHAnsi"/>
        </w:rPr>
      </w:pPr>
    </w:p>
    <w:p w:rsidR="005E5BAF" w:rsidRDefault="005E5BAF" w:rsidP="001478D3">
      <w:pPr>
        <w:spacing w:after="0" w:line="240" w:lineRule="auto"/>
        <w:jc w:val="both"/>
        <w:rPr>
          <w:rFonts w:asciiTheme="minorHAnsi" w:hAnsiTheme="minorHAnsi"/>
          <w:b/>
        </w:rPr>
      </w:pPr>
      <w:r>
        <w:rPr>
          <w:rFonts w:asciiTheme="minorHAnsi" w:hAnsiTheme="minorHAnsi"/>
          <w:b/>
        </w:rPr>
        <w:br w:type="page"/>
      </w:r>
    </w:p>
    <w:p w:rsidR="00044A5F" w:rsidRPr="007F1ACE" w:rsidRDefault="00044A5F" w:rsidP="001478D3">
      <w:pPr>
        <w:spacing w:after="0" w:line="240" w:lineRule="auto"/>
        <w:jc w:val="both"/>
        <w:rPr>
          <w:rFonts w:asciiTheme="minorHAnsi" w:hAnsiTheme="minorHAnsi"/>
          <w:b/>
        </w:rPr>
      </w:pPr>
      <w:r w:rsidRPr="007F1ACE">
        <w:rPr>
          <w:rFonts w:asciiTheme="minorHAnsi" w:hAnsiTheme="minorHAnsi"/>
          <w:b/>
        </w:rPr>
        <w:t>A.13</w:t>
      </w:r>
      <w:r w:rsidRPr="007F1ACE">
        <w:rPr>
          <w:rFonts w:asciiTheme="minorHAnsi" w:hAnsiTheme="minorHAnsi"/>
          <w:b/>
        </w:rPr>
        <w:tab/>
        <w:t>Estimates of Other Annual Cost Burden to Respondents and Record Keepers</w:t>
      </w:r>
    </w:p>
    <w:p w:rsidR="007F1ACE" w:rsidRDefault="007F1ACE" w:rsidP="001478D3">
      <w:pPr>
        <w:spacing w:after="0" w:line="240" w:lineRule="auto"/>
        <w:jc w:val="both"/>
        <w:rPr>
          <w:rFonts w:asciiTheme="minorHAnsi" w:hAnsiTheme="minorHAnsi"/>
        </w:rPr>
      </w:pPr>
    </w:p>
    <w:p w:rsidR="00044A5F" w:rsidRPr="007F1ACE" w:rsidRDefault="00460B72" w:rsidP="001478D3">
      <w:pPr>
        <w:spacing w:after="0" w:line="240" w:lineRule="auto"/>
        <w:jc w:val="both"/>
        <w:rPr>
          <w:rFonts w:asciiTheme="minorHAnsi" w:hAnsiTheme="minorHAnsi"/>
        </w:rPr>
      </w:pPr>
      <w:proofErr w:type="gramStart"/>
      <w:r>
        <w:rPr>
          <w:rFonts w:asciiTheme="minorHAnsi" w:hAnsiTheme="minorHAnsi"/>
        </w:rPr>
        <w:t>None</w:t>
      </w:r>
      <w:r w:rsidR="00D42A48">
        <w:rPr>
          <w:rFonts w:asciiTheme="minorHAnsi" w:hAnsiTheme="minorHAnsi"/>
        </w:rPr>
        <w:t>.</w:t>
      </w:r>
      <w:proofErr w:type="gramEnd"/>
    </w:p>
    <w:p w:rsidR="007F1ACE" w:rsidRDefault="007F1ACE" w:rsidP="001478D3">
      <w:pPr>
        <w:spacing w:after="0" w:line="240" w:lineRule="auto"/>
        <w:jc w:val="both"/>
        <w:rPr>
          <w:rFonts w:asciiTheme="minorHAnsi" w:hAnsiTheme="minorHAnsi"/>
          <w:b/>
        </w:rPr>
      </w:pPr>
    </w:p>
    <w:p w:rsidR="00044A5F" w:rsidRPr="007F1ACE" w:rsidRDefault="00044A5F" w:rsidP="001478D3">
      <w:pPr>
        <w:spacing w:after="0" w:line="240" w:lineRule="auto"/>
        <w:jc w:val="both"/>
        <w:rPr>
          <w:rFonts w:asciiTheme="minorHAnsi" w:hAnsiTheme="minorHAnsi"/>
          <w:b/>
        </w:rPr>
      </w:pPr>
      <w:r w:rsidRPr="007F1ACE">
        <w:rPr>
          <w:rFonts w:asciiTheme="minorHAnsi" w:hAnsiTheme="minorHAnsi"/>
          <w:b/>
        </w:rPr>
        <w:t>A.14</w:t>
      </w:r>
      <w:r w:rsidRPr="007F1ACE">
        <w:rPr>
          <w:rFonts w:asciiTheme="minorHAnsi" w:hAnsiTheme="minorHAnsi"/>
          <w:b/>
        </w:rPr>
        <w:tab/>
        <w:t>Annualized Cost to the Federal Government</w:t>
      </w:r>
    </w:p>
    <w:p w:rsidR="00E23D56" w:rsidRDefault="00E23D56" w:rsidP="00B63EFD">
      <w:pPr>
        <w:spacing w:line="240" w:lineRule="auto"/>
        <w:ind w:firstLine="720"/>
        <w:jc w:val="both"/>
      </w:pPr>
      <w:r>
        <w:t xml:space="preserve">Approximately </w:t>
      </w:r>
      <w:r w:rsidR="00157F3B">
        <w:t>18</w:t>
      </w:r>
      <w:r>
        <w:t>% each of 2 full time equivalents (FTE) will be required to oversee the information collection activities</w:t>
      </w:r>
      <w:r w:rsidR="003C01A5">
        <w:t xml:space="preserve">. </w:t>
      </w:r>
      <w:r>
        <w:t xml:space="preserve">Responsibilities will include internal coordination and review of </w:t>
      </w:r>
      <w:r>
        <w:lastRenderedPageBreak/>
        <w:t>materials and reports and maintaining proper accounting of burden hours.  The agency estimates that it will ta</w:t>
      </w:r>
      <w:r w:rsidR="00622CD9">
        <w:t>ke a GS-14, at a wage rate of $</w:t>
      </w:r>
      <w:r w:rsidR="00157F3B">
        <w:t>48.41</w:t>
      </w:r>
      <w:r>
        <w:t xml:space="preserve">/hour, approximately </w:t>
      </w:r>
      <w:r w:rsidR="00850175">
        <w:t>335</w:t>
      </w:r>
      <w:r w:rsidR="00157F3B" w:rsidRPr="00157F3B">
        <w:t xml:space="preserve"> </w:t>
      </w:r>
      <w:r w:rsidRPr="00157F3B">
        <w:t>hours</w:t>
      </w:r>
      <w:r w:rsidR="00850175">
        <w:t>/annually</w:t>
      </w:r>
      <w:r>
        <w:t xml:space="preserve"> to manage the project, totaling about $</w:t>
      </w:r>
      <w:r w:rsidR="00850175">
        <w:t>16,217</w:t>
      </w:r>
      <w:r>
        <w:t>. It is estimated to take a GS-13, at a wage rate of</w:t>
      </w:r>
      <w:r w:rsidR="00911E5B">
        <w:t xml:space="preserve"> $</w:t>
      </w:r>
      <w:r>
        <w:t xml:space="preserve">46.43 an hour, approximately </w:t>
      </w:r>
      <w:r w:rsidR="00850175">
        <w:t>327 hours</w:t>
      </w:r>
      <w:r>
        <w:t xml:space="preserve"> </w:t>
      </w:r>
      <w:r w:rsidR="00850175">
        <w:t xml:space="preserve">annually </w:t>
      </w:r>
      <w:r>
        <w:t>to assist in managing the project, totaling $</w:t>
      </w:r>
      <w:r w:rsidR="00850175">
        <w:t>15,182</w:t>
      </w:r>
      <w:r>
        <w:t xml:space="preserve">. </w:t>
      </w:r>
    </w:p>
    <w:p w:rsidR="00850175" w:rsidRDefault="00E23D56" w:rsidP="001478D3">
      <w:pPr>
        <w:spacing w:line="240" w:lineRule="auto"/>
        <w:rPr>
          <w:b/>
          <w:bCs/>
        </w:rPr>
      </w:pPr>
      <w:r>
        <w:t xml:space="preserve"> The total average annualized cost to the </w:t>
      </w:r>
      <w:r w:rsidRPr="00F00CA0">
        <w:t>government for CDC oversight</w:t>
      </w:r>
      <w:r w:rsidR="00850175">
        <w:t xml:space="preserve"> is $31,376</w:t>
      </w:r>
    </w:p>
    <w:tbl>
      <w:tblPr>
        <w:tblStyle w:val="TableGrid"/>
        <w:tblW w:w="0" w:type="auto"/>
        <w:tblLook w:val="04A0" w:firstRow="1" w:lastRow="0" w:firstColumn="1" w:lastColumn="0" w:noHBand="0" w:noVBand="1"/>
      </w:tblPr>
      <w:tblGrid>
        <w:gridCol w:w="2448"/>
        <w:gridCol w:w="1980"/>
        <w:gridCol w:w="2610"/>
        <w:gridCol w:w="990"/>
      </w:tblGrid>
      <w:tr w:rsidR="00996341" w:rsidRPr="00996341" w:rsidTr="00747B84">
        <w:tc>
          <w:tcPr>
            <w:tcW w:w="2448"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Government Personnel</w:t>
            </w:r>
          </w:p>
        </w:tc>
        <w:tc>
          <w:tcPr>
            <w:tcW w:w="198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Time Commitment</w:t>
            </w:r>
          </w:p>
        </w:tc>
        <w:tc>
          <w:tcPr>
            <w:tcW w:w="261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Hourly Basic Rate</w:t>
            </w:r>
          </w:p>
        </w:tc>
        <w:tc>
          <w:tcPr>
            <w:tcW w:w="99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Total</w:t>
            </w:r>
          </w:p>
        </w:tc>
      </w:tr>
      <w:tr w:rsidR="00996341" w:rsidRPr="00996341" w:rsidTr="00157F3B">
        <w:trPr>
          <w:trHeight w:val="278"/>
        </w:trPr>
        <w:tc>
          <w:tcPr>
            <w:tcW w:w="2448"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GS-14</w:t>
            </w:r>
            <w:r w:rsidR="000502E6">
              <w:rPr>
                <w:rFonts w:asciiTheme="minorHAnsi" w:hAnsiTheme="minorHAnsi"/>
              </w:rPr>
              <w:t xml:space="preserve"> step 1</w:t>
            </w:r>
          </w:p>
        </w:tc>
        <w:tc>
          <w:tcPr>
            <w:tcW w:w="1980" w:type="dxa"/>
          </w:tcPr>
          <w:p w:rsidR="00996341" w:rsidRPr="00996341" w:rsidRDefault="000502E6" w:rsidP="00996341">
            <w:pPr>
              <w:spacing w:line="276" w:lineRule="auto"/>
              <w:jc w:val="both"/>
              <w:rPr>
                <w:rFonts w:asciiTheme="minorHAnsi" w:hAnsiTheme="minorHAnsi"/>
              </w:rPr>
            </w:pPr>
            <w:r>
              <w:rPr>
                <w:rFonts w:asciiTheme="minorHAnsi" w:hAnsiTheme="minorHAnsi"/>
              </w:rPr>
              <w:t>18.17</w:t>
            </w:r>
            <w:r w:rsidR="00996341" w:rsidRPr="00996341">
              <w:rPr>
                <w:rFonts w:asciiTheme="minorHAnsi" w:hAnsiTheme="minorHAnsi"/>
              </w:rPr>
              <w:t>%</w:t>
            </w:r>
          </w:p>
        </w:tc>
        <w:tc>
          <w:tcPr>
            <w:tcW w:w="261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$48.41</w:t>
            </w:r>
          </w:p>
        </w:tc>
        <w:tc>
          <w:tcPr>
            <w:tcW w:w="990" w:type="dxa"/>
          </w:tcPr>
          <w:p w:rsidR="00996341" w:rsidRPr="00996341" w:rsidRDefault="00996341" w:rsidP="00850175">
            <w:pPr>
              <w:spacing w:line="276" w:lineRule="auto"/>
              <w:jc w:val="both"/>
              <w:rPr>
                <w:rFonts w:asciiTheme="minorHAnsi" w:hAnsiTheme="minorHAnsi"/>
              </w:rPr>
            </w:pPr>
            <w:r w:rsidRPr="00996341">
              <w:rPr>
                <w:rFonts w:asciiTheme="minorHAnsi" w:hAnsiTheme="minorHAnsi"/>
              </w:rPr>
              <w:t>$</w:t>
            </w:r>
            <w:r w:rsidR="00850175">
              <w:rPr>
                <w:rFonts w:asciiTheme="minorHAnsi" w:hAnsiTheme="minorHAnsi"/>
              </w:rPr>
              <w:t>16,217</w:t>
            </w:r>
          </w:p>
        </w:tc>
      </w:tr>
      <w:tr w:rsidR="00996341" w:rsidRPr="00996341" w:rsidTr="00747B84">
        <w:tc>
          <w:tcPr>
            <w:tcW w:w="2448" w:type="dxa"/>
          </w:tcPr>
          <w:p w:rsidR="00996341" w:rsidRPr="00911E5B" w:rsidRDefault="00996341" w:rsidP="000502E6">
            <w:pPr>
              <w:spacing w:line="276" w:lineRule="auto"/>
              <w:jc w:val="both"/>
              <w:rPr>
                <w:rFonts w:asciiTheme="minorHAnsi" w:hAnsiTheme="minorHAnsi"/>
              </w:rPr>
            </w:pPr>
            <w:r w:rsidRPr="00911E5B">
              <w:rPr>
                <w:rFonts w:asciiTheme="minorHAnsi" w:hAnsiTheme="minorHAnsi"/>
              </w:rPr>
              <w:t>GS-</w:t>
            </w:r>
            <w:r w:rsidR="000502E6" w:rsidRPr="00911E5B">
              <w:rPr>
                <w:rFonts w:asciiTheme="minorHAnsi" w:hAnsiTheme="minorHAnsi"/>
              </w:rPr>
              <w:t>13 step 5</w:t>
            </w:r>
          </w:p>
        </w:tc>
        <w:tc>
          <w:tcPr>
            <w:tcW w:w="1980" w:type="dxa"/>
          </w:tcPr>
          <w:p w:rsidR="00996341" w:rsidRPr="00911E5B" w:rsidRDefault="00996341" w:rsidP="00996341">
            <w:pPr>
              <w:spacing w:line="276" w:lineRule="auto"/>
              <w:jc w:val="both"/>
              <w:rPr>
                <w:rFonts w:asciiTheme="minorHAnsi" w:hAnsiTheme="minorHAnsi"/>
              </w:rPr>
            </w:pPr>
            <w:r w:rsidRPr="00911E5B">
              <w:rPr>
                <w:rFonts w:asciiTheme="minorHAnsi" w:hAnsiTheme="minorHAnsi"/>
              </w:rPr>
              <w:t>1</w:t>
            </w:r>
            <w:r w:rsidR="000502E6" w:rsidRPr="00911E5B">
              <w:rPr>
                <w:rFonts w:asciiTheme="minorHAnsi" w:hAnsiTheme="minorHAnsi"/>
              </w:rPr>
              <w:t>7</w:t>
            </w:r>
            <w:r w:rsidR="001D2242">
              <w:rPr>
                <w:rFonts w:asciiTheme="minorHAnsi" w:hAnsiTheme="minorHAnsi"/>
              </w:rPr>
              <w:t>.0</w:t>
            </w:r>
            <w:r w:rsidRPr="00911E5B">
              <w:rPr>
                <w:rFonts w:asciiTheme="minorHAnsi" w:hAnsiTheme="minorHAnsi"/>
              </w:rPr>
              <w:t>%</w:t>
            </w:r>
          </w:p>
        </w:tc>
        <w:tc>
          <w:tcPr>
            <w:tcW w:w="2610" w:type="dxa"/>
          </w:tcPr>
          <w:p w:rsidR="00996341" w:rsidRPr="00911E5B" w:rsidRDefault="00996341" w:rsidP="000502E6">
            <w:pPr>
              <w:spacing w:line="276" w:lineRule="auto"/>
              <w:jc w:val="both"/>
              <w:rPr>
                <w:rFonts w:asciiTheme="minorHAnsi" w:hAnsiTheme="minorHAnsi"/>
              </w:rPr>
            </w:pPr>
            <w:r w:rsidRPr="00911E5B">
              <w:rPr>
                <w:rFonts w:asciiTheme="minorHAnsi" w:hAnsiTheme="minorHAnsi"/>
              </w:rPr>
              <w:t>$</w:t>
            </w:r>
            <w:r w:rsidR="000502E6" w:rsidRPr="00911E5B">
              <w:rPr>
                <w:rFonts w:asciiTheme="minorHAnsi" w:hAnsiTheme="minorHAnsi"/>
              </w:rPr>
              <w:t>46.43</w:t>
            </w:r>
          </w:p>
        </w:tc>
        <w:tc>
          <w:tcPr>
            <w:tcW w:w="990" w:type="dxa"/>
          </w:tcPr>
          <w:p w:rsidR="00996341" w:rsidRPr="00996341" w:rsidRDefault="00850175" w:rsidP="00157F3B">
            <w:pPr>
              <w:spacing w:line="276" w:lineRule="auto"/>
              <w:jc w:val="both"/>
              <w:rPr>
                <w:rFonts w:asciiTheme="minorHAnsi" w:hAnsiTheme="minorHAnsi"/>
              </w:rPr>
            </w:pPr>
            <w:r>
              <w:rPr>
                <w:rFonts w:asciiTheme="minorHAnsi" w:hAnsiTheme="minorHAnsi"/>
              </w:rPr>
              <w:t>$15,159</w:t>
            </w:r>
          </w:p>
        </w:tc>
      </w:tr>
      <w:tr w:rsidR="00996341" w:rsidRPr="00996341" w:rsidTr="00747B84">
        <w:tc>
          <w:tcPr>
            <w:tcW w:w="7038" w:type="dxa"/>
            <w:gridSpan w:val="3"/>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Total</w:t>
            </w:r>
          </w:p>
        </w:tc>
        <w:tc>
          <w:tcPr>
            <w:tcW w:w="990" w:type="dxa"/>
          </w:tcPr>
          <w:p w:rsidR="00996341" w:rsidRPr="00996341" w:rsidRDefault="00996341" w:rsidP="00850175">
            <w:pPr>
              <w:spacing w:line="276" w:lineRule="auto"/>
              <w:jc w:val="both"/>
              <w:rPr>
                <w:rFonts w:asciiTheme="minorHAnsi" w:hAnsiTheme="minorHAnsi"/>
              </w:rPr>
            </w:pPr>
            <w:r w:rsidRPr="00996341">
              <w:rPr>
                <w:rFonts w:asciiTheme="minorHAnsi" w:hAnsiTheme="minorHAnsi"/>
              </w:rPr>
              <w:t>$</w:t>
            </w:r>
            <w:r w:rsidR="00850175">
              <w:rPr>
                <w:rFonts w:asciiTheme="minorHAnsi" w:hAnsiTheme="minorHAnsi"/>
              </w:rPr>
              <w:t>31,376</w:t>
            </w:r>
          </w:p>
        </w:tc>
      </w:tr>
    </w:tbl>
    <w:p w:rsidR="00996341" w:rsidRPr="00996341" w:rsidRDefault="00996341" w:rsidP="00996341">
      <w:pPr>
        <w:spacing w:after="0"/>
        <w:jc w:val="both"/>
        <w:rPr>
          <w:rFonts w:asciiTheme="minorHAnsi" w:hAnsiTheme="minorHAnsi"/>
        </w:rPr>
      </w:pPr>
    </w:p>
    <w:p w:rsidR="001A7542" w:rsidRDefault="001A7542" w:rsidP="00B63EFD">
      <w:pPr>
        <w:spacing w:after="0" w:line="240" w:lineRule="auto"/>
        <w:ind w:firstLine="720"/>
        <w:jc w:val="both"/>
        <w:rPr>
          <w:rFonts w:asciiTheme="minorHAnsi" w:hAnsiTheme="minorHAnsi"/>
        </w:rPr>
      </w:pPr>
      <w:r w:rsidRPr="001A7542">
        <w:rPr>
          <w:rFonts w:asciiTheme="minorHAnsi" w:hAnsiTheme="minorHAnsi"/>
        </w:rPr>
        <w:t>The majority of data collection activities will be conducted by contractors on CDC’s behalf</w:t>
      </w:r>
      <w:r w:rsidR="00A620A3">
        <w:rPr>
          <w:rFonts w:asciiTheme="minorHAnsi" w:hAnsiTheme="minorHAnsi"/>
        </w:rPr>
        <w:t xml:space="preserve">.  </w:t>
      </w:r>
      <w:r w:rsidRPr="001A7542">
        <w:rPr>
          <w:rFonts w:asciiTheme="minorHAnsi" w:hAnsiTheme="minorHAnsi"/>
        </w:rPr>
        <w:t xml:space="preserve">The </w:t>
      </w:r>
      <w:r w:rsidR="00A620A3">
        <w:rPr>
          <w:rFonts w:asciiTheme="minorHAnsi" w:hAnsiTheme="minorHAnsi"/>
        </w:rPr>
        <w:t xml:space="preserve">total </w:t>
      </w:r>
      <w:r w:rsidRPr="001A7542">
        <w:rPr>
          <w:rFonts w:asciiTheme="minorHAnsi" w:hAnsiTheme="minorHAnsi"/>
        </w:rPr>
        <w:t xml:space="preserve">cost of the data collection </w:t>
      </w:r>
      <w:r w:rsidR="00F0654E">
        <w:rPr>
          <w:rFonts w:asciiTheme="minorHAnsi" w:hAnsiTheme="minorHAnsi"/>
        </w:rPr>
        <w:t xml:space="preserve">contractors </w:t>
      </w:r>
      <w:r w:rsidRPr="00214538">
        <w:rPr>
          <w:rFonts w:asciiTheme="minorHAnsi" w:hAnsiTheme="minorHAnsi"/>
        </w:rPr>
        <w:t>is $</w:t>
      </w:r>
      <w:r w:rsidR="009C1A28" w:rsidRPr="00214538">
        <w:t>338,981</w:t>
      </w:r>
      <w:r w:rsidRPr="00214538">
        <w:rPr>
          <w:rFonts w:asciiTheme="minorHAnsi" w:hAnsiTheme="minorHAnsi"/>
        </w:rPr>
        <w:t>,</w:t>
      </w:r>
      <w:r w:rsidRPr="001A7542">
        <w:rPr>
          <w:rFonts w:asciiTheme="minorHAnsi" w:hAnsiTheme="minorHAnsi"/>
        </w:rPr>
        <w:t xml:space="preserve"> which includes consultation, instrument design and development, recruitment, data collection, analyses, and reporting.  </w:t>
      </w:r>
    </w:p>
    <w:p w:rsidR="00214538" w:rsidRPr="001A7542" w:rsidRDefault="00214538" w:rsidP="001478D3">
      <w:pPr>
        <w:spacing w:after="0" w:line="240" w:lineRule="auto"/>
        <w:jc w:val="both"/>
        <w:rPr>
          <w:rFonts w:asciiTheme="minorHAnsi" w:hAnsiTheme="minorHAnsi"/>
        </w:rPr>
      </w:pPr>
    </w:p>
    <w:p w:rsidR="005C6DAE" w:rsidRDefault="005C6DAE" w:rsidP="001478D3">
      <w:pPr>
        <w:spacing w:after="0" w:line="240" w:lineRule="auto"/>
        <w:jc w:val="both"/>
        <w:rPr>
          <w:rFonts w:asciiTheme="minorHAnsi" w:hAnsiTheme="minorHAnsi"/>
        </w:rPr>
      </w:pPr>
      <w:r>
        <w:rPr>
          <w:rFonts w:asciiTheme="minorHAnsi" w:hAnsiTheme="minorHAnsi"/>
        </w:rPr>
        <w:t xml:space="preserve">The grand total </w:t>
      </w:r>
      <w:r w:rsidR="00A620A3">
        <w:rPr>
          <w:rFonts w:asciiTheme="minorHAnsi" w:hAnsiTheme="minorHAnsi"/>
        </w:rPr>
        <w:t xml:space="preserve">cost </w:t>
      </w:r>
      <w:r>
        <w:rPr>
          <w:rFonts w:asciiTheme="minorHAnsi" w:hAnsiTheme="minorHAnsi"/>
        </w:rPr>
        <w:t xml:space="preserve">for the </w:t>
      </w:r>
      <w:r w:rsidR="00697604">
        <w:rPr>
          <w:rFonts w:asciiTheme="minorHAnsi" w:hAnsiTheme="minorHAnsi"/>
        </w:rPr>
        <w:t xml:space="preserve">project, including </w:t>
      </w:r>
      <w:r>
        <w:rPr>
          <w:rFonts w:asciiTheme="minorHAnsi" w:hAnsiTheme="minorHAnsi"/>
        </w:rPr>
        <w:t>government and contractor cost</w:t>
      </w:r>
      <w:r w:rsidR="00697604">
        <w:rPr>
          <w:rFonts w:asciiTheme="minorHAnsi" w:hAnsiTheme="minorHAnsi"/>
        </w:rPr>
        <w:t>,</w:t>
      </w:r>
      <w:r>
        <w:rPr>
          <w:rFonts w:asciiTheme="minorHAnsi" w:hAnsiTheme="minorHAnsi"/>
        </w:rPr>
        <w:t xml:space="preserve"> </w:t>
      </w:r>
      <w:r w:rsidRPr="00D85707">
        <w:rPr>
          <w:rFonts w:asciiTheme="minorHAnsi" w:hAnsiTheme="minorHAnsi"/>
        </w:rPr>
        <w:t xml:space="preserve">is </w:t>
      </w:r>
      <w:r w:rsidRPr="000502E6">
        <w:rPr>
          <w:rFonts w:asciiTheme="minorHAnsi" w:hAnsiTheme="minorHAnsi"/>
        </w:rPr>
        <w:t>$</w:t>
      </w:r>
      <w:r w:rsidR="00850175">
        <w:rPr>
          <w:rFonts w:asciiTheme="minorHAnsi" w:hAnsiTheme="minorHAnsi"/>
        </w:rPr>
        <w:t>370,357</w:t>
      </w:r>
      <w:r w:rsidR="00502423">
        <w:rPr>
          <w:rFonts w:asciiTheme="minorHAnsi" w:hAnsiTheme="minorHAnsi"/>
        </w:rPr>
        <w:t>.</w:t>
      </w:r>
    </w:p>
    <w:p w:rsidR="001667F9" w:rsidRDefault="001667F9" w:rsidP="001478D3">
      <w:pPr>
        <w:spacing w:after="0" w:line="240" w:lineRule="auto"/>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A.15</w:t>
      </w:r>
      <w:r w:rsidRPr="007F1ACE">
        <w:rPr>
          <w:rFonts w:asciiTheme="minorHAnsi" w:hAnsiTheme="minorHAnsi"/>
          <w:b/>
        </w:rPr>
        <w:tab/>
        <w:t>Explanation for Program Changes or Adjustments</w:t>
      </w:r>
    </w:p>
    <w:p w:rsidR="007F1ACE" w:rsidRDefault="007F1ACE" w:rsidP="009505A2">
      <w:pPr>
        <w:spacing w:after="0"/>
        <w:jc w:val="both"/>
        <w:rPr>
          <w:rFonts w:asciiTheme="minorHAnsi" w:hAnsiTheme="minorHAnsi"/>
        </w:rPr>
      </w:pPr>
    </w:p>
    <w:p w:rsidR="00044A5F" w:rsidRPr="007F1ACE" w:rsidRDefault="002351F6" w:rsidP="001478D3">
      <w:pPr>
        <w:spacing w:after="0" w:line="240" w:lineRule="auto"/>
        <w:jc w:val="both"/>
        <w:rPr>
          <w:rFonts w:asciiTheme="minorHAnsi" w:hAnsiTheme="minorHAnsi"/>
        </w:rPr>
      </w:pPr>
      <w:r w:rsidRPr="007F1ACE">
        <w:rPr>
          <w:rFonts w:asciiTheme="minorHAnsi" w:hAnsiTheme="minorHAnsi"/>
        </w:rPr>
        <w:t>This is a new</w:t>
      </w:r>
      <w:r w:rsidR="00045A81">
        <w:rPr>
          <w:rFonts w:asciiTheme="minorHAnsi" w:hAnsiTheme="minorHAnsi"/>
        </w:rPr>
        <w:t xml:space="preserve"> </w:t>
      </w:r>
      <w:r w:rsidR="005D2A18">
        <w:rPr>
          <w:rFonts w:asciiTheme="minorHAnsi" w:hAnsiTheme="minorHAnsi"/>
        </w:rPr>
        <w:t>data collection.</w:t>
      </w:r>
    </w:p>
    <w:p w:rsidR="00A37892" w:rsidRDefault="00A37892" w:rsidP="001478D3">
      <w:pPr>
        <w:spacing w:after="0" w:line="240" w:lineRule="auto"/>
        <w:jc w:val="both"/>
        <w:rPr>
          <w:rFonts w:asciiTheme="minorHAnsi" w:hAnsiTheme="minorHAnsi"/>
          <w:b/>
        </w:rPr>
      </w:pPr>
    </w:p>
    <w:p w:rsidR="00044A5F" w:rsidRPr="007F1ACE" w:rsidRDefault="00044A5F" w:rsidP="001478D3">
      <w:pPr>
        <w:spacing w:after="0" w:line="240" w:lineRule="auto"/>
        <w:jc w:val="both"/>
        <w:rPr>
          <w:rFonts w:asciiTheme="minorHAnsi" w:hAnsiTheme="minorHAnsi"/>
          <w:b/>
        </w:rPr>
      </w:pPr>
      <w:r w:rsidRPr="007F1ACE">
        <w:rPr>
          <w:rFonts w:asciiTheme="minorHAnsi" w:hAnsiTheme="minorHAnsi"/>
          <w:b/>
        </w:rPr>
        <w:t>A.16</w:t>
      </w:r>
      <w:r w:rsidRPr="007F1ACE">
        <w:rPr>
          <w:rFonts w:asciiTheme="minorHAnsi" w:hAnsiTheme="minorHAnsi"/>
          <w:b/>
        </w:rPr>
        <w:tab/>
        <w:t>Plans for Tabulation and Publication and Project Time Schedule</w:t>
      </w:r>
    </w:p>
    <w:p w:rsidR="00044A5F" w:rsidRDefault="00044A5F" w:rsidP="001478D3">
      <w:pPr>
        <w:spacing w:after="0" w:line="240" w:lineRule="auto"/>
        <w:jc w:val="both"/>
        <w:rPr>
          <w:rFonts w:asciiTheme="minorHAnsi" w:hAnsiTheme="minorHAnsi"/>
        </w:rPr>
      </w:pPr>
    </w:p>
    <w:p w:rsidR="00AE296E" w:rsidRDefault="005D2A18" w:rsidP="00B63EFD">
      <w:pPr>
        <w:spacing w:after="0" w:line="240" w:lineRule="auto"/>
        <w:ind w:firstLine="720"/>
        <w:jc w:val="both"/>
      </w:pPr>
      <w:r>
        <w:rPr>
          <w:rFonts w:asciiTheme="minorHAnsi" w:hAnsiTheme="minorHAnsi"/>
        </w:rPr>
        <w:t xml:space="preserve">The information will be used to inform health communication </w:t>
      </w:r>
      <w:r w:rsidR="00585A32">
        <w:rPr>
          <w:rFonts w:asciiTheme="minorHAnsi" w:hAnsiTheme="minorHAnsi"/>
        </w:rPr>
        <w:t xml:space="preserve">data </w:t>
      </w:r>
      <w:r>
        <w:rPr>
          <w:rFonts w:asciiTheme="minorHAnsi" w:hAnsiTheme="minorHAnsi"/>
        </w:rPr>
        <w:t xml:space="preserve">across OSH.  </w:t>
      </w:r>
      <w:r w:rsidR="00F40E0B" w:rsidRPr="00C10C2D">
        <w:rPr>
          <w:rFonts w:asciiTheme="minorHAnsi" w:hAnsiTheme="minorHAnsi"/>
        </w:rPr>
        <w:t xml:space="preserve">Information collection </w:t>
      </w:r>
      <w:r w:rsidR="00585A32">
        <w:rPr>
          <w:rFonts w:asciiTheme="minorHAnsi" w:hAnsiTheme="minorHAnsi"/>
        </w:rPr>
        <w:t xml:space="preserve">and analysis </w:t>
      </w:r>
      <w:r w:rsidR="00F40E0B" w:rsidRPr="00C10C2D">
        <w:rPr>
          <w:rFonts w:asciiTheme="minorHAnsi" w:hAnsiTheme="minorHAnsi"/>
        </w:rPr>
        <w:t xml:space="preserve">will occur </w:t>
      </w:r>
      <w:r w:rsidR="00FB6594">
        <w:rPr>
          <w:rFonts w:asciiTheme="minorHAnsi" w:hAnsiTheme="minorHAnsi"/>
        </w:rPr>
        <w:t>from</w:t>
      </w:r>
      <w:r w:rsidR="00FB6594" w:rsidRPr="00C10C2D">
        <w:rPr>
          <w:rFonts w:asciiTheme="minorHAnsi" w:hAnsiTheme="minorHAnsi"/>
        </w:rPr>
        <w:t xml:space="preserve"> </w:t>
      </w:r>
      <w:r w:rsidR="006506B0">
        <w:rPr>
          <w:rFonts w:asciiTheme="minorHAnsi" w:hAnsiTheme="minorHAnsi"/>
        </w:rPr>
        <w:t xml:space="preserve">October </w:t>
      </w:r>
      <w:r w:rsidR="00460B72" w:rsidRPr="00C10C2D">
        <w:rPr>
          <w:rFonts w:asciiTheme="minorHAnsi" w:hAnsiTheme="minorHAnsi"/>
        </w:rPr>
        <w:t>201</w:t>
      </w:r>
      <w:r w:rsidR="006506B0">
        <w:rPr>
          <w:rFonts w:asciiTheme="minorHAnsi" w:hAnsiTheme="minorHAnsi"/>
        </w:rPr>
        <w:t>3</w:t>
      </w:r>
      <w:r w:rsidR="00460B72">
        <w:rPr>
          <w:rFonts w:asciiTheme="minorHAnsi" w:hAnsiTheme="minorHAnsi"/>
        </w:rPr>
        <w:t xml:space="preserve"> – </w:t>
      </w:r>
      <w:r w:rsidR="006506B0">
        <w:rPr>
          <w:rFonts w:asciiTheme="minorHAnsi" w:hAnsiTheme="minorHAnsi"/>
        </w:rPr>
        <w:t>February</w:t>
      </w:r>
      <w:r w:rsidR="00445E7E">
        <w:rPr>
          <w:rFonts w:asciiTheme="minorHAnsi" w:hAnsiTheme="minorHAnsi"/>
        </w:rPr>
        <w:t xml:space="preserve"> </w:t>
      </w:r>
      <w:r w:rsidR="00460B72">
        <w:rPr>
          <w:rFonts w:asciiTheme="minorHAnsi" w:hAnsiTheme="minorHAnsi"/>
        </w:rPr>
        <w:t>201</w:t>
      </w:r>
      <w:r w:rsidR="006506B0">
        <w:rPr>
          <w:rFonts w:asciiTheme="minorHAnsi" w:hAnsiTheme="minorHAnsi"/>
        </w:rPr>
        <w:t>4</w:t>
      </w:r>
      <w:r w:rsidR="00585A32">
        <w:rPr>
          <w:rFonts w:asciiTheme="minorHAnsi" w:hAnsiTheme="minorHAnsi"/>
        </w:rPr>
        <w:t>.</w:t>
      </w:r>
      <w:r>
        <w:rPr>
          <w:rFonts w:asciiTheme="minorHAnsi" w:hAnsiTheme="minorHAnsi"/>
        </w:rPr>
        <w:t xml:space="preserve"> </w:t>
      </w:r>
      <w:r w:rsidR="005A1917">
        <w:rPr>
          <w:rFonts w:asciiTheme="minorHAnsi" w:hAnsiTheme="minorHAnsi"/>
        </w:rPr>
        <w:t xml:space="preserve"> </w:t>
      </w:r>
      <w:r w:rsidR="00D21071">
        <w:rPr>
          <w:rFonts w:asciiTheme="minorHAnsi" w:hAnsiTheme="minorHAnsi"/>
        </w:rPr>
        <w:t>M</w:t>
      </w:r>
      <w:r w:rsidR="00E04B94">
        <w:rPr>
          <w:rFonts w:asciiTheme="minorHAnsi" w:hAnsiTheme="minorHAnsi"/>
        </w:rPr>
        <w:t xml:space="preserve">ultiple steps are required between </w:t>
      </w:r>
      <w:r w:rsidR="00E04B94" w:rsidRPr="001D2242">
        <w:rPr>
          <w:rFonts w:asciiTheme="minorHAnsi" w:hAnsiTheme="minorHAnsi"/>
        </w:rPr>
        <w:t xml:space="preserve">approval of this package and </w:t>
      </w:r>
      <w:r w:rsidR="00EA6069" w:rsidRPr="001D2242">
        <w:rPr>
          <w:rFonts w:asciiTheme="minorHAnsi" w:hAnsiTheme="minorHAnsi"/>
        </w:rPr>
        <w:t xml:space="preserve">the </w:t>
      </w:r>
      <w:r w:rsidR="00E04B94" w:rsidRPr="001D2242">
        <w:rPr>
          <w:rFonts w:asciiTheme="minorHAnsi" w:hAnsiTheme="minorHAnsi"/>
        </w:rPr>
        <w:t xml:space="preserve">launch in order to meet that target date.  </w:t>
      </w:r>
      <w:r w:rsidR="008927CD" w:rsidRPr="001D2242">
        <w:rPr>
          <w:rFonts w:asciiTheme="minorHAnsi" w:hAnsiTheme="minorHAnsi"/>
        </w:rPr>
        <w:t>W</w:t>
      </w:r>
      <w:r w:rsidR="00E04B94" w:rsidRPr="001D2242">
        <w:rPr>
          <w:rFonts w:asciiTheme="minorHAnsi" w:hAnsiTheme="minorHAnsi"/>
        </w:rPr>
        <w:t xml:space="preserve">e have provided timeline </w:t>
      </w:r>
      <w:r w:rsidR="00FB6594" w:rsidRPr="001D2242">
        <w:rPr>
          <w:rFonts w:asciiTheme="minorHAnsi" w:hAnsiTheme="minorHAnsi"/>
        </w:rPr>
        <w:t>scenarios</w:t>
      </w:r>
      <w:r w:rsidR="008927CD" w:rsidRPr="001D2242">
        <w:rPr>
          <w:rFonts w:asciiTheme="minorHAnsi" w:hAnsiTheme="minorHAnsi"/>
        </w:rPr>
        <w:t xml:space="preserve"> for each of the data collection activities</w:t>
      </w:r>
      <w:r w:rsidR="00D85707" w:rsidRPr="001D2242">
        <w:rPr>
          <w:rFonts w:asciiTheme="minorHAnsi" w:hAnsiTheme="minorHAnsi"/>
        </w:rPr>
        <w:t>.</w:t>
      </w:r>
      <w:r w:rsidR="00FB6594" w:rsidRPr="001D2242">
        <w:rPr>
          <w:rFonts w:asciiTheme="minorHAnsi" w:hAnsiTheme="minorHAnsi"/>
        </w:rPr>
        <w:t xml:space="preserve"> </w:t>
      </w:r>
      <w:r w:rsidR="001B3C7E" w:rsidRPr="001D2242">
        <w:rPr>
          <w:rFonts w:asciiTheme="minorHAnsi" w:hAnsiTheme="minorHAnsi"/>
        </w:rPr>
        <w:t>Our target approval is July 2013, but a</w:t>
      </w:r>
      <w:r w:rsidR="00EA6069" w:rsidRPr="001D2242">
        <w:rPr>
          <w:rFonts w:asciiTheme="minorHAnsi" w:hAnsiTheme="minorHAnsi"/>
        </w:rPr>
        <w:t>ssuming an OMB approval</w:t>
      </w:r>
      <w:r w:rsidR="00D771DB" w:rsidRPr="001D2242">
        <w:rPr>
          <w:rFonts w:asciiTheme="minorHAnsi" w:hAnsiTheme="minorHAnsi"/>
        </w:rPr>
        <w:t xml:space="preserve"> date</w:t>
      </w:r>
      <w:r w:rsidR="00EA6069" w:rsidRPr="001D2242">
        <w:rPr>
          <w:rFonts w:asciiTheme="minorHAnsi" w:hAnsiTheme="minorHAnsi"/>
        </w:rPr>
        <w:t xml:space="preserve"> </w:t>
      </w:r>
      <w:r w:rsidR="00A37892" w:rsidRPr="001D2242">
        <w:rPr>
          <w:rFonts w:asciiTheme="minorHAnsi" w:hAnsiTheme="minorHAnsi"/>
        </w:rPr>
        <w:t>no later than</w:t>
      </w:r>
      <w:r w:rsidR="00EA6069" w:rsidRPr="001D2242">
        <w:rPr>
          <w:rFonts w:asciiTheme="minorHAnsi" w:hAnsiTheme="minorHAnsi"/>
        </w:rPr>
        <w:t xml:space="preserve"> </w:t>
      </w:r>
      <w:r w:rsidR="006506B0" w:rsidRPr="001D2242">
        <w:rPr>
          <w:rFonts w:asciiTheme="minorHAnsi" w:hAnsiTheme="minorHAnsi"/>
        </w:rPr>
        <w:t>September 1</w:t>
      </w:r>
      <w:r w:rsidR="00FB6594" w:rsidRPr="001D2242">
        <w:rPr>
          <w:rFonts w:asciiTheme="minorHAnsi" w:hAnsiTheme="minorHAnsi"/>
        </w:rPr>
        <w:t>, 201</w:t>
      </w:r>
      <w:r w:rsidR="006506B0" w:rsidRPr="001D2242">
        <w:rPr>
          <w:rFonts w:asciiTheme="minorHAnsi" w:hAnsiTheme="minorHAnsi"/>
        </w:rPr>
        <w:t>3</w:t>
      </w:r>
      <w:r w:rsidR="00D42A48">
        <w:rPr>
          <w:rFonts w:asciiTheme="minorHAnsi" w:hAnsiTheme="minorHAnsi"/>
        </w:rPr>
        <w:t>,</w:t>
      </w:r>
      <w:r w:rsidR="001B3C7E" w:rsidRPr="001D2242">
        <w:rPr>
          <w:rFonts w:asciiTheme="minorHAnsi" w:hAnsiTheme="minorHAnsi"/>
        </w:rPr>
        <w:t xml:space="preserve"> </w:t>
      </w:r>
      <w:r w:rsidR="00390736" w:rsidRPr="001D2242">
        <w:rPr>
          <w:rFonts w:asciiTheme="minorHAnsi" w:hAnsiTheme="minorHAnsi"/>
        </w:rPr>
        <w:t>we</w:t>
      </w:r>
      <w:r w:rsidR="00EA6069" w:rsidRPr="001D2242">
        <w:rPr>
          <w:rFonts w:asciiTheme="minorHAnsi" w:hAnsiTheme="minorHAnsi"/>
        </w:rPr>
        <w:t xml:space="preserve"> plan to begin</w:t>
      </w:r>
      <w:r w:rsidR="00FB6594" w:rsidRPr="001D2242">
        <w:rPr>
          <w:rFonts w:asciiTheme="minorHAnsi" w:hAnsiTheme="minorHAnsi"/>
        </w:rPr>
        <w:t xml:space="preserve"> the</w:t>
      </w:r>
      <w:r w:rsidR="00EA6069" w:rsidRPr="001D2242">
        <w:rPr>
          <w:rFonts w:asciiTheme="minorHAnsi" w:hAnsiTheme="minorHAnsi"/>
        </w:rPr>
        <w:t xml:space="preserve"> </w:t>
      </w:r>
      <w:r w:rsidR="00F964EC" w:rsidRPr="001D2242">
        <w:rPr>
          <w:rFonts w:asciiTheme="minorHAnsi" w:hAnsiTheme="minorHAnsi"/>
        </w:rPr>
        <w:t xml:space="preserve">information collection </w:t>
      </w:r>
      <w:r w:rsidR="00390736" w:rsidRPr="001D2242">
        <w:rPr>
          <w:rFonts w:asciiTheme="minorHAnsi" w:hAnsiTheme="minorHAnsi"/>
        </w:rPr>
        <w:t xml:space="preserve">activity </w:t>
      </w:r>
      <w:r w:rsidR="001B3C7E" w:rsidRPr="001D2242">
        <w:rPr>
          <w:rFonts w:asciiTheme="minorHAnsi" w:hAnsiTheme="minorHAnsi"/>
        </w:rPr>
        <w:t xml:space="preserve">by </w:t>
      </w:r>
      <w:r w:rsidR="00C7470E" w:rsidRPr="001D2242">
        <w:rPr>
          <w:rFonts w:asciiTheme="minorHAnsi" w:hAnsiTheme="minorHAnsi"/>
        </w:rPr>
        <w:t>November</w:t>
      </w:r>
      <w:r w:rsidR="00C03858" w:rsidRPr="001D2242">
        <w:rPr>
          <w:rFonts w:asciiTheme="minorHAnsi" w:hAnsiTheme="minorHAnsi"/>
        </w:rPr>
        <w:t xml:space="preserve"> 1, 2013</w:t>
      </w:r>
      <w:r w:rsidR="00FB6594" w:rsidRPr="001D2242">
        <w:rPr>
          <w:rFonts w:asciiTheme="minorHAnsi" w:hAnsiTheme="minorHAnsi"/>
        </w:rPr>
        <w:t>.</w:t>
      </w:r>
      <w:r w:rsidR="00EA6069">
        <w:rPr>
          <w:rFonts w:asciiTheme="minorHAnsi" w:hAnsiTheme="minorHAnsi"/>
        </w:rPr>
        <w:t xml:space="preserve"> </w:t>
      </w:r>
    </w:p>
    <w:p w:rsidR="005E5BAF" w:rsidRDefault="005E5BAF" w:rsidP="009505A2">
      <w:pPr>
        <w:spacing w:after="0"/>
        <w:jc w:val="both"/>
        <w:rPr>
          <w:rFonts w:asciiTheme="minorHAnsi" w:hAnsiTheme="minorHAnsi"/>
          <w:b/>
        </w:rPr>
      </w:pPr>
      <w:r>
        <w:rPr>
          <w:rFonts w:asciiTheme="minorHAnsi" w:hAnsiTheme="minorHAnsi"/>
          <w:b/>
        </w:rPr>
        <w:br w:type="page"/>
      </w:r>
    </w:p>
    <w:p w:rsidR="00E04B94" w:rsidRDefault="00E04B94" w:rsidP="009505A2">
      <w:pPr>
        <w:spacing w:after="0"/>
        <w:jc w:val="both"/>
        <w:rPr>
          <w:rFonts w:asciiTheme="minorHAnsi" w:hAnsiTheme="minorHAnsi"/>
          <w:b/>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5040"/>
      </w:tblGrid>
      <w:tr w:rsidR="00C84FB7" w:rsidRPr="00E722E1" w:rsidTr="00E16909">
        <w:trPr>
          <w:trHeight w:val="288"/>
        </w:trPr>
        <w:tc>
          <w:tcPr>
            <w:tcW w:w="4428" w:type="dxa"/>
          </w:tcPr>
          <w:p w:rsidR="00C84FB7" w:rsidRPr="00461111" w:rsidRDefault="00C84FB7" w:rsidP="00604186">
            <w:pPr>
              <w:pStyle w:val="NormalWeb"/>
              <w:spacing w:before="0" w:beforeAutospacing="0" w:after="0" w:afterAutospacing="0"/>
              <w:jc w:val="both"/>
              <w:rPr>
                <w:rFonts w:ascii="Calibri" w:hAnsi="Calibri"/>
                <w:b/>
              </w:rPr>
            </w:pPr>
            <w:r w:rsidRPr="00461111">
              <w:rPr>
                <w:rFonts w:ascii="Calibri" w:hAnsi="Calibri"/>
                <w:b/>
              </w:rPr>
              <w:t>Activity</w:t>
            </w:r>
          </w:p>
          <w:p w:rsidR="00C84FB7" w:rsidRPr="00461111" w:rsidRDefault="00C84FB7" w:rsidP="00E16909">
            <w:pPr>
              <w:pStyle w:val="NormalWeb"/>
              <w:spacing w:before="0" w:beforeAutospacing="0" w:after="0" w:afterAutospacing="0"/>
              <w:jc w:val="both"/>
              <w:rPr>
                <w:rFonts w:ascii="Calibri" w:hAnsi="Calibri"/>
                <w:b/>
              </w:rPr>
            </w:pPr>
          </w:p>
        </w:tc>
        <w:tc>
          <w:tcPr>
            <w:tcW w:w="5040" w:type="dxa"/>
          </w:tcPr>
          <w:p w:rsidR="00C84FB7" w:rsidRDefault="00D3328F" w:rsidP="00E16909">
            <w:pPr>
              <w:pStyle w:val="NormalWeb"/>
              <w:spacing w:before="0" w:beforeAutospacing="0" w:after="0" w:afterAutospacing="0"/>
              <w:jc w:val="both"/>
              <w:rPr>
                <w:rFonts w:ascii="Calibri" w:hAnsi="Calibri"/>
                <w:b/>
              </w:rPr>
            </w:pPr>
            <w:r>
              <w:rPr>
                <w:rFonts w:ascii="Calibri" w:hAnsi="Calibri"/>
                <w:b/>
              </w:rPr>
              <w:t>Date</w:t>
            </w:r>
          </w:p>
        </w:tc>
      </w:tr>
      <w:tr w:rsidR="00C84FB7" w:rsidRPr="00D65C23" w:rsidTr="00E16909">
        <w:tc>
          <w:tcPr>
            <w:tcW w:w="4428" w:type="dxa"/>
            <w:shd w:val="clear" w:color="auto" w:fill="auto"/>
          </w:tcPr>
          <w:p w:rsidR="00C84FB7" w:rsidRPr="00FB05E1" w:rsidRDefault="00C84FB7" w:rsidP="00D85707">
            <w:pPr>
              <w:spacing w:after="0" w:line="240" w:lineRule="auto"/>
              <w:jc w:val="both"/>
            </w:pPr>
            <w:r>
              <w:rPr>
                <w:color w:val="000000"/>
              </w:rPr>
              <w:t>Information Collection</w:t>
            </w:r>
            <w:r w:rsidR="00D85707">
              <w:rPr>
                <w:color w:val="000000"/>
              </w:rPr>
              <w:t xml:space="preserve"> Form</w:t>
            </w:r>
            <w:r>
              <w:rPr>
                <w:color w:val="000000"/>
              </w:rPr>
              <w:t xml:space="preserve"> S</w:t>
            </w:r>
            <w:r w:rsidRPr="00FB05E1">
              <w:rPr>
                <w:color w:val="000000"/>
              </w:rPr>
              <w:t>ubmitted to OMB for approval</w:t>
            </w:r>
            <w:r w:rsidR="006A2F10">
              <w:rPr>
                <w:color w:val="000000"/>
              </w:rPr>
              <w:t xml:space="preserve"> (</w:t>
            </w:r>
            <w:proofErr w:type="spellStart"/>
            <w:r w:rsidR="006A2F10">
              <w:rPr>
                <w:color w:val="000000"/>
              </w:rPr>
              <w:t>ap</w:t>
            </w:r>
            <w:r w:rsidR="005527EE">
              <w:rPr>
                <w:color w:val="000000"/>
              </w:rPr>
              <w:t>p</w:t>
            </w:r>
            <w:r w:rsidR="006A2F10">
              <w:rPr>
                <w:color w:val="000000"/>
              </w:rPr>
              <w:t>x</w:t>
            </w:r>
            <w:proofErr w:type="spellEnd"/>
            <w:r w:rsidR="006A2F10">
              <w:rPr>
                <w:color w:val="000000"/>
              </w:rPr>
              <w:t>.)</w:t>
            </w:r>
          </w:p>
        </w:tc>
        <w:tc>
          <w:tcPr>
            <w:tcW w:w="5040" w:type="dxa"/>
          </w:tcPr>
          <w:p w:rsidR="00325BC4" w:rsidRDefault="00911E5B" w:rsidP="00224756">
            <w:pPr>
              <w:pStyle w:val="NoSpacing1"/>
              <w:rPr>
                <w:color w:val="000000"/>
                <w:sz w:val="24"/>
                <w:szCs w:val="24"/>
              </w:rPr>
            </w:pPr>
            <w:r>
              <w:rPr>
                <w:color w:val="000000"/>
              </w:rPr>
              <w:t>6/</w:t>
            </w:r>
            <w:r w:rsidR="00D42A48">
              <w:rPr>
                <w:color w:val="000000"/>
              </w:rPr>
              <w:t>30</w:t>
            </w:r>
            <w:r w:rsidR="00D3328F">
              <w:rPr>
                <w:color w:val="000000"/>
              </w:rPr>
              <w:t>/2013</w:t>
            </w:r>
          </w:p>
        </w:tc>
      </w:tr>
      <w:tr w:rsidR="00D3328F" w:rsidRPr="00D65C23" w:rsidTr="00D3328F">
        <w:tc>
          <w:tcPr>
            <w:tcW w:w="4428" w:type="dxa"/>
            <w:shd w:val="clear" w:color="auto" w:fill="auto"/>
          </w:tcPr>
          <w:p w:rsidR="00D3328F" w:rsidRDefault="00D3328F" w:rsidP="00D3328F">
            <w:pPr>
              <w:pStyle w:val="NoSpacing1"/>
              <w:jc w:val="both"/>
              <w:rPr>
                <w:color w:val="000000"/>
              </w:rPr>
            </w:pPr>
            <w:r>
              <w:rPr>
                <w:color w:val="000000"/>
              </w:rPr>
              <w:t xml:space="preserve">CDC receives </w:t>
            </w:r>
            <w:r w:rsidRPr="00FB05E1">
              <w:rPr>
                <w:color w:val="000000"/>
              </w:rPr>
              <w:t xml:space="preserve">OMB approval on </w:t>
            </w:r>
            <w:r>
              <w:rPr>
                <w:color w:val="000000"/>
              </w:rPr>
              <w:t>Information Collection # 1</w:t>
            </w:r>
          </w:p>
        </w:tc>
        <w:tc>
          <w:tcPr>
            <w:tcW w:w="5040" w:type="dxa"/>
          </w:tcPr>
          <w:p w:rsidR="00D3328F" w:rsidRDefault="00D3328F" w:rsidP="00196B3B">
            <w:pPr>
              <w:spacing w:after="0" w:line="240" w:lineRule="auto"/>
              <w:jc w:val="center"/>
            </w:pPr>
            <w:r>
              <w:rPr>
                <w:color w:val="000000"/>
              </w:rPr>
              <w:t>9/1/2013</w:t>
            </w:r>
          </w:p>
        </w:tc>
      </w:tr>
      <w:tr w:rsidR="00D3328F" w:rsidRPr="00D65C23" w:rsidTr="00D3328F">
        <w:tc>
          <w:tcPr>
            <w:tcW w:w="4428" w:type="dxa"/>
            <w:shd w:val="clear" w:color="auto" w:fill="auto"/>
          </w:tcPr>
          <w:p w:rsidR="00D3328F" w:rsidRDefault="00D3328F" w:rsidP="00196B3B">
            <w:pPr>
              <w:pStyle w:val="NoSpacing1"/>
              <w:jc w:val="both"/>
              <w:rPr>
                <w:color w:val="000000"/>
              </w:rPr>
            </w:pPr>
            <w:r>
              <w:rPr>
                <w:color w:val="000000"/>
              </w:rPr>
              <w:t xml:space="preserve">Recruitment </w:t>
            </w:r>
          </w:p>
        </w:tc>
        <w:tc>
          <w:tcPr>
            <w:tcW w:w="5040" w:type="dxa"/>
          </w:tcPr>
          <w:p w:rsidR="00D3328F" w:rsidRDefault="00D3328F" w:rsidP="00C7470E">
            <w:pPr>
              <w:spacing w:after="0" w:line="240" w:lineRule="auto"/>
              <w:jc w:val="center"/>
              <w:rPr>
                <w:color w:val="000000"/>
              </w:rPr>
            </w:pPr>
            <w:r>
              <w:rPr>
                <w:color w:val="000000"/>
              </w:rPr>
              <w:t>9/2-</w:t>
            </w:r>
            <w:r w:rsidR="00C7470E">
              <w:rPr>
                <w:color w:val="000000"/>
              </w:rPr>
              <w:t>10</w:t>
            </w:r>
            <w:r>
              <w:rPr>
                <w:color w:val="000000"/>
              </w:rPr>
              <w:t>/3</w:t>
            </w:r>
            <w:r w:rsidR="00C7470E">
              <w:rPr>
                <w:color w:val="000000"/>
              </w:rPr>
              <w:t>1/13</w:t>
            </w:r>
          </w:p>
        </w:tc>
      </w:tr>
      <w:tr w:rsidR="00D3328F" w:rsidRPr="00D65C23" w:rsidTr="00D3328F">
        <w:tc>
          <w:tcPr>
            <w:tcW w:w="4428" w:type="dxa"/>
            <w:shd w:val="clear" w:color="auto" w:fill="auto"/>
          </w:tcPr>
          <w:p w:rsidR="00D3328F" w:rsidRPr="009505A2" w:rsidRDefault="00D3328F" w:rsidP="00D3328F">
            <w:pPr>
              <w:pStyle w:val="NoSpacing1"/>
              <w:jc w:val="both"/>
              <w:rPr>
                <w:color w:val="000000"/>
                <w:highlight w:val="yellow"/>
              </w:rPr>
            </w:pPr>
            <w:r>
              <w:rPr>
                <w:color w:val="000000"/>
              </w:rPr>
              <w:t>Information Collection Activity Focus Groups</w:t>
            </w:r>
            <w:r w:rsidR="00FC3D45">
              <w:rPr>
                <w:color w:val="000000"/>
              </w:rPr>
              <w:t xml:space="preserve"> and IDIs</w:t>
            </w:r>
          </w:p>
        </w:tc>
        <w:tc>
          <w:tcPr>
            <w:tcW w:w="5040" w:type="dxa"/>
          </w:tcPr>
          <w:p w:rsidR="00D3328F" w:rsidRPr="009505A2" w:rsidRDefault="00C7470E" w:rsidP="00C7470E">
            <w:pPr>
              <w:spacing w:after="0" w:line="240" w:lineRule="auto"/>
              <w:jc w:val="center"/>
            </w:pPr>
            <w:r>
              <w:rPr>
                <w:color w:val="000000"/>
              </w:rPr>
              <w:t>11</w:t>
            </w:r>
            <w:r w:rsidR="00D3328F">
              <w:rPr>
                <w:color w:val="000000"/>
              </w:rPr>
              <w:t>/1-</w:t>
            </w:r>
            <w:r>
              <w:rPr>
                <w:color w:val="000000"/>
              </w:rPr>
              <w:t>2/1/14</w:t>
            </w:r>
          </w:p>
        </w:tc>
      </w:tr>
      <w:tr w:rsidR="00C7470E" w:rsidRPr="00D65C23" w:rsidTr="001B3C7E">
        <w:trPr>
          <w:trHeight w:val="341"/>
        </w:trPr>
        <w:tc>
          <w:tcPr>
            <w:tcW w:w="4428" w:type="dxa"/>
            <w:shd w:val="clear" w:color="auto" w:fill="auto"/>
          </w:tcPr>
          <w:p w:rsidR="00C7470E" w:rsidRPr="00FB05E1" w:rsidRDefault="00C7470E" w:rsidP="00196B3B">
            <w:pPr>
              <w:pStyle w:val="NoSpacing1"/>
              <w:jc w:val="both"/>
              <w:rPr>
                <w:color w:val="000000"/>
              </w:rPr>
            </w:pPr>
            <w:r>
              <w:rPr>
                <w:color w:val="000000"/>
              </w:rPr>
              <w:t xml:space="preserve">Interim results to OSH </w:t>
            </w:r>
          </w:p>
        </w:tc>
        <w:tc>
          <w:tcPr>
            <w:tcW w:w="5040" w:type="dxa"/>
          </w:tcPr>
          <w:p w:rsidR="00C7470E" w:rsidRDefault="00C7470E" w:rsidP="001B3C7E">
            <w:pPr>
              <w:spacing w:after="0" w:line="240" w:lineRule="auto"/>
              <w:jc w:val="center"/>
            </w:pPr>
            <w:r>
              <w:t>2/28/14</w:t>
            </w:r>
          </w:p>
        </w:tc>
      </w:tr>
      <w:tr w:rsidR="00C7470E" w:rsidRPr="00D65C23" w:rsidTr="001B3C7E">
        <w:trPr>
          <w:trHeight w:val="350"/>
        </w:trPr>
        <w:tc>
          <w:tcPr>
            <w:tcW w:w="4428" w:type="dxa"/>
            <w:shd w:val="clear" w:color="auto" w:fill="auto"/>
          </w:tcPr>
          <w:p w:rsidR="00C7470E" w:rsidRPr="00FB05E1" w:rsidRDefault="00C7470E" w:rsidP="00196B3B">
            <w:pPr>
              <w:pStyle w:val="NoSpacing1"/>
              <w:jc w:val="both"/>
              <w:rPr>
                <w:color w:val="000000"/>
              </w:rPr>
            </w:pPr>
            <w:r>
              <w:rPr>
                <w:color w:val="000000"/>
              </w:rPr>
              <w:t>Final Reporting</w:t>
            </w:r>
            <w:r w:rsidR="00216CD1">
              <w:rPr>
                <w:color w:val="000000"/>
              </w:rPr>
              <w:t xml:space="preserve"> to OSH</w:t>
            </w:r>
          </w:p>
        </w:tc>
        <w:tc>
          <w:tcPr>
            <w:tcW w:w="5040" w:type="dxa"/>
          </w:tcPr>
          <w:p w:rsidR="00C7470E" w:rsidRPr="00070AEA" w:rsidDel="00EE5055" w:rsidRDefault="00C7470E" w:rsidP="00196B3B">
            <w:pPr>
              <w:spacing w:after="0" w:line="240" w:lineRule="auto"/>
              <w:jc w:val="center"/>
            </w:pPr>
            <w:r>
              <w:t>4/31/14</w:t>
            </w:r>
          </w:p>
        </w:tc>
      </w:tr>
    </w:tbl>
    <w:p w:rsidR="00C7470E" w:rsidRDefault="00C7470E" w:rsidP="001478D3">
      <w:pPr>
        <w:spacing w:after="0" w:line="240" w:lineRule="auto"/>
        <w:jc w:val="both"/>
        <w:rPr>
          <w:rFonts w:asciiTheme="minorHAnsi" w:hAnsiTheme="minorHAnsi"/>
        </w:rPr>
      </w:pPr>
    </w:p>
    <w:p w:rsidR="00C158E9" w:rsidRPr="00D85707" w:rsidRDefault="00D85707" w:rsidP="00B63EFD">
      <w:pPr>
        <w:pStyle w:val="bodyTextpsg"/>
        <w:rPr>
          <w:rFonts w:asciiTheme="minorHAnsi" w:hAnsiTheme="minorHAnsi" w:cstheme="minorHAnsi"/>
        </w:rPr>
      </w:pPr>
      <w:r>
        <w:rPr>
          <w:rFonts w:asciiTheme="minorHAnsi" w:hAnsiTheme="minorHAnsi" w:cstheme="minorHAnsi"/>
        </w:rPr>
        <w:t>Data</w:t>
      </w:r>
      <w:r w:rsidR="00C158E9" w:rsidRPr="00D85707">
        <w:rPr>
          <w:rFonts w:asciiTheme="minorHAnsi" w:hAnsiTheme="minorHAnsi" w:cstheme="minorHAnsi"/>
        </w:rPr>
        <w:t xml:space="preserve"> analysis will include systematic analys</w:t>
      </w:r>
      <w:r>
        <w:rPr>
          <w:rFonts w:asciiTheme="minorHAnsi" w:hAnsiTheme="minorHAnsi" w:cstheme="minorHAnsi"/>
        </w:rPr>
        <w:t>e</w:t>
      </w:r>
      <w:r w:rsidR="00C158E9" w:rsidRPr="00D85707">
        <w:rPr>
          <w:rFonts w:asciiTheme="minorHAnsi" w:hAnsiTheme="minorHAnsi" w:cstheme="minorHAnsi"/>
        </w:rPr>
        <w:t xml:space="preserve">s of the qualitative data to identify common themes, new or emergent themes, and any exceptions to these themes and to identify similarities and </w:t>
      </w:r>
      <w:r w:rsidR="00C158E9" w:rsidRPr="00D85707">
        <w:rPr>
          <w:rFonts w:asciiTheme="minorHAnsi" w:hAnsiTheme="minorHAnsi" w:cstheme="minorHAnsi"/>
        </w:rPr>
        <w:lastRenderedPageBreak/>
        <w:t xml:space="preserve">differences among the various subpopulations included in the study. The team will use qualitative analysis software, QSR </w:t>
      </w:r>
      <w:proofErr w:type="spellStart"/>
      <w:r w:rsidR="00C158E9" w:rsidRPr="00D85707">
        <w:rPr>
          <w:rFonts w:asciiTheme="minorHAnsi" w:hAnsiTheme="minorHAnsi" w:cstheme="minorHAnsi"/>
        </w:rPr>
        <w:t>NVivo</w:t>
      </w:r>
      <w:proofErr w:type="spellEnd"/>
      <w:r w:rsidR="00C158E9" w:rsidRPr="00D85707">
        <w:rPr>
          <w:rFonts w:asciiTheme="minorHAnsi" w:hAnsiTheme="minorHAnsi" w:cstheme="minorHAnsi"/>
        </w:rPr>
        <w:t xml:space="preserve"> to code and segment data according to a predetermined set of codes. </w:t>
      </w:r>
    </w:p>
    <w:p w:rsidR="00044A5F" w:rsidRPr="007F1ACE" w:rsidRDefault="00044A5F" w:rsidP="009505A2">
      <w:pPr>
        <w:spacing w:after="0"/>
        <w:jc w:val="both"/>
        <w:rPr>
          <w:rFonts w:asciiTheme="minorHAnsi" w:hAnsiTheme="minorHAnsi"/>
          <w:b/>
        </w:rPr>
      </w:pPr>
      <w:r w:rsidRPr="007F1ACE">
        <w:rPr>
          <w:rFonts w:asciiTheme="minorHAnsi" w:hAnsiTheme="minorHAnsi"/>
          <w:b/>
        </w:rPr>
        <w:t>A.17</w:t>
      </w:r>
      <w:r w:rsidRPr="007F1ACE">
        <w:rPr>
          <w:rFonts w:asciiTheme="minorHAnsi" w:hAnsiTheme="minorHAnsi"/>
          <w:b/>
        </w:rPr>
        <w:tab/>
        <w:t>Reason(s) Display of OMB Expiration is Inappropriate</w:t>
      </w:r>
    </w:p>
    <w:p w:rsidR="007F1ACE" w:rsidRDefault="007F1ACE" w:rsidP="009505A2">
      <w:pPr>
        <w:spacing w:after="0"/>
        <w:jc w:val="both"/>
        <w:rPr>
          <w:rFonts w:asciiTheme="minorHAnsi" w:hAnsiTheme="minorHAnsi"/>
        </w:rPr>
      </w:pPr>
    </w:p>
    <w:p w:rsidR="00044A5F" w:rsidRPr="007F1ACE" w:rsidRDefault="002351F6" w:rsidP="009505A2">
      <w:pPr>
        <w:spacing w:after="0"/>
        <w:jc w:val="both"/>
        <w:rPr>
          <w:rFonts w:asciiTheme="minorHAnsi" w:hAnsiTheme="minorHAnsi"/>
        </w:rPr>
      </w:pPr>
      <w:r w:rsidRPr="007F1ACE">
        <w:rPr>
          <w:rFonts w:asciiTheme="minorHAnsi" w:hAnsiTheme="minorHAnsi"/>
        </w:rPr>
        <w:t>The expiration date of OMB approval will be displayed on all information collection instruments.</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A.18</w:t>
      </w:r>
      <w:r w:rsidRPr="007F1ACE">
        <w:rPr>
          <w:rFonts w:asciiTheme="minorHAnsi" w:hAnsiTheme="minorHAnsi"/>
          <w:b/>
        </w:rPr>
        <w:tab/>
        <w:t>Exceptions to Certification for Paperwork Reduction Act Submissions</w:t>
      </w:r>
    </w:p>
    <w:p w:rsidR="007F1ACE" w:rsidRDefault="007F1ACE" w:rsidP="009505A2">
      <w:pPr>
        <w:spacing w:after="0"/>
        <w:jc w:val="both"/>
        <w:rPr>
          <w:rFonts w:asciiTheme="minorHAnsi" w:hAnsiTheme="minorHAnsi"/>
        </w:rPr>
      </w:pPr>
    </w:p>
    <w:p w:rsidR="00624A0D" w:rsidRDefault="002351F6" w:rsidP="00B63EFD">
      <w:pPr>
        <w:spacing w:after="0"/>
        <w:jc w:val="both"/>
        <w:rPr>
          <w:rFonts w:asciiTheme="minorHAnsi" w:hAnsiTheme="minorHAnsi"/>
          <w:b/>
        </w:rPr>
      </w:pPr>
      <w:r w:rsidRPr="007F1ACE">
        <w:rPr>
          <w:rFonts w:asciiTheme="minorHAnsi" w:hAnsiTheme="minorHAnsi"/>
        </w:rPr>
        <w:t>No exceptions are requested.</w:t>
      </w:r>
    </w:p>
    <w:p w:rsidR="005E5BAF" w:rsidRDefault="005E5BAF" w:rsidP="009505A2">
      <w:pPr>
        <w:spacing w:after="0"/>
        <w:jc w:val="both"/>
        <w:rPr>
          <w:rFonts w:asciiTheme="minorHAnsi" w:hAnsiTheme="minorHAnsi"/>
          <w:b/>
        </w:rPr>
      </w:pPr>
    </w:p>
    <w:p w:rsidR="005E5BAF" w:rsidRDefault="005E5BAF" w:rsidP="009505A2">
      <w:pPr>
        <w:spacing w:after="0"/>
        <w:jc w:val="both"/>
        <w:rPr>
          <w:rFonts w:asciiTheme="minorHAnsi" w:hAnsiTheme="minorHAnsi"/>
          <w:b/>
        </w:rPr>
      </w:pPr>
    </w:p>
    <w:p w:rsidR="00F52E3A" w:rsidRDefault="00F52E3A" w:rsidP="009505A2">
      <w:pPr>
        <w:spacing w:after="0"/>
        <w:jc w:val="both"/>
        <w:rPr>
          <w:rFonts w:asciiTheme="minorHAnsi" w:hAnsiTheme="minorHAnsi"/>
          <w:b/>
        </w:rPr>
      </w:pPr>
      <w:bookmarkStart w:id="0" w:name="_GoBack"/>
      <w:bookmarkEnd w:id="0"/>
      <w:r w:rsidRPr="00F52E3A">
        <w:rPr>
          <w:rFonts w:asciiTheme="minorHAnsi" w:hAnsiTheme="minorHAnsi"/>
          <w:b/>
        </w:rPr>
        <w:t>References</w:t>
      </w:r>
    </w:p>
    <w:p w:rsidR="00F52E3A" w:rsidRPr="006A7494" w:rsidRDefault="00F52E3A" w:rsidP="009505A2">
      <w:pPr>
        <w:spacing w:after="0"/>
        <w:jc w:val="both"/>
        <w:rPr>
          <w:rFonts w:asciiTheme="minorHAnsi" w:hAnsiTheme="minorHAnsi"/>
          <w:b/>
        </w:rPr>
      </w:pPr>
    </w:p>
    <w:p w:rsidR="00711A07" w:rsidRPr="006A7494" w:rsidRDefault="00711A07" w:rsidP="00711A07">
      <w:pPr>
        <w:spacing w:after="240"/>
        <w:ind w:left="720" w:hanging="720"/>
        <w:rPr>
          <w:rFonts w:asciiTheme="minorHAnsi" w:hAnsiTheme="minorHAnsi"/>
          <w:color w:val="000000"/>
        </w:rPr>
      </w:pPr>
      <w:r w:rsidRPr="006A7494">
        <w:rPr>
          <w:rFonts w:asciiTheme="minorHAnsi" w:hAnsiTheme="minorHAnsi"/>
          <w:color w:val="000000"/>
        </w:rPr>
        <w:t xml:space="preserve">Abreu, D.A., &amp; </w:t>
      </w:r>
      <w:proofErr w:type="gramStart"/>
      <w:r w:rsidRPr="006A7494">
        <w:rPr>
          <w:rFonts w:asciiTheme="minorHAnsi" w:hAnsiTheme="minorHAnsi"/>
          <w:color w:val="000000"/>
        </w:rPr>
        <w:t>Winters</w:t>
      </w:r>
      <w:proofErr w:type="gramEnd"/>
      <w:r w:rsidRPr="006A7494">
        <w:rPr>
          <w:rFonts w:asciiTheme="minorHAnsi" w:hAnsiTheme="minorHAnsi"/>
          <w:color w:val="000000"/>
        </w:rPr>
        <w:t xml:space="preserve">, F. (1999). </w:t>
      </w:r>
      <w:proofErr w:type="gramStart"/>
      <w:r w:rsidRPr="006A7494">
        <w:rPr>
          <w:rFonts w:asciiTheme="minorHAnsi" w:hAnsiTheme="minorHAnsi"/>
          <w:color w:val="000000"/>
        </w:rPr>
        <w:t>Using monetary incentives to reduce attrition in the survey of income and program participation.</w:t>
      </w:r>
      <w:proofErr w:type="gramEnd"/>
      <w:r w:rsidRPr="006A7494">
        <w:rPr>
          <w:rFonts w:asciiTheme="minorHAnsi" w:hAnsiTheme="minorHAnsi"/>
          <w:color w:val="000000"/>
        </w:rPr>
        <w:t> </w:t>
      </w:r>
      <w:proofErr w:type="gramStart"/>
      <w:r w:rsidRPr="006A7494">
        <w:rPr>
          <w:rFonts w:asciiTheme="minorHAnsi" w:hAnsiTheme="minorHAnsi"/>
          <w:i/>
          <w:iCs/>
          <w:color w:val="000000"/>
        </w:rPr>
        <w:t>Proceedings of the Survey Research Methods Section of the American Statistical Association</w:t>
      </w:r>
      <w:r w:rsidRPr="006A7494">
        <w:rPr>
          <w:rFonts w:asciiTheme="minorHAnsi" w:hAnsiTheme="minorHAnsi"/>
          <w:color w:val="000000"/>
        </w:rPr>
        <w:t>.</w:t>
      </w:r>
      <w:proofErr w:type="gramEnd"/>
    </w:p>
    <w:p w:rsidR="00F52E3A" w:rsidRPr="006A7494" w:rsidRDefault="00F52E3A" w:rsidP="00F52E3A">
      <w:pPr>
        <w:pStyle w:val="biblio"/>
        <w:rPr>
          <w:rFonts w:asciiTheme="minorHAnsi" w:hAnsiTheme="minorHAnsi"/>
          <w:szCs w:val="22"/>
        </w:rPr>
      </w:pPr>
      <w:proofErr w:type="gramStart"/>
      <w:r w:rsidRPr="006A7494">
        <w:rPr>
          <w:rFonts w:asciiTheme="minorHAnsi" w:hAnsiTheme="minorHAnsi"/>
          <w:szCs w:val="22"/>
        </w:rPr>
        <w:t>Andres, R. L., &amp; Day, M. C. (2000).</w:t>
      </w:r>
      <w:proofErr w:type="gramEnd"/>
      <w:r w:rsidRPr="006A7494">
        <w:rPr>
          <w:rFonts w:asciiTheme="minorHAnsi" w:hAnsiTheme="minorHAnsi"/>
          <w:szCs w:val="22"/>
        </w:rPr>
        <w:t xml:space="preserve"> Perinatal complications associated with maternal tobacco use. </w:t>
      </w:r>
      <w:r w:rsidRPr="006A7494">
        <w:rPr>
          <w:rFonts w:asciiTheme="minorHAnsi" w:hAnsiTheme="minorHAnsi"/>
          <w:i/>
          <w:szCs w:val="22"/>
        </w:rPr>
        <w:t>Seminars in Neonatology, 5</w:t>
      </w:r>
      <w:r w:rsidRPr="006A7494">
        <w:rPr>
          <w:rFonts w:asciiTheme="minorHAnsi" w:hAnsiTheme="minorHAnsi"/>
          <w:szCs w:val="22"/>
        </w:rPr>
        <w:t>(3), 231–241.</w:t>
      </w:r>
    </w:p>
    <w:p w:rsidR="00F52E3A" w:rsidRPr="006A7494" w:rsidRDefault="00F52E3A" w:rsidP="00F52E3A">
      <w:pPr>
        <w:pStyle w:val="biblio"/>
        <w:rPr>
          <w:rFonts w:asciiTheme="minorHAnsi" w:hAnsiTheme="minorHAnsi"/>
          <w:szCs w:val="22"/>
        </w:rPr>
      </w:pPr>
      <w:proofErr w:type="spellStart"/>
      <w:r w:rsidRPr="006A7494">
        <w:rPr>
          <w:rFonts w:asciiTheme="minorHAnsi" w:hAnsiTheme="minorHAnsi"/>
          <w:szCs w:val="22"/>
        </w:rPr>
        <w:t>Asplund</w:t>
      </w:r>
      <w:proofErr w:type="spellEnd"/>
      <w:r w:rsidRPr="006A7494">
        <w:rPr>
          <w:rFonts w:asciiTheme="minorHAnsi" w:hAnsiTheme="minorHAnsi"/>
          <w:szCs w:val="22"/>
        </w:rPr>
        <w:t xml:space="preserve">, K. (2001). Snuff—how dangerous is it? The controversy continues. </w:t>
      </w:r>
      <w:r w:rsidRPr="006A7494">
        <w:rPr>
          <w:rFonts w:asciiTheme="minorHAnsi" w:hAnsiTheme="minorHAnsi"/>
          <w:i/>
          <w:szCs w:val="22"/>
        </w:rPr>
        <w:t>Journal of Internal Medicine, 250</w:t>
      </w:r>
      <w:r w:rsidRPr="006A7494">
        <w:rPr>
          <w:rFonts w:asciiTheme="minorHAnsi" w:hAnsiTheme="minorHAnsi"/>
          <w:szCs w:val="22"/>
        </w:rPr>
        <w:t>(6), 457–461.</w:t>
      </w:r>
    </w:p>
    <w:p w:rsidR="00F52E3A" w:rsidRPr="006A7494" w:rsidRDefault="00F52E3A" w:rsidP="00F52E3A">
      <w:pPr>
        <w:pStyle w:val="biblio"/>
        <w:rPr>
          <w:rFonts w:asciiTheme="minorHAnsi" w:hAnsiTheme="minorHAnsi"/>
          <w:szCs w:val="22"/>
        </w:rPr>
      </w:pPr>
      <w:proofErr w:type="gramStart"/>
      <w:r w:rsidRPr="006A7494">
        <w:rPr>
          <w:rFonts w:asciiTheme="minorHAnsi" w:hAnsiTheme="minorHAnsi"/>
          <w:szCs w:val="22"/>
        </w:rPr>
        <w:t>Centers for Disease Control and Prevention (CDC).</w:t>
      </w:r>
      <w:proofErr w:type="gramEnd"/>
      <w:r w:rsidRPr="006A7494">
        <w:rPr>
          <w:rFonts w:asciiTheme="minorHAnsi" w:hAnsiTheme="minorHAnsi"/>
          <w:szCs w:val="22"/>
        </w:rPr>
        <w:t xml:space="preserve"> (2008). Smoking prevalence among women of reproductive age—United States, 2006. </w:t>
      </w:r>
      <w:r w:rsidRPr="006A7494">
        <w:rPr>
          <w:rFonts w:asciiTheme="minorHAnsi" w:hAnsiTheme="minorHAnsi"/>
          <w:i/>
          <w:szCs w:val="22"/>
        </w:rPr>
        <w:t>Morbidity and Mortality Weekly Report, 57</w:t>
      </w:r>
      <w:r w:rsidRPr="006A7494">
        <w:rPr>
          <w:rFonts w:asciiTheme="minorHAnsi" w:hAnsiTheme="minorHAnsi"/>
          <w:szCs w:val="22"/>
        </w:rPr>
        <w:t>(31), 849–852.</w:t>
      </w:r>
    </w:p>
    <w:p w:rsidR="00711A07" w:rsidRPr="006A7494" w:rsidRDefault="00711A07" w:rsidP="00711A07">
      <w:pPr>
        <w:spacing w:after="240"/>
        <w:ind w:left="720" w:hanging="720"/>
        <w:rPr>
          <w:rFonts w:asciiTheme="minorHAnsi" w:hAnsiTheme="minorHAnsi"/>
          <w:color w:val="000000"/>
        </w:rPr>
      </w:pPr>
      <w:proofErr w:type="spellStart"/>
      <w:r w:rsidRPr="006A7494">
        <w:rPr>
          <w:rFonts w:asciiTheme="minorHAnsi" w:hAnsiTheme="minorHAnsi"/>
          <w:color w:val="000000"/>
        </w:rPr>
        <w:t>Greenbaum</w:t>
      </w:r>
      <w:proofErr w:type="spellEnd"/>
      <w:r w:rsidRPr="006A7494">
        <w:rPr>
          <w:rFonts w:asciiTheme="minorHAnsi" w:hAnsiTheme="minorHAnsi"/>
          <w:color w:val="000000"/>
        </w:rPr>
        <w:t>, T. L. (2000). </w:t>
      </w:r>
      <w:proofErr w:type="gramStart"/>
      <w:r w:rsidRPr="006A7494">
        <w:rPr>
          <w:rFonts w:asciiTheme="minorHAnsi" w:hAnsiTheme="minorHAnsi"/>
          <w:i/>
          <w:iCs/>
          <w:color w:val="000000"/>
        </w:rPr>
        <w:t>Moderating focus groups: A practical guide for group facilitation</w:t>
      </w:r>
      <w:r w:rsidRPr="006A7494">
        <w:rPr>
          <w:rFonts w:asciiTheme="minorHAnsi" w:hAnsiTheme="minorHAnsi"/>
          <w:color w:val="000000"/>
        </w:rPr>
        <w:t>.</w:t>
      </w:r>
      <w:proofErr w:type="gramEnd"/>
      <w:r w:rsidRPr="006A7494">
        <w:rPr>
          <w:rFonts w:asciiTheme="minorHAnsi" w:hAnsiTheme="minorHAnsi"/>
          <w:color w:val="000000"/>
        </w:rPr>
        <w:t xml:space="preserve"> Thousand Oaks, CA: Sage Publications, Inc.</w:t>
      </w:r>
    </w:p>
    <w:p w:rsidR="00F52E3A" w:rsidRPr="006A7494" w:rsidRDefault="00F52E3A" w:rsidP="00F52E3A">
      <w:pPr>
        <w:pStyle w:val="biblio"/>
        <w:rPr>
          <w:rFonts w:asciiTheme="minorHAnsi" w:hAnsiTheme="minorHAnsi"/>
          <w:szCs w:val="22"/>
        </w:rPr>
      </w:pPr>
      <w:proofErr w:type="gramStart"/>
      <w:r w:rsidRPr="006A7494">
        <w:rPr>
          <w:rFonts w:asciiTheme="minorHAnsi" w:hAnsiTheme="minorHAnsi"/>
          <w:szCs w:val="22"/>
        </w:rPr>
        <w:t>Kim, A. E., &amp; Zhang, T. (2011).</w:t>
      </w:r>
      <w:proofErr w:type="gramEnd"/>
      <w:r w:rsidRPr="006A7494">
        <w:rPr>
          <w:rFonts w:asciiTheme="minorHAnsi" w:hAnsiTheme="minorHAnsi"/>
          <w:szCs w:val="22"/>
        </w:rPr>
        <w:t xml:space="preserve"> </w:t>
      </w:r>
      <w:proofErr w:type="gramStart"/>
      <w:r w:rsidRPr="006A7494">
        <w:rPr>
          <w:rFonts w:asciiTheme="minorHAnsi" w:hAnsiTheme="minorHAnsi"/>
          <w:i/>
          <w:iCs/>
          <w:szCs w:val="22"/>
        </w:rPr>
        <w:t>Results from the Tobacco Industry Monitoring Online Smokers’ Survey</w:t>
      </w:r>
      <w:r w:rsidRPr="006A7494">
        <w:rPr>
          <w:rFonts w:asciiTheme="minorHAnsi" w:hAnsiTheme="minorHAnsi"/>
          <w:szCs w:val="22"/>
        </w:rPr>
        <w:t>.</w:t>
      </w:r>
      <w:proofErr w:type="gramEnd"/>
      <w:r w:rsidRPr="006A7494">
        <w:rPr>
          <w:rFonts w:asciiTheme="minorHAnsi" w:hAnsiTheme="minorHAnsi"/>
          <w:szCs w:val="22"/>
        </w:rPr>
        <w:t xml:space="preserve"> </w:t>
      </w:r>
      <w:proofErr w:type="gramStart"/>
      <w:r w:rsidRPr="006A7494">
        <w:rPr>
          <w:rFonts w:asciiTheme="minorHAnsi" w:hAnsiTheme="minorHAnsi"/>
          <w:szCs w:val="22"/>
        </w:rPr>
        <w:t>Prepared for the Florida Bureau of Tobacco Prevention Program.</w:t>
      </w:r>
      <w:proofErr w:type="gramEnd"/>
    </w:p>
    <w:p w:rsidR="001D2242" w:rsidRDefault="00711A07" w:rsidP="001D2242">
      <w:pPr>
        <w:spacing w:after="240"/>
        <w:ind w:left="720" w:hanging="720"/>
        <w:rPr>
          <w:rFonts w:asciiTheme="minorHAnsi" w:hAnsiTheme="minorHAnsi"/>
          <w:color w:val="000000"/>
        </w:rPr>
      </w:pPr>
      <w:r w:rsidRPr="006A7494">
        <w:rPr>
          <w:rFonts w:asciiTheme="minorHAnsi" w:hAnsiTheme="minorHAnsi"/>
          <w:color w:val="000000"/>
        </w:rPr>
        <w:t>Krueger, R.A., Casey, M.A. (2009). </w:t>
      </w:r>
      <w:r w:rsidRPr="006A7494">
        <w:rPr>
          <w:rFonts w:asciiTheme="minorHAnsi" w:hAnsiTheme="minorHAnsi"/>
          <w:i/>
          <w:iCs/>
          <w:color w:val="000000"/>
        </w:rPr>
        <w:t>Focus groups: A practical guide for applied research</w:t>
      </w:r>
      <w:r w:rsidRPr="006A7494">
        <w:rPr>
          <w:rFonts w:asciiTheme="minorHAnsi" w:hAnsiTheme="minorHAnsi"/>
          <w:color w:val="000000"/>
        </w:rPr>
        <w:t xml:space="preserve">. </w:t>
      </w:r>
      <w:proofErr w:type="gramStart"/>
      <w:r w:rsidRPr="006A7494">
        <w:rPr>
          <w:rFonts w:asciiTheme="minorHAnsi" w:hAnsiTheme="minorHAnsi"/>
          <w:color w:val="000000"/>
        </w:rPr>
        <w:t>(4</w:t>
      </w:r>
      <w:r w:rsidRPr="006A7494">
        <w:rPr>
          <w:rFonts w:asciiTheme="minorHAnsi" w:hAnsiTheme="minorHAnsi"/>
          <w:color w:val="000000"/>
          <w:vertAlign w:val="superscript"/>
        </w:rPr>
        <w:t>th </w:t>
      </w:r>
      <w:r w:rsidRPr="006A7494">
        <w:rPr>
          <w:rFonts w:asciiTheme="minorHAnsi" w:hAnsiTheme="minorHAnsi"/>
          <w:color w:val="000000"/>
        </w:rPr>
        <w:t>Ed.).</w:t>
      </w:r>
      <w:proofErr w:type="gramEnd"/>
      <w:r w:rsidRPr="006A7494">
        <w:rPr>
          <w:rFonts w:asciiTheme="minorHAnsi" w:hAnsiTheme="minorHAnsi"/>
          <w:color w:val="000000"/>
        </w:rPr>
        <w:t xml:space="preserve"> Thousand Oaks, CA: Sage Publications, Inc.</w:t>
      </w:r>
    </w:p>
    <w:p w:rsidR="00F52E3A" w:rsidRPr="001D2242" w:rsidRDefault="00F52E3A" w:rsidP="001D2242">
      <w:pPr>
        <w:spacing w:after="240"/>
        <w:ind w:left="720" w:hanging="720"/>
        <w:rPr>
          <w:rFonts w:asciiTheme="minorHAnsi" w:hAnsiTheme="minorHAnsi"/>
          <w:color w:val="000000"/>
        </w:rPr>
      </w:pPr>
      <w:proofErr w:type="spellStart"/>
      <w:proofErr w:type="gramStart"/>
      <w:r w:rsidRPr="006A7494">
        <w:rPr>
          <w:rFonts w:asciiTheme="minorHAnsi" w:hAnsiTheme="minorHAnsi"/>
        </w:rPr>
        <w:t>McClave</w:t>
      </w:r>
      <w:proofErr w:type="spellEnd"/>
      <w:r w:rsidRPr="006A7494">
        <w:rPr>
          <w:rFonts w:asciiTheme="minorHAnsi" w:hAnsiTheme="minorHAnsi"/>
        </w:rPr>
        <w:t>, A. K., Arrazola, R., &amp; Dube, S. R. (2010).</w:t>
      </w:r>
      <w:proofErr w:type="gramEnd"/>
      <w:r w:rsidRPr="006A7494">
        <w:rPr>
          <w:rFonts w:asciiTheme="minorHAnsi" w:hAnsiTheme="minorHAnsi"/>
        </w:rPr>
        <w:t xml:space="preserve"> </w:t>
      </w:r>
      <w:proofErr w:type="gramStart"/>
      <w:r w:rsidRPr="006A7494">
        <w:rPr>
          <w:rFonts w:asciiTheme="minorHAnsi" w:hAnsiTheme="minorHAnsi"/>
        </w:rPr>
        <w:t>A national assessment of new and emerging tobacco products in the U.S. American Public Health Association.</w:t>
      </w:r>
      <w:proofErr w:type="gramEnd"/>
      <w:r w:rsidRPr="006A7494">
        <w:rPr>
          <w:rFonts w:asciiTheme="minorHAnsi" w:hAnsiTheme="minorHAnsi"/>
        </w:rPr>
        <w:t xml:space="preserve"> </w:t>
      </w:r>
      <w:proofErr w:type="gramStart"/>
      <w:r w:rsidRPr="006A7494">
        <w:rPr>
          <w:rFonts w:asciiTheme="minorHAnsi" w:hAnsiTheme="minorHAnsi"/>
        </w:rPr>
        <w:t>Retrieved from http://apha.confex.com/apha/138am/webprogram/Paper215071.html.</w:t>
      </w:r>
      <w:proofErr w:type="gramEnd"/>
    </w:p>
    <w:p w:rsidR="00F52E3A" w:rsidRPr="006A7494" w:rsidRDefault="00F52E3A" w:rsidP="00F52E3A">
      <w:pPr>
        <w:pStyle w:val="biblio"/>
        <w:rPr>
          <w:rFonts w:asciiTheme="minorHAnsi" w:hAnsiTheme="minorHAnsi"/>
          <w:szCs w:val="22"/>
        </w:rPr>
      </w:pPr>
      <w:proofErr w:type="spellStart"/>
      <w:r w:rsidRPr="006A7494">
        <w:rPr>
          <w:rFonts w:asciiTheme="minorHAnsi" w:hAnsiTheme="minorHAnsi"/>
          <w:szCs w:val="22"/>
        </w:rPr>
        <w:t>Rodu</w:t>
      </w:r>
      <w:proofErr w:type="spellEnd"/>
      <w:r w:rsidRPr="006A7494">
        <w:rPr>
          <w:rFonts w:asciiTheme="minorHAnsi" w:hAnsiTheme="minorHAnsi"/>
          <w:szCs w:val="22"/>
        </w:rPr>
        <w:t xml:space="preserve">, B. (2006). Tobacco harm reduction: An alternative cessation strategy for inveterate smokers. </w:t>
      </w:r>
      <w:r w:rsidRPr="006A7494">
        <w:rPr>
          <w:rFonts w:asciiTheme="minorHAnsi" w:hAnsiTheme="minorHAnsi"/>
          <w:i/>
          <w:iCs/>
          <w:szCs w:val="22"/>
        </w:rPr>
        <w:t>Harm Reduction Journal, 3</w:t>
      </w:r>
      <w:r w:rsidRPr="006A7494">
        <w:rPr>
          <w:rFonts w:asciiTheme="minorHAnsi" w:hAnsiTheme="minorHAnsi"/>
          <w:szCs w:val="22"/>
        </w:rPr>
        <w:t>, 37.</w:t>
      </w:r>
    </w:p>
    <w:p w:rsidR="00711A07" w:rsidRPr="006A7494" w:rsidRDefault="00711A07" w:rsidP="00711A07">
      <w:pPr>
        <w:spacing w:after="240"/>
        <w:ind w:left="720" w:hanging="720"/>
        <w:rPr>
          <w:rFonts w:asciiTheme="minorHAnsi" w:hAnsiTheme="minorHAnsi"/>
          <w:color w:val="000000"/>
        </w:rPr>
      </w:pPr>
      <w:proofErr w:type="spellStart"/>
      <w:proofErr w:type="gramStart"/>
      <w:r w:rsidRPr="006A7494">
        <w:rPr>
          <w:rFonts w:asciiTheme="minorHAnsi" w:hAnsiTheme="minorHAnsi"/>
          <w:color w:val="000000"/>
        </w:rPr>
        <w:t>Shettle</w:t>
      </w:r>
      <w:proofErr w:type="spellEnd"/>
      <w:r w:rsidRPr="006A7494">
        <w:rPr>
          <w:rFonts w:asciiTheme="minorHAnsi" w:hAnsiTheme="minorHAnsi"/>
          <w:color w:val="000000"/>
        </w:rPr>
        <w:t>, C., &amp; Mooney, G. (1999).</w:t>
      </w:r>
      <w:proofErr w:type="gramEnd"/>
      <w:r w:rsidRPr="006A7494">
        <w:rPr>
          <w:rFonts w:asciiTheme="minorHAnsi" w:hAnsiTheme="minorHAnsi"/>
          <w:color w:val="000000"/>
        </w:rPr>
        <w:t xml:space="preserve"> </w:t>
      </w:r>
      <w:proofErr w:type="gramStart"/>
      <w:r w:rsidRPr="006A7494">
        <w:rPr>
          <w:rFonts w:asciiTheme="minorHAnsi" w:hAnsiTheme="minorHAnsi"/>
          <w:color w:val="000000"/>
        </w:rPr>
        <w:t>Monetary incentives in U.S. government surveys.</w:t>
      </w:r>
      <w:proofErr w:type="gramEnd"/>
      <w:r w:rsidRPr="006A7494">
        <w:rPr>
          <w:rFonts w:asciiTheme="minorHAnsi" w:hAnsiTheme="minorHAnsi"/>
          <w:color w:val="000000"/>
        </w:rPr>
        <w:t> </w:t>
      </w:r>
      <w:r w:rsidRPr="006A7494">
        <w:rPr>
          <w:rFonts w:asciiTheme="minorHAnsi" w:hAnsiTheme="minorHAnsi"/>
          <w:i/>
          <w:iCs/>
          <w:color w:val="000000"/>
        </w:rPr>
        <w:t>Journal of Official Statistics, 15</w:t>
      </w:r>
      <w:r w:rsidRPr="006A7494">
        <w:rPr>
          <w:rFonts w:asciiTheme="minorHAnsi" w:hAnsiTheme="minorHAnsi"/>
          <w:color w:val="000000"/>
        </w:rPr>
        <w:t>, 231-250.</w:t>
      </w:r>
    </w:p>
    <w:p w:rsidR="00F52E3A" w:rsidRPr="006A7494" w:rsidRDefault="00F52E3A" w:rsidP="00F52E3A">
      <w:pPr>
        <w:pStyle w:val="biblio"/>
        <w:rPr>
          <w:rFonts w:asciiTheme="minorHAnsi" w:hAnsiTheme="minorHAnsi"/>
          <w:szCs w:val="22"/>
        </w:rPr>
      </w:pPr>
      <w:proofErr w:type="gramStart"/>
      <w:r w:rsidRPr="006A7494">
        <w:rPr>
          <w:rFonts w:asciiTheme="minorHAnsi" w:hAnsiTheme="minorHAnsi"/>
          <w:szCs w:val="22"/>
        </w:rPr>
        <w:lastRenderedPageBreak/>
        <w:t>Tong, V. T., Jones, J. R., Dietz, P.M., D’Angelo, D., &amp; Bombard, J.M. (2009).</w:t>
      </w:r>
      <w:proofErr w:type="gramEnd"/>
      <w:r w:rsidRPr="006A7494">
        <w:rPr>
          <w:rFonts w:asciiTheme="minorHAnsi" w:hAnsiTheme="minorHAnsi"/>
          <w:szCs w:val="22"/>
        </w:rPr>
        <w:t xml:space="preserve"> </w:t>
      </w:r>
      <w:proofErr w:type="gramStart"/>
      <w:r w:rsidRPr="006A7494">
        <w:rPr>
          <w:rFonts w:asciiTheme="minorHAnsi" w:hAnsiTheme="minorHAnsi"/>
          <w:szCs w:val="22"/>
        </w:rPr>
        <w:t>Trends in smoking before, during, and after pregnancy—Pregnancy Risk Assessment Monitoring System (PRAMS), United States, 31 Sites, 2000–2005.</w:t>
      </w:r>
      <w:proofErr w:type="gramEnd"/>
      <w:r w:rsidRPr="006A7494">
        <w:rPr>
          <w:rFonts w:asciiTheme="minorHAnsi" w:hAnsiTheme="minorHAnsi"/>
          <w:szCs w:val="22"/>
        </w:rPr>
        <w:t xml:space="preserve"> </w:t>
      </w:r>
      <w:r w:rsidRPr="006A7494">
        <w:rPr>
          <w:rFonts w:asciiTheme="minorHAnsi" w:hAnsiTheme="minorHAnsi"/>
          <w:i/>
          <w:iCs/>
          <w:szCs w:val="22"/>
        </w:rPr>
        <w:t xml:space="preserve">Morbidity and Mortality </w:t>
      </w:r>
      <w:r w:rsidRPr="006A7494">
        <w:rPr>
          <w:rFonts w:asciiTheme="minorHAnsi" w:hAnsiTheme="minorHAnsi"/>
          <w:i/>
          <w:szCs w:val="22"/>
        </w:rPr>
        <w:t>Weekly Report, 58</w:t>
      </w:r>
      <w:r w:rsidRPr="006A7494">
        <w:rPr>
          <w:rFonts w:asciiTheme="minorHAnsi" w:hAnsiTheme="minorHAnsi"/>
          <w:szCs w:val="22"/>
        </w:rPr>
        <w:t>(SS-4), 1–31.</w:t>
      </w:r>
    </w:p>
    <w:p w:rsidR="00F52E3A" w:rsidRPr="006A7494" w:rsidRDefault="00711A07" w:rsidP="006A7494">
      <w:pPr>
        <w:spacing w:after="0"/>
        <w:ind w:left="720" w:hanging="720"/>
        <w:rPr>
          <w:rFonts w:asciiTheme="minorHAnsi" w:hAnsiTheme="minorHAnsi"/>
        </w:rPr>
      </w:pPr>
      <w:proofErr w:type="gramStart"/>
      <w:r w:rsidRPr="006A7494">
        <w:rPr>
          <w:rFonts w:asciiTheme="minorHAnsi" w:hAnsiTheme="minorHAnsi"/>
        </w:rPr>
        <w:t>U.S. Bureau of Labor Statistics.</w:t>
      </w:r>
      <w:proofErr w:type="gramEnd"/>
      <w:r w:rsidRPr="006A7494">
        <w:rPr>
          <w:rFonts w:asciiTheme="minorHAnsi" w:hAnsiTheme="minorHAnsi"/>
        </w:rPr>
        <w:t xml:space="preserve"> </w:t>
      </w:r>
      <w:proofErr w:type="gramStart"/>
      <w:r w:rsidRPr="006A7494">
        <w:rPr>
          <w:rFonts w:asciiTheme="minorHAnsi" w:hAnsiTheme="minorHAnsi"/>
        </w:rPr>
        <w:t xml:space="preserve">(2013). </w:t>
      </w:r>
      <w:r w:rsidRPr="006A7494">
        <w:rPr>
          <w:rFonts w:asciiTheme="minorHAnsi" w:hAnsiTheme="minorHAnsi"/>
          <w:lang w:val="en"/>
        </w:rPr>
        <w:t>Average hourly and weekly earnings of all employees on private nonfarm payrolls by industry sector, seasonally adjusted.</w:t>
      </w:r>
      <w:proofErr w:type="gramEnd"/>
      <w:r w:rsidRPr="006A7494">
        <w:rPr>
          <w:rFonts w:asciiTheme="minorHAnsi" w:hAnsiTheme="minorHAnsi"/>
          <w:lang w:val="en"/>
        </w:rPr>
        <w:t xml:space="preserve"> Accessed May 22, 2013 from </w:t>
      </w:r>
      <w:hyperlink r:id="rId10" w:history="1">
        <w:r w:rsidRPr="006A7494">
          <w:rPr>
            <w:rStyle w:val="Hyperlink"/>
            <w:rFonts w:asciiTheme="minorHAnsi" w:hAnsiTheme="minorHAnsi"/>
            <w:color w:val="auto"/>
          </w:rPr>
          <w:t>http://www.bls.gov/news.release/empsit.t19.htm</w:t>
        </w:r>
      </w:hyperlink>
    </w:p>
    <w:sectPr w:rsidR="00F52E3A" w:rsidRPr="006A7494" w:rsidSect="00675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E5" w:rsidRDefault="000F16E5" w:rsidP="00856192">
      <w:pPr>
        <w:spacing w:after="0" w:line="240" w:lineRule="auto"/>
      </w:pPr>
      <w:r>
        <w:separator/>
      </w:r>
    </w:p>
  </w:endnote>
  <w:endnote w:type="continuationSeparator" w:id="0">
    <w:p w:rsidR="000F16E5" w:rsidRDefault="000F16E5"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rsidR="00873C24" w:rsidRDefault="00873C24">
        <w:pPr>
          <w:pStyle w:val="Footer"/>
          <w:jc w:val="center"/>
        </w:pPr>
        <w:r>
          <w:fldChar w:fldCharType="begin"/>
        </w:r>
        <w:r>
          <w:instrText xml:space="preserve"> PAGE   \* MERGEFORMAT </w:instrText>
        </w:r>
        <w:r>
          <w:fldChar w:fldCharType="separate"/>
        </w:r>
        <w:r w:rsidR="005E5BAF">
          <w:rPr>
            <w:noProof/>
          </w:rPr>
          <w:t>10</w:t>
        </w:r>
        <w:r>
          <w:rPr>
            <w:noProof/>
          </w:rPr>
          <w:fldChar w:fldCharType="end"/>
        </w:r>
      </w:p>
    </w:sdtContent>
  </w:sdt>
  <w:p w:rsidR="00873C24" w:rsidRDefault="0087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E5" w:rsidRDefault="000F16E5" w:rsidP="00856192">
      <w:pPr>
        <w:spacing w:after="0" w:line="240" w:lineRule="auto"/>
      </w:pPr>
      <w:r>
        <w:separator/>
      </w:r>
    </w:p>
  </w:footnote>
  <w:footnote w:type="continuationSeparator" w:id="0">
    <w:p w:rsidR="000F16E5" w:rsidRDefault="000F16E5"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3">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8">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5"/>
  </w:num>
  <w:num w:numId="8">
    <w:abstractNumId w:val="6"/>
  </w:num>
  <w:num w:numId="9">
    <w:abstractNumId w:val="1"/>
  </w:num>
  <w:num w:numId="10">
    <w:abstractNumId w:val="7"/>
  </w:num>
  <w:num w:numId="11">
    <w:abstractNumId w:val="10"/>
  </w:num>
  <w:num w:numId="12">
    <w:abstractNumId w:val="5"/>
  </w:num>
  <w:num w:numId="13">
    <w:abstractNumId w:val="16"/>
  </w:num>
  <w:num w:numId="14">
    <w:abstractNumId w:val="9"/>
  </w:num>
  <w:num w:numId="15">
    <w:abstractNumId w:val="8"/>
  </w:num>
  <w:num w:numId="16">
    <w:abstractNumId w:val="11"/>
  </w:num>
  <w:num w:numId="17">
    <w:abstractNumId w:val="4"/>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7E36"/>
    <w:rsid w:val="000123C6"/>
    <w:rsid w:val="000138B7"/>
    <w:rsid w:val="00022FB0"/>
    <w:rsid w:val="0002391D"/>
    <w:rsid w:val="000246C7"/>
    <w:rsid w:val="00027858"/>
    <w:rsid w:val="00032625"/>
    <w:rsid w:val="0003465A"/>
    <w:rsid w:val="00034A56"/>
    <w:rsid w:val="00040F49"/>
    <w:rsid w:val="000438C0"/>
    <w:rsid w:val="00044A5F"/>
    <w:rsid w:val="00045A81"/>
    <w:rsid w:val="000502E6"/>
    <w:rsid w:val="000504E7"/>
    <w:rsid w:val="0005140E"/>
    <w:rsid w:val="0005351F"/>
    <w:rsid w:val="00060360"/>
    <w:rsid w:val="0006073B"/>
    <w:rsid w:val="00065BB6"/>
    <w:rsid w:val="0006614C"/>
    <w:rsid w:val="00070AEA"/>
    <w:rsid w:val="000759A7"/>
    <w:rsid w:val="00075F2C"/>
    <w:rsid w:val="0008653A"/>
    <w:rsid w:val="00090D99"/>
    <w:rsid w:val="000936DD"/>
    <w:rsid w:val="000937B2"/>
    <w:rsid w:val="00093928"/>
    <w:rsid w:val="00095EF0"/>
    <w:rsid w:val="00096ABC"/>
    <w:rsid w:val="000A0176"/>
    <w:rsid w:val="000A0E3A"/>
    <w:rsid w:val="000A4EDC"/>
    <w:rsid w:val="000A6C0D"/>
    <w:rsid w:val="000B3EBD"/>
    <w:rsid w:val="000B48A8"/>
    <w:rsid w:val="000B4D2B"/>
    <w:rsid w:val="000C5981"/>
    <w:rsid w:val="000C623D"/>
    <w:rsid w:val="000D0849"/>
    <w:rsid w:val="000D11C9"/>
    <w:rsid w:val="000D7689"/>
    <w:rsid w:val="000D7DE2"/>
    <w:rsid w:val="000E5551"/>
    <w:rsid w:val="000E7EEE"/>
    <w:rsid w:val="000F16E5"/>
    <w:rsid w:val="000F238A"/>
    <w:rsid w:val="000F2F4D"/>
    <w:rsid w:val="00105F53"/>
    <w:rsid w:val="001118B9"/>
    <w:rsid w:val="00116539"/>
    <w:rsid w:val="00123433"/>
    <w:rsid w:val="001236EE"/>
    <w:rsid w:val="00126C51"/>
    <w:rsid w:val="00127EBD"/>
    <w:rsid w:val="001379D1"/>
    <w:rsid w:val="001468A9"/>
    <w:rsid w:val="0014772F"/>
    <w:rsid w:val="001478D3"/>
    <w:rsid w:val="00147EEC"/>
    <w:rsid w:val="00157F3B"/>
    <w:rsid w:val="001622B6"/>
    <w:rsid w:val="001659CB"/>
    <w:rsid w:val="001667F9"/>
    <w:rsid w:val="00171784"/>
    <w:rsid w:val="0018254F"/>
    <w:rsid w:val="00184C97"/>
    <w:rsid w:val="0019300D"/>
    <w:rsid w:val="001931D8"/>
    <w:rsid w:val="00194C30"/>
    <w:rsid w:val="00196B3B"/>
    <w:rsid w:val="00196F52"/>
    <w:rsid w:val="001971DB"/>
    <w:rsid w:val="001A06E5"/>
    <w:rsid w:val="001A7542"/>
    <w:rsid w:val="001B24E0"/>
    <w:rsid w:val="001B26DC"/>
    <w:rsid w:val="001B33E2"/>
    <w:rsid w:val="001B3C7E"/>
    <w:rsid w:val="001B48A7"/>
    <w:rsid w:val="001B6359"/>
    <w:rsid w:val="001C0417"/>
    <w:rsid w:val="001C094B"/>
    <w:rsid w:val="001C3DE3"/>
    <w:rsid w:val="001C4848"/>
    <w:rsid w:val="001C510B"/>
    <w:rsid w:val="001C5CE9"/>
    <w:rsid w:val="001D09ED"/>
    <w:rsid w:val="001D2242"/>
    <w:rsid w:val="001D3639"/>
    <w:rsid w:val="001E064C"/>
    <w:rsid w:val="001E1215"/>
    <w:rsid w:val="001E2A3D"/>
    <w:rsid w:val="001E2A51"/>
    <w:rsid w:val="001E6974"/>
    <w:rsid w:val="001F4B05"/>
    <w:rsid w:val="00200ABD"/>
    <w:rsid w:val="00200CB7"/>
    <w:rsid w:val="00204155"/>
    <w:rsid w:val="00211E3C"/>
    <w:rsid w:val="002131B5"/>
    <w:rsid w:val="00213706"/>
    <w:rsid w:val="00213C8F"/>
    <w:rsid w:val="00214538"/>
    <w:rsid w:val="00214F19"/>
    <w:rsid w:val="00216CD1"/>
    <w:rsid w:val="00220B3C"/>
    <w:rsid w:val="00222A5C"/>
    <w:rsid w:val="00224756"/>
    <w:rsid w:val="00225E1E"/>
    <w:rsid w:val="00226B4C"/>
    <w:rsid w:val="002310BB"/>
    <w:rsid w:val="002351F6"/>
    <w:rsid w:val="00235A56"/>
    <w:rsid w:val="00236401"/>
    <w:rsid w:val="00236EAC"/>
    <w:rsid w:val="00250F05"/>
    <w:rsid w:val="00254FAD"/>
    <w:rsid w:val="0026126F"/>
    <w:rsid w:val="00263973"/>
    <w:rsid w:val="00265D70"/>
    <w:rsid w:val="00267C44"/>
    <w:rsid w:val="00267F34"/>
    <w:rsid w:val="00270085"/>
    <w:rsid w:val="0027497A"/>
    <w:rsid w:val="00277A67"/>
    <w:rsid w:val="00281FAA"/>
    <w:rsid w:val="002834E5"/>
    <w:rsid w:val="00284F08"/>
    <w:rsid w:val="00286A9B"/>
    <w:rsid w:val="002972E4"/>
    <w:rsid w:val="002A2F8D"/>
    <w:rsid w:val="002B7B59"/>
    <w:rsid w:val="002C26AF"/>
    <w:rsid w:val="002C2EDB"/>
    <w:rsid w:val="002C4D39"/>
    <w:rsid w:val="002D4F96"/>
    <w:rsid w:val="002D5E05"/>
    <w:rsid w:val="002D6079"/>
    <w:rsid w:val="002D7FEF"/>
    <w:rsid w:val="002E3977"/>
    <w:rsid w:val="002E423D"/>
    <w:rsid w:val="002E48E5"/>
    <w:rsid w:val="002E4AB9"/>
    <w:rsid w:val="002F14D3"/>
    <w:rsid w:val="00301867"/>
    <w:rsid w:val="003028BD"/>
    <w:rsid w:val="00303049"/>
    <w:rsid w:val="00316D57"/>
    <w:rsid w:val="00317D1A"/>
    <w:rsid w:val="0032162E"/>
    <w:rsid w:val="00325BC4"/>
    <w:rsid w:val="00325CEF"/>
    <w:rsid w:val="00334196"/>
    <w:rsid w:val="00334F58"/>
    <w:rsid w:val="0033501B"/>
    <w:rsid w:val="0034186F"/>
    <w:rsid w:val="00344B53"/>
    <w:rsid w:val="00345E8D"/>
    <w:rsid w:val="003472FF"/>
    <w:rsid w:val="00350360"/>
    <w:rsid w:val="00353916"/>
    <w:rsid w:val="00356A68"/>
    <w:rsid w:val="003571EE"/>
    <w:rsid w:val="00360785"/>
    <w:rsid w:val="0036275E"/>
    <w:rsid w:val="00373FFC"/>
    <w:rsid w:val="00376362"/>
    <w:rsid w:val="00380288"/>
    <w:rsid w:val="00382D86"/>
    <w:rsid w:val="00390736"/>
    <w:rsid w:val="0039196D"/>
    <w:rsid w:val="003922E0"/>
    <w:rsid w:val="00392DAD"/>
    <w:rsid w:val="00393B62"/>
    <w:rsid w:val="0039547C"/>
    <w:rsid w:val="003A38D4"/>
    <w:rsid w:val="003A450A"/>
    <w:rsid w:val="003A4CCC"/>
    <w:rsid w:val="003A4D30"/>
    <w:rsid w:val="003A5D0C"/>
    <w:rsid w:val="003A7273"/>
    <w:rsid w:val="003A78BD"/>
    <w:rsid w:val="003B3A66"/>
    <w:rsid w:val="003B471A"/>
    <w:rsid w:val="003C01A5"/>
    <w:rsid w:val="003C0688"/>
    <w:rsid w:val="003C18D9"/>
    <w:rsid w:val="003C3398"/>
    <w:rsid w:val="003C5FAA"/>
    <w:rsid w:val="003C62B2"/>
    <w:rsid w:val="003C74E1"/>
    <w:rsid w:val="003D1F71"/>
    <w:rsid w:val="003D456E"/>
    <w:rsid w:val="003E7131"/>
    <w:rsid w:val="003E7C56"/>
    <w:rsid w:val="003F52E2"/>
    <w:rsid w:val="003F68DE"/>
    <w:rsid w:val="003F7108"/>
    <w:rsid w:val="00402865"/>
    <w:rsid w:val="00402B60"/>
    <w:rsid w:val="00404993"/>
    <w:rsid w:val="00404BBA"/>
    <w:rsid w:val="0040549F"/>
    <w:rsid w:val="00406056"/>
    <w:rsid w:val="00412424"/>
    <w:rsid w:val="00415EB7"/>
    <w:rsid w:val="00416B50"/>
    <w:rsid w:val="00421468"/>
    <w:rsid w:val="004234D0"/>
    <w:rsid w:val="00423535"/>
    <w:rsid w:val="004254CA"/>
    <w:rsid w:val="00426789"/>
    <w:rsid w:val="00431256"/>
    <w:rsid w:val="004315A2"/>
    <w:rsid w:val="00431B69"/>
    <w:rsid w:val="004376F1"/>
    <w:rsid w:val="00445E7E"/>
    <w:rsid w:val="00447AFB"/>
    <w:rsid w:val="00460892"/>
    <w:rsid w:val="00460B72"/>
    <w:rsid w:val="00471CF9"/>
    <w:rsid w:val="00472910"/>
    <w:rsid w:val="00472A2E"/>
    <w:rsid w:val="0047356C"/>
    <w:rsid w:val="00477273"/>
    <w:rsid w:val="00477F35"/>
    <w:rsid w:val="004853D7"/>
    <w:rsid w:val="00491CE1"/>
    <w:rsid w:val="00492818"/>
    <w:rsid w:val="00492DC5"/>
    <w:rsid w:val="00493AA7"/>
    <w:rsid w:val="004A097E"/>
    <w:rsid w:val="004A1F14"/>
    <w:rsid w:val="004A2B3B"/>
    <w:rsid w:val="004A512E"/>
    <w:rsid w:val="004B1366"/>
    <w:rsid w:val="004B3E40"/>
    <w:rsid w:val="004B40AF"/>
    <w:rsid w:val="004B6B7B"/>
    <w:rsid w:val="004B75CC"/>
    <w:rsid w:val="004C2047"/>
    <w:rsid w:val="004C41F2"/>
    <w:rsid w:val="004C4CBE"/>
    <w:rsid w:val="004C5191"/>
    <w:rsid w:val="004C74CF"/>
    <w:rsid w:val="004D01A0"/>
    <w:rsid w:val="004D2097"/>
    <w:rsid w:val="004D2ED2"/>
    <w:rsid w:val="004D47E7"/>
    <w:rsid w:val="004D4D4D"/>
    <w:rsid w:val="004E3826"/>
    <w:rsid w:val="004E3D39"/>
    <w:rsid w:val="004E73FB"/>
    <w:rsid w:val="004F0E12"/>
    <w:rsid w:val="004F156B"/>
    <w:rsid w:val="004F29A7"/>
    <w:rsid w:val="004F7B1E"/>
    <w:rsid w:val="00502423"/>
    <w:rsid w:val="00514FFC"/>
    <w:rsid w:val="00515933"/>
    <w:rsid w:val="00524485"/>
    <w:rsid w:val="00525049"/>
    <w:rsid w:val="00526CE3"/>
    <w:rsid w:val="00535AD1"/>
    <w:rsid w:val="00544D1B"/>
    <w:rsid w:val="00546FCC"/>
    <w:rsid w:val="0054712A"/>
    <w:rsid w:val="005515F4"/>
    <w:rsid w:val="005527EE"/>
    <w:rsid w:val="00554149"/>
    <w:rsid w:val="005541DF"/>
    <w:rsid w:val="005604B7"/>
    <w:rsid w:val="00563AD0"/>
    <w:rsid w:val="00566C5A"/>
    <w:rsid w:val="005711FF"/>
    <w:rsid w:val="005760A2"/>
    <w:rsid w:val="00581912"/>
    <w:rsid w:val="005855E6"/>
    <w:rsid w:val="00585A32"/>
    <w:rsid w:val="00591F86"/>
    <w:rsid w:val="005925BB"/>
    <w:rsid w:val="00595794"/>
    <w:rsid w:val="0059727C"/>
    <w:rsid w:val="005977D1"/>
    <w:rsid w:val="005A1917"/>
    <w:rsid w:val="005A552C"/>
    <w:rsid w:val="005A7CFA"/>
    <w:rsid w:val="005A7EC1"/>
    <w:rsid w:val="005B1713"/>
    <w:rsid w:val="005B1CEF"/>
    <w:rsid w:val="005B693D"/>
    <w:rsid w:val="005B7203"/>
    <w:rsid w:val="005C178D"/>
    <w:rsid w:val="005C6DAE"/>
    <w:rsid w:val="005D26E0"/>
    <w:rsid w:val="005D2A18"/>
    <w:rsid w:val="005D4225"/>
    <w:rsid w:val="005D4B56"/>
    <w:rsid w:val="005E59F4"/>
    <w:rsid w:val="005E5BAF"/>
    <w:rsid w:val="005E7073"/>
    <w:rsid w:val="005F2200"/>
    <w:rsid w:val="005F2620"/>
    <w:rsid w:val="005F4209"/>
    <w:rsid w:val="005F533C"/>
    <w:rsid w:val="00601E5F"/>
    <w:rsid w:val="00604186"/>
    <w:rsid w:val="00606C66"/>
    <w:rsid w:val="0061147E"/>
    <w:rsid w:val="006127A4"/>
    <w:rsid w:val="006127E9"/>
    <w:rsid w:val="00613851"/>
    <w:rsid w:val="00614353"/>
    <w:rsid w:val="0061762E"/>
    <w:rsid w:val="00622CD9"/>
    <w:rsid w:val="00624A0D"/>
    <w:rsid w:val="00624F1D"/>
    <w:rsid w:val="00625910"/>
    <w:rsid w:val="0063706B"/>
    <w:rsid w:val="006411B8"/>
    <w:rsid w:val="006506B0"/>
    <w:rsid w:val="00651B57"/>
    <w:rsid w:val="006539FD"/>
    <w:rsid w:val="00663558"/>
    <w:rsid w:val="00663583"/>
    <w:rsid w:val="006645A6"/>
    <w:rsid w:val="00675FC5"/>
    <w:rsid w:val="00676B04"/>
    <w:rsid w:val="00676CFB"/>
    <w:rsid w:val="00680ACF"/>
    <w:rsid w:val="00685346"/>
    <w:rsid w:val="006918CF"/>
    <w:rsid w:val="0069243E"/>
    <w:rsid w:val="006925AC"/>
    <w:rsid w:val="00693414"/>
    <w:rsid w:val="0069355A"/>
    <w:rsid w:val="006947DA"/>
    <w:rsid w:val="00696175"/>
    <w:rsid w:val="00696381"/>
    <w:rsid w:val="00697604"/>
    <w:rsid w:val="00697828"/>
    <w:rsid w:val="006A1380"/>
    <w:rsid w:val="006A2F10"/>
    <w:rsid w:val="006A7494"/>
    <w:rsid w:val="006A792E"/>
    <w:rsid w:val="006B253A"/>
    <w:rsid w:val="006B34E8"/>
    <w:rsid w:val="006B793D"/>
    <w:rsid w:val="006C0248"/>
    <w:rsid w:val="006C0892"/>
    <w:rsid w:val="006C35E2"/>
    <w:rsid w:val="006C580D"/>
    <w:rsid w:val="006C7456"/>
    <w:rsid w:val="006C7911"/>
    <w:rsid w:val="006D2B27"/>
    <w:rsid w:val="006D3E32"/>
    <w:rsid w:val="006D5EC5"/>
    <w:rsid w:val="006E025F"/>
    <w:rsid w:val="006E0C36"/>
    <w:rsid w:val="006E3A81"/>
    <w:rsid w:val="006E7F63"/>
    <w:rsid w:val="006F0F0D"/>
    <w:rsid w:val="006F24E4"/>
    <w:rsid w:val="006F63B3"/>
    <w:rsid w:val="006F6FE0"/>
    <w:rsid w:val="00700709"/>
    <w:rsid w:val="007012C0"/>
    <w:rsid w:val="00701A09"/>
    <w:rsid w:val="00702991"/>
    <w:rsid w:val="007040EC"/>
    <w:rsid w:val="00711A07"/>
    <w:rsid w:val="00713471"/>
    <w:rsid w:val="0071740D"/>
    <w:rsid w:val="007210AD"/>
    <w:rsid w:val="007219CE"/>
    <w:rsid w:val="00722531"/>
    <w:rsid w:val="007240BC"/>
    <w:rsid w:val="00725F84"/>
    <w:rsid w:val="00736D08"/>
    <w:rsid w:val="007431C4"/>
    <w:rsid w:val="00746D4F"/>
    <w:rsid w:val="00747B84"/>
    <w:rsid w:val="0075158F"/>
    <w:rsid w:val="007527F1"/>
    <w:rsid w:val="00753049"/>
    <w:rsid w:val="00754F7F"/>
    <w:rsid w:val="0075590B"/>
    <w:rsid w:val="00762711"/>
    <w:rsid w:val="00765274"/>
    <w:rsid w:val="0078253C"/>
    <w:rsid w:val="00784C6E"/>
    <w:rsid w:val="00786838"/>
    <w:rsid w:val="00786A03"/>
    <w:rsid w:val="007915D6"/>
    <w:rsid w:val="00793D02"/>
    <w:rsid w:val="00794F8F"/>
    <w:rsid w:val="007A0692"/>
    <w:rsid w:val="007A1B55"/>
    <w:rsid w:val="007A3A39"/>
    <w:rsid w:val="007A4210"/>
    <w:rsid w:val="007A6180"/>
    <w:rsid w:val="007A7795"/>
    <w:rsid w:val="007B126F"/>
    <w:rsid w:val="007B3852"/>
    <w:rsid w:val="007B5D26"/>
    <w:rsid w:val="007B7926"/>
    <w:rsid w:val="007C1BA3"/>
    <w:rsid w:val="007D3297"/>
    <w:rsid w:val="007D5C7A"/>
    <w:rsid w:val="007E325A"/>
    <w:rsid w:val="007E5E2C"/>
    <w:rsid w:val="007E75CF"/>
    <w:rsid w:val="007F08D9"/>
    <w:rsid w:val="007F1ACE"/>
    <w:rsid w:val="007F7ACA"/>
    <w:rsid w:val="00804C70"/>
    <w:rsid w:val="008075A5"/>
    <w:rsid w:val="00821F05"/>
    <w:rsid w:val="00823D6A"/>
    <w:rsid w:val="00823F53"/>
    <w:rsid w:val="00824A2B"/>
    <w:rsid w:val="00825C3C"/>
    <w:rsid w:val="008270E1"/>
    <w:rsid w:val="0082712D"/>
    <w:rsid w:val="00827D34"/>
    <w:rsid w:val="00831D8A"/>
    <w:rsid w:val="00836AB1"/>
    <w:rsid w:val="00842A5C"/>
    <w:rsid w:val="00850175"/>
    <w:rsid w:val="00852E28"/>
    <w:rsid w:val="00852ED8"/>
    <w:rsid w:val="00853884"/>
    <w:rsid w:val="00856192"/>
    <w:rsid w:val="00856B73"/>
    <w:rsid w:val="00860DDE"/>
    <w:rsid w:val="00860DF5"/>
    <w:rsid w:val="0086169A"/>
    <w:rsid w:val="00862F33"/>
    <w:rsid w:val="00867538"/>
    <w:rsid w:val="00870CAE"/>
    <w:rsid w:val="00873C24"/>
    <w:rsid w:val="00877495"/>
    <w:rsid w:val="008778FD"/>
    <w:rsid w:val="008805EE"/>
    <w:rsid w:val="008811A3"/>
    <w:rsid w:val="00881C85"/>
    <w:rsid w:val="00883278"/>
    <w:rsid w:val="008927CD"/>
    <w:rsid w:val="008A5E08"/>
    <w:rsid w:val="008A72AE"/>
    <w:rsid w:val="008C0116"/>
    <w:rsid w:val="008C1788"/>
    <w:rsid w:val="008C345B"/>
    <w:rsid w:val="008C4187"/>
    <w:rsid w:val="008D2BE0"/>
    <w:rsid w:val="008D6D8D"/>
    <w:rsid w:val="008E0F15"/>
    <w:rsid w:val="008E1146"/>
    <w:rsid w:val="008E2649"/>
    <w:rsid w:val="008E648B"/>
    <w:rsid w:val="008F05FF"/>
    <w:rsid w:val="008F3B4A"/>
    <w:rsid w:val="008F479A"/>
    <w:rsid w:val="009007AA"/>
    <w:rsid w:val="00900EF5"/>
    <w:rsid w:val="00901F73"/>
    <w:rsid w:val="00902280"/>
    <w:rsid w:val="00903545"/>
    <w:rsid w:val="00905CF5"/>
    <w:rsid w:val="00905D77"/>
    <w:rsid w:val="00906387"/>
    <w:rsid w:val="00911E5B"/>
    <w:rsid w:val="00911E62"/>
    <w:rsid w:val="00911EC8"/>
    <w:rsid w:val="009146BD"/>
    <w:rsid w:val="00916D38"/>
    <w:rsid w:val="00921334"/>
    <w:rsid w:val="00930FFB"/>
    <w:rsid w:val="00931AC6"/>
    <w:rsid w:val="00931E48"/>
    <w:rsid w:val="009325A0"/>
    <w:rsid w:val="00932DA0"/>
    <w:rsid w:val="009431D0"/>
    <w:rsid w:val="00943F4A"/>
    <w:rsid w:val="00946DC6"/>
    <w:rsid w:val="009505A2"/>
    <w:rsid w:val="009520A4"/>
    <w:rsid w:val="00952890"/>
    <w:rsid w:val="00954683"/>
    <w:rsid w:val="00955FED"/>
    <w:rsid w:val="00966B26"/>
    <w:rsid w:val="00971EFD"/>
    <w:rsid w:val="009745A2"/>
    <w:rsid w:val="0097508B"/>
    <w:rsid w:val="009757A6"/>
    <w:rsid w:val="00975D4F"/>
    <w:rsid w:val="00980447"/>
    <w:rsid w:val="00980862"/>
    <w:rsid w:val="009826EC"/>
    <w:rsid w:val="009848E7"/>
    <w:rsid w:val="00987082"/>
    <w:rsid w:val="0099008C"/>
    <w:rsid w:val="009907FF"/>
    <w:rsid w:val="00996341"/>
    <w:rsid w:val="009973F4"/>
    <w:rsid w:val="009A149A"/>
    <w:rsid w:val="009A5E90"/>
    <w:rsid w:val="009A7B2F"/>
    <w:rsid w:val="009B2E36"/>
    <w:rsid w:val="009B39D6"/>
    <w:rsid w:val="009C02C8"/>
    <w:rsid w:val="009C0CAF"/>
    <w:rsid w:val="009C1A28"/>
    <w:rsid w:val="009C1AB9"/>
    <w:rsid w:val="009D2A55"/>
    <w:rsid w:val="009D3B1E"/>
    <w:rsid w:val="009D6F5D"/>
    <w:rsid w:val="009E548D"/>
    <w:rsid w:val="009E57D4"/>
    <w:rsid w:val="009E6443"/>
    <w:rsid w:val="009F32EA"/>
    <w:rsid w:val="00A00A3E"/>
    <w:rsid w:val="00A04653"/>
    <w:rsid w:val="00A04EC4"/>
    <w:rsid w:val="00A13503"/>
    <w:rsid w:val="00A24439"/>
    <w:rsid w:val="00A248B9"/>
    <w:rsid w:val="00A24C19"/>
    <w:rsid w:val="00A25BE5"/>
    <w:rsid w:val="00A25C91"/>
    <w:rsid w:val="00A26A8A"/>
    <w:rsid w:val="00A27217"/>
    <w:rsid w:val="00A33C8C"/>
    <w:rsid w:val="00A37892"/>
    <w:rsid w:val="00A41445"/>
    <w:rsid w:val="00A42292"/>
    <w:rsid w:val="00A46428"/>
    <w:rsid w:val="00A50A07"/>
    <w:rsid w:val="00A52AF2"/>
    <w:rsid w:val="00A54792"/>
    <w:rsid w:val="00A5753F"/>
    <w:rsid w:val="00A5756C"/>
    <w:rsid w:val="00A57C88"/>
    <w:rsid w:val="00A60321"/>
    <w:rsid w:val="00A60907"/>
    <w:rsid w:val="00A620A3"/>
    <w:rsid w:val="00A62558"/>
    <w:rsid w:val="00A64BAF"/>
    <w:rsid w:val="00A671E1"/>
    <w:rsid w:val="00A679E8"/>
    <w:rsid w:val="00A712CF"/>
    <w:rsid w:val="00A77A31"/>
    <w:rsid w:val="00A84985"/>
    <w:rsid w:val="00A8515B"/>
    <w:rsid w:val="00A855AE"/>
    <w:rsid w:val="00A876A0"/>
    <w:rsid w:val="00A948FA"/>
    <w:rsid w:val="00AA31C4"/>
    <w:rsid w:val="00AA571C"/>
    <w:rsid w:val="00AB0DF7"/>
    <w:rsid w:val="00AB45DA"/>
    <w:rsid w:val="00AB460B"/>
    <w:rsid w:val="00AB5BBD"/>
    <w:rsid w:val="00AC4FC4"/>
    <w:rsid w:val="00AD1978"/>
    <w:rsid w:val="00AD32C5"/>
    <w:rsid w:val="00AD622D"/>
    <w:rsid w:val="00AE0DED"/>
    <w:rsid w:val="00AE296E"/>
    <w:rsid w:val="00AE6551"/>
    <w:rsid w:val="00AF05D8"/>
    <w:rsid w:val="00AF100A"/>
    <w:rsid w:val="00AF29BA"/>
    <w:rsid w:val="00AF4715"/>
    <w:rsid w:val="00AF7632"/>
    <w:rsid w:val="00AF76FB"/>
    <w:rsid w:val="00B01167"/>
    <w:rsid w:val="00B01689"/>
    <w:rsid w:val="00B02CC1"/>
    <w:rsid w:val="00B06DC0"/>
    <w:rsid w:val="00B07987"/>
    <w:rsid w:val="00B136E3"/>
    <w:rsid w:val="00B215EF"/>
    <w:rsid w:val="00B40515"/>
    <w:rsid w:val="00B42FC8"/>
    <w:rsid w:val="00B45CEF"/>
    <w:rsid w:val="00B461F9"/>
    <w:rsid w:val="00B47175"/>
    <w:rsid w:val="00B51D5F"/>
    <w:rsid w:val="00B52C7E"/>
    <w:rsid w:val="00B530DB"/>
    <w:rsid w:val="00B55EAB"/>
    <w:rsid w:val="00B6328A"/>
    <w:rsid w:val="00B63EFD"/>
    <w:rsid w:val="00B64A3C"/>
    <w:rsid w:val="00B652D6"/>
    <w:rsid w:val="00B70524"/>
    <w:rsid w:val="00B73E5A"/>
    <w:rsid w:val="00B75266"/>
    <w:rsid w:val="00B761E3"/>
    <w:rsid w:val="00B779FA"/>
    <w:rsid w:val="00B77AD4"/>
    <w:rsid w:val="00B815E5"/>
    <w:rsid w:val="00B82985"/>
    <w:rsid w:val="00B846E6"/>
    <w:rsid w:val="00B952D6"/>
    <w:rsid w:val="00B96B97"/>
    <w:rsid w:val="00B97A03"/>
    <w:rsid w:val="00BA486F"/>
    <w:rsid w:val="00BB121C"/>
    <w:rsid w:val="00BB306D"/>
    <w:rsid w:val="00BB6E9A"/>
    <w:rsid w:val="00BC3594"/>
    <w:rsid w:val="00BC57A7"/>
    <w:rsid w:val="00BC5B43"/>
    <w:rsid w:val="00BC7871"/>
    <w:rsid w:val="00BC789C"/>
    <w:rsid w:val="00BC7BC7"/>
    <w:rsid w:val="00BD0709"/>
    <w:rsid w:val="00BD1C72"/>
    <w:rsid w:val="00BD3643"/>
    <w:rsid w:val="00BD3DCB"/>
    <w:rsid w:val="00BE0290"/>
    <w:rsid w:val="00BE5E41"/>
    <w:rsid w:val="00BF23FA"/>
    <w:rsid w:val="00BF40F4"/>
    <w:rsid w:val="00BF6156"/>
    <w:rsid w:val="00BF6406"/>
    <w:rsid w:val="00C03858"/>
    <w:rsid w:val="00C04342"/>
    <w:rsid w:val="00C05730"/>
    <w:rsid w:val="00C10C2D"/>
    <w:rsid w:val="00C13634"/>
    <w:rsid w:val="00C158E9"/>
    <w:rsid w:val="00C15AD3"/>
    <w:rsid w:val="00C15B4A"/>
    <w:rsid w:val="00C22193"/>
    <w:rsid w:val="00C25270"/>
    <w:rsid w:val="00C2578F"/>
    <w:rsid w:val="00C32716"/>
    <w:rsid w:val="00C36132"/>
    <w:rsid w:val="00C375BE"/>
    <w:rsid w:val="00C37756"/>
    <w:rsid w:val="00C402BE"/>
    <w:rsid w:val="00C40308"/>
    <w:rsid w:val="00C42CD0"/>
    <w:rsid w:val="00C45275"/>
    <w:rsid w:val="00C45F4E"/>
    <w:rsid w:val="00C46FA8"/>
    <w:rsid w:val="00C4780B"/>
    <w:rsid w:val="00C5067B"/>
    <w:rsid w:val="00C51AA1"/>
    <w:rsid w:val="00C52C98"/>
    <w:rsid w:val="00C53680"/>
    <w:rsid w:val="00C5538A"/>
    <w:rsid w:val="00C56AC8"/>
    <w:rsid w:val="00C6166E"/>
    <w:rsid w:val="00C61AE5"/>
    <w:rsid w:val="00C65EF2"/>
    <w:rsid w:val="00C703A1"/>
    <w:rsid w:val="00C7470E"/>
    <w:rsid w:val="00C75178"/>
    <w:rsid w:val="00C756E2"/>
    <w:rsid w:val="00C84FB7"/>
    <w:rsid w:val="00C900A9"/>
    <w:rsid w:val="00C90D3D"/>
    <w:rsid w:val="00C92255"/>
    <w:rsid w:val="00C92931"/>
    <w:rsid w:val="00C94E83"/>
    <w:rsid w:val="00C955D0"/>
    <w:rsid w:val="00CA012F"/>
    <w:rsid w:val="00CA3607"/>
    <w:rsid w:val="00CA48B3"/>
    <w:rsid w:val="00CA5454"/>
    <w:rsid w:val="00CB0635"/>
    <w:rsid w:val="00CB3E97"/>
    <w:rsid w:val="00CB4981"/>
    <w:rsid w:val="00CB4A1F"/>
    <w:rsid w:val="00CB636B"/>
    <w:rsid w:val="00CB69B8"/>
    <w:rsid w:val="00CB7907"/>
    <w:rsid w:val="00CC12E7"/>
    <w:rsid w:val="00CC3098"/>
    <w:rsid w:val="00CC6BDB"/>
    <w:rsid w:val="00CC7FD8"/>
    <w:rsid w:val="00CD4A2E"/>
    <w:rsid w:val="00CE2015"/>
    <w:rsid w:val="00CE5910"/>
    <w:rsid w:val="00CE6B3E"/>
    <w:rsid w:val="00CF1766"/>
    <w:rsid w:val="00CF6A79"/>
    <w:rsid w:val="00CF771D"/>
    <w:rsid w:val="00D04D15"/>
    <w:rsid w:val="00D1062E"/>
    <w:rsid w:val="00D21071"/>
    <w:rsid w:val="00D23307"/>
    <w:rsid w:val="00D256B3"/>
    <w:rsid w:val="00D30B16"/>
    <w:rsid w:val="00D30D01"/>
    <w:rsid w:val="00D32E0F"/>
    <w:rsid w:val="00D3328F"/>
    <w:rsid w:val="00D34532"/>
    <w:rsid w:val="00D41028"/>
    <w:rsid w:val="00D41F7E"/>
    <w:rsid w:val="00D427C8"/>
    <w:rsid w:val="00D42A48"/>
    <w:rsid w:val="00D50A6C"/>
    <w:rsid w:val="00D50D26"/>
    <w:rsid w:val="00D600A2"/>
    <w:rsid w:val="00D602A0"/>
    <w:rsid w:val="00D603EB"/>
    <w:rsid w:val="00D65CF2"/>
    <w:rsid w:val="00D667F6"/>
    <w:rsid w:val="00D71B2C"/>
    <w:rsid w:val="00D72427"/>
    <w:rsid w:val="00D752E7"/>
    <w:rsid w:val="00D771DB"/>
    <w:rsid w:val="00D80075"/>
    <w:rsid w:val="00D80688"/>
    <w:rsid w:val="00D83CF3"/>
    <w:rsid w:val="00D85707"/>
    <w:rsid w:val="00D87001"/>
    <w:rsid w:val="00DA5996"/>
    <w:rsid w:val="00DB09AA"/>
    <w:rsid w:val="00DB0FE4"/>
    <w:rsid w:val="00DB4E72"/>
    <w:rsid w:val="00DB4F83"/>
    <w:rsid w:val="00DB592D"/>
    <w:rsid w:val="00DC1070"/>
    <w:rsid w:val="00DC6F4D"/>
    <w:rsid w:val="00DC7A20"/>
    <w:rsid w:val="00DD075F"/>
    <w:rsid w:val="00DD1425"/>
    <w:rsid w:val="00DD1FC7"/>
    <w:rsid w:val="00DD2A23"/>
    <w:rsid w:val="00DD2BEA"/>
    <w:rsid w:val="00DD2C8B"/>
    <w:rsid w:val="00DD5DFF"/>
    <w:rsid w:val="00DD6330"/>
    <w:rsid w:val="00DD7134"/>
    <w:rsid w:val="00DE004F"/>
    <w:rsid w:val="00DE120B"/>
    <w:rsid w:val="00DE429D"/>
    <w:rsid w:val="00DE67C3"/>
    <w:rsid w:val="00DF268E"/>
    <w:rsid w:val="00E04B94"/>
    <w:rsid w:val="00E0723C"/>
    <w:rsid w:val="00E163E1"/>
    <w:rsid w:val="00E16909"/>
    <w:rsid w:val="00E23D56"/>
    <w:rsid w:val="00E24B6D"/>
    <w:rsid w:val="00E261B9"/>
    <w:rsid w:val="00E275C3"/>
    <w:rsid w:val="00E405DF"/>
    <w:rsid w:val="00E4332D"/>
    <w:rsid w:val="00E43618"/>
    <w:rsid w:val="00E45EB4"/>
    <w:rsid w:val="00E47C66"/>
    <w:rsid w:val="00E65830"/>
    <w:rsid w:val="00E71DC6"/>
    <w:rsid w:val="00E76C9D"/>
    <w:rsid w:val="00E76EC7"/>
    <w:rsid w:val="00E87076"/>
    <w:rsid w:val="00E87525"/>
    <w:rsid w:val="00E920F7"/>
    <w:rsid w:val="00E977AB"/>
    <w:rsid w:val="00E97A80"/>
    <w:rsid w:val="00EA1DED"/>
    <w:rsid w:val="00EA6069"/>
    <w:rsid w:val="00EA7C3C"/>
    <w:rsid w:val="00EA7FE4"/>
    <w:rsid w:val="00EB77DF"/>
    <w:rsid w:val="00EB7C02"/>
    <w:rsid w:val="00EC08B5"/>
    <w:rsid w:val="00EC1290"/>
    <w:rsid w:val="00EC2198"/>
    <w:rsid w:val="00EC5654"/>
    <w:rsid w:val="00ED683C"/>
    <w:rsid w:val="00EE1EBE"/>
    <w:rsid w:val="00EE2CCB"/>
    <w:rsid w:val="00EE3966"/>
    <w:rsid w:val="00EE409D"/>
    <w:rsid w:val="00EE5055"/>
    <w:rsid w:val="00EE7C6C"/>
    <w:rsid w:val="00EF077B"/>
    <w:rsid w:val="00EF78E5"/>
    <w:rsid w:val="00F00CA0"/>
    <w:rsid w:val="00F0654E"/>
    <w:rsid w:val="00F06C14"/>
    <w:rsid w:val="00F17C3D"/>
    <w:rsid w:val="00F271BD"/>
    <w:rsid w:val="00F2782C"/>
    <w:rsid w:val="00F27C58"/>
    <w:rsid w:val="00F3332F"/>
    <w:rsid w:val="00F353DB"/>
    <w:rsid w:val="00F36484"/>
    <w:rsid w:val="00F3648F"/>
    <w:rsid w:val="00F37A6E"/>
    <w:rsid w:val="00F37C81"/>
    <w:rsid w:val="00F40E0B"/>
    <w:rsid w:val="00F43059"/>
    <w:rsid w:val="00F44D4D"/>
    <w:rsid w:val="00F45CE9"/>
    <w:rsid w:val="00F52E3A"/>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84AE9"/>
    <w:rsid w:val="00F86240"/>
    <w:rsid w:val="00F95DC4"/>
    <w:rsid w:val="00F964EC"/>
    <w:rsid w:val="00FA6D83"/>
    <w:rsid w:val="00FB4F82"/>
    <w:rsid w:val="00FB61D5"/>
    <w:rsid w:val="00FB6594"/>
    <w:rsid w:val="00FC3D45"/>
    <w:rsid w:val="00FC6309"/>
    <w:rsid w:val="00FC6D53"/>
    <w:rsid w:val="00FD075D"/>
    <w:rsid w:val="00FE3B63"/>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pPr>
      <w:spacing w:after="0" w:line="240" w:lineRule="auto"/>
    </w:pPr>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line="240" w:lineRule="auto"/>
      <w:ind w:firstLine="720"/>
    </w:pPr>
    <w:rPr>
      <w:rFonts w:ascii="Times New Roman" w:eastAsia="Times New Roman" w:hAnsi="Times New Roman"/>
      <w:szCs w:val="20"/>
    </w:rPr>
  </w:style>
  <w:style w:type="paragraph" w:customStyle="1" w:styleId="bullets-blank">
    <w:name w:val="bullets-blank"/>
    <w:basedOn w:val="Normal"/>
    <w:rsid w:val="002D5E05"/>
    <w:pPr>
      <w:spacing w:after="120" w:line="240" w:lineRule="auto"/>
      <w:ind w:left="1080" w:hanging="360"/>
    </w:pPr>
    <w:rPr>
      <w:rFonts w:ascii="Times New Roman" w:eastAsia="Times New Roman" w:hAnsi="Times New Roman"/>
      <w:szCs w:val="20"/>
    </w:rPr>
  </w:style>
  <w:style w:type="paragraph" w:customStyle="1" w:styleId="bodytextpsg0">
    <w:name w:val="body text_psg"/>
    <w:basedOn w:val="Normal"/>
    <w:link w:val="bodytextpsgCharChar"/>
    <w:rsid w:val="002D5E05"/>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line="240" w:lineRule="auto"/>
      <w:ind w:left="720" w:hanging="720"/>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862F33"/>
    <w:pPr>
      <w:spacing w:after="0" w:line="240" w:lineRule="auto"/>
    </w:pPr>
    <w:rPr>
      <w:rFonts w:ascii="Arial" w:eastAsia="Times New Roman" w:hAnsi="Arial" w:cs="Arial"/>
      <w:b/>
      <w:bCs/>
      <w:color w:val="000000"/>
      <w:spacing w:val="-6"/>
      <w:sz w:val="60"/>
      <w:szCs w:val="60"/>
    </w:rPr>
  </w:style>
  <w:style w:type="paragraph" w:customStyle="1" w:styleId="bodyTextpsg">
    <w:name w:val="body Text_psg"/>
    <w:basedOn w:val="Normal"/>
    <w:rsid w:val="00862F33"/>
    <w:pPr>
      <w:spacing w:after="240" w:line="240" w:lineRule="auto"/>
      <w:ind w:firstLine="720"/>
    </w:pPr>
    <w:rPr>
      <w:rFonts w:ascii="Times New Roman" w:eastAsia="Times New Roman" w:hAnsi="Times New Roman"/>
      <w:szCs w:val="20"/>
    </w:rPr>
  </w:style>
  <w:style w:type="paragraph" w:customStyle="1" w:styleId="bullets-blank">
    <w:name w:val="bullets-blank"/>
    <w:basedOn w:val="Normal"/>
    <w:rsid w:val="002D5E05"/>
    <w:pPr>
      <w:spacing w:after="120" w:line="240" w:lineRule="auto"/>
      <w:ind w:left="1080" w:hanging="360"/>
    </w:pPr>
    <w:rPr>
      <w:rFonts w:ascii="Times New Roman" w:eastAsia="Times New Roman" w:hAnsi="Times New Roman"/>
      <w:szCs w:val="20"/>
    </w:rPr>
  </w:style>
  <w:style w:type="paragraph" w:customStyle="1" w:styleId="bodytextpsg0">
    <w:name w:val="body text_psg"/>
    <w:basedOn w:val="Normal"/>
    <w:link w:val="bodytextpsgCharChar"/>
    <w:rsid w:val="002D5E05"/>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0"/>
    <w:rsid w:val="002D5E05"/>
    <w:rPr>
      <w:rFonts w:ascii="Times New Roman" w:eastAsia="Times New Roman" w:hAnsi="Times New Roman" w:cs="Times New Roman"/>
      <w:szCs w:val="20"/>
    </w:rPr>
  </w:style>
  <w:style w:type="paragraph" w:customStyle="1" w:styleId="biblio">
    <w:name w:val="biblio"/>
    <w:basedOn w:val="Normal"/>
    <w:rsid w:val="00F52E3A"/>
    <w:pPr>
      <w:keepLines/>
      <w:spacing w:after="240" w:line="240" w:lineRule="auto"/>
      <w:ind w:left="720" w:hanging="72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2924">
      <w:bodyDiv w:val="1"/>
      <w:marLeft w:val="0"/>
      <w:marRight w:val="0"/>
      <w:marTop w:val="0"/>
      <w:marBottom w:val="0"/>
      <w:divBdr>
        <w:top w:val="none" w:sz="0" w:space="0" w:color="auto"/>
        <w:left w:val="none" w:sz="0" w:space="0" w:color="auto"/>
        <w:bottom w:val="none" w:sz="0" w:space="0" w:color="auto"/>
        <w:right w:val="none" w:sz="0" w:space="0" w:color="auto"/>
      </w:divBdr>
    </w:div>
    <w:div w:id="314183704">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36584475">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161770776">
      <w:bodyDiv w:val="1"/>
      <w:marLeft w:val="0"/>
      <w:marRight w:val="0"/>
      <w:marTop w:val="0"/>
      <w:marBottom w:val="0"/>
      <w:divBdr>
        <w:top w:val="none" w:sz="0" w:space="0" w:color="auto"/>
        <w:left w:val="none" w:sz="0" w:space="0" w:color="auto"/>
        <w:bottom w:val="none" w:sz="0" w:space="0" w:color="auto"/>
        <w:right w:val="none" w:sz="0" w:space="0" w:color="auto"/>
      </w:divBdr>
    </w:div>
    <w:div w:id="1208833253">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7951049">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78993313">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empsit.t19.htm" TargetMode="External"/><Relationship Id="rId4" Type="http://schemas.microsoft.com/office/2007/relationships/stylesWithEffects" Target="stylesWithEffects.xml"/><Relationship Id="rId9" Type="http://schemas.openxmlformats.org/officeDocument/2006/relationships/hyperlink" Target="mailto:Greta.Tessman@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F3E6-24A9-458C-BDD0-3B7D09A9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10</Pages>
  <Words>3601</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61</cp:revision>
  <cp:lastPrinted>2013-06-10T12:25:00Z</cp:lastPrinted>
  <dcterms:created xsi:type="dcterms:W3CDTF">2013-05-20T18:24:00Z</dcterms:created>
  <dcterms:modified xsi:type="dcterms:W3CDTF">2013-06-25T21:49:00Z</dcterms:modified>
</cp:coreProperties>
</file>