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468" w:type="dxa"/>
        <w:tblLayout w:type="fixed"/>
        <w:tblLook w:val="04A0"/>
      </w:tblPr>
      <w:tblGrid>
        <w:gridCol w:w="2538"/>
        <w:gridCol w:w="6930"/>
      </w:tblGrid>
      <w:tr w:rsidR="00CF0AB2" w:rsidTr="00DF6EA4">
        <w:tc>
          <w:tcPr>
            <w:tcW w:w="2538" w:type="dxa"/>
            <w:tcBorders>
              <w:right w:val="nil"/>
            </w:tcBorders>
            <w:vAlign w:val="center"/>
          </w:tcPr>
          <w:p w:rsidR="00CF0AB2" w:rsidRPr="00C324E1" w:rsidRDefault="00CF0AB2" w:rsidP="00DF6EA4">
            <w:pPr>
              <w:jc w:val="center"/>
              <w:rPr>
                <w:rFonts w:ascii="Calibri" w:eastAsia="Times New Roman" w:hAnsi="Calibri" w:cs="Times New Roman"/>
                <w:color w:val="000000"/>
              </w:rPr>
            </w:pPr>
          </w:p>
        </w:tc>
        <w:tc>
          <w:tcPr>
            <w:tcW w:w="6930" w:type="dxa"/>
            <w:tcBorders>
              <w:left w:val="nil"/>
            </w:tcBorders>
          </w:tcPr>
          <w:p w:rsidR="00CF0AB2" w:rsidRPr="00FA0B02" w:rsidRDefault="00CF0AB2" w:rsidP="00DF6EA4">
            <w:pPr>
              <w:pStyle w:val="BHNormal"/>
              <w:rPr>
                <w:b/>
              </w:rPr>
            </w:pPr>
            <w:r w:rsidRPr="00FA0B02">
              <w:rPr>
                <w:rFonts w:ascii="Calibri" w:eastAsia="Times New Roman" w:hAnsi="Calibri"/>
                <w:b/>
                <w:color w:val="000000"/>
              </w:rPr>
              <w:t>Healthy Communities Study</w:t>
            </w:r>
            <w:r>
              <w:rPr>
                <w:rFonts w:ascii="Calibri" w:eastAsia="Times New Roman" w:hAnsi="Calibri"/>
                <w:b/>
                <w:color w:val="000000"/>
              </w:rPr>
              <w:t xml:space="preserve"> - </w:t>
            </w:r>
            <w:r w:rsidRPr="00FA0B02">
              <w:rPr>
                <w:rFonts w:ascii="Calibri" w:eastAsia="Times New Roman" w:hAnsi="Calibri"/>
                <w:b/>
                <w:color w:val="000000"/>
              </w:rPr>
              <w:t>Glossary of Terms</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 </w:t>
            </w:r>
          </w:p>
        </w:tc>
        <w:tc>
          <w:tcPr>
            <w:tcW w:w="6930"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 </w:t>
            </w:r>
          </w:p>
        </w:tc>
      </w:tr>
      <w:tr w:rsidR="00CF0AB2" w:rsidTr="00DF6EA4">
        <w:tc>
          <w:tcPr>
            <w:tcW w:w="2538" w:type="dxa"/>
            <w:vAlign w:val="center"/>
          </w:tcPr>
          <w:p w:rsidR="00CF0AB2" w:rsidRPr="00C324E1" w:rsidRDefault="00CF0AB2" w:rsidP="00DF6EA4">
            <w:pPr>
              <w:jc w:val="center"/>
              <w:rPr>
                <w:rFonts w:ascii="Calibri" w:eastAsia="Times New Roman" w:hAnsi="Calibri" w:cs="Times New Roman"/>
                <w:b/>
                <w:bCs/>
                <w:color w:val="000000"/>
              </w:rPr>
            </w:pPr>
          </w:p>
        </w:tc>
        <w:tc>
          <w:tcPr>
            <w:tcW w:w="6930" w:type="dxa"/>
          </w:tcPr>
          <w:p w:rsidR="00CF0AB2" w:rsidRDefault="00CF0AB2" w:rsidP="00DF6EA4">
            <w:pPr>
              <w:pStyle w:val="BHNormal"/>
              <w:jc w:val="center"/>
            </w:pPr>
            <w:r w:rsidRPr="00C324E1">
              <w:rPr>
                <w:rFonts w:ascii="Calibri" w:eastAsia="Times New Roman" w:hAnsi="Calibri"/>
                <w:b/>
                <w:bCs/>
                <w:color w:val="000000"/>
              </w:rPr>
              <w:t>A</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Activity</w:t>
            </w:r>
          </w:p>
        </w:tc>
        <w:tc>
          <w:tcPr>
            <w:tcW w:w="6930"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Activities are actions or inputs that are facilitated by or occur within the community or system and related to its goals and objectives</w:t>
            </w:r>
          </w:p>
        </w:tc>
      </w:tr>
      <w:tr w:rsidR="004D35BE" w:rsidTr="00DF6EA4">
        <w:tc>
          <w:tcPr>
            <w:tcW w:w="2538" w:type="dxa"/>
            <w:vAlign w:val="center"/>
          </w:tcPr>
          <w:p w:rsidR="004D35BE" w:rsidRPr="00C324E1" w:rsidRDefault="004D35BE" w:rsidP="00DF6EA4">
            <w:pPr>
              <w:rPr>
                <w:rFonts w:ascii="Calibri" w:eastAsia="Times New Roman" w:hAnsi="Calibri" w:cs="Times New Roman"/>
                <w:color w:val="000000"/>
              </w:rPr>
            </w:pPr>
            <w:r>
              <w:rPr>
                <w:rFonts w:ascii="Calibri" w:eastAsia="Times New Roman" w:hAnsi="Calibri" w:cs="Times New Roman"/>
                <w:color w:val="000000"/>
              </w:rPr>
              <w:t>ASA24</w:t>
            </w:r>
          </w:p>
        </w:tc>
        <w:tc>
          <w:tcPr>
            <w:tcW w:w="6930" w:type="dxa"/>
            <w:vAlign w:val="center"/>
          </w:tcPr>
          <w:p w:rsidR="004D35BE" w:rsidRPr="00354FED" w:rsidRDefault="004D35BE" w:rsidP="00354FED">
            <w:pPr>
              <w:rPr>
                <w:rFonts w:ascii="Calibri" w:eastAsia="Times New Roman" w:hAnsi="Calibri" w:cs="Times New Roman"/>
                <w:color w:val="000000" w:themeColor="text1"/>
              </w:rPr>
            </w:pPr>
            <w:r w:rsidRPr="00354FED">
              <w:rPr>
                <w:rFonts w:ascii="Calibri" w:eastAsia="Times New Roman" w:hAnsi="Calibri" w:cs="Times New Roman"/>
                <w:color w:val="000000" w:themeColor="text1"/>
              </w:rPr>
              <w:t xml:space="preserve">The </w:t>
            </w:r>
            <w:r w:rsidR="00354FED" w:rsidRPr="00354FED">
              <w:rPr>
                <w:rFonts w:ascii="Calibri" w:eastAsia="Times New Roman" w:hAnsi="Calibri" w:cs="Times New Roman"/>
                <w:color w:val="000000" w:themeColor="text1"/>
              </w:rPr>
              <w:t xml:space="preserve">National Cancer Institute (NCI) </w:t>
            </w:r>
            <w:r w:rsidRPr="00354FED">
              <w:rPr>
                <w:rFonts w:ascii="Calibri" w:eastAsia="Times New Roman" w:hAnsi="Calibri" w:cs="Times New Roman"/>
                <w:color w:val="000000" w:themeColor="text1"/>
              </w:rPr>
              <w:t>Automated Self-Administered 24 hour Recall</w:t>
            </w:r>
            <w:r w:rsidR="00354FED">
              <w:rPr>
                <w:rFonts w:ascii="Calibri" w:eastAsia="Times New Roman" w:hAnsi="Calibri" w:cs="Times New Roman"/>
                <w:color w:val="000000" w:themeColor="text1"/>
              </w:rPr>
              <w:t xml:space="preserve"> (ASA24) </w:t>
            </w:r>
            <w:r w:rsidRPr="00354FED">
              <w:rPr>
                <w:color w:val="000000" w:themeColor="text1"/>
              </w:rPr>
              <w:t xml:space="preserve">is a software tool that enables automated and self-administered 24-hour dietary recalls. The format and design of ASA24 are based on a modified version of the interviewer-administered </w:t>
            </w:r>
            <w:hyperlink r:id="rId6" w:history="1">
              <w:r w:rsidRPr="00354FED">
                <w:rPr>
                  <w:rStyle w:val="Hyperlink"/>
                  <w:color w:val="000000" w:themeColor="text1"/>
                </w:rPr>
                <w:t>Automated Multiple Pass Method (AMPM)</w:t>
              </w:r>
            </w:hyperlink>
            <w:r w:rsidRPr="00354FED">
              <w:rPr>
                <w:color w:val="000000" w:themeColor="text1"/>
              </w:rPr>
              <w:t xml:space="preserve"> 24-hour recall developed by the U.S. Department of Agriculture (USDA).  The ASA24 must be accessed via high-speed internet </w:t>
            </w:r>
            <w:r w:rsidR="00354FED" w:rsidRPr="00354FED">
              <w:rPr>
                <w:color w:val="000000" w:themeColor="text1"/>
              </w:rPr>
              <w:t>.  For the HCS the EMSI field interviewer will administer the dietary recall because experience to date suggests that higher response and completion rates are obtained with children if the instrument is interviewer-administered.</w:t>
            </w:r>
          </w:p>
        </w:tc>
      </w:tr>
      <w:tr w:rsidR="00CF0AB2" w:rsidTr="00335F53">
        <w:trPr>
          <w:trHeight w:val="215"/>
        </w:trPr>
        <w:tc>
          <w:tcPr>
            <w:tcW w:w="2538" w:type="dxa"/>
            <w:vAlign w:val="center"/>
          </w:tcPr>
          <w:p w:rsidR="00CF0AB2" w:rsidRPr="00C324E1" w:rsidRDefault="00CF0AB2" w:rsidP="00DF6EA4">
            <w:pPr>
              <w:jc w:val="center"/>
              <w:rPr>
                <w:rFonts w:ascii="Calibri" w:eastAsia="Times New Roman" w:hAnsi="Calibri" w:cs="Times New Roman"/>
                <w:b/>
                <w:bCs/>
                <w:color w:val="000000"/>
              </w:rPr>
            </w:pPr>
          </w:p>
        </w:tc>
        <w:tc>
          <w:tcPr>
            <w:tcW w:w="6930" w:type="dxa"/>
          </w:tcPr>
          <w:p w:rsidR="00CF0AB2" w:rsidRDefault="00CF0AB2" w:rsidP="00DF6EA4">
            <w:pPr>
              <w:pStyle w:val="BHNormal"/>
              <w:jc w:val="center"/>
            </w:pPr>
            <w:r w:rsidRPr="00C324E1">
              <w:rPr>
                <w:rFonts w:ascii="Calibri" w:eastAsia="Times New Roman" w:hAnsi="Calibri"/>
                <w:b/>
                <w:bCs/>
                <w:color w:val="000000"/>
              </w:rPr>
              <w:t>B</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BMI trajectory</w:t>
            </w:r>
          </w:p>
        </w:tc>
        <w:tc>
          <w:tcPr>
            <w:tcW w:w="6930"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 </w:t>
            </w:r>
            <w:r>
              <w:rPr>
                <w:rFonts w:ascii="Calibri" w:eastAsia="Times New Roman" w:hAnsi="Calibri" w:cs="Times New Roman"/>
                <w:color w:val="000000"/>
              </w:rPr>
              <w:t>A time series of BMI measurements collected on the same child based on combining direct assessments from  within home data collection with information abstracted from the medical record</w:t>
            </w:r>
          </w:p>
        </w:tc>
      </w:tr>
      <w:tr w:rsidR="00CF0AB2" w:rsidTr="00DF6EA4">
        <w:tc>
          <w:tcPr>
            <w:tcW w:w="2538" w:type="dxa"/>
            <w:vAlign w:val="center"/>
          </w:tcPr>
          <w:p w:rsidR="00CF0AB2" w:rsidRPr="00C324E1" w:rsidRDefault="00CF0AB2" w:rsidP="00DF6EA4">
            <w:pPr>
              <w:jc w:val="center"/>
              <w:rPr>
                <w:rFonts w:ascii="Calibri" w:eastAsia="Times New Roman" w:hAnsi="Calibri" w:cs="Times New Roman"/>
                <w:b/>
                <w:bCs/>
                <w:color w:val="000000"/>
              </w:rPr>
            </w:pPr>
          </w:p>
        </w:tc>
        <w:tc>
          <w:tcPr>
            <w:tcW w:w="6930" w:type="dxa"/>
            <w:vAlign w:val="center"/>
          </w:tcPr>
          <w:p w:rsidR="00CF0AB2" w:rsidRPr="00FA0B02" w:rsidRDefault="00CF0AB2" w:rsidP="00DF6EA4">
            <w:pPr>
              <w:jc w:val="center"/>
              <w:rPr>
                <w:rFonts w:ascii="Calibri" w:eastAsia="Times New Roman" w:hAnsi="Calibri" w:cs="Times New Roman"/>
                <w:b/>
                <w:color w:val="000000"/>
                <w:sz w:val="24"/>
                <w:szCs w:val="24"/>
              </w:rPr>
            </w:pPr>
            <w:r w:rsidRPr="00FA0B02">
              <w:rPr>
                <w:rFonts w:ascii="Calibri" w:eastAsia="Times New Roman" w:hAnsi="Calibri" w:cs="Times New Roman"/>
                <w:b/>
                <w:color w:val="000000"/>
                <w:sz w:val="24"/>
                <w:szCs w:val="24"/>
              </w:rPr>
              <w:t>C</w:t>
            </w:r>
          </w:p>
        </w:tc>
      </w:tr>
      <w:tr w:rsidR="00CF0AB2" w:rsidTr="00DF6EA4">
        <w:tc>
          <w:tcPr>
            <w:tcW w:w="2538" w:type="dxa"/>
            <w:vAlign w:val="center"/>
          </w:tcPr>
          <w:p w:rsidR="00CF0AB2" w:rsidRPr="00C324E1" w:rsidRDefault="00CF0AB2" w:rsidP="00402EF2">
            <w:pPr>
              <w:rPr>
                <w:rFonts w:ascii="Calibri" w:eastAsia="Times New Roman" w:hAnsi="Calibri" w:cs="Times New Roman"/>
                <w:color w:val="000000"/>
              </w:rPr>
            </w:pPr>
            <w:r w:rsidRPr="00C324E1">
              <w:rPr>
                <w:rFonts w:ascii="Calibri" w:eastAsia="Times New Roman" w:hAnsi="Calibri" w:cs="Times New Roman"/>
                <w:color w:val="000000"/>
              </w:rPr>
              <w:t>COCOMO</w:t>
            </w:r>
          </w:p>
        </w:tc>
        <w:tc>
          <w:tcPr>
            <w:tcW w:w="6930" w:type="dxa"/>
            <w:vAlign w:val="center"/>
          </w:tcPr>
          <w:p w:rsidR="00CF0AB2" w:rsidRPr="00C324E1" w:rsidRDefault="00472DAF" w:rsidP="00472DAF">
            <w:pPr>
              <w:rPr>
                <w:rFonts w:ascii="Calibri" w:eastAsia="Times New Roman" w:hAnsi="Calibri" w:cs="Times New Roman"/>
                <w:color w:val="000000"/>
              </w:rPr>
            </w:pPr>
            <w:r>
              <w:rPr>
                <w:rFonts w:ascii="Calibri" w:eastAsia="Times New Roman" w:hAnsi="Calibri" w:cs="Times New Roman"/>
                <w:color w:val="000000"/>
              </w:rPr>
              <w:t>Th</w:t>
            </w:r>
            <w:r w:rsidR="00CF0AB2" w:rsidRPr="00C324E1">
              <w:rPr>
                <w:rFonts w:ascii="Calibri" w:eastAsia="Times New Roman" w:hAnsi="Calibri" w:cs="Times New Roman"/>
                <w:color w:val="000000"/>
              </w:rPr>
              <w:t xml:space="preserve">e </w:t>
            </w:r>
            <w:r w:rsidR="00402EF2">
              <w:rPr>
                <w:rFonts w:ascii="Calibri" w:eastAsia="Times New Roman" w:hAnsi="Calibri" w:cs="Times New Roman"/>
                <w:color w:val="000000"/>
              </w:rPr>
              <w:t xml:space="preserve">strategies and measures </w:t>
            </w:r>
            <w:r>
              <w:rPr>
                <w:rFonts w:ascii="Calibri" w:eastAsia="Times New Roman" w:hAnsi="Calibri" w:cs="Times New Roman"/>
                <w:color w:val="000000"/>
              </w:rPr>
              <w:t>from</w:t>
            </w:r>
            <w:r w:rsidR="00402EF2">
              <w:rPr>
                <w:rFonts w:ascii="Calibri" w:eastAsia="Times New Roman" w:hAnsi="Calibri" w:cs="Times New Roman"/>
                <w:color w:val="000000"/>
              </w:rPr>
              <w:t xml:space="preserve"> the </w:t>
            </w:r>
            <w:r w:rsidR="00CF0AB2" w:rsidRPr="00C324E1">
              <w:rPr>
                <w:rFonts w:ascii="Calibri" w:eastAsia="Times New Roman" w:hAnsi="Calibri" w:cs="Times New Roman"/>
                <w:color w:val="000000"/>
              </w:rPr>
              <w:t xml:space="preserve">Common Community Measures for Obesity Prevention </w:t>
            </w:r>
            <w:r w:rsidR="00402EF2">
              <w:rPr>
                <w:rFonts w:ascii="Calibri" w:eastAsia="Times New Roman" w:hAnsi="Calibri" w:cs="Times New Roman"/>
                <w:color w:val="000000"/>
              </w:rPr>
              <w:t xml:space="preserve">project supported </w:t>
            </w:r>
            <w:r w:rsidR="00CF0AB2" w:rsidRPr="00C324E1">
              <w:rPr>
                <w:rFonts w:ascii="Calibri" w:eastAsia="Times New Roman" w:hAnsi="Calibri" w:cs="Times New Roman"/>
                <w:color w:val="000000"/>
              </w:rPr>
              <w:t>by the Centers for Disease Control and Prevention</w:t>
            </w:r>
            <w:r w:rsidR="00402EF2">
              <w:rPr>
                <w:rFonts w:ascii="Calibri" w:eastAsia="Times New Roman" w:hAnsi="Calibri" w:cs="Times New Roman"/>
                <w:color w:val="000000"/>
              </w:rPr>
              <w:t xml:space="preserve">, the Robert Wood Johnson Foundation, </w:t>
            </w:r>
            <w:r>
              <w:rPr>
                <w:rFonts w:ascii="Calibri" w:eastAsia="Times New Roman" w:hAnsi="Calibri" w:cs="Times New Roman"/>
                <w:color w:val="000000"/>
              </w:rPr>
              <w:t>the Kellogg Foundation, Kaiser Permanente, and the CDC Foundation</w:t>
            </w:r>
            <w:r w:rsidR="00CF0AB2" w:rsidRPr="00C324E1">
              <w:rPr>
                <w:rFonts w:ascii="Calibri" w:eastAsia="Times New Roman" w:hAnsi="Calibri" w:cs="Times New Roman"/>
                <w:color w:val="000000"/>
              </w:rPr>
              <w:t xml:space="preserve">. </w:t>
            </w:r>
            <w:r>
              <w:rPr>
                <w:rFonts w:ascii="Calibri" w:eastAsia="Times New Roman" w:hAnsi="Calibri" w:cs="Times New Roman"/>
                <w:color w:val="000000"/>
              </w:rPr>
              <w:t>Also</w:t>
            </w:r>
            <w:r w:rsidRPr="00C324E1">
              <w:rPr>
                <w:rFonts w:ascii="Calibri" w:eastAsia="Times New Roman" w:hAnsi="Calibri" w:cs="Times New Roman"/>
                <w:color w:val="000000"/>
              </w:rPr>
              <w:t xml:space="preserve"> referred to as the "Measures Project</w:t>
            </w:r>
            <w:r w:rsidR="00BB73AC">
              <w:rPr>
                <w:rFonts w:ascii="Calibri" w:eastAsia="Times New Roman" w:hAnsi="Calibri" w:cs="Times New Roman"/>
                <w:color w:val="000000"/>
              </w:rPr>
              <w:t>.</w:t>
            </w:r>
            <w:r w:rsidRPr="00C324E1">
              <w:rPr>
                <w:rFonts w:ascii="Calibri" w:eastAsia="Times New Roman" w:hAnsi="Calibri" w:cs="Times New Roman"/>
                <w:color w:val="000000"/>
              </w:rPr>
              <w:t xml:space="preserve">"  </w:t>
            </w:r>
            <w:r w:rsidR="00CF0AB2" w:rsidRPr="00C324E1">
              <w:rPr>
                <w:rFonts w:ascii="Calibri" w:eastAsia="Times New Roman" w:hAnsi="Calibri" w:cs="Times New Roman"/>
                <w:color w:val="000000"/>
              </w:rPr>
              <w:t xml:space="preserve">A complete listing of these strategies and measures are available at: http://www.cdc.gov/mmwr/preview/mmwrhtml/rr5807a1.htm. </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Community</w:t>
            </w:r>
          </w:p>
        </w:tc>
        <w:tc>
          <w:tcPr>
            <w:tcW w:w="6930" w:type="dxa"/>
            <w:vAlign w:val="center"/>
          </w:tcPr>
          <w:p w:rsidR="00CF0AB2" w:rsidRPr="00C324E1" w:rsidRDefault="00CF0AB2" w:rsidP="00472DAF">
            <w:pPr>
              <w:rPr>
                <w:rFonts w:ascii="Calibri" w:eastAsia="Times New Roman" w:hAnsi="Calibri" w:cs="Times New Roman"/>
                <w:color w:val="000000"/>
              </w:rPr>
            </w:pPr>
            <w:r w:rsidRPr="00C324E1">
              <w:rPr>
                <w:rFonts w:ascii="Calibri" w:eastAsia="Times New Roman" w:hAnsi="Calibri" w:cs="Times New Roman"/>
                <w:color w:val="000000"/>
              </w:rPr>
              <w:t xml:space="preserve">Any group sharing a common place, experience, or interest. Operationally defined for the </w:t>
            </w:r>
            <w:r w:rsidR="00472DAF">
              <w:rPr>
                <w:rFonts w:ascii="Calibri" w:eastAsia="Times New Roman" w:hAnsi="Calibri" w:cs="Times New Roman"/>
                <w:color w:val="000000"/>
              </w:rPr>
              <w:t>HCS</w:t>
            </w:r>
            <w:r w:rsidRPr="00C324E1">
              <w:rPr>
                <w:rFonts w:ascii="Calibri" w:eastAsia="Times New Roman" w:hAnsi="Calibri" w:cs="Times New Roman"/>
                <w:color w:val="000000"/>
              </w:rPr>
              <w:t xml:space="preserve"> as </w:t>
            </w:r>
            <w:r>
              <w:rPr>
                <w:rFonts w:ascii="Calibri" w:eastAsia="Times New Roman" w:hAnsi="Calibri" w:cs="Times New Roman"/>
                <w:color w:val="000000"/>
              </w:rPr>
              <w:t>a public high school catchment area</w:t>
            </w:r>
            <w:r w:rsidRPr="00C324E1">
              <w:rPr>
                <w:rFonts w:ascii="Calibri" w:eastAsia="Times New Roman" w:hAnsi="Calibri" w:cs="Times New Roman"/>
                <w:color w:val="000000"/>
              </w:rPr>
              <w:t>.</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Community Documenter</w:t>
            </w:r>
          </w:p>
        </w:tc>
        <w:tc>
          <w:tcPr>
            <w:tcW w:w="6930"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Individual who lives in the</w:t>
            </w:r>
            <w:r w:rsidR="00472DAF">
              <w:rPr>
                <w:rFonts w:ascii="Calibri" w:eastAsia="Times New Roman" w:hAnsi="Calibri" w:cs="Times New Roman"/>
                <w:color w:val="000000"/>
              </w:rPr>
              <w:t xml:space="preserve"> RIPA</w:t>
            </w:r>
            <w:r w:rsidRPr="00C324E1">
              <w:rPr>
                <w:rFonts w:ascii="Calibri" w:eastAsia="Times New Roman" w:hAnsi="Calibri" w:cs="Times New Roman"/>
                <w:color w:val="000000"/>
              </w:rPr>
              <w:t xml:space="preserve"> community (ideally one of the key informants) </w:t>
            </w:r>
            <w:r w:rsidR="00D6074F">
              <w:rPr>
                <w:rFonts w:ascii="Calibri" w:eastAsia="Times New Roman" w:hAnsi="Calibri" w:cs="Times New Roman"/>
                <w:color w:val="000000"/>
              </w:rPr>
              <w:t>and</w:t>
            </w:r>
            <w:r w:rsidRPr="00C324E1">
              <w:rPr>
                <w:rFonts w:ascii="Calibri" w:eastAsia="Times New Roman" w:hAnsi="Calibri" w:cs="Times New Roman"/>
                <w:color w:val="000000"/>
              </w:rPr>
              <w:t xml:space="preserve"> is hired by Battelle to prospectively track the progression of obesity programs and policies in their community.  </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Community Liaison</w:t>
            </w:r>
          </w:p>
        </w:tc>
        <w:tc>
          <w:tcPr>
            <w:tcW w:w="6930" w:type="dxa"/>
            <w:vAlign w:val="center"/>
          </w:tcPr>
          <w:p w:rsidR="00CF0AB2" w:rsidRPr="00C324E1" w:rsidRDefault="00CF0AB2" w:rsidP="00472DAF">
            <w:pPr>
              <w:rPr>
                <w:rFonts w:ascii="Calibri" w:eastAsia="Times New Roman" w:hAnsi="Calibri" w:cs="Times New Roman"/>
                <w:color w:val="000000"/>
              </w:rPr>
            </w:pPr>
            <w:r w:rsidRPr="00C324E1">
              <w:rPr>
                <w:rFonts w:ascii="Calibri" w:eastAsia="Times New Roman" w:hAnsi="Calibri" w:cs="Times New Roman"/>
                <w:color w:val="000000"/>
              </w:rPr>
              <w:t xml:space="preserve">Battelle employee who travels from community to community to </w:t>
            </w:r>
            <w:r w:rsidR="00472DAF">
              <w:rPr>
                <w:rFonts w:ascii="Calibri" w:eastAsia="Times New Roman" w:hAnsi="Calibri" w:cs="Times New Roman"/>
                <w:color w:val="000000"/>
              </w:rPr>
              <w:t>conduct outreach and interview</w:t>
            </w:r>
            <w:r w:rsidR="00472DAF" w:rsidRPr="00C324E1">
              <w:rPr>
                <w:rFonts w:ascii="Calibri" w:eastAsia="Times New Roman" w:hAnsi="Calibri" w:cs="Times New Roman"/>
                <w:color w:val="000000"/>
              </w:rPr>
              <w:t xml:space="preserve"> key informant</w:t>
            </w:r>
            <w:r w:rsidR="00472DAF">
              <w:rPr>
                <w:rFonts w:ascii="Calibri" w:eastAsia="Times New Roman" w:hAnsi="Calibri" w:cs="Times New Roman"/>
                <w:color w:val="000000"/>
              </w:rPr>
              <w:t xml:space="preserve">s, </w:t>
            </w:r>
            <w:r w:rsidRPr="00C324E1">
              <w:rPr>
                <w:rFonts w:ascii="Calibri" w:eastAsia="Times New Roman" w:hAnsi="Calibri" w:cs="Times New Roman"/>
                <w:color w:val="000000"/>
              </w:rPr>
              <w:t xml:space="preserve">train EMSI staff to conduct home visits, perform quality </w:t>
            </w:r>
            <w:r w:rsidR="00472DAF">
              <w:rPr>
                <w:rFonts w:ascii="Calibri" w:eastAsia="Times New Roman" w:hAnsi="Calibri" w:cs="Times New Roman"/>
                <w:color w:val="000000"/>
              </w:rPr>
              <w:t>control</w:t>
            </w:r>
            <w:r w:rsidR="00472DAF" w:rsidRPr="00C324E1">
              <w:rPr>
                <w:rFonts w:ascii="Calibri" w:eastAsia="Times New Roman" w:hAnsi="Calibri" w:cs="Times New Roman"/>
                <w:color w:val="000000"/>
              </w:rPr>
              <w:t xml:space="preserve"> </w:t>
            </w:r>
            <w:r w:rsidRPr="00C324E1">
              <w:rPr>
                <w:rFonts w:ascii="Calibri" w:eastAsia="Times New Roman" w:hAnsi="Calibri" w:cs="Times New Roman"/>
                <w:color w:val="000000"/>
              </w:rPr>
              <w:t xml:space="preserve">by observing home visits, and </w:t>
            </w:r>
            <w:r w:rsidR="00472DAF">
              <w:rPr>
                <w:rFonts w:ascii="Calibri" w:eastAsia="Times New Roman" w:hAnsi="Calibri" w:cs="Times New Roman"/>
                <w:color w:val="000000"/>
              </w:rPr>
              <w:t>perform</w:t>
            </w:r>
            <w:r w:rsidR="00472DAF" w:rsidRPr="00C324E1">
              <w:rPr>
                <w:rFonts w:ascii="Calibri" w:eastAsia="Times New Roman" w:hAnsi="Calibri" w:cs="Times New Roman"/>
                <w:color w:val="000000"/>
              </w:rPr>
              <w:t xml:space="preserve"> </w:t>
            </w:r>
            <w:r w:rsidRPr="00C324E1">
              <w:rPr>
                <w:rFonts w:ascii="Calibri" w:eastAsia="Times New Roman" w:hAnsi="Calibri" w:cs="Times New Roman"/>
                <w:color w:val="000000"/>
              </w:rPr>
              <w:t xml:space="preserve">environmental </w:t>
            </w:r>
            <w:r w:rsidR="00472DAF">
              <w:rPr>
                <w:rFonts w:ascii="Calibri" w:eastAsia="Times New Roman" w:hAnsi="Calibri" w:cs="Times New Roman"/>
                <w:color w:val="000000"/>
              </w:rPr>
              <w:t>observations</w:t>
            </w:r>
            <w:r w:rsidR="00472DAF" w:rsidRPr="00C324E1">
              <w:rPr>
                <w:rFonts w:ascii="Calibri" w:eastAsia="Times New Roman" w:hAnsi="Calibri" w:cs="Times New Roman"/>
                <w:color w:val="000000"/>
              </w:rPr>
              <w:t xml:space="preserve"> </w:t>
            </w:r>
            <w:r w:rsidRPr="00C324E1">
              <w:rPr>
                <w:rFonts w:ascii="Calibri" w:eastAsia="Times New Roman" w:hAnsi="Calibri" w:cs="Times New Roman"/>
                <w:color w:val="000000"/>
              </w:rPr>
              <w:t>within the communities.</w:t>
            </w:r>
          </w:p>
        </w:tc>
      </w:tr>
      <w:tr w:rsidR="00CF0AB2" w:rsidTr="00DF6EA4">
        <w:tc>
          <w:tcPr>
            <w:tcW w:w="2538" w:type="dxa"/>
            <w:vAlign w:val="center"/>
          </w:tcPr>
          <w:p w:rsidR="00CF0AB2" w:rsidRPr="00C324E1" w:rsidRDefault="00CF0AB2" w:rsidP="00DF6EA4">
            <w:pPr>
              <w:jc w:val="center"/>
              <w:rPr>
                <w:rFonts w:ascii="Calibri" w:eastAsia="Times New Roman" w:hAnsi="Calibri" w:cs="Times New Roman"/>
                <w:b/>
                <w:bCs/>
                <w:color w:val="000000"/>
              </w:rPr>
            </w:pPr>
          </w:p>
        </w:tc>
        <w:tc>
          <w:tcPr>
            <w:tcW w:w="6930" w:type="dxa"/>
            <w:vAlign w:val="center"/>
          </w:tcPr>
          <w:p w:rsidR="00CF0AB2" w:rsidRPr="00894B0C" w:rsidRDefault="00CF0AB2" w:rsidP="00DF6EA4">
            <w:pPr>
              <w:jc w:val="center"/>
              <w:rPr>
                <w:rFonts w:ascii="Calibri" w:eastAsia="Times New Roman" w:hAnsi="Calibri" w:cs="Times New Roman"/>
                <w:b/>
                <w:color w:val="000000"/>
                <w:sz w:val="24"/>
                <w:szCs w:val="24"/>
              </w:rPr>
            </w:pPr>
            <w:r w:rsidRPr="00894B0C">
              <w:rPr>
                <w:rFonts w:ascii="Calibri" w:eastAsia="Times New Roman" w:hAnsi="Calibri" w:cs="Times New Roman"/>
                <w:b/>
                <w:color w:val="000000"/>
                <w:sz w:val="24"/>
                <w:szCs w:val="24"/>
              </w:rPr>
              <w:t>D</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 </w:t>
            </w:r>
          </w:p>
        </w:tc>
        <w:tc>
          <w:tcPr>
            <w:tcW w:w="6930" w:type="dxa"/>
            <w:vAlign w:val="center"/>
          </w:tcPr>
          <w:p w:rsidR="00CF0AB2" w:rsidRPr="00894B0C" w:rsidRDefault="00CF0AB2" w:rsidP="00DF6EA4">
            <w:pPr>
              <w:jc w:val="center"/>
              <w:rPr>
                <w:rFonts w:ascii="Calibri" w:eastAsia="Times New Roman" w:hAnsi="Calibri" w:cs="Times New Roman"/>
                <w:b/>
                <w:color w:val="000000"/>
                <w:sz w:val="24"/>
                <w:szCs w:val="24"/>
              </w:rPr>
            </w:pPr>
          </w:p>
        </w:tc>
      </w:tr>
      <w:tr w:rsidR="00CF0AB2" w:rsidTr="00DF6EA4">
        <w:tc>
          <w:tcPr>
            <w:tcW w:w="2538" w:type="dxa"/>
            <w:vAlign w:val="center"/>
          </w:tcPr>
          <w:p w:rsidR="00CF0AB2" w:rsidRPr="00C324E1" w:rsidRDefault="00CF0AB2" w:rsidP="00DF6EA4">
            <w:pPr>
              <w:jc w:val="center"/>
              <w:rPr>
                <w:rFonts w:ascii="Calibri" w:eastAsia="Times New Roman" w:hAnsi="Calibri" w:cs="Times New Roman"/>
                <w:b/>
                <w:bCs/>
                <w:color w:val="000000"/>
              </w:rPr>
            </w:pPr>
          </w:p>
        </w:tc>
        <w:tc>
          <w:tcPr>
            <w:tcW w:w="6930" w:type="dxa"/>
            <w:vAlign w:val="center"/>
          </w:tcPr>
          <w:p w:rsidR="00CF0AB2" w:rsidRPr="00894B0C" w:rsidRDefault="00CF0AB2" w:rsidP="00DF6EA4">
            <w:pPr>
              <w:jc w:val="center"/>
              <w:rPr>
                <w:rFonts w:ascii="Calibri" w:eastAsia="Times New Roman" w:hAnsi="Calibri" w:cs="Times New Roman"/>
                <w:b/>
                <w:color w:val="000000"/>
                <w:sz w:val="24"/>
                <w:szCs w:val="24"/>
              </w:rPr>
            </w:pPr>
            <w:r w:rsidRPr="00894B0C">
              <w:rPr>
                <w:rFonts w:ascii="Calibri" w:eastAsia="Times New Roman" w:hAnsi="Calibri" w:cs="Times New Roman"/>
                <w:b/>
                <w:color w:val="000000"/>
                <w:sz w:val="24"/>
                <w:szCs w:val="24"/>
              </w:rPr>
              <w:t>E</w:t>
            </w:r>
          </w:p>
        </w:tc>
      </w:tr>
      <w:tr w:rsidR="00B27230" w:rsidTr="00DF6EA4">
        <w:tc>
          <w:tcPr>
            <w:tcW w:w="2538" w:type="dxa"/>
            <w:vAlign w:val="center"/>
          </w:tcPr>
          <w:p w:rsidR="00B27230" w:rsidRPr="00C324E1" w:rsidRDefault="00B27230" w:rsidP="00DF6EA4">
            <w:pPr>
              <w:rPr>
                <w:rFonts w:ascii="Calibri" w:eastAsia="Times New Roman" w:hAnsi="Calibri" w:cs="Times New Roman"/>
                <w:color w:val="000000"/>
              </w:rPr>
            </w:pPr>
            <w:r>
              <w:rPr>
                <w:rFonts w:ascii="Calibri" w:eastAsia="Times New Roman" w:hAnsi="Calibri" w:cs="Times New Roman"/>
                <w:color w:val="000000"/>
              </w:rPr>
              <w:t>Enhanced Protocol</w:t>
            </w:r>
          </w:p>
        </w:tc>
        <w:tc>
          <w:tcPr>
            <w:tcW w:w="6930" w:type="dxa"/>
            <w:vAlign w:val="center"/>
          </w:tcPr>
          <w:p w:rsidR="00B27230" w:rsidRDefault="00B27230" w:rsidP="00D807A6">
            <w:pPr>
              <w:rPr>
                <w:rFonts w:ascii="Calibri" w:hAnsi="Calibri" w:cs="Calibri"/>
              </w:rPr>
            </w:pPr>
            <w:r>
              <w:rPr>
                <w:rFonts w:ascii="Calibri" w:eastAsia="Times New Roman" w:hAnsi="Calibri" w:cs="Times New Roman"/>
                <w:color w:val="000000"/>
              </w:rPr>
              <w:t xml:space="preserve">More detailed measures collected of children (e.g., dietary recall) and communities. A randomly selected subsample of </w:t>
            </w:r>
            <w:r w:rsidR="00D807A6">
              <w:rPr>
                <w:rFonts w:ascii="Calibri" w:eastAsia="Times New Roman" w:hAnsi="Calibri" w:cs="Times New Roman"/>
                <w:color w:val="000000"/>
              </w:rPr>
              <w:t xml:space="preserve">1 in 6 (approximately </w:t>
            </w:r>
            <w:r>
              <w:rPr>
                <w:rFonts w:ascii="Calibri" w:eastAsia="Times New Roman" w:hAnsi="Calibri" w:cs="Times New Roman"/>
                <w:color w:val="000000"/>
              </w:rPr>
              <w:t>17%</w:t>
            </w:r>
            <w:r w:rsidR="00D807A6">
              <w:rPr>
                <w:rFonts w:ascii="Calibri" w:eastAsia="Times New Roman" w:hAnsi="Calibri" w:cs="Times New Roman"/>
                <w:color w:val="000000"/>
              </w:rPr>
              <w:t xml:space="preserve">) </w:t>
            </w:r>
            <w:r>
              <w:rPr>
                <w:rFonts w:ascii="Calibri" w:eastAsia="Times New Roman" w:hAnsi="Calibri" w:cs="Times New Roman"/>
                <w:color w:val="000000"/>
              </w:rPr>
              <w:t>children will receive the Enhanced Protocol</w:t>
            </w:r>
            <w:r w:rsidRPr="00C324E1">
              <w:rPr>
                <w:rFonts w:ascii="Calibri" w:eastAsia="Times New Roman" w:hAnsi="Calibri" w:cs="Times New Roman"/>
                <w:color w:val="000000"/>
              </w:rPr>
              <w:t>.</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Ethnicity</w:t>
            </w:r>
          </w:p>
        </w:tc>
        <w:tc>
          <w:tcPr>
            <w:tcW w:w="6930" w:type="dxa"/>
            <w:vAlign w:val="center"/>
          </w:tcPr>
          <w:p w:rsidR="00CF0AB2" w:rsidRPr="00894B0C" w:rsidRDefault="00CF0AB2" w:rsidP="00DF6EA4">
            <w:pPr>
              <w:rPr>
                <w:rFonts w:ascii="Calibri" w:eastAsia="Times New Roman" w:hAnsi="Calibri" w:cs="Times New Roman"/>
                <w:b/>
                <w:color w:val="000000"/>
                <w:sz w:val="24"/>
                <w:szCs w:val="24"/>
              </w:rPr>
            </w:pPr>
            <w:r>
              <w:rPr>
                <w:rFonts w:ascii="Calibri" w:hAnsi="Calibri" w:cs="Calibri"/>
              </w:rPr>
              <w:t xml:space="preserve">A group </w:t>
            </w:r>
            <w:r w:rsidRPr="009F1AA0">
              <w:rPr>
                <w:rFonts w:ascii="Calibri" w:hAnsi="Calibri" w:cs="Calibri"/>
              </w:rPr>
              <w:t xml:space="preserve">of people whose members identify with each other, through a common heritage, often consisting of a common language, a common culture (often including a shared religion) and an ideology that stresses </w:t>
            </w:r>
            <w:r w:rsidRPr="009F1AA0">
              <w:rPr>
                <w:rFonts w:ascii="Calibri" w:hAnsi="Calibri" w:cs="Calibri"/>
              </w:rPr>
              <w:lastRenderedPageBreak/>
              <w:t>common ancestry</w:t>
            </w:r>
          </w:p>
        </w:tc>
      </w:tr>
      <w:tr w:rsidR="00CF0AB2" w:rsidTr="00DF6EA4">
        <w:tc>
          <w:tcPr>
            <w:tcW w:w="2538" w:type="dxa"/>
            <w:vAlign w:val="center"/>
          </w:tcPr>
          <w:p w:rsidR="00CF0AB2" w:rsidRPr="00C324E1" w:rsidRDefault="00CF0AB2" w:rsidP="00DF6EA4">
            <w:pPr>
              <w:jc w:val="center"/>
              <w:rPr>
                <w:rFonts w:ascii="Calibri" w:eastAsia="Times New Roman" w:hAnsi="Calibri" w:cs="Times New Roman"/>
                <w:b/>
                <w:bCs/>
                <w:color w:val="000000"/>
              </w:rPr>
            </w:pPr>
          </w:p>
        </w:tc>
        <w:tc>
          <w:tcPr>
            <w:tcW w:w="6930" w:type="dxa"/>
            <w:vAlign w:val="center"/>
          </w:tcPr>
          <w:p w:rsidR="00CF0AB2" w:rsidRPr="00894B0C" w:rsidRDefault="00CF0AB2" w:rsidP="00DF6EA4">
            <w:pPr>
              <w:jc w:val="center"/>
              <w:rPr>
                <w:rFonts w:ascii="Calibri" w:eastAsia="Times New Roman" w:hAnsi="Calibri" w:cs="Times New Roman"/>
                <w:b/>
                <w:color w:val="000000"/>
                <w:sz w:val="24"/>
                <w:szCs w:val="24"/>
              </w:rPr>
            </w:pPr>
            <w:r w:rsidRPr="00894B0C">
              <w:rPr>
                <w:rFonts w:ascii="Calibri" w:eastAsia="Times New Roman" w:hAnsi="Calibri" w:cs="Times New Roman"/>
                <w:b/>
                <w:color w:val="000000"/>
                <w:sz w:val="24"/>
                <w:szCs w:val="24"/>
              </w:rPr>
              <w:t>F</w:t>
            </w:r>
          </w:p>
        </w:tc>
      </w:tr>
      <w:tr w:rsidR="00CF0AB2" w:rsidTr="00B27230">
        <w:trPr>
          <w:trHeight w:val="350"/>
        </w:trPr>
        <w:tc>
          <w:tcPr>
            <w:tcW w:w="2538"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 </w:t>
            </w:r>
          </w:p>
        </w:tc>
        <w:tc>
          <w:tcPr>
            <w:tcW w:w="6930" w:type="dxa"/>
            <w:vAlign w:val="center"/>
          </w:tcPr>
          <w:p w:rsidR="00CF0AB2" w:rsidRPr="00894B0C" w:rsidRDefault="00CF0AB2" w:rsidP="00DF6EA4">
            <w:pPr>
              <w:jc w:val="center"/>
              <w:rPr>
                <w:rFonts w:ascii="Calibri" w:eastAsia="Times New Roman" w:hAnsi="Calibri" w:cs="Times New Roman"/>
                <w:b/>
                <w:color w:val="000000"/>
                <w:sz w:val="24"/>
                <w:szCs w:val="24"/>
              </w:rPr>
            </w:pPr>
          </w:p>
        </w:tc>
      </w:tr>
      <w:tr w:rsidR="00CF0AB2" w:rsidTr="00DF6EA4">
        <w:tc>
          <w:tcPr>
            <w:tcW w:w="2538" w:type="dxa"/>
            <w:vAlign w:val="center"/>
          </w:tcPr>
          <w:p w:rsidR="00CF0AB2" w:rsidRPr="00C324E1" w:rsidRDefault="00CF0AB2" w:rsidP="00DF6EA4">
            <w:pPr>
              <w:jc w:val="center"/>
              <w:rPr>
                <w:rFonts w:ascii="Calibri" w:eastAsia="Times New Roman" w:hAnsi="Calibri" w:cs="Times New Roman"/>
                <w:b/>
                <w:bCs/>
                <w:color w:val="000000"/>
              </w:rPr>
            </w:pPr>
          </w:p>
        </w:tc>
        <w:tc>
          <w:tcPr>
            <w:tcW w:w="6930" w:type="dxa"/>
            <w:vAlign w:val="center"/>
          </w:tcPr>
          <w:p w:rsidR="00CF0AB2" w:rsidRPr="00894B0C" w:rsidRDefault="00CF0AB2" w:rsidP="00DF6EA4">
            <w:pPr>
              <w:jc w:val="center"/>
              <w:rPr>
                <w:rFonts w:ascii="Calibri" w:eastAsia="Times New Roman" w:hAnsi="Calibri" w:cs="Times New Roman"/>
                <w:b/>
                <w:color w:val="000000"/>
                <w:sz w:val="24"/>
                <w:szCs w:val="24"/>
              </w:rPr>
            </w:pPr>
            <w:r w:rsidRPr="00894B0C">
              <w:rPr>
                <w:rFonts w:ascii="Calibri" w:eastAsia="Times New Roman" w:hAnsi="Calibri" w:cs="Times New Roman"/>
                <w:b/>
                <w:color w:val="000000"/>
                <w:sz w:val="24"/>
                <w:szCs w:val="24"/>
              </w:rPr>
              <w:t>G</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 </w:t>
            </w:r>
          </w:p>
        </w:tc>
        <w:tc>
          <w:tcPr>
            <w:tcW w:w="6930" w:type="dxa"/>
            <w:vAlign w:val="center"/>
          </w:tcPr>
          <w:p w:rsidR="00CF0AB2" w:rsidRPr="00894B0C" w:rsidRDefault="00CF0AB2" w:rsidP="00DF6EA4">
            <w:pPr>
              <w:jc w:val="center"/>
              <w:rPr>
                <w:rFonts w:ascii="Calibri" w:eastAsia="Times New Roman" w:hAnsi="Calibri" w:cs="Times New Roman"/>
                <w:b/>
                <w:color w:val="000000"/>
                <w:sz w:val="24"/>
                <w:szCs w:val="24"/>
              </w:rPr>
            </w:pPr>
          </w:p>
        </w:tc>
      </w:tr>
      <w:tr w:rsidR="00CF0AB2" w:rsidTr="00DF6EA4">
        <w:tc>
          <w:tcPr>
            <w:tcW w:w="2538" w:type="dxa"/>
            <w:vAlign w:val="center"/>
          </w:tcPr>
          <w:p w:rsidR="00CF0AB2" w:rsidRPr="00C324E1" w:rsidRDefault="00CF0AB2" w:rsidP="00DF6EA4">
            <w:pPr>
              <w:jc w:val="center"/>
              <w:rPr>
                <w:rFonts w:ascii="Calibri" w:eastAsia="Times New Roman" w:hAnsi="Calibri" w:cs="Times New Roman"/>
                <w:b/>
                <w:bCs/>
                <w:color w:val="000000"/>
              </w:rPr>
            </w:pPr>
          </w:p>
        </w:tc>
        <w:tc>
          <w:tcPr>
            <w:tcW w:w="6930" w:type="dxa"/>
            <w:vAlign w:val="center"/>
          </w:tcPr>
          <w:p w:rsidR="00CF0AB2" w:rsidRPr="00894B0C" w:rsidRDefault="00CF0AB2" w:rsidP="00DF6EA4">
            <w:pPr>
              <w:jc w:val="center"/>
              <w:rPr>
                <w:rFonts w:ascii="Calibri" w:eastAsia="Times New Roman" w:hAnsi="Calibri" w:cs="Times New Roman"/>
                <w:b/>
                <w:color w:val="000000"/>
                <w:sz w:val="24"/>
                <w:szCs w:val="24"/>
              </w:rPr>
            </w:pPr>
            <w:r w:rsidRPr="00894B0C">
              <w:rPr>
                <w:rFonts w:ascii="Calibri" w:eastAsia="Times New Roman" w:hAnsi="Calibri" w:cs="Times New Roman"/>
                <w:b/>
                <w:color w:val="000000"/>
                <w:sz w:val="24"/>
                <w:szCs w:val="24"/>
              </w:rPr>
              <w:t>H</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 </w:t>
            </w:r>
          </w:p>
        </w:tc>
        <w:tc>
          <w:tcPr>
            <w:tcW w:w="6930" w:type="dxa"/>
            <w:vAlign w:val="center"/>
          </w:tcPr>
          <w:p w:rsidR="00CF0AB2" w:rsidRPr="00894B0C" w:rsidRDefault="00CF0AB2" w:rsidP="00DF6EA4">
            <w:pPr>
              <w:jc w:val="center"/>
              <w:rPr>
                <w:rFonts w:ascii="Calibri" w:eastAsia="Times New Roman" w:hAnsi="Calibri" w:cs="Times New Roman"/>
                <w:b/>
                <w:color w:val="000000"/>
                <w:sz w:val="24"/>
                <w:szCs w:val="24"/>
              </w:rPr>
            </w:pPr>
          </w:p>
        </w:tc>
      </w:tr>
      <w:tr w:rsidR="00CF0AB2" w:rsidTr="00DF6EA4">
        <w:tc>
          <w:tcPr>
            <w:tcW w:w="2538" w:type="dxa"/>
            <w:vAlign w:val="center"/>
          </w:tcPr>
          <w:p w:rsidR="00CF0AB2" w:rsidRPr="00C324E1" w:rsidRDefault="00CF0AB2" w:rsidP="00DF6EA4">
            <w:pPr>
              <w:jc w:val="center"/>
              <w:rPr>
                <w:rFonts w:ascii="Calibri" w:eastAsia="Times New Roman" w:hAnsi="Calibri" w:cs="Times New Roman"/>
                <w:b/>
                <w:bCs/>
                <w:color w:val="000000"/>
              </w:rPr>
            </w:pPr>
          </w:p>
        </w:tc>
        <w:tc>
          <w:tcPr>
            <w:tcW w:w="6930" w:type="dxa"/>
            <w:vAlign w:val="center"/>
          </w:tcPr>
          <w:p w:rsidR="00CF0AB2" w:rsidRPr="00894B0C" w:rsidRDefault="00CF0AB2" w:rsidP="00DF6EA4">
            <w:pPr>
              <w:jc w:val="center"/>
              <w:rPr>
                <w:rFonts w:ascii="Calibri" w:eastAsia="Times New Roman" w:hAnsi="Calibri" w:cs="Times New Roman"/>
                <w:b/>
                <w:color w:val="000000"/>
                <w:sz w:val="24"/>
                <w:szCs w:val="24"/>
              </w:rPr>
            </w:pPr>
            <w:r w:rsidRPr="00894B0C">
              <w:rPr>
                <w:rFonts w:ascii="Calibri" w:eastAsia="Times New Roman" w:hAnsi="Calibri" w:cs="Times New Roman"/>
                <w:b/>
                <w:color w:val="000000"/>
                <w:sz w:val="24"/>
                <w:szCs w:val="24"/>
              </w:rPr>
              <w:t>I</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Intensity Score</w:t>
            </w:r>
          </w:p>
        </w:tc>
        <w:tc>
          <w:tcPr>
            <w:tcW w:w="6930" w:type="dxa"/>
            <w:vAlign w:val="center"/>
          </w:tcPr>
          <w:p w:rsidR="00CF0AB2" w:rsidRPr="00C324E1" w:rsidRDefault="00CF0AB2" w:rsidP="005B012E">
            <w:pPr>
              <w:rPr>
                <w:rFonts w:ascii="Calibri" w:eastAsia="Times New Roman" w:hAnsi="Calibri" w:cs="Times New Roman"/>
                <w:color w:val="000000"/>
              </w:rPr>
            </w:pPr>
            <w:r w:rsidRPr="00C324E1">
              <w:rPr>
                <w:rFonts w:ascii="Calibri" w:eastAsia="Times New Roman" w:hAnsi="Calibri" w:cs="Times New Roman"/>
                <w:color w:val="000000"/>
              </w:rPr>
              <w:t> </w:t>
            </w:r>
            <w:r>
              <w:rPr>
                <w:rFonts w:ascii="Calibri" w:eastAsia="Times New Roman" w:hAnsi="Calibri" w:cs="Times New Roman"/>
                <w:color w:val="000000"/>
              </w:rPr>
              <w:t xml:space="preserve">The main independent predictor variables within the HCS that capture the intensity of program or policy implementation within a community </w:t>
            </w:r>
            <w:r w:rsidR="00D6074F">
              <w:rPr>
                <w:rFonts w:ascii="Calibri" w:eastAsia="Times New Roman" w:hAnsi="Calibri" w:cs="Times New Roman"/>
                <w:color w:val="000000"/>
              </w:rPr>
              <w:t xml:space="preserve">by summarizing </w:t>
            </w:r>
            <w:r>
              <w:rPr>
                <w:rFonts w:ascii="Calibri" w:eastAsia="Times New Roman" w:hAnsi="Calibri" w:cs="Times New Roman"/>
                <w:color w:val="000000"/>
              </w:rPr>
              <w:t xml:space="preserve">information collected via the key informant interviews, review of documents, </w:t>
            </w:r>
            <w:r w:rsidR="00D807A6">
              <w:rPr>
                <w:rFonts w:ascii="Calibri" w:eastAsia="Times New Roman" w:hAnsi="Calibri" w:cs="Times New Roman"/>
                <w:color w:val="000000"/>
              </w:rPr>
              <w:t>and/</w:t>
            </w:r>
            <w:r>
              <w:rPr>
                <w:rFonts w:ascii="Calibri" w:eastAsia="Times New Roman" w:hAnsi="Calibri" w:cs="Times New Roman"/>
                <w:color w:val="000000"/>
              </w:rPr>
              <w:t>or data compiled by the local community document</w:t>
            </w:r>
            <w:r w:rsidR="00D6074F">
              <w:rPr>
                <w:rFonts w:ascii="Calibri" w:eastAsia="Times New Roman" w:hAnsi="Calibri" w:cs="Times New Roman"/>
                <w:color w:val="000000"/>
              </w:rPr>
              <w:t>e</w:t>
            </w:r>
            <w:r>
              <w:rPr>
                <w:rFonts w:ascii="Calibri" w:eastAsia="Times New Roman" w:hAnsi="Calibri" w:cs="Times New Roman"/>
                <w:color w:val="000000"/>
              </w:rPr>
              <w:t>r.</w:t>
            </w:r>
          </w:p>
        </w:tc>
      </w:tr>
      <w:tr w:rsidR="00CF0AB2" w:rsidTr="00DF6EA4">
        <w:tc>
          <w:tcPr>
            <w:tcW w:w="2538" w:type="dxa"/>
            <w:vAlign w:val="center"/>
          </w:tcPr>
          <w:p w:rsidR="00CF0AB2" w:rsidRPr="00C324E1" w:rsidRDefault="00CF0AB2" w:rsidP="00DF6EA4">
            <w:pPr>
              <w:jc w:val="center"/>
              <w:rPr>
                <w:rFonts w:ascii="Calibri" w:eastAsia="Times New Roman" w:hAnsi="Calibri" w:cs="Times New Roman"/>
                <w:b/>
                <w:bCs/>
                <w:color w:val="000000"/>
              </w:rPr>
            </w:pPr>
          </w:p>
        </w:tc>
        <w:tc>
          <w:tcPr>
            <w:tcW w:w="6930" w:type="dxa"/>
            <w:vAlign w:val="center"/>
          </w:tcPr>
          <w:p w:rsidR="00CF0AB2" w:rsidRPr="00894B0C" w:rsidRDefault="00CF0AB2" w:rsidP="00DF6EA4">
            <w:pPr>
              <w:jc w:val="center"/>
              <w:rPr>
                <w:rFonts w:ascii="Calibri" w:eastAsia="Times New Roman" w:hAnsi="Calibri" w:cs="Times New Roman"/>
                <w:b/>
                <w:color w:val="000000"/>
                <w:sz w:val="24"/>
                <w:szCs w:val="24"/>
              </w:rPr>
            </w:pPr>
            <w:r w:rsidRPr="00894B0C">
              <w:rPr>
                <w:rFonts w:ascii="Calibri" w:eastAsia="Times New Roman" w:hAnsi="Calibri" w:cs="Times New Roman"/>
                <w:b/>
                <w:color w:val="000000"/>
                <w:sz w:val="24"/>
                <w:szCs w:val="24"/>
              </w:rPr>
              <w:t>J</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p>
        </w:tc>
        <w:tc>
          <w:tcPr>
            <w:tcW w:w="6930" w:type="dxa"/>
            <w:vAlign w:val="center"/>
          </w:tcPr>
          <w:p w:rsidR="00CF0AB2" w:rsidRPr="00894B0C" w:rsidRDefault="00CF0AB2" w:rsidP="00DF6EA4">
            <w:pPr>
              <w:jc w:val="center"/>
              <w:rPr>
                <w:rFonts w:ascii="Calibri" w:eastAsia="Times New Roman" w:hAnsi="Calibri" w:cs="Times New Roman"/>
                <w:b/>
                <w:color w:val="000000"/>
                <w:sz w:val="24"/>
                <w:szCs w:val="24"/>
              </w:rPr>
            </w:pPr>
          </w:p>
        </w:tc>
      </w:tr>
      <w:tr w:rsidR="00CF0AB2" w:rsidTr="00DF6EA4">
        <w:tc>
          <w:tcPr>
            <w:tcW w:w="2538" w:type="dxa"/>
            <w:vAlign w:val="center"/>
          </w:tcPr>
          <w:p w:rsidR="00CF0AB2" w:rsidRPr="00C324E1" w:rsidRDefault="00CF0AB2" w:rsidP="00DF6EA4">
            <w:pPr>
              <w:jc w:val="center"/>
              <w:rPr>
                <w:rFonts w:ascii="Calibri" w:eastAsia="Times New Roman" w:hAnsi="Calibri" w:cs="Times New Roman"/>
                <w:b/>
                <w:bCs/>
                <w:color w:val="000000"/>
              </w:rPr>
            </w:pPr>
          </w:p>
        </w:tc>
        <w:tc>
          <w:tcPr>
            <w:tcW w:w="6930" w:type="dxa"/>
            <w:vAlign w:val="center"/>
          </w:tcPr>
          <w:p w:rsidR="00CF0AB2" w:rsidRPr="00894B0C" w:rsidRDefault="00CF0AB2" w:rsidP="00DF6EA4">
            <w:pPr>
              <w:jc w:val="center"/>
              <w:rPr>
                <w:rFonts w:ascii="Calibri" w:eastAsia="Times New Roman" w:hAnsi="Calibri" w:cs="Times New Roman"/>
                <w:b/>
                <w:color w:val="000000"/>
                <w:sz w:val="24"/>
                <w:szCs w:val="24"/>
              </w:rPr>
            </w:pPr>
            <w:r w:rsidRPr="00894B0C">
              <w:rPr>
                <w:rFonts w:ascii="Calibri" w:eastAsia="Times New Roman" w:hAnsi="Calibri" w:cs="Times New Roman"/>
                <w:b/>
                <w:color w:val="000000"/>
                <w:sz w:val="24"/>
                <w:szCs w:val="24"/>
              </w:rPr>
              <w:t>K</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p>
        </w:tc>
        <w:tc>
          <w:tcPr>
            <w:tcW w:w="6930" w:type="dxa"/>
            <w:vAlign w:val="center"/>
          </w:tcPr>
          <w:p w:rsidR="00CF0AB2" w:rsidRPr="00894B0C" w:rsidRDefault="00CF0AB2" w:rsidP="00DF6EA4">
            <w:pPr>
              <w:jc w:val="center"/>
              <w:rPr>
                <w:rFonts w:ascii="Calibri" w:eastAsia="Times New Roman" w:hAnsi="Calibri" w:cs="Times New Roman"/>
                <w:b/>
                <w:color w:val="000000"/>
                <w:sz w:val="24"/>
                <w:szCs w:val="24"/>
              </w:rPr>
            </w:pPr>
          </w:p>
        </w:tc>
      </w:tr>
      <w:tr w:rsidR="00CF0AB2" w:rsidTr="00DF6EA4">
        <w:tc>
          <w:tcPr>
            <w:tcW w:w="2538" w:type="dxa"/>
            <w:vAlign w:val="center"/>
          </w:tcPr>
          <w:p w:rsidR="00CF0AB2" w:rsidRPr="00C324E1" w:rsidRDefault="00CF0AB2" w:rsidP="00DF6EA4">
            <w:pPr>
              <w:jc w:val="center"/>
              <w:rPr>
                <w:rFonts w:ascii="Calibri" w:eastAsia="Times New Roman" w:hAnsi="Calibri" w:cs="Times New Roman"/>
                <w:b/>
                <w:bCs/>
                <w:color w:val="000000"/>
              </w:rPr>
            </w:pPr>
          </w:p>
        </w:tc>
        <w:tc>
          <w:tcPr>
            <w:tcW w:w="6930" w:type="dxa"/>
            <w:vAlign w:val="center"/>
          </w:tcPr>
          <w:p w:rsidR="00CF0AB2" w:rsidRPr="00894B0C" w:rsidRDefault="00CF0AB2" w:rsidP="00DF6EA4">
            <w:pPr>
              <w:jc w:val="center"/>
              <w:rPr>
                <w:rFonts w:ascii="Calibri" w:eastAsia="Times New Roman" w:hAnsi="Calibri" w:cs="Times New Roman"/>
                <w:b/>
                <w:color w:val="000000"/>
                <w:sz w:val="24"/>
                <w:szCs w:val="24"/>
              </w:rPr>
            </w:pPr>
            <w:r w:rsidRPr="00894B0C">
              <w:rPr>
                <w:rFonts w:ascii="Calibri" w:eastAsia="Times New Roman" w:hAnsi="Calibri" w:cs="Times New Roman"/>
                <w:b/>
                <w:color w:val="000000"/>
                <w:sz w:val="24"/>
                <w:szCs w:val="24"/>
              </w:rPr>
              <w:t>L</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 </w:t>
            </w:r>
          </w:p>
        </w:tc>
        <w:tc>
          <w:tcPr>
            <w:tcW w:w="6930"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 </w:t>
            </w:r>
          </w:p>
        </w:tc>
      </w:tr>
      <w:tr w:rsidR="00CF0AB2" w:rsidTr="00DF6EA4">
        <w:tc>
          <w:tcPr>
            <w:tcW w:w="2538" w:type="dxa"/>
            <w:vAlign w:val="center"/>
          </w:tcPr>
          <w:p w:rsidR="00CF0AB2" w:rsidRPr="00C324E1" w:rsidRDefault="00CF0AB2" w:rsidP="00DF6EA4">
            <w:pPr>
              <w:jc w:val="center"/>
              <w:rPr>
                <w:rFonts w:ascii="Calibri" w:eastAsia="Times New Roman" w:hAnsi="Calibri" w:cs="Times New Roman"/>
                <w:b/>
                <w:bCs/>
                <w:color w:val="000000"/>
              </w:rPr>
            </w:pPr>
          </w:p>
        </w:tc>
        <w:tc>
          <w:tcPr>
            <w:tcW w:w="6930" w:type="dxa"/>
            <w:vAlign w:val="center"/>
          </w:tcPr>
          <w:p w:rsidR="00CF0AB2" w:rsidRPr="00894B0C" w:rsidRDefault="00CF0AB2" w:rsidP="00DF6EA4">
            <w:pPr>
              <w:jc w:val="center"/>
              <w:rPr>
                <w:rFonts w:ascii="Calibri" w:eastAsia="Times New Roman" w:hAnsi="Calibri" w:cs="Times New Roman"/>
                <w:b/>
                <w:color w:val="000000"/>
                <w:sz w:val="24"/>
                <w:szCs w:val="24"/>
              </w:rPr>
            </w:pPr>
            <w:r w:rsidRPr="00894B0C">
              <w:rPr>
                <w:rFonts w:ascii="Calibri" w:eastAsia="Times New Roman" w:hAnsi="Calibri" w:cs="Times New Roman"/>
                <w:b/>
                <w:color w:val="000000"/>
                <w:sz w:val="24"/>
                <w:szCs w:val="24"/>
              </w:rPr>
              <w:t>M</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MAPPS Strategies</w:t>
            </w:r>
          </w:p>
        </w:tc>
        <w:tc>
          <w:tcPr>
            <w:tcW w:w="6930" w:type="dxa"/>
            <w:vAlign w:val="center"/>
          </w:tcPr>
          <w:p w:rsidR="00472DAF" w:rsidRDefault="00472DAF" w:rsidP="00472DAF">
            <w:pPr>
              <w:rPr>
                <w:rFonts w:ascii="Calibri" w:eastAsia="Times New Roman" w:hAnsi="Calibri" w:cs="Times New Roman"/>
                <w:color w:val="000000"/>
              </w:rPr>
            </w:pPr>
            <w:r w:rsidRPr="00C324E1">
              <w:rPr>
                <w:rFonts w:ascii="Calibri" w:eastAsia="Times New Roman" w:hAnsi="Calibri" w:cs="Times New Roman"/>
                <w:color w:val="000000"/>
              </w:rPr>
              <w:t xml:space="preserve">Refers to a set of intervention </w:t>
            </w:r>
            <w:r>
              <w:rPr>
                <w:rFonts w:ascii="Calibri" w:eastAsia="Times New Roman" w:hAnsi="Calibri" w:cs="Times New Roman"/>
                <w:color w:val="000000"/>
              </w:rPr>
              <w:t xml:space="preserve">strategies </w:t>
            </w:r>
            <w:r w:rsidRPr="00C324E1">
              <w:rPr>
                <w:rFonts w:ascii="Calibri" w:eastAsia="Times New Roman" w:hAnsi="Calibri" w:cs="Times New Roman"/>
                <w:color w:val="000000"/>
              </w:rPr>
              <w:t xml:space="preserve">identified by the Centers for Disease Control and Prevention to promote engagement in physical activity and healthy eating. MAPPS is an acronym for the actual strategies:  Media, Access, Point of Decision Information, Price, and Social Support &amp; Services. </w:t>
            </w:r>
          </w:p>
          <w:p w:rsidR="00472DAF"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 Use Media to promote healthy foods/drinks and increase activity; restrict advertising and employ counter-advertising for tobacco and unhealthy foods/drinks.</w:t>
            </w:r>
            <w:r w:rsidRPr="00C324E1">
              <w:rPr>
                <w:rFonts w:ascii="Calibri" w:eastAsia="Times New Roman" w:hAnsi="Calibri" w:cs="Times New Roman"/>
                <w:color w:val="000000"/>
              </w:rPr>
              <w:br/>
              <w:t>• Increase Access to healthy food/drink choices and safe locations to be active and improve the built environment; reduce the availability of tobacco and unhealthy food/drinks.</w:t>
            </w:r>
            <w:r w:rsidRPr="00C324E1">
              <w:rPr>
                <w:rFonts w:ascii="Calibri" w:eastAsia="Times New Roman" w:hAnsi="Calibri" w:cs="Times New Roman"/>
                <w:color w:val="000000"/>
              </w:rPr>
              <w:br/>
              <w:t xml:space="preserve">• Use of Point of decision labeling/signage/placement to discourage consumption of tobacco, increase consumption of healthy foods/drinks, and prompt physical activity. </w:t>
            </w:r>
            <w:r w:rsidRPr="00C324E1">
              <w:rPr>
                <w:rFonts w:ascii="Calibri" w:eastAsia="Times New Roman" w:hAnsi="Calibri" w:cs="Times New Roman"/>
                <w:color w:val="000000"/>
              </w:rPr>
              <w:br/>
              <w:t xml:space="preserve">• Use Price to discourage consumption of tobacco and to benefit consumption of healthy foods/drinks. </w:t>
            </w:r>
            <w:r w:rsidRPr="00C324E1">
              <w:rPr>
                <w:rFonts w:ascii="Calibri" w:eastAsia="Times New Roman" w:hAnsi="Calibri" w:cs="Times New Roman"/>
                <w:color w:val="000000"/>
              </w:rPr>
              <w:br/>
              <w:t xml:space="preserve">• Use Social support/services to promote tobacco cessation, breastfeeding, and increased activity. </w:t>
            </w:r>
            <w:r w:rsidRPr="00C324E1">
              <w:rPr>
                <w:rFonts w:ascii="Calibri" w:eastAsia="Times New Roman" w:hAnsi="Calibri" w:cs="Times New Roman"/>
                <w:color w:val="000000"/>
              </w:rPr>
              <w:br/>
            </w:r>
            <w:r w:rsidR="00472DAF" w:rsidRPr="00C324E1">
              <w:rPr>
                <w:rFonts w:ascii="Calibri" w:eastAsia="Times New Roman" w:hAnsi="Calibri" w:cs="Times New Roman"/>
                <w:color w:val="000000"/>
              </w:rPr>
              <w:t>A complete listing of MAPPS strategies is available at:</w:t>
            </w:r>
          </w:p>
          <w:p w:rsidR="00472DAF" w:rsidRDefault="00472DAF" w:rsidP="00DF6EA4">
            <w:pPr>
              <w:rPr>
                <w:rFonts w:ascii="Calibri" w:eastAsia="Times New Roman" w:hAnsi="Calibri" w:cs="Times New Roman"/>
                <w:color w:val="000000"/>
              </w:rPr>
            </w:pPr>
            <w:r w:rsidRPr="00C324E1">
              <w:rPr>
                <w:rFonts w:ascii="Calibri" w:eastAsia="Times New Roman" w:hAnsi="Calibri" w:cs="Times New Roman"/>
                <w:color w:val="000000"/>
              </w:rPr>
              <w:t xml:space="preserve"> </w:t>
            </w:r>
            <w:hyperlink r:id="rId7" w:history="1">
              <w:r w:rsidRPr="00795C9A">
                <w:rPr>
                  <w:rStyle w:val="Hyperlink"/>
                  <w:rFonts w:ascii="Calibri" w:eastAsia="Times New Roman" w:hAnsi="Calibri" w:cs="Times New Roman"/>
                </w:rPr>
                <w:t>http://www.cdc.gov/chronicdisease/recovery/PDF/N_and_PA_MAPPS_strategies.pdf</w:t>
              </w:r>
            </w:hyperlink>
          </w:p>
          <w:p w:rsidR="00472DAF" w:rsidRDefault="00362349" w:rsidP="00DF6EA4">
            <w:pPr>
              <w:rPr>
                <w:rFonts w:ascii="Calibri" w:eastAsia="Times New Roman" w:hAnsi="Calibri" w:cs="Times New Roman"/>
                <w:color w:val="000000"/>
              </w:rPr>
            </w:pPr>
            <w:hyperlink r:id="rId8" w:history="1">
              <w:r w:rsidR="00472DAF" w:rsidRPr="00795C9A">
                <w:rPr>
                  <w:rStyle w:val="Hyperlink"/>
                  <w:rFonts w:ascii="Calibri" w:eastAsia="Times New Roman" w:hAnsi="Calibri" w:cs="Times New Roman"/>
                </w:rPr>
                <w:t>http://www.cdc.gov/CommunitiesPuttingPreventiontoWork/strategies/index.htm</w:t>
              </w:r>
            </w:hyperlink>
          </w:p>
          <w:p w:rsidR="00472DAF"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 xml:space="preserve">     </w:t>
            </w:r>
          </w:p>
          <w:p w:rsidR="00CF0AB2" w:rsidRPr="00C324E1" w:rsidRDefault="00472DAF" w:rsidP="00472DAF">
            <w:pPr>
              <w:rPr>
                <w:rFonts w:ascii="Calibri" w:eastAsia="Times New Roman" w:hAnsi="Calibri" w:cs="Times New Roman"/>
                <w:color w:val="000000"/>
              </w:rPr>
            </w:pPr>
            <w:r>
              <w:rPr>
                <w:rFonts w:ascii="Calibri" w:eastAsia="Times New Roman" w:hAnsi="Calibri" w:cs="Times New Roman"/>
                <w:color w:val="000000"/>
              </w:rPr>
              <w:lastRenderedPageBreak/>
              <w:t>These are the r</w:t>
            </w:r>
            <w:r w:rsidRPr="00C324E1">
              <w:rPr>
                <w:rFonts w:ascii="Calibri" w:eastAsia="Times New Roman" w:hAnsi="Calibri" w:cs="Times New Roman"/>
                <w:color w:val="000000"/>
              </w:rPr>
              <w:t>ecommended strategies for</w:t>
            </w:r>
            <w:r>
              <w:rPr>
                <w:rFonts w:ascii="Calibri" w:eastAsia="Times New Roman" w:hAnsi="Calibri" w:cs="Times New Roman"/>
                <w:color w:val="000000"/>
              </w:rPr>
              <w:t xml:space="preserve"> the </w:t>
            </w:r>
            <w:r w:rsidRPr="00C324E1">
              <w:rPr>
                <w:rFonts w:ascii="Calibri" w:eastAsia="Times New Roman" w:hAnsi="Calibri" w:cs="Times New Roman"/>
                <w:color w:val="000000"/>
              </w:rPr>
              <w:t>"Communities Putting Prevention to Work"</w:t>
            </w:r>
            <w:r>
              <w:rPr>
                <w:rFonts w:ascii="Calibri" w:eastAsia="Times New Roman" w:hAnsi="Calibri" w:cs="Times New Roman"/>
                <w:color w:val="000000"/>
              </w:rPr>
              <w:t xml:space="preserve"> program. </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lastRenderedPageBreak/>
              <w:t>Mediator</w:t>
            </w:r>
          </w:p>
        </w:tc>
        <w:tc>
          <w:tcPr>
            <w:tcW w:w="6930"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A mediating variable is one that explains the mechanism by which an independent variable affects a dependent variable.  Mediating variables, or mediators, are in the causal pathway between an independent and dependent variable.  Examples in HCS</w:t>
            </w:r>
            <w:r w:rsidR="00D6074F">
              <w:rPr>
                <w:rFonts w:ascii="Calibri" w:eastAsia="Times New Roman" w:hAnsi="Calibri" w:cs="Times New Roman"/>
                <w:color w:val="000000"/>
              </w:rPr>
              <w:t xml:space="preserve"> include </w:t>
            </w:r>
            <w:r w:rsidRPr="00C324E1">
              <w:rPr>
                <w:rFonts w:ascii="Calibri" w:eastAsia="Times New Roman" w:hAnsi="Calibri" w:cs="Times New Roman"/>
                <w:color w:val="000000"/>
              </w:rPr>
              <w:t>availability and access to healthful foods, parent support for healthy eating and physical activity; physical activity resources at home, parent rules about physical activity</w:t>
            </w:r>
            <w:r w:rsidR="00472DAF">
              <w:rPr>
                <w:rFonts w:ascii="Calibri" w:eastAsia="Times New Roman" w:hAnsi="Calibri" w:cs="Times New Roman"/>
                <w:color w:val="000000"/>
              </w:rPr>
              <w:t>.</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Moderator</w:t>
            </w:r>
          </w:p>
        </w:tc>
        <w:tc>
          <w:tcPr>
            <w:tcW w:w="6930"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A moderating variable is one that affects the relationship between an independent variable and a dependent variable such that the relationship varies depending on the moderator.  Moderators are also referred to as interactions.  Examples in HCS</w:t>
            </w:r>
            <w:r w:rsidR="00D6074F">
              <w:rPr>
                <w:rFonts w:ascii="Calibri" w:eastAsia="Times New Roman" w:hAnsi="Calibri" w:cs="Times New Roman"/>
                <w:color w:val="000000"/>
              </w:rPr>
              <w:t xml:space="preserve"> include </w:t>
            </w:r>
            <w:r w:rsidRPr="00C324E1">
              <w:rPr>
                <w:rFonts w:ascii="Calibri" w:eastAsia="Times New Roman" w:hAnsi="Calibri" w:cs="Times New Roman"/>
                <w:color w:val="000000"/>
              </w:rPr>
              <w:t>community obesity coalitions, socio</w:t>
            </w:r>
            <w:r w:rsidR="00472DAF">
              <w:rPr>
                <w:rFonts w:ascii="Calibri" w:eastAsia="Times New Roman" w:hAnsi="Calibri" w:cs="Times New Roman"/>
                <w:color w:val="000000"/>
              </w:rPr>
              <w:t>-</w:t>
            </w:r>
            <w:r w:rsidRPr="00C324E1">
              <w:rPr>
                <w:rFonts w:ascii="Calibri" w:eastAsia="Times New Roman" w:hAnsi="Calibri" w:cs="Times New Roman"/>
                <w:color w:val="000000"/>
              </w:rPr>
              <w:t>demographics, community contextual factors, school environments</w:t>
            </w:r>
            <w:r w:rsidR="00472DAF">
              <w:rPr>
                <w:rFonts w:ascii="Calibri" w:eastAsia="Times New Roman" w:hAnsi="Calibri" w:cs="Times New Roman"/>
                <w:color w:val="000000"/>
              </w:rPr>
              <w:t>.</w:t>
            </w:r>
          </w:p>
        </w:tc>
      </w:tr>
      <w:tr w:rsidR="00CF0AB2" w:rsidTr="00DF6EA4">
        <w:tc>
          <w:tcPr>
            <w:tcW w:w="2538" w:type="dxa"/>
            <w:vAlign w:val="center"/>
          </w:tcPr>
          <w:p w:rsidR="00CF0AB2" w:rsidRPr="00C324E1" w:rsidRDefault="00CF0AB2" w:rsidP="00DF6EA4">
            <w:pPr>
              <w:jc w:val="center"/>
              <w:rPr>
                <w:rFonts w:ascii="Calibri" w:eastAsia="Times New Roman" w:hAnsi="Calibri" w:cs="Times New Roman"/>
                <w:b/>
                <w:bCs/>
                <w:color w:val="000000"/>
              </w:rPr>
            </w:pPr>
          </w:p>
        </w:tc>
        <w:tc>
          <w:tcPr>
            <w:tcW w:w="6930" w:type="dxa"/>
            <w:vAlign w:val="center"/>
          </w:tcPr>
          <w:p w:rsidR="00CF0AB2" w:rsidRPr="00894B0C" w:rsidRDefault="00CF0AB2" w:rsidP="00DF6EA4">
            <w:pPr>
              <w:jc w:val="center"/>
              <w:rPr>
                <w:rFonts w:ascii="Calibri" w:eastAsia="Times New Roman" w:hAnsi="Calibri" w:cs="Times New Roman"/>
                <w:b/>
                <w:color w:val="000000"/>
                <w:sz w:val="24"/>
                <w:szCs w:val="24"/>
              </w:rPr>
            </w:pPr>
            <w:r w:rsidRPr="00894B0C">
              <w:rPr>
                <w:rFonts w:ascii="Calibri" w:eastAsia="Times New Roman" w:hAnsi="Calibri" w:cs="Times New Roman"/>
                <w:b/>
                <w:color w:val="000000"/>
                <w:sz w:val="24"/>
                <w:szCs w:val="24"/>
              </w:rPr>
              <w:t>N</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r>
              <w:rPr>
                <w:rFonts w:ascii="Calibri" w:eastAsia="Times New Roman" w:hAnsi="Calibri" w:cs="Times New Roman"/>
                <w:color w:val="000000"/>
              </w:rPr>
              <w:t>NCCOR</w:t>
            </w:r>
          </w:p>
        </w:tc>
        <w:tc>
          <w:tcPr>
            <w:tcW w:w="6930" w:type="dxa"/>
            <w:vAlign w:val="center"/>
          </w:tcPr>
          <w:p w:rsidR="005B012E" w:rsidRDefault="006D50CC">
            <w:pPr>
              <w:spacing w:after="200" w:line="276" w:lineRule="auto"/>
            </w:pPr>
            <w:r w:rsidRPr="006D50CC">
              <w:rPr>
                <w:rFonts w:eastAsia="Times New Roman" w:cstheme="minorHAnsi"/>
                <w:color w:val="000000"/>
              </w:rPr>
              <w:t xml:space="preserve">The National Collaborative on Childhood Obesity Research </w:t>
            </w:r>
            <w:r w:rsidR="00C22BF7">
              <w:rPr>
                <w:rFonts w:eastAsia="Times New Roman" w:cstheme="minorHAnsi"/>
                <w:color w:val="000000"/>
              </w:rPr>
              <w:t xml:space="preserve">(NCCOR) </w:t>
            </w:r>
            <w:r w:rsidRPr="006D50CC">
              <w:rPr>
                <w:rFonts w:eastAsia="Times New Roman" w:cstheme="minorHAnsi"/>
              </w:rPr>
              <w:t xml:space="preserve">brings together four of the nation’s leading research funders – the </w:t>
            </w:r>
            <w:r w:rsidRPr="006D50CC">
              <w:rPr>
                <w:rFonts w:eastAsia="Times New Roman" w:cstheme="minorHAnsi"/>
                <w:bCs/>
              </w:rPr>
              <w:t>Centers for Disease Control and Prevention,</w:t>
            </w:r>
            <w:r w:rsidRPr="006D50CC">
              <w:rPr>
                <w:rFonts w:eastAsia="Times New Roman" w:cstheme="minorHAnsi"/>
              </w:rPr>
              <w:t xml:space="preserve"> (CDC), the </w:t>
            </w:r>
            <w:r w:rsidRPr="006D50CC">
              <w:rPr>
                <w:rFonts w:eastAsia="Times New Roman" w:cstheme="minorHAnsi"/>
                <w:bCs/>
              </w:rPr>
              <w:t>National Institutes of Health</w:t>
            </w:r>
            <w:r w:rsidRPr="006D50CC">
              <w:rPr>
                <w:rFonts w:eastAsia="Times New Roman" w:cstheme="minorHAnsi"/>
              </w:rPr>
              <w:t xml:space="preserve"> (NIH), the </w:t>
            </w:r>
            <w:r w:rsidRPr="006D50CC">
              <w:rPr>
                <w:rFonts w:eastAsia="Times New Roman" w:cstheme="minorHAnsi"/>
                <w:bCs/>
              </w:rPr>
              <w:t>Robert Wood Johnson Foundation</w:t>
            </w:r>
            <w:r w:rsidRPr="006D50CC">
              <w:rPr>
                <w:rFonts w:eastAsia="Times New Roman" w:cstheme="minorHAnsi"/>
              </w:rPr>
              <w:t xml:space="preserve"> (RWJF) and the </w:t>
            </w:r>
            <w:r w:rsidRPr="006D50CC">
              <w:rPr>
                <w:rFonts w:eastAsia="Times New Roman" w:cstheme="minorHAnsi"/>
                <w:bCs/>
              </w:rPr>
              <w:t>United States Department of Agriculture</w:t>
            </w:r>
            <w:r w:rsidRPr="006D50CC">
              <w:rPr>
                <w:rFonts w:eastAsia="Times New Roman" w:cstheme="minorHAnsi"/>
              </w:rPr>
              <w:t xml:space="preserve"> (USDA) – to address the problem of childhood obesity in America.  NCCOR focuses </w:t>
            </w:r>
            <w:r w:rsidRPr="006D50CC">
              <w:rPr>
                <w:rFonts w:cstheme="minorHAnsi"/>
              </w:rPr>
              <w:t xml:space="preserve">on efforts that have the potential to benefit children, teens and their families, and the communities in which they live. </w:t>
            </w:r>
            <w:r w:rsidR="00C22BF7">
              <w:rPr>
                <w:rFonts w:cstheme="minorHAnsi"/>
              </w:rPr>
              <w:t xml:space="preserve"> </w:t>
            </w:r>
          </w:p>
        </w:tc>
      </w:tr>
      <w:tr w:rsidR="00CF0AB2" w:rsidTr="00DF6EA4">
        <w:tc>
          <w:tcPr>
            <w:tcW w:w="2538" w:type="dxa"/>
            <w:vAlign w:val="center"/>
          </w:tcPr>
          <w:p w:rsidR="00CF0AB2" w:rsidRPr="00C324E1" w:rsidRDefault="00CF0AB2" w:rsidP="00DF6EA4">
            <w:pPr>
              <w:jc w:val="center"/>
              <w:rPr>
                <w:rFonts w:ascii="Calibri" w:eastAsia="Times New Roman" w:hAnsi="Calibri" w:cs="Times New Roman"/>
                <w:b/>
                <w:bCs/>
                <w:color w:val="000000"/>
              </w:rPr>
            </w:pPr>
          </w:p>
        </w:tc>
        <w:tc>
          <w:tcPr>
            <w:tcW w:w="6930" w:type="dxa"/>
            <w:vAlign w:val="center"/>
          </w:tcPr>
          <w:p w:rsidR="00CF0AB2" w:rsidRPr="00894B0C" w:rsidRDefault="00CF0AB2" w:rsidP="00DF6EA4">
            <w:pPr>
              <w:jc w:val="center"/>
              <w:rPr>
                <w:rFonts w:ascii="Calibri" w:eastAsia="Times New Roman" w:hAnsi="Calibri" w:cs="Times New Roman"/>
                <w:b/>
                <w:color w:val="000000"/>
                <w:sz w:val="24"/>
                <w:szCs w:val="24"/>
              </w:rPr>
            </w:pPr>
            <w:r w:rsidRPr="00894B0C">
              <w:rPr>
                <w:rFonts w:ascii="Calibri" w:eastAsia="Times New Roman" w:hAnsi="Calibri" w:cs="Times New Roman"/>
                <w:b/>
                <w:color w:val="000000"/>
                <w:sz w:val="24"/>
                <w:szCs w:val="24"/>
              </w:rPr>
              <w:t>O</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Obesity</w:t>
            </w:r>
          </w:p>
        </w:tc>
        <w:tc>
          <w:tcPr>
            <w:tcW w:w="6930" w:type="dxa"/>
            <w:vAlign w:val="center"/>
          </w:tcPr>
          <w:p w:rsidR="00CF0AB2" w:rsidRPr="00C324E1" w:rsidRDefault="00D6074F" w:rsidP="00AE0EEA">
            <w:pPr>
              <w:rPr>
                <w:rFonts w:ascii="Calibri" w:eastAsia="Times New Roman" w:hAnsi="Calibri" w:cs="Times New Roman"/>
                <w:color w:val="000000"/>
              </w:rPr>
            </w:pPr>
            <w:r>
              <w:rPr>
                <w:rFonts w:ascii="Calibri" w:eastAsia="Times New Roman" w:hAnsi="Calibri" w:cs="Times New Roman"/>
                <w:color w:val="000000"/>
              </w:rPr>
              <w:t xml:space="preserve">Defined </w:t>
            </w:r>
            <w:r w:rsidR="00CF0AB2" w:rsidRPr="00C324E1">
              <w:rPr>
                <w:rFonts w:ascii="Calibri" w:eastAsia="Times New Roman" w:hAnsi="Calibri" w:cs="Times New Roman"/>
                <w:color w:val="000000"/>
              </w:rPr>
              <w:t>for children: BMI percentile</w:t>
            </w:r>
            <w:r w:rsidR="00CF0AB2" w:rsidRPr="00C324E1">
              <w:rPr>
                <w:rFonts w:ascii="Calibri" w:eastAsia="Times New Roman" w:hAnsi="Calibri" w:cs="Times New Roman"/>
                <w:color w:val="000000"/>
                <w:u w:val="single"/>
              </w:rPr>
              <w:t xml:space="preserve"> &gt;</w:t>
            </w:r>
            <w:r w:rsidR="00CF0AB2" w:rsidRPr="00C324E1">
              <w:rPr>
                <w:rFonts w:ascii="Calibri" w:eastAsia="Times New Roman" w:hAnsi="Calibri" w:cs="Times New Roman"/>
                <w:color w:val="000000"/>
              </w:rPr>
              <w:t xml:space="preserve">95th percentile for age and sex; for adults: BMI </w:t>
            </w:r>
            <w:r w:rsidR="00CF0AB2" w:rsidRPr="00C324E1">
              <w:rPr>
                <w:rFonts w:ascii="Calibri" w:eastAsia="Times New Roman" w:hAnsi="Calibri" w:cs="Times New Roman"/>
                <w:color w:val="000000"/>
                <w:u w:val="single"/>
              </w:rPr>
              <w:t>&gt;</w:t>
            </w:r>
            <w:r w:rsidR="00913C25">
              <w:rPr>
                <w:rFonts w:ascii="Calibri" w:eastAsia="Times New Roman" w:hAnsi="Calibri" w:cs="Times New Roman"/>
                <w:color w:val="000000"/>
              </w:rPr>
              <w:t xml:space="preserve"> 30</w:t>
            </w:r>
            <w:r w:rsidR="00CF0AB2" w:rsidRPr="00C324E1">
              <w:rPr>
                <w:rFonts w:ascii="Calibri" w:eastAsia="Times New Roman" w:hAnsi="Calibri" w:cs="Times New Roman"/>
                <w:color w:val="000000"/>
              </w:rPr>
              <w:t xml:space="preserve"> kg/m</w:t>
            </w:r>
            <w:r w:rsidR="00CF0AB2" w:rsidRPr="00C324E1">
              <w:rPr>
                <w:rFonts w:ascii="Calibri" w:eastAsia="Times New Roman" w:hAnsi="Calibri" w:cs="Times New Roman"/>
                <w:color w:val="000000"/>
                <w:vertAlign w:val="superscript"/>
              </w:rPr>
              <w:t>2</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Overweight</w:t>
            </w:r>
          </w:p>
        </w:tc>
        <w:tc>
          <w:tcPr>
            <w:tcW w:w="6930" w:type="dxa"/>
            <w:vAlign w:val="center"/>
          </w:tcPr>
          <w:p w:rsidR="00CF0AB2" w:rsidRPr="00C324E1" w:rsidRDefault="00D6074F" w:rsidP="00AE0EEA">
            <w:pPr>
              <w:rPr>
                <w:rFonts w:ascii="Calibri" w:eastAsia="Times New Roman" w:hAnsi="Calibri" w:cs="Times New Roman"/>
                <w:color w:val="000000"/>
              </w:rPr>
            </w:pPr>
            <w:r>
              <w:rPr>
                <w:rFonts w:ascii="Calibri" w:eastAsia="Times New Roman" w:hAnsi="Calibri" w:cs="Times New Roman"/>
                <w:color w:val="000000"/>
              </w:rPr>
              <w:t xml:space="preserve">Defined </w:t>
            </w:r>
            <w:r w:rsidR="00CF0AB2" w:rsidRPr="00C324E1">
              <w:rPr>
                <w:rFonts w:ascii="Calibri" w:eastAsia="Times New Roman" w:hAnsi="Calibri" w:cs="Times New Roman"/>
                <w:color w:val="000000"/>
              </w:rPr>
              <w:t>for</w:t>
            </w:r>
            <w:r w:rsidR="00AE0EEA">
              <w:rPr>
                <w:rFonts w:ascii="Calibri" w:eastAsia="Times New Roman" w:hAnsi="Calibri" w:cs="Times New Roman"/>
                <w:color w:val="000000"/>
              </w:rPr>
              <w:t xml:space="preserve"> </w:t>
            </w:r>
            <w:r w:rsidR="00CF0AB2" w:rsidRPr="00C324E1">
              <w:rPr>
                <w:rFonts w:ascii="Calibri" w:eastAsia="Times New Roman" w:hAnsi="Calibri" w:cs="Times New Roman"/>
                <w:color w:val="000000"/>
              </w:rPr>
              <w:t>children: BMI percentile</w:t>
            </w:r>
            <w:r w:rsidR="00CF0AB2" w:rsidRPr="00C324E1">
              <w:rPr>
                <w:rFonts w:ascii="Calibri" w:eastAsia="Times New Roman" w:hAnsi="Calibri" w:cs="Times New Roman"/>
                <w:color w:val="000000"/>
                <w:u w:val="single"/>
              </w:rPr>
              <w:t xml:space="preserve"> &gt;</w:t>
            </w:r>
            <w:r w:rsidR="00CF0AB2" w:rsidRPr="00C324E1">
              <w:rPr>
                <w:rFonts w:ascii="Calibri" w:eastAsia="Times New Roman" w:hAnsi="Calibri" w:cs="Times New Roman"/>
                <w:color w:val="000000"/>
              </w:rPr>
              <w:t xml:space="preserve">85th but &lt;95th percentile for age and sex; for adults: BMI </w:t>
            </w:r>
            <w:r w:rsidR="00CF0AB2" w:rsidRPr="00C324E1">
              <w:rPr>
                <w:rFonts w:ascii="Calibri" w:eastAsia="Times New Roman" w:hAnsi="Calibri" w:cs="Times New Roman"/>
                <w:color w:val="000000"/>
                <w:u w:val="single"/>
              </w:rPr>
              <w:t>&gt;</w:t>
            </w:r>
            <w:r w:rsidR="00913C25">
              <w:rPr>
                <w:rFonts w:ascii="Calibri" w:eastAsia="Times New Roman" w:hAnsi="Calibri" w:cs="Times New Roman"/>
                <w:color w:val="000000"/>
              </w:rPr>
              <w:t xml:space="preserve"> 25 and &lt;30</w:t>
            </w:r>
            <w:r w:rsidR="00CF0AB2" w:rsidRPr="00C324E1">
              <w:rPr>
                <w:rFonts w:ascii="Calibri" w:eastAsia="Times New Roman" w:hAnsi="Calibri" w:cs="Times New Roman"/>
                <w:color w:val="000000"/>
              </w:rPr>
              <w:t xml:space="preserve"> kg/m</w:t>
            </w:r>
            <w:r w:rsidR="00CF0AB2" w:rsidRPr="00C324E1">
              <w:rPr>
                <w:rFonts w:ascii="Calibri" w:eastAsia="Times New Roman" w:hAnsi="Calibri" w:cs="Times New Roman"/>
                <w:color w:val="000000"/>
                <w:vertAlign w:val="superscript"/>
              </w:rPr>
              <w:t>2</w:t>
            </w:r>
          </w:p>
        </w:tc>
      </w:tr>
      <w:tr w:rsidR="00CF0AB2" w:rsidTr="00DF6EA4">
        <w:tc>
          <w:tcPr>
            <w:tcW w:w="2538" w:type="dxa"/>
            <w:vAlign w:val="center"/>
          </w:tcPr>
          <w:p w:rsidR="00CF0AB2" w:rsidRPr="00C324E1" w:rsidRDefault="00CF0AB2" w:rsidP="00DF6EA4">
            <w:pPr>
              <w:jc w:val="center"/>
              <w:rPr>
                <w:rFonts w:ascii="Calibri" w:eastAsia="Times New Roman" w:hAnsi="Calibri" w:cs="Times New Roman"/>
                <w:b/>
                <w:bCs/>
                <w:color w:val="000000"/>
              </w:rPr>
            </w:pPr>
          </w:p>
        </w:tc>
        <w:tc>
          <w:tcPr>
            <w:tcW w:w="6930" w:type="dxa"/>
            <w:vAlign w:val="center"/>
          </w:tcPr>
          <w:p w:rsidR="00CF0AB2" w:rsidRPr="00894B0C" w:rsidRDefault="00CF0AB2" w:rsidP="00DF6EA4">
            <w:pPr>
              <w:jc w:val="center"/>
              <w:rPr>
                <w:rFonts w:ascii="Calibri" w:eastAsia="Times New Roman" w:hAnsi="Calibri" w:cs="Times New Roman"/>
                <w:b/>
                <w:color w:val="000000"/>
                <w:sz w:val="24"/>
                <w:szCs w:val="24"/>
              </w:rPr>
            </w:pPr>
            <w:r w:rsidRPr="00894B0C">
              <w:rPr>
                <w:rFonts w:ascii="Calibri" w:eastAsia="Times New Roman" w:hAnsi="Calibri" w:cs="Times New Roman"/>
                <w:b/>
                <w:color w:val="000000"/>
                <w:sz w:val="24"/>
                <w:szCs w:val="24"/>
              </w:rPr>
              <w:t>P</w:t>
            </w:r>
          </w:p>
        </w:tc>
      </w:tr>
      <w:tr w:rsidR="004D35BE" w:rsidTr="00DF6EA4">
        <w:tc>
          <w:tcPr>
            <w:tcW w:w="2538" w:type="dxa"/>
            <w:vAlign w:val="center"/>
          </w:tcPr>
          <w:p w:rsidR="004D35BE" w:rsidRPr="00C324E1" w:rsidRDefault="004D35BE" w:rsidP="00DF6EA4">
            <w:pPr>
              <w:rPr>
                <w:rFonts w:ascii="Calibri" w:eastAsia="Times New Roman" w:hAnsi="Calibri" w:cs="Times New Roman"/>
                <w:color w:val="000000"/>
              </w:rPr>
            </w:pPr>
            <w:r>
              <w:rPr>
                <w:rFonts w:ascii="Calibri" w:eastAsia="Times New Roman" w:hAnsi="Calibri" w:cs="Times New Roman"/>
                <w:color w:val="000000"/>
              </w:rPr>
              <w:t>PARA Instrument</w:t>
            </w:r>
          </w:p>
        </w:tc>
        <w:tc>
          <w:tcPr>
            <w:tcW w:w="6930" w:type="dxa"/>
            <w:vAlign w:val="center"/>
          </w:tcPr>
          <w:p w:rsidR="004D35BE" w:rsidRPr="00C324E1" w:rsidRDefault="004D35BE" w:rsidP="00DF6EA4">
            <w:pPr>
              <w:rPr>
                <w:rFonts w:ascii="Calibri" w:eastAsia="Times New Roman" w:hAnsi="Calibri" w:cs="Times New Roman"/>
                <w:color w:val="000000"/>
              </w:rPr>
            </w:pPr>
            <w:r>
              <w:rPr>
                <w:rFonts w:ascii="Calibri" w:eastAsia="Times New Roman" w:hAnsi="Calibri" w:cs="Times New Roman"/>
                <w:color w:val="000000"/>
              </w:rPr>
              <w:t xml:space="preserve">Physical Activity Resource Assessment (PARA) </w:t>
            </w:r>
            <w:r w:rsidRPr="004D35BE">
              <w:rPr>
                <w:rFonts w:eastAsia="Times New Roman" w:cstheme="minorHAnsi"/>
                <w:color w:val="000000" w:themeColor="text1"/>
              </w:rPr>
              <w:t xml:space="preserve">Instrument </w:t>
            </w:r>
            <w:r w:rsidRPr="004D35BE">
              <w:rPr>
                <w:rFonts w:cstheme="minorHAnsi"/>
                <w:color w:val="000000" w:themeColor="text1"/>
              </w:rPr>
              <w:t>is a brief, one-page instrument to systematically document and describe the type, features, amenities, quality and incivilities of a variety of physical activity resources.</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Policies</w:t>
            </w:r>
          </w:p>
        </w:tc>
        <w:tc>
          <w:tcPr>
            <w:tcW w:w="6930"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 xml:space="preserve">"Policies" are defined as basic principles, declared objectives, broad guidelines, regulations or laws.  Policies can be established by government at local, state, and federal levels, or by organizations, such as schools or worksites.  Examples of policies relevant to </w:t>
            </w:r>
            <w:r w:rsidR="00D6074F">
              <w:rPr>
                <w:rFonts w:ascii="Calibri" w:eastAsia="Times New Roman" w:hAnsi="Calibri" w:cs="Times New Roman"/>
                <w:color w:val="000000"/>
              </w:rPr>
              <w:t>HCS</w:t>
            </w:r>
            <w:r w:rsidRPr="00C324E1">
              <w:rPr>
                <w:rFonts w:ascii="Calibri" w:eastAsia="Times New Roman" w:hAnsi="Calibri" w:cs="Times New Roman"/>
                <w:color w:val="000000"/>
              </w:rPr>
              <w:t xml:space="preserve"> are at various levels and include requirements for restaurant calorie labeling, school-based BMI measurement and reporting, school food service guidelines, governmental provision of food commodities to schools, pre-school and daycare food and physical activity requirements, practices affecting youth exposure to unhealthy food advertising, school physical education requirements, zoning that allows establishment of physical activity opportunities like parks and trails, and many others.</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Program</w:t>
            </w:r>
          </w:p>
        </w:tc>
        <w:tc>
          <w:tcPr>
            <w:tcW w:w="6930" w:type="dxa"/>
            <w:vAlign w:val="center"/>
          </w:tcPr>
          <w:p w:rsidR="00CF0AB2" w:rsidRPr="00C324E1" w:rsidRDefault="00CF0AB2" w:rsidP="00FD00A3">
            <w:pPr>
              <w:rPr>
                <w:rFonts w:ascii="Calibri" w:eastAsia="Times New Roman" w:hAnsi="Calibri" w:cs="Times New Roman"/>
                <w:color w:val="000000"/>
              </w:rPr>
            </w:pPr>
            <w:r w:rsidRPr="00C324E1">
              <w:rPr>
                <w:rFonts w:ascii="Calibri" w:eastAsia="Times New Roman" w:hAnsi="Calibri" w:cs="Times New Roman"/>
                <w:color w:val="000000"/>
              </w:rPr>
              <w:t xml:space="preserve">A "program" is defined as a set of activities by governmental or other </w:t>
            </w:r>
            <w:r w:rsidRPr="00C324E1">
              <w:rPr>
                <w:rFonts w:ascii="Calibri" w:eastAsia="Times New Roman" w:hAnsi="Calibri" w:cs="Times New Roman"/>
                <w:color w:val="000000"/>
              </w:rPr>
              <w:lastRenderedPageBreak/>
              <w:t xml:space="preserve">bodies intended to achieve a stated goal. Programs can include activities with multiple targets (e.g., child, family, environment) or processes (e.g., classes, media, counseling), and can combine multiple approaches.  Programs relevant to this announcement include those that target energy balance in youth through diet and physical activity.  Generally a program is named.  Examples of programs include </w:t>
            </w:r>
            <w:r w:rsidR="006D50CC" w:rsidRPr="006D50CC">
              <w:rPr>
                <w:rFonts w:ascii="Calibri" w:hAnsi="Calibri"/>
                <w:color w:val="000000"/>
              </w:rPr>
              <w:t xml:space="preserve">NIH's </w:t>
            </w:r>
            <w:r w:rsidR="00785DC0" w:rsidRPr="00785DC0">
              <w:rPr>
                <w:rFonts w:ascii="Calibri" w:hAnsi="Calibri"/>
                <w:b/>
                <w:i/>
                <w:color w:val="000000"/>
              </w:rPr>
              <w:t>We Can!</w:t>
            </w:r>
            <w:r w:rsidR="00FD00A3">
              <w:rPr>
                <w:rFonts w:ascii="Calibri" w:hAnsi="Calibri"/>
                <w:color w:val="000000"/>
              </w:rPr>
              <w:t xml:space="preserve"> </w:t>
            </w:r>
            <w:r w:rsidRPr="00C324E1">
              <w:rPr>
                <w:rFonts w:ascii="Calibri" w:eastAsia="Times New Roman" w:hAnsi="Calibri" w:cs="Times New Roman"/>
                <w:color w:val="000000"/>
              </w:rPr>
              <w:t xml:space="preserve"> (Ways to Enhance Children's Activity and Nutrition)</w:t>
            </w:r>
            <w:r w:rsidR="00FD00A3">
              <w:rPr>
                <w:rFonts w:ascii="Calibri" w:eastAsia="Times New Roman" w:hAnsi="Calibri" w:cs="Times New Roman"/>
                <w:color w:val="000000"/>
              </w:rPr>
              <w:t>® program</w:t>
            </w:r>
            <w:r w:rsidRPr="00C324E1">
              <w:rPr>
                <w:rFonts w:ascii="Calibri" w:eastAsia="Times New Roman" w:hAnsi="Calibri" w:cs="Times New Roman"/>
                <w:color w:val="000000"/>
              </w:rPr>
              <w:t>, the RWJF's Healthy Kids, Healthy Communities program, and the CDC Steps/REACH and State Nutrition, Physical Activity and Obesity (NPAO) programs.  Programs also can be defined in terms of local and/or external resources provided to enable communities to engage in a set of activities or assessments, such as expert consultation, technical assistance, specific intervention tools or materials, and/or funding.</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lastRenderedPageBreak/>
              <w:t>Promising program/ policy</w:t>
            </w:r>
          </w:p>
        </w:tc>
        <w:tc>
          <w:tcPr>
            <w:tcW w:w="6930" w:type="dxa"/>
            <w:vAlign w:val="center"/>
          </w:tcPr>
          <w:p w:rsidR="00CF0AB2" w:rsidRPr="00C324E1" w:rsidRDefault="006D50CC" w:rsidP="00DF6EA4">
            <w:pPr>
              <w:rPr>
                <w:rFonts w:ascii="Calibri" w:eastAsia="Times New Roman" w:hAnsi="Calibri" w:cs="Times New Roman"/>
                <w:color w:val="000000"/>
              </w:rPr>
            </w:pPr>
            <w:r w:rsidRPr="00AE0EEA">
              <w:rPr>
                <w:rFonts w:ascii="Calibri" w:hAnsi="Calibri"/>
                <w:color w:val="000000"/>
              </w:rPr>
              <w:t>A</w:t>
            </w:r>
            <w:r w:rsidRPr="006D50CC">
              <w:rPr>
                <w:rFonts w:ascii="Calibri" w:hAnsi="Calibri"/>
                <w:color w:val="000000"/>
              </w:rPr>
              <w:t xml:space="preserve"> promising program or policy is defined as a known program or policy that is either evidence-based or is strong enough to reasonably expect to see an impact if studied</w:t>
            </w:r>
            <w:r w:rsidR="00FD00A3">
              <w:rPr>
                <w:rFonts w:ascii="Calibri" w:hAnsi="Calibri"/>
                <w:color w:val="000000"/>
              </w:rPr>
              <w:t>.</w:t>
            </w:r>
          </w:p>
        </w:tc>
      </w:tr>
      <w:tr w:rsidR="00CF0AB2" w:rsidTr="00DF6EA4">
        <w:tc>
          <w:tcPr>
            <w:tcW w:w="2538" w:type="dxa"/>
            <w:vAlign w:val="center"/>
          </w:tcPr>
          <w:p w:rsidR="00CF0AB2" w:rsidRPr="00C324E1" w:rsidRDefault="00CF0AB2" w:rsidP="00DF6EA4">
            <w:pPr>
              <w:jc w:val="center"/>
              <w:rPr>
                <w:rFonts w:ascii="Calibri" w:eastAsia="Times New Roman" w:hAnsi="Calibri" w:cs="Times New Roman"/>
                <w:b/>
                <w:bCs/>
                <w:color w:val="000000"/>
              </w:rPr>
            </w:pPr>
          </w:p>
        </w:tc>
        <w:tc>
          <w:tcPr>
            <w:tcW w:w="6930" w:type="dxa"/>
            <w:vAlign w:val="center"/>
          </w:tcPr>
          <w:p w:rsidR="00CF0AB2" w:rsidRPr="00894B0C" w:rsidRDefault="00CF0AB2" w:rsidP="00DF6EA4">
            <w:pPr>
              <w:jc w:val="center"/>
              <w:rPr>
                <w:rFonts w:ascii="Calibri" w:eastAsia="Times New Roman" w:hAnsi="Calibri" w:cs="Times New Roman"/>
                <w:b/>
                <w:color w:val="000000"/>
                <w:sz w:val="24"/>
                <w:szCs w:val="24"/>
              </w:rPr>
            </w:pPr>
            <w:r w:rsidRPr="00894B0C">
              <w:rPr>
                <w:rFonts w:ascii="Calibri" w:eastAsia="Times New Roman" w:hAnsi="Calibri" w:cs="Times New Roman"/>
                <w:b/>
                <w:color w:val="000000"/>
                <w:sz w:val="24"/>
                <w:szCs w:val="24"/>
              </w:rPr>
              <w:t>Q</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p>
        </w:tc>
        <w:tc>
          <w:tcPr>
            <w:tcW w:w="6930" w:type="dxa"/>
            <w:vAlign w:val="center"/>
          </w:tcPr>
          <w:p w:rsidR="00CF0AB2" w:rsidRPr="00894B0C" w:rsidRDefault="00CF0AB2" w:rsidP="00DF6EA4">
            <w:pPr>
              <w:jc w:val="center"/>
              <w:rPr>
                <w:rFonts w:ascii="Calibri" w:eastAsia="Times New Roman" w:hAnsi="Calibri" w:cs="Times New Roman"/>
                <w:b/>
                <w:color w:val="000000"/>
                <w:sz w:val="24"/>
                <w:szCs w:val="24"/>
              </w:rPr>
            </w:pPr>
          </w:p>
        </w:tc>
      </w:tr>
      <w:tr w:rsidR="00CF0AB2" w:rsidTr="00DF6EA4">
        <w:tc>
          <w:tcPr>
            <w:tcW w:w="2538" w:type="dxa"/>
            <w:vAlign w:val="center"/>
          </w:tcPr>
          <w:p w:rsidR="00CF0AB2" w:rsidRPr="00C324E1" w:rsidRDefault="00CF0AB2" w:rsidP="00DF6EA4">
            <w:pPr>
              <w:jc w:val="center"/>
              <w:rPr>
                <w:rFonts w:ascii="Calibri" w:eastAsia="Times New Roman" w:hAnsi="Calibri" w:cs="Times New Roman"/>
                <w:b/>
                <w:bCs/>
                <w:color w:val="000000"/>
              </w:rPr>
            </w:pPr>
          </w:p>
        </w:tc>
        <w:tc>
          <w:tcPr>
            <w:tcW w:w="6930" w:type="dxa"/>
            <w:vAlign w:val="center"/>
          </w:tcPr>
          <w:p w:rsidR="00CF0AB2" w:rsidRPr="00894B0C" w:rsidRDefault="00CF0AB2" w:rsidP="00DF6EA4">
            <w:pPr>
              <w:jc w:val="center"/>
              <w:rPr>
                <w:rFonts w:ascii="Calibri" w:eastAsia="Times New Roman" w:hAnsi="Calibri" w:cs="Times New Roman"/>
                <w:b/>
                <w:color w:val="000000"/>
                <w:sz w:val="24"/>
                <w:szCs w:val="24"/>
              </w:rPr>
            </w:pPr>
            <w:r w:rsidRPr="00894B0C">
              <w:rPr>
                <w:rFonts w:ascii="Calibri" w:eastAsia="Times New Roman" w:hAnsi="Calibri" w:cs="Times New Roman"/>
                <w:b/>
                <w:color w:val="000000"/>
                <w:sz w:val="24"/>
                <w:szCs w:val="24"/>
              </w:rPr>
              <w:t>R</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Race</w:t>
            </w:r>
          </w:p>
        </w:tc>
        <w:tc>
          <w:tcPr>
            <w:tcW w:w="6930" w:type="dxa"/>
            <w:vAlign w:val="center"/>
          </w:tcPr>
          <w:p w:rsidR="005B012E" w:rsidRDefault="009006B9">
            <w:pPr>
              <w:rPr>
                <w:rFonts w:ascii="Calibri" w:hAnsi="Calibri"/>
                <w:color w:val="000000"/>
              </w:rPr>
            </w:pPr>
            <w:r w:rsidRPr="00C324E1">
              <w:rPr>
                <w:rFonts w:ascii="Calibri" w:eastAsia="Times New Roman" w:hAnsi="Calibri" w:cs="Times New Roman"/>
                <w:color w:val="000000"/>
              </w:rPr>
              <w:t>White, Black</w:t>
            </w:r>
            <w:r w:rsidR="006D50CC" w:rsidRPr="006D50CC">
              <w:rPr>
                <w:rFonts w:ascii="Calibri" w:hAnsi="Calibri"/>
                <w:color w:val="000000"/>
              </w:rPr>
              <w:t>/African American, American Indian, Alaskan Native, Native Hawaiian, Guamanian, Samoan, Other Pacific Islander (Specify), Asian Indian, Chinese, Filipino, Japanese, Korean, Vietnamese, Other Asian (Specify), Some other race (Specify)</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RIPA</w:t>
            </w:r>
            <w:r w:rsidR="009006B9">
              <w:rPr>
                <w:rFonts w:ascii="Calibri" w:eastAsia="Times New Roman" w:hAnsi="Calibri" w:cs="Times New Roman"/>
                <w:color w:val="000000"/>
              </w:rPr>
              <w:t xml:space="preserve"> Community</w:t>
            </w:r>
          </w:p>
        </w:tc>
        <w:tc>
          <w:tcPr>
            <w:tcW w:w="6930" w:type="dxa"/>
            <w:vAlign w:val="center"/>
          </w:tcPr>
          <w:p w:rsidR="00CF0AB2" w:rsidRPr="00C324E1" w:rsidRDefault="00CF0AB2" w:rsidP="00D807A6">
            <w:pPr>
              <w:rPr>
                <w:rFonts w:ascii="Calibri" w:eastAsia="Times New Roman" w:hAnsi="Calibri" w:cs="Times New Roman"/>
                <w:color w:val="000000"/>
              </w:rPr>
            </w:pPr>
            <w:r w:rsidRPr="00C324E1">
              <w:rPr>
                <w:rFonts w:ascii="Calibri" w:eastAsia="Times New Roman" w:hAnsi="Calibri" w:cs="Times New Roman"/>
                <w:color w:val="000000"/>
              </w:rPr>
              <w:t xml:space="preserve">Repeat in-person assessment </w:t>
            </w:r>
            <w:r w:rsidR="006D4E36">
              <w:rPr>
                <w:rFonts w:ascii="Calibri" w:eastAsia="Times New Roman" w:hAnsi="Calibri" w:cs="Times New Roman"/>
                <w:color w:val="000000"/>
              </w:rPr>
              <w:t xml:space="preserve">(RIPA) </w:t>
            </w:r>
            <w:r w:rsidRPr="00C324E1">
              <w:rPr>
                <w:rFonts w:ascii="Calibri" w:eastAsia="Times New Roman" w:hAnsi="Calibri" w:cs="Times New Roman"/>
                <w:color w:val="000000"/>
              </w:rPr>
              <w:t xml:space="preserve">communities </w:t>
            </w:r>
            <w:r w:rsidR="006D4E36">
              <w:rPr>
                <w:rFonts w:ascii="Calibri" w:eastAsia="Times New Roman" w:hAnsi="Calibri" w:cs="Times New Roman"/>
                <w:color w:val="000000"/>
              </w:rPr>
              <w:t xml:space="preserve">are </w:t>
            </w:r>
            <w:r w:rsidR="00D807A6">
              <w:rPr>
                <w:rFonts w:ascii="Calibri" w:eastAsia="Times New Roman" w:hAnsi="Calibri" w:cs="Times New Roman"/>
                <w:color w:val="000000"/>
              </w:rPr>
              <w:t>the first 40 communities visited in Wave 2 of the study that will undergo both a remote follow-up two years after baseline, and will have a second in-person assessment three years after baseline.</w:t>
            </w:r>
            <w:r>
              <w:rPr>
                <w:rFonts w:ascii="Calibri" w:eastAsia="Times New Roman" w:hAnsi="Calibri" w:cs="Times New Roman"/>
                <w:color w:val="000000"/>
              </w:rPr>
              <w:t xml:space="preserve">  These communities will also include the use of a local </w:t>
            </w:r>
            <w:r w:rsidR="00FD00A3">
              <w:rPr>
                <w:rFonts w:ascii="Calibri" w:eastAsia="Times New Roman" w:hAnsi="Calibri" w:cs="Times New Roman"/>
                <w:color w:val="000000"/>
              </w:rPr>
              <w:t xml:space="preserve">community </w:t>
            </w:r>
            <w:r>
              <w:rPr>
                <w:rFonts w:ascii="Calibri" w:eastAsia="Times New Roman" w:hAnsi="Calibri" w:cs="Times New Roman"/>
                <w:color w:val="000000"/>
              </w:rPr>
              <w:t>documenter hired to prospectively assess program and policy changes on a quarterly basis between the baseline assessment and the 3-year follow-up assessment</w:t>
            </w:r>
            <w:r w:rsidR="008763B6">
              <w:rPr>
                <w:rFonts w:ascii="Calibri" w:eastAsia="Times New Roman" w:hAnsi="Calibri" w:cs="Times New Roman"/>
                <w:color w:val="000000"/>
              </w:rPr>
              <w:t>.</w:t>
            </w:r>
          </w:p>
        </w:tc>
      </w:tr>
      <w:tr w:rsidR="00CF0AB2" w:rsidTr="00DF6EA4">
        <w:tc>
          <w:tcPr>
            <w:tcW w:w="2538" w:type="dxa"/>
            <w:vAlign w:val="center"/>
          </w:tcPr>
          <w:p w:rsidR="00CF0AB2" w:rsidRPr="00C324E1" w:rsidRDefault="00CF0AB2" w:rsidP="00DF6EA4">
            <w:pPr>
              <w:jc w:val="center"/>
              <w:rPr>
                <w:rFonts w:ascii="Calibri" w:eastAsia="Times New Roman" w:hAnsi="Calibri" w:cs="Times New Roman"/>
                <w:b/>
                <w:bCs/>
                <w:color w:val="000000"/>
              </w:rPr>
            </w:pPr>
          </w:p>
        </w:tc>
        <w:tc>
          <w:tcPr>
            <w:tcW w:w="6930" w:type="dxa"/>
            <w:vAlign w:val="center"/>
          </w:tcPr>
          <w:p w:rsidR="00CF0AB2" w:rsidRPr="00894B0C" w:rsidRDefault="00CF0AB2" w:rsidP="00DF6EA4">
            <w:pPr>
              <w:jc w:val="center"/>
              <w:rPr>
                <w:rFonts w:ascii="Calibri" w:eastAsia="Times New Roman" w:hAnsi="Calibri" w:cs="Times New Roman"/>
                <w:b/>
                <w:color w:val="000000"/>
                <w:sz w:val="24"/>
                <w:szCs w:val="24"/>
              </w:rPr>
            </w:pPr>
            <w:r w:rsidRPr="00894B0C">
              <w:rPr>
                <w:rFonts w:ascii="Calibri" w:eastAsia="Times New Roman" w:hAnsi="Calibri" w:cs="Times New Roman"/>
                <w:b/>
                <w:color w:val="000000"/>
                <w:sz w:val="24"/>
                <w:szCs w:val="24"/>
              </w:rPr>
              <w:t>S</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Snowball sample</w:t>
            </w:r>
          </w:p>
        </w:tc>
        <w:tc>
          <w:tcPr>
            <w:tcW w:w="6930" w:type="dxa"/>
            <w:vAlign w:val="center"/>
          </w:tcPr>
          <w:p w:rsidR="00CF0AB2" w:rsidRPr="00C324E1" w:rsidRDefault="00CF0AB2" w:rsidP="00DF6EA4">
            <w:pPr>
              <w:rPr>
                <w:rFonts w:ascii="Calibri" w:eastAsia="Times New Roman" w:hAnsi="Calibri" w:cs="Times New Roman"/>
                <w:b/>
                <w:bCs/>
                <w:color w:val="000000"/>
              </w:rPr>
            </w:pPr>
            <w:r>
              <w:rPr>
                <w:rFonts w:ascii="Calibri" w:eastAsia="Times New Roman" w:hAnsi="Calibri" w:cs="Times New Roman"/>
                <w:bCs/>
                <w:color w:val="000000"/>
              </w:rPr>
              <w:t>A sampling methodology in which new respondents are identified by current respondents via referrals</w:t>
            </w:r>
            <w:r w:rsidRPr="00C324E1">
              <w:rPr>
                <w:rFonts w:ascii="Calibri" w:eastAsia="Times New Roman" w:hAnsi="Calibri" w:cs="Times New Roman"/>
                <w:b/>
                <w:bCs/>
                <w:color w:val="000000"/>
              </w:rPr>
              <w:t> </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Specific attributes</w:t>
            </w:r>
            <w:r>
              <w:rPr>
                <w:rFonts w:ascii="Calibri" w:eastAsia="Times New Roman" w:hAnsi="Calibri" w:cs="Times New Roman"/>
                <w:color w:val="000000"/>
              </w:rPr>
              <w:t xml:space="preserve"> of community programs and policies</w:t>
            </w:r>
          </w:p>
        </w:tc>
        <w:tc>
          <w:tcPr>
            <w:tcW w:w="6930"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Examples: duration, funding, targets</w:t>
            </w:r>
          </w:p>
        </w:tc>
      </w:tr>
      <w:tr w:rsidR="00CF0AB2" w:rsidTr="00DF6EA4">
        <w:tc>
          <w:tcPr>
            <w:tcW w:w="2538" w:type="dxa"/>
            <w:vAlign w:val="center"/>
          </w:tcPr>
          <w:p w:rsidR="00CF0AB2" w:rsidRPr="00C324E1" w:rsidRDefault="00CF0AB2" w:rsidP="00CF0AB2">
            <w:pPr>
              <w:rPr>
                <w:rFonts w:ascii="Calibri" w:eastAsia="Times New Roman" w:hAnsi="Calibri" w:cs="Times New Roman"/>
                <w:color w:val="000000"/>
              </w:rPr>
            </w:pPr>
            <w:r>
              <w:rPr>
                <w:rFonts w:ascii="Calibri" w:eastAsia="Times New Roman" w:hAnsi="Calibri" w:cs="Times New Roman"/>
                <w:color w:val="000000"/>
              </w:rPr>
              <w:t>Standard Protocol</w:t>
            </w:r>
          </w:p>
        </w:tc>
        <w:tc>
          <w:tcPr>
            <w:tcW w:w="6930" w:type="dxa"/>
            <w:vAlign w:val="center"/>
          </w:tcPr>
          <w:p w:rsidR="00CF0AB2" w:rsidRPr="00C324E1" w:rsidRDefault="008763B6" w:rsidP="00DF6EA4">
            <w:pPr>
              <w:rPr>
                <w:rFonts w:ascii="Calibri" w:eastAsia="Times New Roman" w:hAnsi="Calibri" w:cs="Times New Roman"/>
                <w:color w:val="000000"/>
              </w:rPr>
            </w:pPr>
            <w:r>
              <w:rPr>
                <w:rFonts w:ascii="Calibri" w:eastAsia="Times New Roman" w:hAnsi="Calibri" w:cs="Times New Roman"/>
                <w:color w:val="000000"/>
              </w:rPr>
              <w:t>Less detailed measures collected of all children and communities.</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Stakeholder</w:t>
            </w:r>
          </w:p>
        </w:tc>
        <w:tc>
          <w:tcPr>
            <w:tcW w:w="6930" w:type="dxa"/>
            <w:vAlign w:val="center"/>
          </w:tcPr>
          <w:p w:rsidR="00CF0AB2" w:rsidRPr="00C324E1" w:rsidRDefault="00DF6EA4" w:rsidP="00DF6EA4">
            <w:pPr>
              <w:rPr>
                <w:rFonts w:ascii="Calibri" w:eastAsia="Times New Roman" w:hAnsi="Calibri" w:cs="Times New Roman"/>
                <w:color w:val="000000"/>
              </w:rPr>
            </w:pPr>
            <w:r w:rsidRPr="00DE2751">
              <w:rPr>
                <w:rFonts w:ascii="Calibri" w:eastAsia="Calibri" w:hAnsi="Calibri" w:cs="Times New Roman"/>
                <w:color w:val="000000"/>
              </w:rPr>
              <w:t>Refers to people or organizations who have an interest in the issue or effort.</w:t>
            </w:r>
          </w:p>
        </w:tc>
      </w:tr>
      <w:tr w:rsidR="00CF0AB2" w:rsidTr="00DF6EA4">
        <w:tc>
          <w:tcPr>
            <w:tcW w:w="2538" w:type="dxa"/>
            <w:vAlign w:val="center"/>
          </w:tcPr>
          <w:p w:rsidR="00CF0AB2" w:rsidRPr="00C324E1" w:rsidRDefault="00CF0AB2" w:rsidP="00DF6EA4">
            <w:pPr>
              <w:jc w:val="center"/>
              <w:rPr>
                <w:rFonts w:ascii="Calibri" w:eastAsia="Times New Roman" w:hAnsi="Calibri" w:cs="Times New Roman"/>
                <w:b/>
                <w:bCs/>
                <w:color w:val="000000"/>
              </w:rPr>
            </w:pPr>
          </w:p>
        </w:tc>
        <w:tc>
          <w:tcPr>
            <w:tcW w:w="6930" w:type="dxa"/>
            <w:vAlign w:val="center"/>
          </w:tcPr>
          <w:p w:rsidR="00CF0AB2" w:rsidRPr="00894B0C" w:rsidRDefault="00CF0AB2" w:rsidP="00DF6EA4">
            <w:pPr>
              <w:jc w:val="center"/>
              <w:rPr>
                <w:rFonts w:ascii="Calibri" w:eastAsia="Times New Roman" w:hAnsi="Calibri" w:cs="Times New Roman"/>
                <w:b/>
                <w:bCs/>
                <w:color w:val="000000"/>
                <w:sz w:val="24"/>
                <w:szCs w:val="24"/>
              </w:rPr>
            </w:pPr>
            <w:r w:rsidRPr="00894B0C">
              <w:rPr>
                <w:rFonts w:ascii="Calibri" w:eastAsia="Times New Roman" w:hAnsi="Calibri" w:cs="Times New Roman"/>
                <w:b/>
                <w:bCs/>
                <w:color w:val="000000"/>
                <w:sz w:val="24"/>
                <w:szCs w:val="24"/>
              </w:rPr>
              <w:t>T</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p>
        </w:tc>
        <w:tc>
          <w:tcPr>
            <w:tcW w:w="6930" w:type="dxa"/>
            <w:vAlign w:val="center"/>
          </w:tcPr>
          <w:p w:rsidR="00CF0AB2" w:rsidRPr="00894B0C" w:rsidRDefault="00CF0AB2" w:rsidP="00DF6EA4">
            <w:pPr>
              <w:rPr>
                <w:rFonts w:ascii="Calibri" w:eastAsia="Times New Roman" w:hAnsi="Calibri" w:cs="Times New Roman"/>
                <w:color w:val="000000"/>
                <w:sz w:val="24"/>
                <w:szCs w:val="24"/>
              </w:rPr>
            </w:pPr>
            <w:r w:rsidRPr="00894B0C">
              <w:rPr>
                <w:rFonts w:ascii="Calibri" w:eastAsia="Times New Roman" w:hAnsi="Calibri" w:cs="Times New Roman"/>
                <w:color w:val="000000"/>
                <w:sz w:val="24"/>
                <w:szCs w:val="24"/>
              </w:rPr>
              <w:t> </w:t>
            </w:r>
          </w:p>
        </w:tc>
      </w:tr>
      <w:tr w:rsidR="00CF0AB2" w:rsidTr="00DF6EA4">
        <w:tc>
          <w:tcPr>
            <w:tcW w:w="2538" w:type="dxa"/>
            <w:vAlign w:val="center"/>
          </w:tcPr>
          <w:p w:rsidR="00CF0AB2" w:rsidRPr="00C324E1" w:rsidRDefault="00CF0AB2" w:rsidP="00DF6EA4">
            <w:pPr>
              <w:jc w:val="center"/>
              <w:rPr>
                <w:rFonts w:ascii="Calibri" w:eastAsia="Times New Roman" w:hAnsi="Calibri" w:cs="Times New Roman"/>
                <w:b/>
                <w:bCs/>
                <w:color w:val="000000"/>
              </w:rPr>
            </w:pPr>
          </w:p>
        </w:tc>
        <w:tc>
          <w:tcPr>
            <w:tcW w:w="6930" w:type="dxa"/>
            <w:vAlign w:val="center"/>
          </w:tcPr>
          <w:p w:rsidR="00CF0AB2" w:rsidRPr="00894B0C" w:rsidRDefault="00CF0AB2" w:rsidP="00DF6EA4">
            <w:pPr>
              <w:jc w:val="center"/>
              <w:rPr>
                <w:rFonts w:ascii="Calibri" w:eastAsia="Times New Roman" w:hAnsi="Calibri" w:cs="Times New Roman"/>
                <w:b/>
                <w:bCs/>
                <w:color w:val="000000"/>
                <w:sz w:val="24"/>
                <w:szCs w:val="24"/>
              </w:rPr>
            </w:pPr>
            <w:r w:rsidRPr="00894B0C">
              <w:rPr>
                <w:rFonts w:ascii="Calibri" w:eastAsia="Times New Roman" w:hAnsi="Calibri" w:cs="Times New Roman"/>
                <w:b/>
                <w:bCs/>
                <w:color w:val="000000"/>
                <w:sz w:val="24"/>
                <w:szCs w:val="24"/>
              </w:rPr>
              <w:t>U</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p>
        </w:tc>
        <w:tc>
          <w:tcPr>
            <w:tcW w:w="6930" w:type="dxa"/>
            <w:vAlign w:val="center"/>
          </w:tcPr>
          <w:p w:rsidR="00CF0AB2" w:rsidRPr="00894B0C" w:rsidRDefault="00CF0AB2" w:rsidP="00DF6EA4">
            <w:pPr>
              <w:rPr>
                <w:rFonts w:ascii="Calibri" w:eastAsia="Times New Roman" w:hAnsi="Calibri" w:cs="Times New Roman"/>
                <w:color w:val="000000"/>
                <w:sz w:val="24"/>
                <w:szCs w:val="24"/>
              </w:rPr>
            </w:pPr>
            <w:r w:rsidRPr="00894B0C">
              <w:rPr>
                <w:rFonts w:ascii="Calibri" w:eastAsia="Times New Roman" w:hAnsi="Calibri" w:cs="Times New Roman"/>
                <w:color w:val="000000"/>
                <w:sz w:val="24"/>
                <w:szCs w:val="24"/>
              </w:rPr>
              <w:t> </w:t>
            </w:r>
          </w:p>
        </w:tc>
      </w:tr>
      <w:tr w:rsidR="00CF0AB2" w:rsidTr="00DF6EA4">
        <w:tc>
          <w:tcPr>
            <w:tcW w:w="2538" w:type="dxa"/>
            <w:vAlign w:val="center"/>
          </w:tcPr>
          <w:p w:rsidR="00CF0AB2" w:rsidRPr="00C324E1" w:rsidRDefault="00CF0AB2" w:rsidP="00DF6EA4">
            <w:pPr>
              <w:jc w:val="center"/>
              <w:rPr>
                <w:rFonts w:ascii="Calibri" w:eastAsia="Times New Roman" w:hAnsi="Calibri" w:cs="Times New Roman"/>
                <w:b/>
                <w:bCs/>
                <w:color w:val="000000"/>
              </w:rPr>
            </w:pPr>
          </w:p>
        </w:tc>
        <w:tc>
          <w:tcPr>
            <w:tcW w:w="6930" w:type="dxa"/>
            <w:vAlign w:val="center"/>
          </w:tcPr>
          <w:p w:rsidR="00CF0AB2" w:rsidRPr="00894B0C" w:rsidRDefault="00CF0AB2" w:rsidP="00DF6EA4">
            <w:pPr>
              <w:jc w:val="center"/>
              <w:rPr>
                <w:rFonts w:ascii="Calibri" w:eastAsia="Times New Roman" w:hAnsi="Calibri" w:cs="Times New Roman"/>
                <w:b/>
                <w:bCs/>
                <w:color w:val="000000"/>
                <w:sz w:val="24"/>
                <w:szCs w:val="24"/>
              </w:rPr>
            </w:pPr>
            <w:r w:rsidRPr="00894B0C">
              <w:rPr>
                <w:rFonts w:ascii="Calibri" w:eastAsia="Times New Roman" w:hAnsi="Calibri" w:cs="Times New Roman"/>
                <w:b/>
                <w:bCs/>
                <w:color w:val="000000"/>
                <w:sz w:val="24"/>
                <w:szCs w:val="24"/>
              </w:rPr>
              <w:t>V</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p>
        </w:tc>
        <w:tc>
          <w:tcPr>
            <w:tcW w:w="6930" w:type="dxa"/>
            <w:vAlign w:val="center"/>
          </w:tcPr>
          <w:p w:rsidR="00CF0AB2" w:rsidRPr="00894B0C" w:rsidRDefault="00CF0AB2" w:rsidP="00DF6EA4">
            <w:pPr>
              <w:rPr>
                <w:rFonts w:ascii="Calibri" w:eastAsia="Times New Roman" w:hAnsi="Calibri" w:cs="Times New Roman"/>
                <w:color w:val="000000"/>
                <w:sz w:val="24"/>
                <w:szCs w:val="24"/>
              </w:rPr>
            </w:pPr>
            <w:r w:rsidRPr="00894B0C">
              <w:rPr>
                <w:rFonts w:ascii="Calibri" w:eastAsia="Times New Roman" w:hAnsi="Calibri" w:cs="Times New Roman"/>
                <w:color w:val="000000"/>
                <w:sz w:val="24"/>
                <w:szCs w:val="24"/>
              </w:rPr>
              <w:t> </w:t>
            </w:r>
          </w:p>
        </w:tc>
      </w:tr>
      <w:tr w:rsidR="00CF0AB2" w:rsidTr="00DF6EA4">
        <w:tc>
          <w:tcPr>
            <w:tcW w:w="2538" w:type="dxa"/>
            <w:vAlign w:val="center"/>
          </w:tcPr>
          <w:p w:rsidR="00CF0AB2" w:rsidRPr="00C324E1" w:rsidRDefault="00CF0AB2" w:rsidP="00DF6EA4">
            <w:pPr>
              <w:jc w:val="center"/>
              <w:rPr>
                <w:rFonts w:ascii="Calibri" w:eastAsia="Times New Roman" w:hAnsi="Calibri" w:cs="Times New Roman"/>
                <w:b/>
                <w:bCs/>
                <w:color w:val="000000"/>
              </w:rPr>
            </w:pPr>
          </w:p>
        </w:tc>
        <w:tc>
          <w:tcPr>
            <w:tcW w:w="6930" w:type="dxa"/>
            <w:vAlign w:val="center"/>
          </w:tcPr>
          <w:p w:rsidR="00CF0AB2" w:rsidRPr="00894B0C" w:rsidRDefault="00CF0AB2" w:rsidP="00DF6EA4">
            <w:pPr>
              <w:jc w:val="center"/>
              <w:rPr>
                <w:rFonts w:ascii="Calibri" w:eastAsia="Times New Roman" w:hAnsi="Calibri" w:cs="Times New Roman"/>
                <w:b/>
                <w:bCs/>
                <w:color w:val="000000"/>
                <w:sz w:val="24"/>
                <w:szCs w:val="24"/>
              </w:rPr>
            </w:pPr>
            <w:r w:rsidRPr="00894B0C">
              <w:rPr>
                <w:rFonts w:ascii="Calibri" w:eastAsia="Times New Roman" w:hAnsi="Calibri" w:cs="Times New Roman"/>
                <w:b/>
                <w:bCs/>
                <w:color w:val="000000"/>
                <w:sz w:val="24"/>
                <w:szCs w:val="24"/>
              </w:rPr>
              <w:t>W</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Wave 1</w:t>
            </w:r>
          </w:p>
        </w:tc>
        <w:tc>
          <w:tcPr>
            <w:tcW w:w="6930" w:type="dxa"/>
            <w:vAlign w:val="center"/>
          </w:tcPr>
          <w:p w:rsidR="00CF0AB2" w:rsidRPr="00C324E1" w:rsidRDefault="00CF0AB2" w:rsidP="00D807A6">
            <w:pPr>
              <w:rPr>
                <w:rFonts w:ascii="Calibri" w:eastAsia="Times New Roman" w:hAnsi="Calibri" w:cs="Times New Roman"/>
                <w:color w:val="000000"/>
              </w:rPr>
            </w:pPr>
            <w:r w:rsidRPr="00C324E1">
              <w:rPr>
                <w:rFonts w:ascii="Calibri" w:eastAsia="Times New Roman" w:hAnsi="Calibri" w:cs="Times New Roman"/>
                <w:color w:val="000000"/>
              </w:rPr>
              <w:t xml:space="preserve">4 communities </w:t>
            </w:r>
            <w:r w:rsidR="00D807A6">
              <w:rPr>
                <w:rFonts w:ascii="Calibri" w:eastAsia="Times New Roman" w:hAnsi="Calibri" w:cs="Times New Roman"/>
                <w:color w:val="000000"/>
              </w:rPr>
              <w:t xml:space="preserve">visited </w:t>
            </w:r>
            <w:r w:rsidRPr="00C324E1">
              <w:rPr>
                <w:rFonts w:ascii="Calibri" w:eastAsia="Times New Roman" w:hAnsi="Calibri" w:cs="Times New Roman"/>
                <w:color w:val="000000"/>
              </w:rPr>
              <w:t xml:space="preserve">in the first year of data collection that will </w:t>
            </w:r>
            <w:r w:rsidR="00D807A6">
              <w:rPr>
                <w:rFonts w:ascii="Calibri" w:eastAsia="Times New Roman" w:hAnsi="Calibri" w:cs="Times New Roman"/>
                <w:color w:val="000000"/>
              </w:rPr>
              <w:t xml:space="preserve">not </w:t>
            </w:r>
            <w:r w:rsidRPr="00C324E1">
              <w:rPr>
                <w:rFonts w:ascii="Calibri" w:eastAsia="Times New Roman" w:hAnsi="Calibri" w:cs="Times New Roman"/>
                <w:color w:val="000000"/>
              </w:rPr>
              <w:t xml:space="preserve">have </w:t>
            </w:r>
            <w:r w:rsidR="00D807A6">
              <w:rPr>
                <w:rFonts w:ascii="Calibri" w:eastAsia="Times New Roman" w:hAnsi="Calibri" w:cs="Times New Roman"/>
                <w:color w:val="000000"/>
              </w:rPr>
              <w:t>any</w:t>
            </w:r>
            <w:r w:rsidRPr="00C324E1">
              <w:rPr>
                <w:rFonts w:ascii="Calibri" w:eastAsia="Times New Roman" w:hAnsi="Calibri" w:cs="Times New Roman"/>
                <w:color w:val="000000"/>
              </w:rPr>
              <w:t xml:space="preserve"> follow-up </w:t>
            </w:r>
            <w:r w:rsidR="00D807A6">
              <w:rPr>
                <w:rFonts w:ascii="Calibri" w:eastAsia="Times New Roman" w:hAnsi="Calibri" w:cs="Times New Roman"/>
                <w:color w:val="000000"/>
              </w:rPr>
              <w:t>assessments</w:t>
            </w:r>
            <w:r w:rsidRPr="00C324E1">
              <w:rPr>
                <w:rFonts w:ascii="Calibri" w:eastAsia="Times New Roman" w:hAnsi="Calibri" w:cs="Times New Roman"/>
                <w:color w:val="000000"/>
              </w:rPr>
              <w:t>.</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Wave 2</w:t>
            </w:r>
          </w:p>
        </w:tc>
        <w:tc>
          <w:tcPr>
            <w:tcW w:w="6930" w:type="dxa"/>
            <w:vAlign w:val="center"/>
          </w:tcPr>
          <w:p w:rsidR="00CF0AB2" w:rsidRPr="00C324E1" w:rsidRDefault="00CF0AB2" w:rsidP="00D807A6">
            <w:pPr>
              <w:rPr>
                <w:rFonts w:ascii="Calibri" w:eastAsia="Times New Roman" w:hAnsi="Calibri" w:cs="Times New Roman"/>
                <w:color w:val="000000"/>
              </w:rPr>
            </w:pPr>
            <w:r w:rsidRPr="00C324E1">
              <w:rPr>
                <w:rFonts w:ascii="Calibri" w:eastAsia="Times New Roman" w:hAnsi="Calibri" w:cs="Times New Roman"/>
                <w:color w:val="000000"/>
              </w:rPr>
              <w:t xml:space="preserve">275 communities that will be </w:t>
            </w:r>
            <w:r w:rsidR="00D807A6">
              <w:rPr>
                <w:rFonts w:ascii="Calibri" w:eastAsia="Times New Roman" w:hAnsi="Calibri" w:cs="Times New Roman"/>
                <w:color w:val="000000"/>
              </w:rPr>
              <w:t>visited</w:t>
            </w:r>
            <w:r w:rsidR="00D807A6" w:rsidRPr="00C324E1">
              <w:rPr>
                <w:rFonts w:ascii="Calibri" w:eastAsia="Times New Roman" w:hAnsi="Calibri" w:cs="Times New Roman"/>
                <w:color w:val="000000"/>
              </w:rPr>
              <w:t xml:space="preserve"> </w:t>
            </w:r>
            <w:r w:rsidRPr="00C324E1">
              <w:rPr>
                <w:rFonts w:ascii="Calibri" w:eastAsia="Times New Roman" w:hAnsi="Calibri" w:cs="Times New Roman"/>
                <w:color w:val="000000"/>
              </w:rPr>
              <w:t>during the study</w:t>
            </w:r>
            <w:r w:rsidR="00D807A6">
              <w:rPr>
                <w:rFonts w:ascii="Calibri" w:eastAsia="Times New Roman" w:hAnsi="Calibri" w:cs="Times New Roman"/>
                <w:color w:val="000000"/>
              </w:rPr>
              <w:t xml:space="preserve"> that will have an in-person assessment.   The first 200 Wave 2 communities (including the 40 RIPA communities) will also undergo a remote follow-up assessment one to two years after the baseline visit</w:t>
            </w:r>
            <w:r w:rsidRPr="00C324E1">
              <w:rPr>
                <w:rFonts w:ascii="Calibri" w:eastAsia="Times New Roman" w:hAnsi="Calibri" w:cs="Times New Roman"/>
                <w:color w:val="000000"/>
              </w:rPr>
              <w:t>.</w:t>
            </w:r>
          </w:p>
        </w:tc>
      </w:tr>
      <w:tr w:rsidR="00CF0AB2" w:rsidTr="00DF6EA4">
        <w:tc>
          <w:tcPr>
            <w:tcW w:w="2538" w:type="dxa"/>
            <w:vAlign w:val="center"/>
          </w:tcPr>
          <w:p w:rsidR="00CF0AB2" w:rsidRPr="00C324E1" w:rsidRDefault="00CF0AB2" w:rsidP="00DF6EA4">
            <w:pPr>
              <w:jc w:val="center"/>
              <w:rPr>
                <w:rFonts w:ascii="Calibri" w:eastAsia="Times New Roman" w:hAnsi="Calibri" w:cs="Times New Roman"/>
                <w:b/>
                <w:bCs/>
                <w:color w:val="000000"/>
              </w:rPr>
            </w:pPr>
          </w:p>
        </w:tc>
        <w:tc>
          <w:tcPr>
            <w:tcW w:w="6930" w:type="dxa"/>
            <w:vAlign w:val="center"/>
          </w:tcPr>
          <w:p w:rsidR="00CF0AB2" w:rsidRPr="00894B0C" w:rsidRDefault="00CF0AB2" w:rsidP="00DF6EA4">
            <w:pPr>
              <w:jc w:val="center"/>
              <w:rPr>
                <w:rFonts w:ascii="Calibri" w:eastAsia="Times New Roman" w:hAnsi="Calibri" w:cs="Times New Roman"/>
                <w:b/>
                <w:bCs/>
                <w:color w:val="000000"/>
                <w:sz w:val="24"/>
                <w:szCs w:val="24"/>
              </w:rPr>
            </w:pPr>
            <w:r w:rsidRPr="00894B0C">
              <w:rPr>
                <w:rFonts w:ascii="Calibri" w:eastAsia="Times New Roman" w:hAnsi="Calibri" w:cs="Times New Roman"/>
                <w:b/>
                <w:bCs/>
                <w:color w:val="000000"/>
                <w:sz w:val="24"/>
                <w:szCs w:val="24"/>
              </w:rPr>
              <w:t>X</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p>
        </w:tc>
        <w:tc>
          <w:tcPr>
            <w:tcW w:w="6930" w:type="dxa"/>
            <w:vAlign w:val="center"/>
          </w:tcPr>
          <w:p w:rsidR="00CF0AB2" w:rsidRPr="00894B0C" w:rsidRDefault="00CF0AB2" w:rsidP="00DF6EA4">
            <w:pPr>
              <w:rPr>
                <w:rFonts w:ascii="Calibri" w:eastAsia="Times New Roman" w:hAnsi="Calibri" w:cs="Times New Roman"/>
                <w:color w:val="000000"/>
                <w:sz w:val="24"/>
                <w:szCs w:val="24"/>
              </w:rPr>
            </w:pPr>
            <w:r w:rsidRPr="00894B0C">
              <w:rPr>
                <w:rFonts w:ascii="Calibri" w:eastAsia="Times New Roman" w:hAnsi="Calibri" w:cs="Times New Roman"/>
                <w:color w:val="000000"/>
                <w:sz w:val="24"/>
                <w:szCs w:val="24"/>
              </w:rPr>
              <w:t> </w:t>
            </w:r>
          </w:p>
        </w:tc>
      </w:tr>
      <w:tr w:rsidR="00CF0AB2" w:rsidTr="00DF6EA4">
        <w:tc>
          <w:tcPr>
            <w:tcW w:w="2538" w:type="dxa"/>
            <w:vAlign w:val="center"/>
          </w:tcPr>
          <w:p w:rsidR="00CF0AB2" w:rsidRPr="00C324E1" w:rsidRDefault="00CF0AB2" w:rsidP="00DF6EA4">
            <w:pPr>
              <w:jc w:val="center"/>
              <w:rPr>
                <w:rFonts w:ascii="Calibri" w:eastAsia="Times New Roman" w:hAnsi="Calibri" w:cs="Times New Roman"/>
                <w:b/>
                <w:bCs/>
                <w:color w:val="000000"/>
              </w:rPr>
            </w:pPr>
          </w:p>
        </w:tc>
        <w:tc>
          <w:tcPr>
            <w:tcW w:w="6930" w:type="dxa"/>
            <w:vAlign w:val="center"/>
          </w:tcPr>
          <w:p w:rsidR="00CF0AB2" w:rsidRPr="00894B0C" w:rsidRDefault="00CF0AB2" w:rsidP="00DF6EA4">
            <w:pPr>
              <w:jc w:val="center"/>
              <w:rPr>
                <w:rFonts w:ascii="Calibri" w:eastAsia="Times New Roman" w:hAnsi="Calibri" w:cs="Times New Roman"/>
                <w:b/>
                <w:bCs/>
                <w:color w:val="000000"/>
                <w:sz w:val="24"/>
                <w:szCs w:val="24"/>
              </w:rPr>
            </w:pPr>
            <w:r w:rsidRPr="00894B0C">
              <w:rPr>
                <w:rFonts w:ascii="Calibri" w:eastAsia="Times New Roman" w:hAnsi="Calibri" w:cs="Times New Roman"/>
                <w:b/>
                <w:bCs/>
                <w:color w:val="000000"/>
                <w:sz w:val="24"/>
                <w:szCs w:val="24"/>
              </w:rPr>
              <w:t>Y</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p>
        </w:tc>
        <w:tc>
          <w:tcPr>
            <w:tcW w:w="6930" w:type="dxa"/>
            <w:vAlign w:val="center"/>
          </w:tcPr>
          <w:p w:rsidR="00CF0AB2" w:rsidRPr="00894B0C" w:rsidRDefault="00CF0AB2" w:rsidP="00DF6EA4">
            <w:pPr>
              <w:rPr>
                <w:rFonts w:ascii="Calibri" w:eastAsia="Times New Roman" w:hAnsi="Calibri" w:cs="Times New Roman"/>
                <w:color w:val="000000"/>
                <w:sz w:val="24"/>
                <w:szCs w:val="24"/>
              </w:rPr>
            </w:pPr>
            <w:r w:rsidRPr="00894B0C">
              <w:rPr>
                <w:rFonts w:ascii="Calibri" w:eastAsia="Times New Roman" w:hAnsi="Calibri" w:cs="Times New Roman"/>
                <w:color w:val="000000"/>
                <w:sz w:val="24"/>
                <w:szCs w:val="24"/>
              </w:rPr>
              <w:t> </w:t>
            </w:r>
          </w:p>
        </w:tc>
      </w:tr>
      <w:tr w:rsidR="00CF0AB2" w:rsidTr="00DF6EA4">
        <w:tc>
          <w:tcPr>
            <w:tcW w:w="2538" w:type="dxa"/>
            <w:vAlign w:val="center"/>
          </w:tcPr>
          <w:p w:rsidR="00CF0AB2" w:rsidRPr="00C324E1" w:rsidRDefault="00CF0AB2" w:rsidP="00DF6EA4">
            <w:pPr>
              <w:jc w:val="center"/>
              <w:rPr>
                <w:rFonts w:ascii="Calibri" w:eastAsia="Times New Roman" w:hAnsi="Calibri" w:cs="Times New Roman"/>
                <w:b/>
                <w:bCs/>
                <w:color w:val="000000"/>
              </w:rPr>
            </w:pPr>
          </w:p>
        </w:tc>
        <w:tc>
          <w:tcPr>
            <w:tcW w:w="6930" w:type="dxa"/>
            <w:vAlign w:val="center"/>
          </w:tcPr>
          <w:p w:rsidR="00CF0AB2" w:rsidRPr="00894B0C" w:rsidRDefault="00CF0AB2" w:rsidP="00DF6EA4">
            <w:pPr>
              <w:jc w:val="center"/>
              <w:rPr>
                <w:rFonts w:ascii="Calibri" w:eastAsia="Times New Roman" w:hAnsi="Calibri" w:cs="Times New Roman"/>
                <w:b/>
                <w:bCs/>
                <w:color w:val="000000"/>
                <w:sz w:val="24"/>
                <w:szCs w:val="24"/>
              </w:rPr>
            </w:pPr>
            <w:r w:rsidRPr="00894B0C">
              <w:rPr>
                <w:rFonts w:ascii="Calibri" w:eastAsia="Times New Roman" w:hAnsi="Calibri" w:cs="Times New Roman"/>
                <w:b/>
                <w:bCs/>
                <w:color w:val="000000"/>
                <w:sz w:val="24"/>
                <w:szCs w:val="24"/>
              </w:rPr>
              <w:t>Z</w:t>
            </w:r>
          </w:p>
        </w:tc>
      </w:tr>
      <w:tr w:rsidR="00CF0AB2" w:rsidTr="00DF6EA4">
        <w:tc>
          <w:tcPr>
            <w:tcW w:w="2538"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 </w:t>
            </w:r>
          </w:p>
        </w:tc>
        <w:tc>
          <w:tcPr>
            <w:tcW w:w="6930" w:type="dxa"/>
            <w:vAlign w:val="center"/>
          </w:tcPr>
          <w:p w:rsidR="00CF0AB2" w:rsidRPr="00C324E1" w:rsidRDefault="00CF0AB2" w:rsidP="00DF6EA4">
            <w:pPr>
              <w:rPr>
                <w:rFonts w:ascii="Calibri" w:eastAsia="Times New Roman" w:hAnsi="Calibri" w:cs="Times New Roman"/>
                <w:color w:val="000000"/>
              </w:rPr>
            </w:pPr>
            <w:r w:rsidRPr="00C324E1">
              <w:rPr>
                <w:rFonts w:ascii="Calibri" w:eastAsia="Times New Roman" w:hAnsi="Calibri" w:cs="Times New Roman"/>
                <w:color w:val="000000"/>
              </w:rPr>
              <w:t> </w:t>
            </w:r>
          </w:p>
        </w:tc>
      </w:tr>
    </w:tbl>
    <w:p w:rsidR="00D17584" w:rsidRDefault="00D17584" w:rsidP="00D807A6"/>
    <w:sectPr w:rsidR="00D17584" w:rsidSect="00D17584">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A64" w:rsidRDefault="00A11A64" w:rsidP="000333A2">
      <w:pPr>
        <w:spacing w:after="0" w:line="240" w:lineRule="auto"/>
      </w:pPr>
      <w:r>
        <w:separator/>
      </w:r>
    </w:p>
  </w:endnote>
  <w:endnote w:type="continuationSeparator" w:id="0">
    <w:p w:rsidR="00A11A64" w:rsidRDefault="00A11A64" w:rsidP="00033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A64" w:rsidRDefault="00A11A64" w:rsidP="000333A2">
      <w:pPr>
        <w:spacing w:after="0" w:line="240" w:lineRule="auto"/>
      </w:pPr>
      <w:r>
        <w:separator/>
      </w:r>
    </w:p>
  </w:footnote>
  <w:footnote w:type="continuationSeparator" w:id="0">
    <w:p w:rsidR="00A11A64" w:rsidRDefault="00A11A64" w:rsidP="000333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3AC" w:rsidRDefault="00362349">
    <w:pPr>
      <w:tabs>
        <w:tab w:val="center" w:pos="4680"/>
      </w:tabs>
      <w:spacing w:after="0"/>
      <w:rPr>
        <w:rFonts w:ascii="Arial" w:hAnsi="Arial" w:cs="Arial"/>
        <w:b/>
      </w:rPr>
    </w:pPr>
    <w:r w:rsidRPr="00362349">
      <w:rPr>
        <w:rFonts w:ascii="Arial" w:hAnsi="Arial" w:cs="Arial"/>
        <w:b/>
        <w:noProof/>
        <w:sz w:val="24"/>
        <w:szCs w:val="24"/>
      </w:rPr>
      <w:pict>
        <v:shapetype id="_x0000_t202" coordsize="21600,21600" o:spt="202" path="m,l,21600r21600,l21600,xe">
          <v:stroke joinstyle="miter"/>
          <v:path gradientshapeok="t" o:connecttype="rect"/>
        </v:shapetype>
        <v:shape id="_x0000_s2049" type="#_x0000_t202" style="position:absolute;margin-left:-6pt;margin-top:-2.25pt;width:116.25pt;height:39.75pt;z-index:251660288" filled="f" stroked="f">
          <v:textbox>
            <w:txbxContent>
              <w:p w:rsidR="00BB73AC" w:rsidRDefault="00BB73AC" w:rsidP="00C22BF7">
                <w:r w:rsidRPr="007B5240">
                  <w:rPr>
                    <w:noProof/>
                  </w:rPr>
                  <w:drawing>
                    <wp:inline distT="0" distB="0" distL="0" distR="0">
                      <wp:extent cx="1301262" cy="352425"/>
                      <wp:effectExtent l="19050" t="0" r="0" b="0"/>
                      <wp:docPr id="2"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BB73AC">
      <w:tab/>
    </w:r>
    <w:r w:rsidR="00BB73AC" w:rsidRPr="00F25608">
      <w:rPr>
        <w:b/>
      </w:rPr>
      <w:t xml:space="preserve">                                     </w:t>
    </w:r>
    <w:r w:rsidR="00BB73AC">
      <w:rPr>
        <w:b/>
      </w:rPr>
      <w:t xml:space="preserve">                                </w:t>
    </w:r>
    <w:r w:rsidR="00BB73AC" w:rsidRPr="00E67BB1">
      <w:rPr>
        <w:rFonts w:ascii="Arial" w:hAnsi="Arial" w:cs="Arial"/>
        <w:b/>
      </w:rPr>
      <w:t xml:space="preserve">SSA Attachment </w:t>
    </w:r>
    <w:r w:rsidR="00BB73AC">
      <w:rPr>
        <w:rFonts w:ascii="Arial" w:hAnsi="Arial" w:cs="Arial"/>
        <w:b/>
      </w:rPr>
      <w:t>1</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585"/>
      <w:gridCol w:w="2005"/>
    </w:tblGrid>
    <w:tr w:rsidR="00BB73AC" w:rsidRPr="00E67BB1" w:rsidTr="00F3341B">
      <w:trPr>
        <w:trHeight w:val="288"/>
      </w:trPr>
      <w:tc>
        <w:tcPr>
          <w:tcW w:w="7585" w:type="dxa"/>
        </w:tcPr>
        <w:p w:rsidR="00BB73AC" w:rsidRPr="00E67BB1" w:rsidRDefault="00BB73AC" w:rsidP="00C22BF7">
          <w:pPr>
            <w:pStyle w:val="Header"/>
            <w:jc w:val="right"/>
            <w:rPr>
              <w:rFonts w:ascii="Arial" w:hAnsi="Arial" w:cs="Arial"/>
              <w:b/>
            </w:rPr>
          </w:pPr>
          <w:r w:rsidRPr="00E67BB1">
            <w:rPr>
              <w:rFonts w:ascii="Arial" w:hAnsi="Arial" w:cs="Arial"/>
              <w:b/>
            </w:rPr>
            <w:t>HEALTHY COMMUNITIES STUDY</w:t>
          </w:r>
        </w:p>
      </w:tc>
      <w:tc>
        <w:tcPr>
          <w:tcW w:w="2005" w:type="dxa"/>
        </w:tcPr>
        <w:p w:rsidR="00BB73AC" w:rsidRDefault="00BB73AC">
          <w:pPr>
            <w:pStyle w:val="Header"/>
            <w:rPr>
              <w:rFonts w:ascii="Arial" w:hAnsi="Arial" w:cs="Arial"/>
              <w:b/>
              <w:bCs/>
              <w:color w:val="054471"/>
            </w:rPr>
          </w:pPr>
        </w:p>
      </w:tc>
    </w:tr>
  </w:tbl>
  <w:p w:rsidR="00BB73AC" w:rsidRDefault="00BB73AC" w:rsidP="00C22B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CF0AB2"/>
    <w:rsid w:val="000333A2"/>
    <w:rsid w:val="00053A25"/>
    <w:rsid w:val="00104D81"/>
    <w:rsid w:val="00132B7D"/>
    <w:rsid w:val="00151DB8"/>
    <w:rsid w:val="00213E0D"/>
    <w:rsid w:val="00213E9D"/>
    <w:rsid w:val="002B6310"/>
    <w:rsid w:val="002F4B26"/>
    <w:rsid w:val="0030312B"/>
    <w:rsid w:val="00335F53"/>
    <w:rsid w:val="00354FED"/>
    <w:rsid w:val="00362349"/>
    <w:rsid w:val="00382723"/>
    <w:rsid w:val="003A386A"/>
    <w:rsid w:val="00402EF2"/>
    <w:rsid w:val="00472DAF"/>
    <w:rsid w:val="00487CB4"/>
    <w:rsid w:val="004D35BE"/>
    <w:rsid w:val="00542939"/>
    <w:rsid w:val="00552CD5"/>
    <w:rsid w:val="005B012E"/>
    <w:rsid w:val="00600E0B"/>
    <w:rsid w:val="00603617"/>
    <w:rsid w:val="006221FC"/>
    <w:rsid w:val="00684B55"/>
    <w:rsid w:val="00695722"/>
    <w:rsid w:val="006D4E36"/>
    <w:rsid w:val="006D50CC"/>
    <w:rsid w:val="007770C6"/>
    <w:rsid w:val="00785DC0"/>
    <w:rsid w:val="007B0B0D"/>
    <w:rsid w:val="007F2902"/>
    <w:rsid w:val="008763B6"/>
    <w:rsid w:val="008E4B73"/>
    <w:rsid w:val="009006B9"/>
    <w:rsid w:val="00913C25"/>
    <w:rsid w:val="0092029D"/>
    <w:rsid w:val="00945435"/>
    <w:rsid w:val="009508FE"/>
    <w:rsid w:val="0098565F"/>
    <w:rsid w:val="00A0290C"/>
    <w:rsid w:val="00A11A64"/>
    <w:rsid w:val="00A25F6B"/>
    <w:rsid w:val="00A3235D"/>
    <w:rsid w:val="00A51B3C"/>
    <w:rsid w:val="00AE0EEA"/>
    <w:rsid w:val="00AE57FE"/>
    <w:rsid w:val="00B27230"/>
    <w:rsid w:val="00B41EA1"/>
    <w:rsid w:val="00B52952"/>
    <w:rsid w:val="00B61973"/>
    <w:rsid w:val="00BB69E4"/>
    <w:rsid w:val="00BB73AC"/>
    <w:rsid w:val="00BD35EA"/>
    <w:rsid w:val="00BE4B9E"/>
    <w:rsid w:val="00C1586F"/>
    <w:rsid w:val="00C22BF7"/>
    <w:rsid w:val="00C74F94"/>
    <w:rsid w:val="00CF0AB2"/>
    <w:rsid w:val="00D17584"/>
    <w:rsid w:val="00D6074F"/>
    <w:rsid w:val="00D807A6"/>
    <w:rsid w:val="00DB236F"/>
    <w:rsid w:val="00DF6EA4"/>
    <w:rsid w:val="00E0304E"/>
    <w:rsid w:val="00E251B5"/>
    <w:rsid w:val="00E47EBB"/>
    <w:rsid w:val="00E9759F"/>
    <w:rsid w:val="00F3341B"/>
    <w:rsid w:val="00F71AC5"/>
    <w:rsid w:val="00F71B18"/>
    <w:rsid w:val="00FD00A3"/>
    <w:rsid w:val="00FD1D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A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Normal">
    <w:name w:val="BHNormal"/>
    <w:qFormat/>
    <w:rsid w:val="00CF0AB2"/>
    <w:pPr>
      <w:spacing w:after="0" w:line="240" w:lineRule="auto"/>
    </w:pPr>
    <w:rPr>
      <w:rFonts w:ascii="Times New Roman" w:hAnsi="Times New Roman" w:cs="Times New Roman"/>
      <w:sz w:val="24"/>
    </w:rPr>
  </w:style>
  <w:style w:type="table" w:styleId="TableGrid">
    <w:name w:val="Table Grid"/>
    <w:basedOn w:val="TableNormal"/>
    <w:uiPriority w:val="59"/>
    <w:rsid w:val="00CF0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33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3A2"/>
  </w:style>
  <w:style w:type="paragraph" w:styleId="Footer">
    <w:name w:val="footer"/>
    <w:basedOn w:val="Normal"/>
    <w:link w:val="FooterChar"/>
    <w:uiPriority w:val="99"/>
    <w:semiHidden/>
    <w:unhideWhenUsed/>
    <w:rsid w:val="000333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33A2"/>
  </w:style>
  <w:style w:type="paragraph" w:styleId="BalloonText">
    <w:name w:val="Balloon Text"/>
    <w:basedOn w:val="Normal"/>
    <w:link w:val="BalloonTextChar"/>
    <w:uiPriority w:val="99"/>
    <w:semiHidden/>
    <w:unhideWhenUsed/>
    <w:rsid w:val="00033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3A2"/>
    <w:rPr>
      <w:rFonts w:ascii="Tahoma" w:hAnsi="Tahoma" w:cs="Tahoma"/>
      <w:sz w:val="16"/>
      <w:szCs w:val="16"/>
    </w:rPr>
  </w:style>
  <w:style w:type="character" w:styleId="Hyperlink">
    <w:name w:val="Hyperlink"/>
    <w:basedOn w:val="DefaultParagraphFont"/>
    <w:uiPriority w:val="99"/>
    <w:unhideWhenUsed/>
    <w:rsid w:val="00472DAF"/>
    <w:rPr>
      <w:color w:val="0000FF" w:themeColor="hyperlink"/>
      <w:u w:val="single"/>
    </w:rPr>
  </w:style>
  <w:style w:type="character" w:styleId="FollowedHyperlink">
    <w:name w:val="FollowedHyperlink"/>
    <w:basedOn w:val="DefaultParagraphFont"/>
    <w:uiPriority w:val="99"/>
    <w:semiHidden/>
    <w:unhideWhenUsed/>
    <w:rsid w:val="00472DAF"/>
    <w:rPr>
      <w:color w:val="800080" w:themeColor="followedHyperlink"/>
      <w:u w:val="single"/>
    </w:rPr>
  </w:style>
  <w:style w:type="character" w:styleId="Strong">
    <w:name w:val="Strong"/>
    <w:basedOn w:val="DefaultParagraphFont"/>
    <w:uiPriority w:val="22"/>
    <w:qFormat/>
    <w:rsid w:val="00C22BF7"/>
    <w:rPr>
      <w:b/>
      <w:bCs/>
    </w:rPr>
  </w:style>
  <w:style w:type="character" w:styleId="CommentReference">
    <w:name w:val="annotation reference"/>
    <w:basedOn w:val="DefaultParagraphFont"/>
    <w:uiPriority w:val="99"/>
    <w:semiHidden/>
    <w:unhideWhenUsed/>
    <w:rsid w:val="00053A25"/>
    <w:rPr>
      <w:sz w:val="16"/>
      <w:szCs w:val="16"/>
    </w:rPr>
  </w:style>
  <w:style w:type="paragraph" w:styleId="CommentText">
    <w:name w:val="annotation text"/>
    <w:basedOn w:val="Normal"/>
    <w:link w:val="CommentTextChar"/>
    <w:uiPriority w:val="99"/>
    <w:semiHidden/>
    <w:unhideWhenUsed/>
    <w:rsid w:val="00053A25"/>
    <w:pPr>
      <w:spacing w:line="240" w:lineRule="auto"/>
    </w:pPr>
    <w:rPr>
      <w:sz w:val="20"/>
      <w:szCs w:val="20"/>
    </w:rPr>
  </w:style>
  <w:style w:type="character" w:customStyle="1" w:styleId="CommentTextChar">
    <w:name w:val="Comment Text Char"/>
    <w:basedOn w:val="DefaultParagraphFont"/>
    <w:link w:val="CommentText"/>
    <w:uiPriority w:val="99"/>
    <w:semiHidden/>
    <w:rsid w:val="00053A25"/>
    <w:rPr>
      <w:sz w:val="20"/>
      <w:szCs w:val="20"/>
    </w:rPr>
  </w:style>
  <w:style w:type="paragraph" w:styleId="CommentSubject">
    <w:name w:val="annotation subject"/>
    <w:basedOn w:val="CommentText"/>
    <w:next w:val="CommentText"/>
    <w:link w:val="CommentSubjectChar"/>
    <w:uiPriority w:val="99"/>
    <w:semiHidden/>
    <w:unhideWhenUsed/>
    <w:rsid w:val="00053A25"/>
    <w:rPr>
      <w:b/>
      <w:bCs/>
    </w:rPr>
  </w:style>
  <w:style w:type="character" w:customStyle="1" w:styleId="CommentSubjectChar">
    <w:name w:val="Comment Subject Char"/>
    <w:basedOn w:val="CommentTextChar"/>
    <w:link w:val="CommentSubject"/>
    <w:uiPriority w:val="99"/>
    <w:semiHidden/>
    <w:rsid w:val="00053A25"/>
    <w:rPr>
      <w:b/>
      <w:bCs/>
    </w:rPr>
  </w:style>
</w:styles>
</file>

<file path=word/webSettings.xml><?xml version="1.0" encoding="utf-8"?>
<w:webSettings xmlns:r="http://schemas.openxmlformats.org/officeDocument/2006/relationships" xmlns:w="http://schemas.openxmlformats.org/wordprocessingml/2006/main">
  <w:divs>
    <w:div w:id="27417165">
      <w:bodyDiv w:val="1"/>
      <w:marLeft w:val="0"/>
      <w:marRight w:val="0"/>
      <w:marTop w:val="0"/>
      <w:marBottom w:val="0"/>
      <w:divBdr>
        <w:top w:val="none" w:sz="0" w:space="0" w:color="auto"/>
        <w:left w:val="none" w:sz="0" w:space="0" w:color="auto"/>
        <w:bottom w:val="none" w:sz="0" w:space="0" w:color="auto"/>
        <w:right w:val="none" w:sz="0" w:space="0" w:color="auto"/>
      </w:divBdr>
      <w:divsChild>
        <w:div w:id="1858420016">
          <w:marLeft w:val="0"/>
          <w:marRight w:val="0"/>
          <w:marTop w:val="0"/>
          <w:marBottom w:val="0"/>
          <w:divBdr>
            <w:top w:val="none" w:sz="0" w:space="0" w:color="auto"/>
            <w:left w:val="none" w:sz="0" w:space="0" w:color="auto"/>
            <w:bottom w:val="none" w:sz="0" w:space="0" w:color="auto"/>
            <w:right w:val="none" w:sz="0" w:space="0" w:color="auto"/>
          </w:divBdr>
          <w:divsChild>
            <w:div w:id="2000107647">
              <w:marLeft w:val="750"/>
              <w:marRight w:val="0"/>
              <w:marTop w:val="900"/>
              <w:marBottom w:val="0"/>
              <w:divBdr>
                <w:top w:val="none" w:sz="0" w:space="0" w:color="auto"/>
                <w:left w:val="none" w:sz="0" w:space="0" w:color="auto"/>
                <w:bottom w:val="none" w:sz="0" w:space="0" w:color="auto"/>
                <w:right w:val="none" w:sz="0" w:space="0" w:color="auto"/>
              </w:divBdr>
              <w:divsChild>
                <w:div w:id="892698502">
                  <w:marLeft w:val="0"/>
                  <w:marRight w:val="0"/>
                  <w:marTop w:val="450"/>
                  <w:marBottom w:val="0"/>
                  <w:divBdr>
                    <w:top w:val="none" w:sz="0" w:space="0" w:color="auto"/>
                    <w:left w:val="none" w:sz="0" w:space="0" w:color="auto"/>
                    <w:bottom w:val="none" w:sz="0" w:space="0" w:color="auto"/>
                    <w:right w:val="none" w:sz="0" w:space="0" w:color="auto"/>
                  </w:divBdr>
                  <w:divsChild>
                    <w:div w:id="262422250">
                      <w:marLeft w:val="0"/>
                      <w:marRight w:val="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dc.gov/CommunitiesPuttingPreventiontoWork/strategies/index.htm" TargetMode="External"/><Relationship Id="rId3" Type="http://schemas.openxmlformats.org/officeDocument/2006/relationships/webSettings" Target="webSettings.xml"/><Relationship Id="rId7" Type="http://schemas.openxmlformats.org/officeDocument/2006/relationships/hyperlink" Target="http://www.cdc.gov/chronicdisease/recovery/PDF/N_and_PA_MAPPS_strategie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s.usda.gov/Services/docs.htm?docid=771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NHLBI</Company>
  <LinksUpToDate>false</LinksUpToDate>
  <CharactersWithSpaces>9878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arteagass</dc:creator>
  <cp:lastModifiedBy>curriem</cp:lastModifiedBy>
  <cp:revision>2</cp:revision>
  <dcterms:created xsi:type="dcterms:W3CDTF">2011-09-14T21:40:00Z</dcterms:created>
  <dcterms:modified xsi:type="dcterms:W3CDTF">2011-09-14T21:40:00Z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-1110872648</vt:i4>
  </property>
  <property fmtid="{D5CDD505-2E9C-101B-9397-08002B2CF9AE}" pid="4" name="_EmailSubject">
    <vt:lpwstr>HCS_renamed attachments</vt:lpwstr>
  </property>
  <property fmtid="{D5CDD505-2E9C-101B-9397-08002B2CF9AE}" pid="5" name="_AuthorEmail">
    <vt:lpwstr>arteagass@nhlbi.nih.gov</vt:lpwstr>
  </property>
  <property fmtid="{D5CDD505-2E9C-101B-9397-08002B2CF9AE}" pid="6" name="_AuthorEmailDisplayName">
    <vt:lpwstr>Arteaga, Sonia (NIH/NHLBI) [E]</vt:lpwstr>
  </property>
  <property fmtid="{D5CDD505-2E9C-101B-9397-08002B2CF9AE}" pid="7" name="_ReviewingToolsShownOnce">
    <vt:lpwstr/>
  </property>
</Properties>
</file>