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rPr>
          <w:sz w:val="28"/>
        </w:rPr>
      </w:pPr>
      <w:bookmarkStart w:id="0" w:name="_GoBack"/>
      <w:bookmarkEnd w:id="0"/>
    </w:p>
    <w:p>
      <w:pPr>
        <w:pStyle w:val="Title"/>
        <w:rPr>
          <w:sz w:val="28"/>
        </w:rPr>
      </w:pPr>
      <w:r>
        <w:rPr>
          <w:sz w:val="28"/>
        </w:rPr>
        <w:t xml:space="preserve">U.S. </w:t>
      </w:r>
      <w:r>
        <w:rPr>
          <w:caps w:val="0"/>
          <w:sz w:val="28"/>
        </w:rPr>
        <w:t>Department of Education</w:t>
      </w:r>
    </w:p>
    <w:p>
      <w:pPr>
        <w:jc w:val="center"/>
        <w:rPr>
          <w:rFonts w:ascii="Arial" w:hAnsi="Arial"/>
          <w:b/>
          <w:bCs/>
          <w:caps/>
          <w:sz w:val="28"/>
        </w:rPr>
      </w:pPr>
      <w:r>
        <w:rPr>
          <w:rFonts w:ascii="Arial" w:hAnsi="Arial"/>
          <w:b/>
          <w:bCs/>
          <w:caps/>
          <w:sz w:val="28"/>
        </w:rPr>
        <w:t>Office of Postsecondary Education</w:t>
      </w:r>
    </w:p>
    <w:p>
      <w:pPr>
        <w:jc w:val="center"/>
      </w:pPr>
      <w:r>
        <w:rPr>
          <w:rFonts w:ascii="Arial" w:hAnsi="Arial"/>
          <w:b/>
          <w:bCs/>
          <w:sz w:val="28"/>
        </w:rPr>
        <w:t>Washington</w:t>
      </w:r>
      <w:r>
        <w:rPr>
          <w:rFonts w:ascii="Arial" w:hAnsi="Arial"/>
          <w:b/>
          <w:bCs/>
          <w:caps/>
          <w:sz w:val="28"/>
        </w:rPr>
        <w:t>, d.c. 20006-8544</w:t>
      </w:r>
    </w:p>
    <w:p>
      <w:pPr>
        <w:jc w:val="center"/>
        <w:rPr>
          <w:b/>
          <w:bCs/>
          <w:sz w:val="32"/>
        </w:rPr>
      </w:pPr>
      <w:r>
        <w:t>www.ed.gov/fipse</w:t>
      </w:r>
    </w:p>
    <w:p>
      <w:pPr>
        <w:jc w:val="center"/>
        <w:rPr>
          <w:b/>
          <w:bCs/>
          <w:sz w:val="32"/>
        </w:rPr>
      </w:pPr>
    </w:p>
    <w:p>
      <w:pPr>
        <w:rPr>
          <w:b/>
          <w:bCs/>
          <w:sz w:val="32"/>
        </w:rPr>
      </w:pPr>
    </w:p>
    <w:p>
      <w:pPr>
        <w:jc w:val="center"/>
        <w:rPr>
          <w:b/>
          <w:bCs/>
          <w:sz w:val="32"/>
        </w:rPr>
      </w:pPr>
      <w:r>
        <w:rPr>
          <w:b/>
          <w:bCs/>
          <w:sz w:val="32"/>
        </w:rPr>
        <w:t>FY 2014</w:t>
      </w:r>
    </w:p>
    <w:p>
      <w:pPr>
        <w:jc w:val="center"/>
        <w:rPr>
          <w:b/>
          <w:bCs/>
          <w:sz w:val="32"/>
        </w:rPr>
      </w:pPr>
      <w:r>
        <w:rPr>
          <w:b/>
          <w:bCs/>
          <w:sz w:val="32"/>
        </w:rPr>
        <w:t xml:space="preserve">APPLICATION FOR GRANTS </w:t>
      </w:r>
    </w:p>
    <w:p>
      <w:pPr>
        <w:jc w:val="center"/>
        <w:rPr>
          <w:b/>
          <w:bCs/>
          <w:sz w:val="32"/>
        </w:rPr>
      </w:pPr>
      <w:r>
        <w:rPr>
          <w:b/>
          <w:bCs/>
          <w:sz w:val="32"/>
        </w:rPr>
        <w:t xml:space="preserve">UNDER THE </w:t>
      </w:r>
    </w:p>
    <w:p>
      <w:pPr>
        <w:jc w:val="center"/>
        <w:rPr>
          <w:b/>
          <w:bCs/>
          <w:sz w:val="32"/>
        </w:rPr>
      </w:pPr>
      <w:r>
        <w:rPr>
          <w:b/>
          <w:bCs/>
          <w:sz w:val="32"/>
        </w:rPr>
        <w:t xml:space="preserve">CENTER FOR BEST PRACTICES TO SUPPORT SINGLE PARENT STUDENTS PROGRAM </w:t>
      </w:r>
    </w:p>
    <w:p>
      <w:pPr>
        <w:rPr>
          <w:b/>
          <w:bCs/>
          <w:sz w:val="32"/>
        </w:rPr>
      </w:pPr>
    </w:p>
    <w:p>
      <w:pPr>
        <w:jc w:val="center"/>
        <w:rPr>
          <w:b/>
          <w:bCs/>
          <w:sz w:val="28"/>
        </w:rPr>
      </w:pPr>
      <w:r>
        <w:rPr>
          <w:b/>
          <w:bCs/>
          <w:sz w:val="28"/>
        </w:rPr>
        <w:t>CFDA Number:</w:t>
      </w:r>
      <w:r>
        <w:rPr>
          <w:b/>
          <w:bCs/>
          <w:sz w:val="28"/>
        </w:rPr>
        <w:tab/>
        <w:t>84.116L</w:t>
      </w:r>
    </w:p>
    <w:p>
      <w:pPr>
        <w:jc w:val="center"/>
        <w:rPr>
          <w:b/>
          <w:bCs/>
          <w:sz w:val="28"/>
        </w:rPr>
      </w:pPr>
    </w:p>
    <w:p>
      <w:pPr>
        <w:pStyle w:val="Heading3"/>
      </w:pPr>
      <w:bookmarkStart w:id="1" w:name="_Toc262126926"/>
      <w:r>
        <w:t>FORM APPROVED</w:t>
      </w:r>
      <w:bookmarkEnd w:id="1"/>
    </w:p>
    <w:p/>
    <w:p>
      <w:pPr>
        <w:jc w:val="center"/>
      </w:pPr>
      <w:r>
        <w:t xml:space="preserve">OMB no. 1894-0006, Expiration Date: </w:t>
      </w:r>
      <w:r>
        <w:rPr>
          <w:color w:val="000000" w:themeColor="text1"/>
        </w:rPr>
        <w:t>xxxx-xx-xxxx</w:t>
      </w:r>
    </w:p>
    <w:p/>
    <w:p/>
    <w:p>
      <w:pPr>
        <w:pStyle w:val="Heading2"/>
      </w:pPr>
    </w:p>
    <w:p>
      <w:pPr>
        <w:jc w:val="center"/>
        <w:rPr>
          <w:color w:val="000000" w:themeColor="text1"/>
        </w:rPr>
      </w:pPr>
      <w:r>
        <w:rPr>
          <w:b/>
          <w:noProof/>
          <w:color w:val="000000"/>
          <w:sz w:val="22"/>
        </w:rPr>
        <w:drawing>
          <wp:inline distT="0" distB="0" distL="0" distR="0">
            <wp:extent cx="1809750" cy="1693855"/>
            <wp:effectExtent l="0" t="0" r="0" b="1905"/>
            <wp:docPr id="1" name="Picture 1" descr="ED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bw"/>
                    <pic:cNvPicPr>
                      <a:picLocks noChangeAspect="1" noChangeArrowheads="1"/>
                    </pic:cNvPicPr>
                  </pic:nvPicPr>
                  <pic:blipFill>
                    <a:blip r:embed="rId9" cstate="print"/>
                    <a:srcRect/>
                    <a:stretch>
                      <a:fillRect/>
                    </a:stretch>
                  </pic:blipFill>
                  <pic:spPr bwMode="auto">
                    <a:xfrm>
                      <a:off x="0" y="0"/>
                      <a:ext cx="1809750" cy="1693855"/>
                    </a:xfrm>
                    <a:prstGeom prst="rect">
                      <a:avLst/>
                    </a:prstGeom>
                    <a:noFill/>
                    <a:ln w="9525">
                      <a:noFill/>
                      <a:miter lim="800000"/>
                      <a:headEnd/>
                      <a:tailEnd/>
                    </a:ln>
                  </pic:spPr>
                </pic:pic>
              </a:graphicData>
            </a:graphic>
          </wp:inline>
        </w:drawing>
      </w:r>
    </w:p>
    <w:p>
      <w:pPr>
        <w:rPr>
          <w:color w:val="000000" w:themeColor="text1"/>
        </w:rPr>
      </w:pPr>
    </w:p>
    <w:p>
      <w:pPr>
        <w:jc w:val="center"/>
        <w:rPr>
          <w:b/>
          <w:bCs/>
          <w:color w:val="000000" w:themeColor="text1"/>
        </w:rPr>
      </w:pPr>
      <w:r>
        <w:rPr>
          <w:b/>
          <w:bCs/>
          <w:color w:val="000000" w:themeColor="text1"/>
        </w:rPr>
        <w:t xml:space="preserve"> </w:t>
      </w:r>
    </w:p>
    <w:p>
      <w:pPr>
        <w:jc w:val="center"/>
        <w:rPr>
          <w:b/>
          <w:bCs/>
        </w:rPr>
      </w:pPr>
    </w:p>
    <w:p>
      <w:pPr>
        <w:jc w:val="center"/>
        <w:rPr>
          <w:b/>
          <w:bCs/>
        </w:rPr>
      </w:pPr>
    </w:p>
    <w:p>
      <w:pPr>
        <w:jc w:val="center"/>
        <w:rPr>
          <w:b/>
          <w:bCs/>
        </w:rPr>
      </w:pPr>
    </w:p>
    <w:p>
      <w:pPr>
        <w:jc w:val="center"/>
        <w:rPr>
          <w:b/>
          <w:bCs/>
        </w:rPr>
      </w:pPr>
      <w:r>
        <w:rPr>
          <w:b/>
          <w:bCs/>
        </w:rPr>
        <w:t>OPEN IMMEDIATELY</w:t>
      </w:r>
    </w:p>
    <w:p>
      <w:pPr>
        <w:jc w:val="center"/>
        <w:rPr>
          <w:b/>
          <w:bCs/>
        </w:rPr>
      </w:pPr>
    </w:p>
    <w:p>
      <w:pPr>
        <w:jc w:val="center"/>
        <w:rPr>
          <w:sz w:val="40"/>
          <w:szCs w:val="40"/>
        </w:rPr>
      </w:pPr>
      <w:r>
        <w:rPr>
          <w:b/>
          <w:bCs/>
          <w:sz w:val="40"/>
          <w:szCs w:val="40"/>
        </w:rPr>
        <w:t>CLOSING DATE:</w:t>
      </w:r>
      <w:r>
        <w:rPr>
          <w:b/>
          <w:bCs/>
          <w:sz w:val="40"/>
          <w:szCs w:val="40"/>
        </w:rPr>
        <w:tab/>
      </w:r>
      <w:r>
        <w:rPr>
          <w:b/>
          <w:bCs/>
          <w:color w:val="000000" w:themeColor="text1"/>
          <w:sz w:val="40"/>
          <w:szCs w:val="40"/>
          <w:highlight w:val="yellow"/>
        </w:rPr>
        <w:t>xxxx xx, 2014</w:t>
      </w:r>
    </w:p>
    <w:p>
      <w:pPr>
        <w:jc w:val="center"/>
        <w:rPr>
          <w:b/>
          <w:bCs/>
        </w:rPr>
      </w:pPr>
    </w:p>
    <w:p>
      <w:pPr>
        <w:jc w:val="center"/>
        <w:rPr>
          <w:bCs/>
          <w:iCs/>
          <w:caps/>
          <w:color w:val="000000"/>
          <w:sz w:val="40"/>
          <w:szCs w:val="40"/>
        </w:rPr>
      </w:pPr>
      <w:r>
        <w:rPr>
          <w:b/>
          <w:bCs/>
          <w:sz w:val="40"/>
          <w:szCs w:val="40"/>
        </w:rPr>
        <w:t>4:30:00 p.m. Washington, D.C. Time</w:t>
      </w:r>
      <w:r>
        <w:rPr>
          <w:b/>
          <w:bCs/>
          <w:sz w:val="40"/>
          <w:szCs w:val="40"/>
        </w:rPr>
        <w:br w:type="page"/>
      </w:r>
    </w:p>
    <w:p>
      <w:pPr>
        <w:rPr>
          <w:rFonts w:ascii="Arial" w:hAnsi="Arial" w:cs="Arial"/>
          <w:b/>
          <w:color w:val="000000"/>
          <w:sz w:val="40"/>
        </w:rPr>
        <w:sectPr>
          <w:footerReference w:type="default" r:id="rId10"/>
          <w:pgSz w:w="12240" w:h="15840"/>
          <w:pgMar w:top="1440" w:right="1440" w:bottom="1440" w:left="1440" w:header="0" w:footer="432" w:gutter="0"/>
          <w:pgBorders w:display="firstPage" w:offsetFrom="page">
            <w:top w:val="thinThickThinSmallGap" w:sz="24" w:space="30" w:color="auto"/>
            <w:left w:val="thinThickThinSmallGap" w:sz="24" w:space="30" w:color="auto"/>
            <w:bottom w:val="thinThickThinSmallGap" w:sz="24" w:space="30" w:color="auto"/>
            <w:right w:val="thinThickThinSmallGap" w:sz="24" w:space="30" w:color="auto"/>
          </w:pgBorders>
          <w:pgNumType w:start="1"/>
          <w:cols w:space="720"/>
          <w:docGrid w:linePitch="360"/>
        </w:sectPr>
      </w:pPr>
    </w:p>
    <w:p>
      <w:pPr>
        <w:pBdr>
          <w:top w:val="single" w:sz="4" w:space="1" w:color="auto"/>
          <w:bottom w:val="single" w:sz="4" w:space="1" w:color="auto"/>
        </w:pBdr>
        <w:shd w:val="clear" w:color="auto" w:fill="E0E0E0"/>
        <w:tabs>
          <w:tab w:val="left" w:pos="720"/>
        </w:tabs>
        <w:spacing w:after="120"/>
        <w:jc w:val="center"/>
        <w:rPr>
          <w:rFonts w:ascii="Arial" w:hAnsi="Arial" w:cs="Arial"/>
          <w:b/>
          <w:bCs/>
          <w:sz w:val="28"/>
        </w:rPr>
      </w:pPr>
      <w:r>
        <w:rPr>
          <w:rFonts w:ascii="Arial" w:hAnsi="Arial" w:cs="Arial"/>
          <w:b/>
          <w:bCs/>
          <w:sz w:val="28"/>
        </w:rPr>
        <w:lastRenderedPageBreak/>
        <w:t>TABLE OF CONTENTS</w:t>
      </w:r>
    </w:p>
    <w:p>
      <w:pPr>
        <w:tabs>
          <w:tab w:val="right" w:leader="dot" w:pos="9000"/>
        </w:tabs>
        <w:rPr>
          <w:rFonts w:ascii="Arial" w:hAnsi="Arial" w:cs="Arial"/>
          <w:sz w:val="22"/>
        </w:rPr>
      </w:pPr>
      <w:r>
        <w:rPr>
          <w:rFonts w:ascii="Arial" w:hAnsi="Arial" w:cs="Arial"/>
          <w:sz w:val="22"/>
        </w:rPr>
        <w:t xml:space="preserve">Dear Applicant Letter </w:t>
      </w:r>
      <w:r>
        <w:rPr>
          <w:rFonts w:ascii="Arial" w:hAnsi="Arial" w:cs="Arial"/>
          <w:sz w:val="22"/>
        </w:rPr>
        <w:tab/>
        <w:t>3</w:t>
      </w:r>
    </w:p>
    <w:p>
      <w:pPr>
        <w:tabs>
          <w:tab w:val="right" w:leader="dot" w:pos="9000"/>
        </w:tabs>
        <w:rPr>
          <w:rFonts w:ascii="Arial" w:hAnsi="Arial" w:cs="Arial"/>
          <w:sz w:val="22"/>
        </w:rPr>
      </w:pPr>
    </w:p>
    <w:p>
      <w:pPr>
        <w:tabs>
          <w:tab w:val="right" w:leader="dot" w:pos="9000"/>
        </w:tabs>
        <w:rPr>
          <w:rFonts w:ascii="Arial" w:hAnsi="Arial" w:cs="Arial"/>
          <w:sz w:val="22"/>
        </w:rPr>
      </w:pPr>
      <w:r>
        <w:rPr>
          <w:rFonts w:ascii="Arial" w:hAnsi="Arial" w:cs="Arial"/>
          <w:sz w:val="22"/>
        </w:rPr>
        <w:t>Competition Highlights</w:t>
      </w:r>
      <w:r>
        <w:rPr>
          <w:rFonts w:ascii="Arial" w:hAnsi="Arial" w:cs="Arial"/>
          <w:sz w:val="22"/>
        </w:rPr>
        <w:tab/>
        <w:t>4</w:t>
      </w:r>
    </w:p>
    <w:p>
      <w:pPr>
        <w:tabs>
          <w:tab w:val="right" w:leader="dot" w:pos="9000"/>
        </w:tabs>
        <w:rPr>
          <w:rFonts w:ascii="Arial" w:hAnsi="Arial" w:cs="Arial"/>
          <w:sz w:val="22"/>
        </w:rPr>
      </w:pPr>
    </w:p>
    <w:p>
      <w:pPr>
        <w:tabs>
          <w:tab w:val="right" w:leader="dot" w:pos="9000"/>
        </w:tabs>
        <w:rPr>
          <w:rFonts w:ascii="Arial" w:hAnsi="Arial" w:cs="Arial"/>
          <w:sz w:val="22"/>
        </w:rPr>
      </w:pPr>
      <w:r>
        <w:rPr>
          <w:rFonts w:ascii="Arial" w:hAnsi="Arial" w:cs="Arial"/>
          <w:sz w:val="22"/>
        </w:rPr>
        <w:t>Introduction</w:t>
      </w:r>
      <w:r>
        <w:rPr>
          <w:rFonts w:ascii="Arial" w:hAnsi="Arial" w:cs="Arial"/>
          <w:sz w:val="22"/>
        </w:rPr>
        <w:tab/>
        <w:t>7</w:t>
      </w:r>
    </w:p>
    <w:p>
      <w:pPr>
        <w:tabs>
          <w:tab w:val="right" w:leader="dot" w:pos="9000"/>
        </w:tabs>
        <w:rPr>
          <w:rFonts w:ascii="Arial" w:hAnsi="Arial" w:cs="Arial"/>
          <w:sz w:val="22"/>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Grants.gov Submission Procedures and Tips for Applicants</w:t>
      </w:r>
      <w:r>
        <w:rPr>
          <w:rFonts w:ascii="Arial" w:hAnsi="Arial" w:cs="Arial"/>
          <w:noProof/>
          <w:color w:val="000000"/>
          <w:sz w:val="22"/>
          <w:szCs w:val="28"/>
        </w:rPr>
        <w:tab/>
        <w:t>8</w:t>
      </w:r>
    </w:p>
    <w:p>
      <w:pPr>
        <w:tabs>
          <w:tab w:val="right" w:leader="dot" w:pos="9000"/>
        </w:tabs>
        <w:rPr>
          <w:rFonts w:ascii="Arial" w:hAnsi="Arial" w:cs="Arial"/>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Application Transmittal Instructions</w:t>
      </w:r>
      <w:r>
        <w:rPr>
          <w:rFonts w:ascii="Arial" w:hAnsi="Arial" w:cs="Arial"/>
          <w:noProof/>
          <w:color w:val="000000"/>
          <w:sz w:val="22"/>
          <w:szCs w:val="28"/>
        </w:rPr>
        <w:tab/>
        <w:t>11</w:t>
      </w:r>
    </w:p>
    <w:p>
      <w:pPr>
        <w:tabs>
          <w:tab w:val="right" w:leader="dot" w:pos="9000"/>
        </w:tabs>
        <w:rPr>
          <w:rFonts w:ascii="Arial" w:hAnsi="Arial" w:cs="Arial"/>
          <w:noProof/>
          <w:color w:val="000000"/>
          <w:sz w:val="22"/>
          <w:szCs w:val="28"/>
        </w:rPr>
      </w:pPr>
    </w:p>
    <w:p>
      <w:pPr>
        <w:tabs>
          <w:tab w:val="right" w:leader="dot" w:pos="9000"/>
        </w:tabs>
        <w:rPr>
          <w:rFonts w:ascii="Arial" w:hAnsi="Arial" w:cs="Arial"/>
          <w:b/>
          <w:bCs/>
          <w:noProof/>
          <w:color w:val="000000"/>
          <w:sz w:val="22"/>
          <w:szCs w:val="28"/>
        </w:rPr>
      </w:pPr>
      <w:r>
        <w:rPr>
          <w:rFonts w:ascii="Arial" w:hAnsi="Arial" w:cs="Arial"/>
          <w:noProof/>
          <w:color w:val="000000"/>
          <w:sz w:val="22"/>
          <w:szCs w:val="28"/>
        </w:rPr>
        <w:t>Notice Inviting Applications for New Awards</w:t>
      </w:r>
      <w:r>
        <w:rPr>
          <w:rFonts w:ascii="Arial" w:hAnsi="Arial" w:cs="Arial"/>
          <w:noProof/>
          <w:color w:val="000000"/>
          <w:sz w:val="22"/>
          <w:szCs w:val="28"/>
        </w:rPr>
        <w:tab/>
        <w:t>14</w:t>
      </w:r>
    </w:p>
    <w:p>
      <w:pPr>
        <w:tabs>
          <w:tab w:val="right" w:leader="dot" w:pos="9000"/>
        </w:tabs>
        <w:rPr>
          <w:rFonts w:ascii="Arial" w:hAnsi="Arial" w:cs="Arial"/>
          <w:b/>
          <w:bCs/>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Authorizing Legislation</w:t>
      </w:r>
      <w:r>
        <w:rPr>
          <w:rFonts w:ascii="Arial" w:hAnsi="Arial" w:cs="Arial"/>
          <w:noProof/>
          <w:color w:val="000000"/>
          <w:sz w:val="22"/>
          <w:szCs w:val="28"/>
        </w:rPr>
        <w:tab/>
        <w:t>37</w:t>
      </w:r>
    </w:p>
    <w:p>
      <w:pPr>
        <w:tabs>
          <w:tab w:val="right" w:leader="dot" w:pos="9000"/>
        </w:tabs>
        <w:rPr>
          <w:rFonts w:ascii="Arial" w:hAnsi="Arial" w:cs="Arial"/>
          <w:noProof/>
          <w:color w:val="000000"/>
          <w:sz w:val="22"/>
          <w:szCs w:val="28"/>
        </w:rPr>
      </w:pPr>
    </w:p>
    <w:p>
      <w:pPr>
        <w:tabs>
          <w:tab w:val="right" w:leader="dot" w:pos="9000"/>
        </w:tabs>
        <w:rPr>
          <w:rFonts w:ascii="Arial" w:hAnsi="Arial" w:cs="Arial"/>
          <w:b/>
          <w:bCs/>
          <w:noProof/>
          <w:color w:val="000000"/>
          <w:sz w:val="22"/>
          <w:szCs w:val="28"/>
        </w:rPr>
      </w:pPr>
      <w:r>
        <w:rPr>
          <w:rFonts w:ascii="Arial" w:hAnsi="Arial" w:cs="Arial"/>
          <w:noProof/>
          <w:color w:val="000000"/>
          <w:sz w:val="22"/>
          <w:szCs w:val="28"/>
        </w:rPr>
        <w:t>Intergovernmental Review of Federal Programs</w:t>
      </w:r>
      <w:r>
        <w:rPr>
          <w:rFonts w:ascii="Arial" w:hAnsi="Arial" w:cs="Arial"/>
          <w:noProof/>
          <w:color w:val="000000"/>
          <w:sz w:val="22"/>
          <w:szCs w:val="28"/>
        </w:rPr>
        <w:tab/>
        <w:t>41</w:t>
      </w:r>
      <w:r>
        <w:rPr>
          <w:rFonts w:ascii="Arial" w:hAnsi="Arial" w:cs="Arial"/>
          <w:bCs/>
          <w:noProof/>
          <w:color w:val="000000"/>
          <w:sz w:val="22"/>
          <w:szCs w:val="28"/>
        </w:rPr>
        <w:t xml:space="preserve"> </w:t>
      </w:r>
    </w:p>
    <w:p>
      <w:pPr>
        <w:tabs>
          <w:tab w:val="right" w:leader="dot" w:pos="9000"/>
        </w:tabs>
        <w:rPr>
          <w:rFonts w:ascii="Arial" w:hAnsi="Arial" w:cs="Arial"/>
          <w:b/>
          <w:bCs/>
          <w:noProof/>
          <w:color w:val="000000"/>
          <w:sz w:val="22"/>
          <w:szCs w:val="28"/>
        </w:rPr>
      </w:pPr>
    </w:p>
    <w:p>
      <w:pPr>
        <w:tabs>
          <w:tab w:val="right" w:leader="dot" w:pos="9000"/>
        </w:tabs>
        <w:rPr>
          <w:rFonts w:ascii="Arial" w:hAnsi="Arial" w:cs="Arial"/>
          <w:b/>
          <w:bCs/>
          <w:noProof/>
          <w:color w:val="000000"/>
          <w:sz w:val="22"/>
          <w:szCs w:val="28"/>
        </w:rPr>
      </w:pPr>
      <w:r>
        <w:rPr>
          <w:rFonts w:ascii="Arial" w:hAnsi="Arial" w:cs="Arial"/>
          <w:noProof/>
          <w:color w:val="000000"/>
          <w:sz w:val="22"/>
          <w:szCs w:val="28"/>
        </w:rPr>
        <w:t>Supplemental Information</w:t>
      </w:r>
      <w:r>
        <w:rPr>
          <w:rFonts w:ascii="Arial" w:hAnsi="Arial" w:cs="Arial"/>
          <w:noProof/>
          <w:color w:val="000000"/>
          <w:sz w:val="22"/>
          <w:szCs w:val="28"/>
        </w:rPr>
        <w:tab/>
        <w:t xml:space="preserve">42 </w:t>
      </w:r>
      <w:r>
        <w:rPr>
          <w:rFonts w:ascii="Arial" w:hAnsi="Arial" w:cs="Arial"/>
          <w:b/>
          <w:bCs/>
          <w:noProof/>
          <w:color w:val="000000"/>
          <w:sz w:val="22"/>
          <w:szCs w:val="28"/>
        </w:rPr>
        <w:tab/>
      </w:r>
    </w:p>
    <w:p>
      <w:pPr>
        <w:tabs>
          <w:tab w:val="right" w:leader="dot" w:pos="9000"/>
        </w:tabs>
        <w:rPr>
          <w:rFonts w:ascii="Arial" w:hAnsi="Arial" w:cs="Arial"/>
          <w:b/>
          <w:bCs/>
          <w:noProof/>
          <w:color w:val="000000"/>
          <w:sz w:val="22"/>
          <w:szCs w:val="28"/>
        </w:rPr>
      </w:pPr>
    </w:p>
    <w:p>
      <w:pPr>
        <w:rPr>
          <w:rFonts w:ascii="Arial" w:hAnsi="Arial" w:cs="Arial"/>
          <w:noProof/>
          <w:color w:val="000000"/>
          <w:sz w:val="22"/>
          <w:szCs w:val="28"/>
        </w:rPr>
      </w:pPr>
      <w:r>
        <w:rPr>
          <w:rFonts w:ascii="Arial" w:hAnsi="Arial" w:cs="Arial"/>
          <w:b/>
          <w:bCs/>
          <w:noProof/>
          <w:color w:val="000000"/>
          <w:sz w:val="22"/>
          <w:szCs w:val="28"/>
        </w:rPr>
        <w:t>INSTRUCTIONS</w:t>
      </w:r>
    </w:p>
    <w:p>
      <w:pPr>
        <w:tabs>
          <w:tab w:val="right" w:leader="dot" w:pos="9000"/>
        </w:tabs>
        <w:rPr>
          <w:rFonts w:ascii="Arial" w:hAnsi="Arial" w:cs="Arial"/>
          <w:b/>
          <w:bCs/>
          <w:noProof/>
          <w:color w:val="000000"/>
          <w:sz w:val="22"/>
          <w:szCs w:val="28"/>
        </w:rPr>
      </w:pPr>
    </w:p>
    <w:p>
      <w:pPr>
        <w:tabs>
          <w:tab w:val="right" w:leader="dot" w:pos="9000"/>
        </w:tabs>
        <w:rPr>
          <w:rFonts w:ascii="Arial" w:hAnsi="Arial" w:cs="Arial"/>
          <w:bCs/>
          <w:noProof/>
          <w:color w:val="000000"/>
          <w:sz w:val="22"/>
          <w:szCs w:val="28"/>
        </w:rPr>
      </w:pPr>
      <w:r>
        <w:rPr>
          <w:rFonts w:ascii="Arial" w:hAnsi="Arial" w:cs="Arial"/>
          <w:noProof/>
          <w:color w:val="000000"/>
          <w:sz w:val="22"/>
          <w:szCs w:val="28"/>
        </w:rPr>
        <w:t>Instructions for Completing the Application Package</w:t>
      </w:r>
      <w:r>
        <w:rPr>
          <w:rFonts w:ascii="Arial" w:hAnsi="Arial" w:cs="Arial"/>
          <w:bCs/>
          <w:noProof/>
          <w:color w:val="000000"/>
          <w:sz w:val="22"/>
          <w:szCs w:val="28"/>
        </w:rPr>
        <w:tab/>
        <w:t>45</w:t>
      </w:r>
    </w:p>
    <w:p>
      <w:pPr>
        <w:tabs>
          <w:tab w:val="right" w:leader="dot" w:pos="9000"/>
        </w:tabs>
        <w:rPr>
          <w:rFonts w:ascii="Arial" w:hAnsi="Arial" w:cs="Arial"/>
          <w:bCs/>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Instructions for Project Narrative</w:t>
      </w:r>
      <w:r>
        <w:rPr>
          <w:rFonts w:ascii="Arial" w:hAnsi="Arial" w:cs="Arial"/>
          <w:noProof/>
          <w:color w:val="000000"/>
          <w:sz w:val="22"/>
          <w:szCs w:val="28"/>
        </w:rPr>
        <w:tab/>
        <w:t>47</w:t>
      </w:r>
    </w:p>
    <w:p>
      <w:pPr>
        <w:tabs>
          <w:tab w:val="right" w:leader="dot" w:pos="9000"/>
        </w:tabs>
        <w:rPr>
          <w:rFonts w:ascii="Arial" w:hAnsi="Arial" w:cs="Arial"/>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Competitive Preference Priority for FY 2014</w:t>
      </w:r>
      <w:r>
        <w:rPr>
          <w:rFonts w:ascii="Arial" w:hAnsi="Arial" w:cs="Arial"/>
          <w:noProof/>
          <w:color w:val="000000"/>
          <w:sz w:val="22"/>
          <w:szCs w:val="28"/>
        </w:rPr>
        <w:tab/>
        <w:t>52</w:t>
      </w:r>
    </w:p>
    <w:p>
      <w:pPr>
        <w:tabs>
          <w:tab w:val="right" w:leader="dot" w:pos="9000"/>
        </w:tabs>
        <w:rPr>
          <w:rFonts w:ascii="Arial" w:hAnsi="Arial" w:cs="Arial"/>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Instructions for Standard Forms</w:t>
      </w:r>
      <w:r>
        <w:rPr>
          <w:rFonts w:ascii="Arial" w:hAnsi="Arial" w:cs="Arial"/>
          <w:noProof/>
          <w:color w:val="000000"/>
          <w:sz w:val="22"/>
          <w:szCs w:val="28"/>
        </w:rPr>
        <w:tab/>
        <w:t>53</w:t>
      </w:r>
    </w:p>
    <w:p>
      <w:pPr>
        <w:tabs>
          <w:tab w:val="right" w:leader="dot" w:pos="9000"/>
        </w:tabs>
        <w:rPr>
          <w:rFonts w:ascii="Arial" w:hAnsi="Arial" w:cs="Arial"/>
          <w:noProof/>
          <w:color w:val="000000"/>
          <w:sz w:val="22"/>
          <w:szCs w:val="28"/>
        </w:rPr>
      </w:pPr>
    </w:p>
    <w:p>
      <w:pPr>
        <w:tabs>
          <w:tab w:val="right" w:leader="dot" w:pos="9000"/>
        </w:tabs>
        <w:rPr>
          <w:rFonts w:ascii="Arial" w:hAnsi="Arial" w:cs="Arial"/>
          <w:bCs/>
          <w:noProof/>
          <w:color w:val="000000"/>
          <w:sz w:val="22"/>
          <w:szCs w:val="28"/>
        </w:rPr>
      </w:pPr>
      <w:r>
        <w:rPr>
          <w:rFonts w:ascii="Arial" w:hAnsi="Arial" w:cs="Arial"/>
          <w:bCs/>
          <w:noProof/>
          <w:color w:val="000000"/>
          <w:sz w:val="22"/>
          <w:szCs w:val="28"/>
        </w:rPr>
        <w:t>Instructions for the SF 424</w:t>
      </w:r>
      <w:r>
        <w:rPr>
          <w:rFonts w:ascii="Arial" w:hAnsi="Arial" w:cs="Arial"/>
          <w:bCs/>
          <w:noProof/>
          <w:color w:val="000000"/>
          <w:sz w:val="22"/>
          <w:szCs w:val="28"/>
        </w:rPr>
        <w:tab/>
        <w:t>54</w:t>
      </w:r>
    </w:p>
    <w:p>
      <w:pPr>
        <w:tabs>
          <w:tab w:val="right" w:leader="dot" w:pos="9000"/>
        </w:tabs>
        <w:rPr>
          <w:rFonts w:ascii="Arial" w:hAnsi="Arial" w:cs="Arial"/>
          <w:bCs/>
          <w:noProof/>
          <w:color w:val="000000"/>
          <w:sz w:val="22"/>
          <w:szCs w:val="28"/>
        </w:rPr>
      </w:pPr>
    </w:p>
    <w:p>
      <w:pPr>
        <w:tabs>
          <w:tab w:val="right" w:leader="dot" w:pos="9000"/>
        </w:tabs>
        <w:rPr>
          <w:rFonts w:ascii="Arial" w:hAnsi="Arial" w:cs="Arial"/>
          <w:bCs/>
          <w:noProof/>
          <w:color w:val="000000"/>
          <w:sz w:val="22"/>
          <w:szCs w:val="28"/>
        </w:rPr>
      </w:pPr>
      <w:r>
        <w:rPr>
          <w:rFonts w:ascii="Arial" w:hAnsi="Arial" w:cs="Arial"/>
          <w:bCs/>
          <w:noProof/>
          <w:color w:val="000000"/>
          <w:sz w:val="22"/>
          <w:szCs w:val="28"/>
        </w:rPr>
        <w:t>Instructions for Department of Education Suppemental Information for SF 424</w:t>
      </w:r>
      <w:r>
        <w:rPr>
          <w:rFonts w:ascii="Arial" w:hAnsi="Arial" w:cs="Arial"/>
          <w:bCs/>
          <w:noProof/>
          <w:color w:val="000000"/>
          <w:sz w:val="22"/>
          <w:szCs w:val="28"/>
        </w:rPr>
        <w:tab/>
        <w:t>57</w:t>
      </w:r>
    </w:p>
    <w:p>
      <w:pPr>
        <w:tabs>
          <w:tab w:val="right" w:leader="dot" w:pos="9000"/>
        </w:tabs>
        <w:rPr>
          <w:rFonts w:ascii="Arial" w:hAnsi="Arial" w:cs="Arial"/>
          <w:bCs/>
          <w:noProof/>
          <w:color w:val="000000"/>
          <w:sz w:val="22"/>
          <w:szCs w:val="28"/>
        </w:rPr>
      </w:pPr>
    </w:p>
    <w:p>
      <w:pPr>
        <w:tabs>
          <w:tab w:val="right" w:leader="dot" w:pos="9000"/>
        </w:tabs>
        <w:rPr>
          <w:rFonts w:ascii="Arial" w:hAnsi="Arial" w:cs="Arial"/>
          <w:b/>
          <w:bCs/>
          <w:noProof/>
          <w:color w:val="000000"/>
          <w:sz w:val="22"/>
          <w:szCs w:val="28"/>
        </w:rPr>
      </w:pPr>
      <w:r>
        <w:rPr>
          <w:rFonts w:ascii="Arial" w:hAnsi="Arial" w:cs="Arial"/>
          <w:noProof/>
          <w:color w:val="000000"/>
          <w:sz w:val="22"/>
          <w:szCs w:val="28"/>
        </w:rPr>
        <w:t>Definitions for Department of Education Supplemental Information for SF 424</w:t>
      </w:r>
      <w:r>
        <w:rPr>
          <w:rFonts w:ascii="Arial" w:hAnsi="Arial" w:cs="Arial"/>
          <w:noProof/>
          <w:color w:val="000000"/>
          <w:sz w:val="22"/>
          <w:szCs w:val="28"/>
        </w:rPr>
        <w:tab/>
        <w:t>59</w:t>
      </w:r>
    </w:p>
    <w:p>
      <w:pPr>
        <w:tabs>
          <w:tab w:val="right" w:leader="dot" w:pos="9000"/>
        </w:tabs>
        <w:rPr>
          <w:rFonts w:ascii="Arial" w:hAnsi="Arial" w:cs="Arial"/>
          <w:b/>
          <w:bCs/>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Instructions for ED 524</w:t>
      </w:r>
      <w:r>
        <w:rPr>
          <w:rFonts w:ascii="Arial" w:hAnsi="Arial" w:cs="Arial"/>
          <w:noProof/>
          <w:color w:val="000000"/>
          <w:sz w:val="22"/>
          <w:szCs w:val="28"/>
        </w:rPr>
        <w:tab/>
        <w:t>62</w:t>
      </w:r>
    </w:p>
    <w:p>
      <w:pPr>
        <w:tabs>
          <w:tab w:val="right" w:leader="dot" w:pos="9000"/>
        </w:tabs>
        <w:rPr>
          <w:rFonts w:ascii="Arial" w:hAnsi="Arial" w:cs="Arial"/>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Instructions for Budget Summary Form and Itemized Budget</w:t>
      </w:r>
      <w:r>
        <w:rPr>
          <w:rFonts w:ascii="Arial" w:hAnsi="Arial" w:cs="Arial"/>
          <w:noProof/>
          <w:color w:val="000000"/>
          <w:sz w:val="22"/>
          <w:szCs w:val="28"/>
        </w:rPr>
        <w:tab/>
        <w:t>65</w:t>
      </w:r>
    </w:p>
    <w:p>
      <w:pPr>
        <w:tabs>
          <w:tab w:val="right" w:leader="dot" w:pos="9000"/>
        </w:tabs>
        <w:rPr>
          <w:rFonts w:ascii="Arial" w:hAnsi="Arial" w:cs="Arial"/>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Instructions for Completion of SF-LLL, Disclosure of Lobbying Activities</w:t>
      </w:r>
      <w:r>
        <w:rPr>
          <w:rFonts w:ascii="Arial" w:hAnsi="Arial" w:cs="Arial"/>
          <w:noProof/>
          <w:color w:val="000000"/>
          <w:sz w:val="22"/>
          <w:szCs w:val="28"/>
        </w:rPr>
        <w:tab/>
        <w:t>68</w:t>
      </w:r>
    </w:p>
    <w:p>
      <w:pPr>
        <w:tabs>
          <w:tab w:val="right" w:leader="dot" w:pos="9000"/>
        </w:tabs>
        <w:rPr>
          <w:rFonts w:ascii="Arial" w:hAnsi="Arial" w:cs="Arial"/>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Survey Instructions on Ensuring Equal Opportunity for Applicants</w:t>
      </w:r>
      <w:r>
        <w:rPr>
          <w:rFonts w:ascii="Arial" w:hAnsi="Arial" w:cs="Arial"/>
          <w:noProof/>
          <w:color w:val="000000"/>
          <w:sz w:val="22"/>
          <w:szCs w:val="28"/>
        </w:rPr>
        <w:tab/>
        <w:t>70</w:t>
      </w:r>
    </w:p>
    <w:p>
      <w:pPr>
        <w:tabs>
          <w:tab w:val="right" w:leader="dot" w:pos="9000"/>
        </w:tabs>
        <w:rPr>
          <w:rFonts w:ascii="Arial" w:hAnsi="Arial" w:cs="Arial"/>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General Education Provisions Act (GEPA)</w:t>
      </w:r>
      <w:r>
        <w:rPr>
          <w:rFonts w:ascii="Arial" w:hAnsi="Arial" w:cs="Arial"/>
          <w:noProof/>
          <w:color w:val="000000"/>
          <w:sz w:val="22"/>
          <w:szCs w:val="28"/>
        </w:rPr>
        <w:tab/>
        <w:t>71</w:t>
      </w:r>
    </w:p>
    <w:p>
      <w:pPr>
        <w:tabs>
          <w:tab w:val="right" w:leader="dot" w:pos="9000"/>
        </w:tabs>
        <w:rPr>
          <w:rFonts w:ascii="Arial" w:hAnsi="Arial" w:cs="Arial"/>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Government Performance and Results Act (GPRA)</w:t>
      </w:r>
      <w:r>
        <w:rPr>
          <w:rFonts w:ascii="Arial" w:hAnsi="Arial" w:cs="Arial"/>
          <w:noProof/>
          <w:color w:val="000000"/>
          <w:sz w:val="22"/>
          <w:szCs w:val="28"/>
        </w:rPr>
        <w:tab/>
        <w:t>73</w:t>
      </w:r>
    </w:p>
    <w:p>
      <w:pPr>
        <w:tabs>
          <w:tab w:val="right" w:leader="dot" w:pos="9000"/>
        </w:tabs>
        <w:rPr>
          <w:rFonts w:ascii="Arial" w:hAnsi="Arial" w:cs="Arial"/>
          <w:noProof/>
          <w:color w:val="000000"/>
          <w:sz w:val="22"/>
          <w:szCs w:val="28"/>
        </w:rPr>
      </w:pPr>
    </w:p>
    <w:p>
      <w:pPr>
        <w:tabs>
          <w:tab w:val="right" w:leader="dot" w:pos="9000"/>
        </w:tabs>
        <w:rPr>
          <w:rFonts w:ascii="Arial" w:hAnsi="Arial" w:cs="Arial"/>
          <w:noProof/>
          <w:color w:val="000000"/>
          <w:sz w:val="22"/>
          <w:szCs w:val="28"/>
        </w:rPr>
      </w:pPr>
      <w:r>
        <w:rPr>
          <w:rFonts w:ascii="Arial" w:hAnsi="Arial" w:cs="Arial"/>
          <w:noProof/>
          <w:color w:val="000000"/>
          <w:sz w:val="22"/>
          <w:szCs w:val="28"/>
        </w:rPr>
        <w:t>Application Checklist</w:t>
      </w:r>
      <w:r>
        <w:rPr>
          <w:rFonts w:ascii="Arial" w:hAnsi="Arial" w:cs="Arial"/>
          <w:noProof/>
          <w:color w:val="000000"/>
          <w:sz w:val="22"/>
          <w:szCs w:val="28"/>
        </w:rPr>
        <w:tab/>
        <w:t>75</w:t>
      </w:r>
    </w:p>
    <w:p>
      <w:pPr>
        <w:tabs>
          <w:tab w:val="right" w:leader="dot" w:pos="9000"/>
        </w:tabs>
        <w:rPr>
          <w:rFonts w:ascii="Arial" w:hAnsi="Arial" w:cs="Arial"/>
          <w:noProof/>
          <w:color w:val="000000"/>
          <w:sz w:val="22"/>
          <w:szCs w:val="28"/>
        </w:rPr>
      </w:pPr>
    </w:p>
    <w:p>
      <w:pPr>
        <w:tabs>
          <w:tab w:val="right" w:leader="dot" w:pos="9000"/>
        </w:tabs>
        <w:rPr>
          <w:b/>
          <w:bCs/>
        </w:rPr>
      </w:pPr>
      <w:r>
        <w:rPr>
          <w:rFonts w:ascii="Arial" w:hAnsi="Arial" w:cs="Arial"/>
          <w:noProof/>
          <w:color w:val="000000"/>
          <w:sz w:val="22"/>
          <w:szCs w:val="28"/>
        </w:rPr>
        <w:t>Paperwork Burden Statement</w:t>
      </w:r>
      <w:r>
        <w:rPr>
          <w:rFonts w:ascii="Arial" w:hAnsi="Arial" w:cs="Arial"/>
          <w:noProof/>
          <w:color w:val="000000"/>
          <w:sz w:val="22"/>
          <w:szCs w:val="28"/>
        </w:rPr>
        <w:tab/>
        <w:t>77</w:t>
      </w:r>
    </w:p>
    <w:p>
      <w:pPr>
        <w:rPr>
          <w:rFonts w:ascii="Arial" w:hAnsi="Arial" w:cs="Arial"/>
          <w:color w:val="000000"/>
          <w:sz w:val="22"/>
        </w:rPr>
      </w:pPr>
      <w:r>
        <w:rPr>
          <w:rFonts w:ascii="Arial" w:hAnsi="Arial" w:cs="Arial"/>
          <w:color w:val="000000"/>
          <w:sz w:val="22"/>
        </w:rPr>
        <w:br w:type="page"/>
      </w:r>
      <w:bookmarkStart w:id="2" w:name="_Toc262126927"/>
      <w:r>
        <w:rPr>
          <w:rFonts w:ascii="Arial" w:hAnsi="Arial" w:cs="Arial"/>
          <w:color w:val="000000"/>
          <w:sz w:val="22"/>
        </w:rPr>
        <w:lastRenderedPageBreak/>
        <w:t xml:space="preserve">Xxxxxx, </w:t>
      </w:r>
      <w:bookmarkEnd w:id="2"/>
      <w:r>
        <w:rPr>
          <w:rFonts w:ascii="Arial" w:hAnsi="Arial" w:cs="Arial"/>
          <w:sz w:val="22"/>
          <w:szCs w:val="22"/>
        </w:rPr>
        <w:t>2014</w:t>
      </w:r>
    </w:p>
    <w:p>
      <w:pPr>
        <w:rPr>
          <w:rFonts w:ascii="Arial" w:hAnsi="Arial" w:cs="Arial"/>
          <w:sz w:val="22"/>
          <w:szCs w:val="22"/>
        </w:rPr>
      </w:pPr>
    </w:p>
    <w:p>
      <w:pPr>
        <w:tabs>
          <w:tab w:val="left" w:pos="6800"/>
        </w:tabs>
        <w:rPr>
          <w:rFonts w:ascii="Arial" w:hAnsi="Arial" w:cs="Arial"/>
          <w:color w:val="000000"/>
          <w:sz w:val="22"/>
          <w:szCs w:val="22"/>
        </w:rPr>
      </w:pPr>
      <w:r>
        <w:rPr>
          <w:rFonts w:ascii="Arial" w:hAnsi="Arial" w:cs="Arial"/>
          <w:color w:val="000000"/>
          <w:sz w:val="22"/>
          <w:szCs w:val="22"/>
        </w:rPr>
        <w:t>Dear Applicant:</w:t>
      </w:r>
      <w:r>
        <w:rPr>
          <w:rFonts w:ascii="Arial" w:hAnsi="Arial" w:cs="Arial"/>
          <w:color w:val="000000"/>
          <w:sz w:val="22"/>
          <w:szCs w:val="22"/>
        </w:rPr>
        <w:tab/>
      </w:r>
    </w:p>
    <w:p>
      <w:pPr>
        <w:rPr>
          <w:rFonts w:ascii="Arial" w:hAnsi="Arial" w:cs="Arial"/>
          <w:color w:val="000000"/>
          <w:sz w:val="22"/>
          <w:szCs w:val="22"/>
        </w:rPr>
      </w:pPr>
    </w:p>
    <w:p>
      <w:pPr>
        <w:pStyle w:val="StyleVerdana12ptAfter0ptLinespacingsingle"/>
        <w:rPr>
          <w:rFonts w:ascii="Arial" w:hAnsi="Arial" w:cs="Arial"/>
          <w:sz w:val="22"/>
          <w:szCs w:val="22"/>
        </w:rPr>
      </w:pPr>
      <w:r>
        <w:rPr>
          <w:rFonts w:ascii="Arial" w:hAnsi="Arial" w:cs="Arial"/>
          <w:sz w:val="22"/>
          <w:szCs w:val="22"/>
        </w:rPr>
        <w:t>Thank you for your interest in applying for a grant under the Center for Best Practices to Support Single Parent Students Program.  This grant competition is administered by the Fund for the Improvement of Postsecondary Education (FIPSE) of the U.S. Department of Education (the Department). The Center will promote replication of programs that have proven effective at providing postsecondary degree completion opportunities to low-income single parents. The Center will study and develop best practices, and assist other institutions in implementing innovative programs that support this target population.  Information about this program is accessible on the FIPSE Web site at:</w:t>
      </w:r>
    </w:p>
    <w:p>
      <w:pPr>
        <w:pStyle w:val="StyleVerdana12ptAfter0ptLinespacingsingle"/>
        <w:rPr>
          <w:rFonts w:ascii="Arial" w:hAnsi="Arial" w:cs="Arial"/>
          <w:sz w:val="22"/>
          <w:szCs w:val="22"/>
        </w:rPr>
      </w:pPr>
    </w:p>
    <w:p>
      <w:pPr>
        <w:pStyle w:val="StyleVerdana12ptAfter0ptLinespacingsingle"/>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"http://www2.ed.gov/about/offices/list/ope/fipse/index.html" </w:instrText>
      </w:r>
      <w:r>
        <w:rPr>
          <w:rFonts w:ascii="Arial" w:hAnsi="Arial" w:cs="Arial"/>
          <w:sz w:val="22"/>
          <w:szCs w:val="22"/>
        </w:rPr>
        <w:fldChar w:fldCharType="separate"/>
      </w:r>
      <w:r>
        <w:rPr>
          <w:rStyle w:val="Hyperlink"/>
          <w:rFonts w:ascii="Arial" w:hAnsi="Arial" w:cs="Arial"/>
          <w:sz w:val="22"/>
          <w:szCs w:val="22"/>
        </w:rPr>
        <w:t>http://www2.ed.gov/about/offices/list/ope/fipse/index.html</w:t>
      </w:r>
    </w:p>
    <w:p>
      <w:pPr>
        <w:pStyle w:val="StyleVerdana12ptAfter0ptLinespacingsingle"/>
        <w:rPr>
          <w:rFonts w:ascii="Arial" w:hAnsi="Arial" w:cs="Arial"/>
          <w:sz w:val="22"/>
          <w:szCs w:val="22"/>
        </w:rPr>
      </w:pPr>
      <w:r>
        <w:rPr>
          <w:rFonts w:ascii="Arial" w:hAnsi="Arial" w:cs="Arial"/>
          <w:sz w:val="22"/>
          <w:szCs w:val="22"/>
        </w:rPr>
        <w:fldChar w:fldCharType="end"/>
      </w:r>
    </w:p>
    <w:p>
      <w:pPr>
        <w:pStyle w:val="StyleVerdana12ptAfter0ptLinespacingsingle"/>
        <w:rPr>
          <w:rFonts w:ascii="Arial" w:hAnsi="Arial" w:cs="Arial"/>
          <w:sz w:val="22"/>
          <w:szCs w:val="22"/>
        </w:rPr>
      </w:pPr>
      <w:r>
        <w:rPr>
          <w:rFonts w:ascii="Arial" w:hAnsi="Arial" w:cs="Arial"/>
          <w:sz w:val="22"/>
          <w:szCs w:val="22"/>
        </w:rPr>
        <w:t xml:space="preserve">Please be advised that because limited funds are available this year, the application process will be extremely competitive.  For FY 2014, the Department estimates that it will make one (1) award ranging in size from $450,000 - $495,000. The project period may be up to 48 months.  </w:t>
      </w:r>
    </w:p>
    <w:p>
      <w:pPr>
        <w:pStyle w:val="StyleVerdana12ptAfter0ptLinespacingsingle"/>
        <w:rPr>
          <w:rFonts w:ascii="Arial" w:hAnsi="Arial" w:cs="Arial"/>
          <w:sz w:val="22"/>
          <w:szCs w:val="22"/>
        </w:rPr>
      </w:pPr>
    </w:p>
    <w:p>
      <w:pPr>
        <w:rPr>
          <w:rFonts w:ascii="Arial" w:hAnsi="Arial" w:cs="Arial"/>
          <w:color w:val="000000"/>
          <w:sz w:val="22"/>
          <w:szCs w:val="22"/>
        </w:rPr>
      </w:pPr>
      <w:r>
        <w:rPr>
          <w:rFonts w:ascii="Arial" w:hAnsi="Arial" w:cs="Arial"/>
          <w:color w:val="000000"/>
          <w:sz w:val="22"/>
          <w:szCs w:val="22"/>
        </w:rPr>
        <w:t xml:space="preserve">The Notice Inviting Applications for New Awards published in the </w:t>
      </w:r>
      <w:r>
        <w:rPr>
          <w:rFonts w:ascii="Arial" w:hAnsi="Arial" w:cs="Arial"/>
          <w:iCs/>
          <w:color w:val="000000"/>
          <w:sz w:val="22"/>
          <w:szCs w:val="22"/>
          <w:u w:val="single"/>
        </w:rPr>
        <w:t>Federal Register</w:t>
      </w:r>
      <w:r>
        <w:rPr>
          <w:rFonts w:ascii="Arial" w:hAnsi="Arial" w:cs="Arial"/>
          <w:color w:val="000000"/>
          <w:sz w:val="22"/>
          <w:szCs w:val="22"/>
        </w:rPr>
        <w:t xml:space="preserve"> is the official document describing the requirements for submitting a grant application.  Please let us know if you have questions or require additional information.  Please carefully review these application guidelines and the </w:t>
      </w:r>
      <w:r>
        <w:rPr>
          <w:rFonts w:ascii="Arial" w:hAnsi="Arial" w:cs="Arial"/>
          <w:color w:val="000000"/>
          <w:sz w:val="22"/>
          <w:szCs w:val="22"/>
          <w:u w:val="single"/>
        </w:rPr>
        <w:t>Federal Register</w:t>
      </w:r>
      <w:r>
        <w:rPr>
          <w:rFonts w:ascii="Arial" w:hAnsi="Arial" w:cs="Arial"/>
          <w:color w:val="000000"/>
          <w:sz w:val="22"/>
          <w:szCs w:val="22"/>
        </w:rPr>
        <w:t xml:space="preserve"> notice. </w:t>
      </w:r>
    </w:p>
    <w:p>
      <w:pPr>
        <w:rPr>
          <w:rFonts w:ascii="Arial" w:hAnsi="Arial" w:cs="Arial"/>
          <w:color w:val="000000"/>
          <w:sz w:val="22"/>
          <w:szCs w:val="22"/>
        </w:rPr>
      </w:pPr>
    </w:p>
    <w:p>
      <w:pPr>
        <w:rPr>
          <w:rFonts w:ascii="Arial" w:hAnsi="Arial" w:cs="Arial"/>
          <w:color w:val="000000"/>
          <w:sz w:val="22"/>
          <w:szCs w:val="22"/>
        </w:rPr>
      </w:pPr>
      <w:r>
        <w:rPr>
          <w:rFonts w:ascii="Arial" w:hAnsi="Arial" w:cs="Arial"/>
          <w:color w:val="000000"/>
          <w:sz w:val="22"/>
          <w:szCs w:val="22"/>
        </w:rPr>
        <w:t xml:space="preserve">The Department requires submission of grant applications through Grants.gov, an Internet-based electronic system, unless you have grounds for a waiver.  A detailed description of the system is included in this application package.  We urge you to acquaint yourself with the Grants.gov system early.  The application process can be time consuming if you have not used it before.  Make sure you allow yourself ample time to submit the electronic application by the deadline of </w:t>
      </w:r>
      <w:r>
        <w:rPr>
          <w:rFonts w:ascii="Arial" w:hAnsi="Arial" w:cs="Arial"/>
          <w:b/>
          <w:color w:val="000000" w:themeColor="text1"/>
          <w:sz w:val="22"/>
          <w:szCs w:val="22"/>
        </w:rPr>
        <w:t>Xxx  xx</w:t>
      </w:r>
      <w:r>
        <w:rPr>
          <w:rFonts w:ascii="Arial" w:hAnsi="Arial" w:cs="Arial"/>
          <w:color w:val="000000" w:themeColor="text1"/>
          <w:sz w:val="22"/>
          <w:szCs w:val="22"/>
        </w:rPr>
        <w:t>, 2014</w:t>
      </w:r>
      <w:r>
        <w:rPr>
          <w:rFonts w:ascii="Arial" w:hAnsi="Arial" w:cs="Arial"/>
          <w:sz w:val="22"/>
          <w:szCs w:val="22"/>
        </w:rPr>
        <w:t>.</w:t>
      </w:r>
      <w:r>
        <w:rPr>
          <w:rFonts w:ascii="Arial" w:hAnsi="Arial" w:cs="Arial"/>
          <w:color w:val="000000"/>
          <w:sz w:val="22"/>
          <w:szCs w:val="22"/>
        </w:rPr>
        <w:t xml:space="preserve"> We suggest that you submit your application several days before the deadline date.  Grants.gov is accessible through its portal page at:  </w:t>
      </w:r>
      <w:hyperlink r:id="rId11" w:history="1">
        <w:r>
          <w:rPr>
            <w:rStyle w:val="Hyperlink"/>
            <w:rFonts w:ascii="Arial" w:hAnsi="Arial" w:cs="Arial"/>
            <w:sz w:val="22"/>
            <w:szCs w:val="22"/>
          </w:rPr>
          <w:t>http://grants.gov</w:t>
        </w:r>
      </w:hyperlink>
      <w:r>
        <w:rPr>
          <w:rFonts w:ascii="Arial" w:hAnsi="Arial" w:cs="Arial"/>
          <w:sz w:val="22"/>
          <w:szCs w:val="22"/>
        </w:rPr>
        <w:t xml:space="preserve">. </w:t>
      </w:r>
    </w:p>
    <w:p>
      <w:pPr>
        <w:rPr>
          <w:rFonts w:ascii="Arial" w:hAnsi="Arial" w:cs="Arial"/>
          <w:sz w:val="22"/>
          <w:szCs w:val="22"/>
        </w:rPr>
      </w:pPr>
    </w:p>
    <w:p>
      <w:pPr>
        <w:rPr>
          <w:rFonts w:ascii="Arial" w:hAnsi="Arial" w:cs="Arial"/>
          <w:color w:val="000000"/>
          <w:sz w:val="22"/>
          <w:szCs w:val="22"/>
        </w:rPr>
      </w:pPr>
      <w:r>
        <w:rPr>
          <w:rFonts w:ascii="Arial" w:hAnsi="Arial" w:cs="Arial"/>
          <w:color w:val="000000"/>
          <w:sz w:val="22"/>
          <w:szCs w:val="22"/>
        </w:rPr>
        <w:t xml:space="preserve">FIPSE appreciates your interest in this competition and looks forward to receiving your application.  </w:t>
      </w:r>
    </w:p>
    <w:p>
      <w:pPr>
        <w:rPr>
          <w:rFonts w:ascii="Arial" w:hAnsi="Arial" w:cs="Arial"/>
          <w:color w:val="000000"/>
          <w:sz w:val="22"/>
          <w:szCs w:val="22"/>
        </w:rPr>
      </w:pPr>
    </w:p>
    <w:p>
      <w:pPr>
        <w:rPr>
          <w:rFonts w:ascii="Arial" w:hAnsi="Arial" w:cs="Arial"/>
          <w:color w:val="000000"/>
          <w:sz w:val="22"/>
          <w:szCs w:val="22"/>
        </w:rPr>
      </w:pPr>
      <w:r>
        <w:rPr>
          <w:rFonts w:ascii="Arial" w:hAnsi="Arial" w:cs="Arial"/>
          <w:color w:val="000000"/>
          <w:sz w:val="22"/>
          <w:szCs w:val="22"/>
        </w:rPr>
        <w:t>Sincerely,</w:t>
      </w:r>
    </w:p>
    <w:p>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 /</w:t>
      </w:r>
    </w:p>
    <w:p>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Ralph Hines</w:t>
      </w:r>
    </w:p>
    <w:p>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Director</w:t>
      </w:r>
    </w:p>
    <w:p>
      <w:pPr>
        <w:tabs>
          <w:tab w:val="left" w:pos="4140"/>
        </w:tabs>
        <w:rPr>
          <w:rFonts w:ascii="Arial" w:hAnsi="Arial" w:cs="Arial"/>
          <w:color w:val="000000"/>
          <w:sz w:val="22"/>
          <w:szCs w:val="22"/>
        </w:rPr>
      </w:pPr>
      <w:r>
        <w:rPr>
          <w:rFonts w:ascii="Arial" w:hAnsi="Arial" w:cs="Arial"/>
          <w:color w:val="000000"/>
          <w:sz w:val="22"/>
          <w:szCs w:val="22"/>
        </w:rPr>
        <w:t>Fund for the Improvement of Postsecondary Education</w:t>
      </w:r>
    </w:p>
    <w:p>
      <w:pPr>
        <w:tabs>
          <w:tab w:val="left" w:pos="4140"/>
        </w:tabs>
        <w:rPr>
          <w:rFonts w:ascii="Arial" w:hAnsi="Arial" w:cs="Arial"/>
          <w:color w:val="000000"/>
          <w:sz w:val="22"/>
          <w:szCs w:val="22"/>
        </w:rPr>
      </w:pPr>
    </w:p>
    <w:p>
      <w:pPr>
        <w:tabs>
          <w:tab w:val="left" w:pos="4140"/>
        </w:tabs>
        <w:rPr>
          <w:rFonts w:ascii="Arial" w:hAnsi="Arial" w:cs="Arial"/>
          <w:color w:val="000000"/>
          <w:sz w:val="22"/>
          <w:szCs w:val="22"/>
        </w:rPr>
      </w:pPr>
    </w:p>
    <w:p>
      <w:pPr>
        <w:tabs>
          <w:tab w:val="left" w:pos="4140"/>
        </w:tabs>
        <w:rPr>
          <w:rFonts w:ascii="Arial" w:hAnsi="Arial" w:cs="Arial"/>
          <w:color w:val="000000"/>
          <w:sz w:val="22"/>
          <w:szCs w:val="22"/>
        </w:rPr>
      </w:pPr>
    </w:p>
    <w:p>
      <w:pPr>
        <w:tabs>
          <w:tab w:val="left" w:pos="4140"/>
        </w:tabs>
        <w:rPr>
          <w:rFonts w:ascii="Arial" w:hAnsi="Arial" w:cs="Arial"/>
          <w:color w:val="000000"/>
          <w:sz w:val="22"/>
          <w:szCs w:val="22"/>
        </w:rPr>
      </w:pPr>
    </w:p>
    <w:p>
      <w:pPr>
        <w:tabs>
          <w:tab w:val="left" w:pos="4140"/>
        </w:tabs>
        <w:rPr>
          <w:rFonts w:ascii="Arial" w:hAnsi="Arial" w:cs="Arial"/>
          <w:color w:val="000000"/>
          <w:sz w:val="22"/>
          <w:szCs w:val="22"/>
        </w:rPr>
      </w:pPr>
    </w:p>
    <w:p>
      <w:pPr>
        <w:tabs>
          <w:tab w:val="left" w:pos="4140"/>
        </w:tabs>
        <w:rPr>
          <w:rFonts w:ascii="Arial" w:hAnsi="Arial" w:cs="Arial"/>
          <w:color w:val="000000"/>
          <w:sz w:val="22"/>
          <w:szCs w:val="22"/>
        </w:rPr>
      </w:pPr>
    </w:p>
    <w:p>
      <w:pPr>
        <w:tabs>
          <w:tab w:val="left" w:pos="4140"/>
        </w:tabs>
        <w:rPr>
          <w:rFonts w:ascii="Arial" w:hAnsi="Arial" w:cs="Arial"/>
          <w:color w:val="000000"/>
          <w:sz w:val="22"/>
          <w:szCs w:val="22"/>
        </w:rPr>
      </w:pPr>
    </w:p>
    <w:p>
      <w:pPr>
        <w:tabs>
          <w:tab w:val="left" w:pos="4140"/>
        </w:tabs>
        <w:rPr>
          <w:rFonts w:ascii="Arial" w:hAnsi="Arial" w:cs="Arial"/>
          <w:color w:val="000000"/>
          <w:sz w:val="22"/>
          <w:szCs w:val="22"/>
        </w:rPr>
      </w:pPr>
    </w:p>
    <w:p>
      <w:pPr>
        <w:tabs>
          <w:tab w:val="left" w:pos="4140"/>
        </w:tabs>
        <w:rPr>
          <w:rFonts w:ascii="Arial" w:hAnsi="Arial" w:cs="Arial"/>
          <w:color w:val="000000"/>
          <w:sz w:val="22"/>
          <w:szCs w:val="22"/>
        </w:rPr>
      </w:pPr>
    </w:p>
    <w:p>
      <w:pPr>
        <w:keepNext/>
        <w:pBdr>
          <w:top w:val="single" w:sz="4" w:space="1" w:color="auto"/>
          <w:bottom w:val="single" w:sz="4" w:space="1" w:color="auto"/>
        </w:pBdr>
        <w:shd w:val="clear" w:color="auto" w:fill="E0E0E0"/>
        <w:jc w:val="center"/>
        <w:outlineLvl w:val="0"/>
        <w:rPr>
          <w:rFonts w:ascii="Arial" w:hAnsi="Arial"/>
          <w:b/>
          <w:color w:val="000000"/>
          <w:sz w:val="28"/>
        </w:rPr>
      </w:pPr>
      <w:bookmarkStart w:id="3" w:name="_Toc175639948"/>
      <w:r>
        <w:rPr>
          <w:rFonts w:ascii="Arial" w:hAnsi="Arial"/>
          <w:b/>
          <w:color w:val="000000"/>
          <w:sz w:val="28"/>
        </w:rPr>
        <w:lastRenderedPageBreak/>
        <w:t>COMPETITION HIGHLIGHTS</w:t>
      </w:r>
      <w:bookmarkEnd w:id="3"/>
    </w:p>
    <w:p>
      <w:pPr>
        <w:tabs>
          <w:tab w:val="left" w:pos="360"/>
        </w:tabs>
        <w:ind w:left="360" w:hanging="360"/>
        <w:jc w:val="center"/>
        <w:rPr>
          <w:rFonts w:ascii="Arial" w:hAnsi="Arial" w:cs="Arial"/>
          <w:b/>
          <w:bCs/>
          <w:sz w:val="28"/>
        </w:rPr>
      </w:pPr>
    </w:p>
    <w:p>
      <w:pPr>
        <w:numPr>
          <w:ilvl w:val="0"/>
          <w:numId w:val="13"/>
        </w:numPr>
        <w:tabs>
          <w:tab w:val="left" w:pos="360"/>
        </w:tabs>
        <w:spacing w:after="200" w:line="276" w:lineRule="auto"/>
        <w:ind w:left="360"/>
        <w:rPr>
          <w:rFonts w:ascii="Arial" w:hAnsi="Arial" w:cs="Arial"/>
        </w:rPr>
      </w:pPr>
      <w:r>
        <w:rPr>
          <w:rFonts w:ascii="Arial" w:hAnsi="Arial" w:cs="Arial"/>
          <w:b/>
        </w:rPr>
        <w:t xml:space="preserve">Center for Best Practices to Support Single Parent Students Program applications </w:t>
      </w:r>
      <w:r>
        <w:rPr>
          <w:rFonts w:ascii="Arial" w:hAnsi="Arial" w:cs="Arial"/>
          <w:b/>
          <w:bCs/>
        </w:rPr>
        <w:t xml:space="preserve">for FY 2014 must be </w:t>
      </w:r>
      <w:r>
        <w:rPr>
          <w:rFonts w:ascii="Arial" w:hAnsi="Arial" w:cs="Arial"/>
          <w:b/>
          <w:bCs/>
          <w:spacing w:val="-3"/>
        </w:rPr>
        <w:t>su</w:t>
      </w:r>
      <w:r>
        <w:rPr>
          <w:rFonts w:ascii="Arial" w:hAnsi="Arial" w:cs="Arial"/>
          <w:b/>
          <w:bCs/>
        </w:rPr>
        <w:t>bmitted electronically using Grants.gov</w:t>
      </w:r>
      <w:r>
        <w:rPr>
          <w:rFonts w:ascii="Arial" w:hAnsi="Arial" w:cs="Arial"/>
        </w:rPr>
        <w:t>.</w:t>
      </w:r>
      <w:r>
        <w:rPr>
          <w:rFonts w:ascii="Arial" w:hAnsi="Arial" w:cs="Arial"/>
          <w:b/>
          <w:bCs/>
        </w:rPr>
        <w:t xml:space="preserve"> </w:t>
      </w:r>
      <w:r>
        <w:rPr>
          <w:rFonts w:ascii="Arial" w:hAnsi="Arial" w:cs="Arial"/>
        </w:rPr>
        <w:t xml:space="preserve"> You are urged to acquaint yourself with the requirements of Grants.gov early as the </w:t>
      </w:r>
      <w:r>
        <w:rPr>
          <w:rFonts w:ascii="Arial" w:hAnsi="Arial" w:cs="Arial"/>
          <w:u w:val="single"/>
        </w:rPr>
        <w:t>registration procedures may require 5 or more days to complete</w:t>
      </w:r>
      <w:r>
        <w:rPr>
          <w:rFonts w:ascii="Arial" w:hAnsi="Arial" w:cs="Arial"/>
        </w:rPr>
        <w:t xml:space="preserve">.  A more thorough discussion is included later in this application package.  Grants.gov is accessible through its portal page at:  </w:t>
      </w:r>
      <w:hyperlink r:id="rId12" w:history="1">
        <w:r>
          <w:rPr>
            <w:rFonts w:ascii="Arial" w:eastAsia="Arial Unicode MS" w:hAnsi="Arial" w:cs="Arial"/>
            <w:b/>
            <w:bCs/>
            <w:color w:val="0000FF" w:themeColor="hyperlink"/>
            <w:u w:val="single"/>
          </w:rPr>
          <w:t>http://Grants.gov</w:t>
        </w:r>
      </w:hyperlink>
      <w:r>
        <w:rPr>
          <w:rFonts w:ascii="Arial" w:hAnsi="Arial" w:cs="Arial"/>
          <w:b/>
          <w:bCs/>
        </w:rPr>
        <w:t xml:space="preserve">.  </w:t>
      </w:r>
      <w:r>
        <w:rPr>
          <w:rFonts w:ascii="Arial" w:hAnsi="Arial" w:cs="Arial"/>
          <w:bCs/>
        </w:rPr>
        <w:t xml:space="preserve">The requirements for obtaining an exception to the electronic submission are included in the Notice Inviting Applications for New Awards (notice) for FY 2014.  If you think you may need an exception, you are urged to review the requirements promptly.  </w:t>
      </w:r>
    </w:p>
    <w:p>
      <w:pPr>
        <w:numPr>
          <w:ilvl w:val="0"/>
          <w:numId w:val="13"/>
        </w:numPr>
        <w:tabs>
          <w:tab w:val="left" w:pos="360"/>
        </w:tabs>
        <w:spacing w:after="200" w:line="276" w:lineRule="auto"/>
        <w:ind w:left="360"/>
        <w:rPr>
          <w:rFonts w:ascii="Arial" w:hAnsi="Arial" w:cs="Arial"/>
        </w:rPr>
      </w:pPr>
      <w:r>
        <w:rPr>
          <w:rFonts w:ascii="Arial" w:hAnsi="Arial" w:cs="Arial"/>
        </w:rPr>
        <w:t>It is important to know that the Grants.gov site works differently from the Department’s e-Application system, used in past Department competitions.  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pPr>
        <w:numPr>
          <w:ilvl w:val="0"/>
          <w:numId w:val="13"/>
        </w:numPr>
        <w:tabs>
          <w:tab w:val="left" w:pos="360"/>
        </w:tabs>
        <w:spacing w:after="200" w:line="276" w:lineRule="auto"/>
        <w:ind w:left="360"/>
        <w:rPr>
          <w:rFonts w:ascii="Arial" w:hAnsi="Arial" w:cs="Arial"/>
        </w:rPr>
      </w:pPr>
      <w:r>
        <w:rPr>
          <w:rFonts w:ascii="Arial" w:hAnsi="Arial" w:cs="Arial"/>
        </w:rPr>
        <w:t xml:space="preserve">Please note that you must submit your application by 4:30:00 p.m. (Washington, D.C. time) on or before the application deadline date.  Late applications </w:t>
      </w:r>
      <w:r>
        <w:rPr>
          <w:rFonts w:ascii="Arial" w:hAnsi="Arial" w:cs="Arial"/>
          <w:u w:val="single"/>
        </w:rPr>
        <w:t>will not be accepted</w:t>
      </w:r>
      <w:r>
        <w:rPr>
          <w:rFonts w:ascii="Arial" w:hAnsi="Arial" w:cs="Arial"/>
        </w:rPr>
        <w:t xml:space="preserve">.  </w:t>
      </w:r>
      <w:r>
        <w:rPr>
          <w:rFonts w:ascii="Arial" w:hAnsi="Arial" w:cs="Arial"/>
          <w:b/>
          <w:bCs/>
        </w:rPr>
        <w:t xml:space="preserve">We suggest that you submit your application several days before the deadline.  </w:t>
      </w:r>
      <w:r>
        <w:rPr>
          <w:rFonts w:ascii="Arial" w:hAnsi="Arial" w:cs="Arial"/>
        </w:rPr>
        <w:t>The Department is required to enforce the established deadline to ensure fairness to all applicants.  No changes or additions to an application will be accepted after the deadline date and time.</w:t>
      </w:r>
    </w:p>
    <w:p>
      <w:pPr>
        <w:numPr>
          <w:ilvl w:val="0"/>
          <w:numId w:val="13"/>
        </w:numPr>
        <w:tabs>
          <w:tab w:val="left" w:pos="360"/>
        </w:tabs>
        <w:spacing w:after="200" w:line="276" w:lineRule="auto"/>
        <w:ind w:left="360"/>
        <w:rPr>
          <w:rFonts w:ascii="Arial" w:hAnsi="Arial" w:cs="Arial"/>
        </w:rPr>
      </w:pPr>
      <w:r>
        <w:rPr>
          <w:rFonts w:ascii="Arial" w:hAnsi="Arial" w:cs="Arial"/>
        </w:rPr>
        <w:t xml:space="preserve">Electronic submission of applications is required; therefore, you must submit an electronic application unless you follow the procedures outlined in the </w:t>
      </w:r>
      <w:r>
        <w:rPr>
          <w:rFonts w:ascii="Arial" w:hAnsi="Arial" w:cs="Arial"/>
          <w:u w:val="single"/>
        </w:rPr>
        <w:t>Federal Register</w:t>
      </w:r>
      <w:r>
        <w:rPr>
          <w:rFonts w:ascii="Arial" w:hAnsi="Arial" w:cs="Arial"/>
        </w:rPr>
        <w:t xml:space="preserve"> Notice for FY 2014 and qualify for one of the exceptions to the electronic submission requirement.</w:t>
      </w:r>
    </w:p>
    <w:p>
      <w:pPr>
        <w:numPr>
          <w:ilvl w:val="0"/>
          <w:numId w:val="13"/>
        </w:numPr>
        <w:tabs>
          <w:tab w:val="left" w:pos="360"/>
        </w:tabs>
        <w:spacing w:after="200" w:line="276" w:lineRule="auto"/>
        <w:ind w:left="360"/>
        <w:rPr>
          <w:rFonts w:ascii="Arial" w:hAnsi="Arial" w:cs="Arial"/>
        </w:rPr>
      </w:pPr>
      <w:r>
        <w:rPr>
          <w:rFonts w:ascii="Arial" w:hAnsi="Arial" w:cs="Arial"/>
        </w:rPr>
        <w:t xml:space="preserve">Applicants are required to adhere to the page limit specified in the Application Narrative Instructions portion of the application. The Notice for new awards for FY 2014, published in the </w:t>
      </w:r>
      <w:r>
        <w:rPr>
          <w:rFonts w:ascii="Arial" w:hAnsi="Arial" w:cs="Arial"/>
          <w:u w:val="single"/>
        </w:rPr>
        <w:t>Federal Register</w:t>
      </w:r>
      <w:r>
        <w:rPr>
          <w:rFonts w:ascii="Arial" w:hAnsi="Arial" w:cs="Arial"/>
        </w:rPr>
        <w:t xml:space="preserve">, contains specific information governing page limits and formatting instructions.  </w:t>
      </w:r>
      <w:r>
        <w:rPr>
          <w:rFonts w:ascii="Arial" w:hAnsi="Arial" w:cs="Arial"/>
          <w:b/>
        </w:rPr>
        <w:t xml:space="preserve">The total page limit for the project narrative portion of the application for the FY 2014 Center for Best Practices to Support Single Parent Students Program competition is 35 pages. </w:t>
      </w:r>
    </w:p>
    <w:p>
      <w:pPr>
        <w:numPr>
          <w:ilvl w:val="0"/>
          <w:numId w:val="13"/>
        </w:numPr>
        <w:tabs>
          <w:tab w:val="left" w:pos="360"/>
        </w:tabs>
        <w:spacing w:after="200" w:line="276" w:lineRule="auto"/>
        <w:ind w:left="360"/>
        <w:rPr>
          <w:rFonts w:ascii="Arial" w:hAnsi="Arial" w:cs="Arial"/>
        </w:rPr>
      </w:pPr>
      <w:r>
        <w:rPr>
          <w:rFonts w:ascii="Arial" w:hAnsi="Arial" w:cs="Arial"/>
        </w:rPr>
        <w:t xml:space="preserve">All attachments must be in .PDF format.  Other types of files will not be accepted.  Please note, once you download an application from Grants.gov, you will be working offline and saving data on your computer.  It is important to note where you are </w:t>
      </w:r>
      <w:r>
        <w:rPr>
          <w:rFonts w:ascii="Arial" w:hAnsi="Arial" w:cs="Arial"/>
        </w:rPr>
        <w:lastRenderedPageBreak/>
        <w:t>saving the Grants.gov file on your computer.  You will need to log on to Grants.gov to upload and submit the application (this is different from e-Application, where you may have previously worked online and saved data to the Department’s database).  You must provide the DUNS number that was used when your organization registered with the System for Award Management (SAM).</w:t>
      </w:r>
    </w:p>
    <w:p>
      <w:pPr>
        <w:spacing w:line="276" w:lineRule="auto"/>
        <w:ind w:left="360"/>
        <w:rPr>
          <w:rFonts w:ascii="Arial" w:hAnsi="Arial" w:cs="Arial"/>
        </w:rPr>
      </w:pPr>
      <w:r>
        <w:rPr>
          <w:rFonts w:ascii="Arial" w:hAnsi="Arial" w:cs="Arial"/>
          <w:b/>
          <w:bCs/>
          <w:u w:val="single"/>
        </w:rPr>
        <w:t>For Grants.gov related questions and assistance, please contact</w:t>
      </w:r>
      <w:r>
        <w:rPr>
          <w:rFonts w:ascii="Arial" w:hAnsi="Arial" w:cs="Arial"/>
        </w:rPr>
        <w:t>:</w:t>
      </w:r>
    </w:p>
    <w:p>
      <w:pPr>
        <w:spacing w:line="276" w:lineRule="auto"/>
        <w:ind w:left="360"/>
        <w:rPr>
          <w:rFonts w:ascii="Arial" w:hAnsi="Arial" w:cs="Arial"/>
        </w:rPr>
      </w:pPr>
      <w:r>
        <w:rPr>
          <w:rFonts w:ascii="Arial" w:hAnsi="Arial" w:cs="Arial"/>
        </w:rPr>
        <w:t>Support Desk e-Mail:</w:t>
      </w:r>
      <w:r>
        <w:rPr>
          <w:rFonts w:ascii="Arial" w:hAnsi="Arial" w:cs="Arial"/>
        </w:rPr>
        <w:tab/>
      </w:r>
      <w:r>
        <w:rPr>
          <w:rFonts w:ascii="Arial" w:hAnsi="Arial" w:cs="Arial"/>
        </w:rPr>
        <w:tab/>
      </w:r>
      <w:r>
        <w:rPr>
          <w:rFonts w:ascii="Arial" w:hAnsi="Arial" w:cs="Arial"/>
        </w:rPr>
        <w:tab/>
        <w:t xml:space="preserve">support@Grants.gov </w:t>
      </w:r>
    </w:p>
    <w:p>
      <w:pPr>
        <w:spacing w:line="276" w:lineRule="auto"/>
        <w:ind w:left="360"/>
        <w:rPr>
          <w:rFonts w:ascii="Arial" w:hAnsi="Arial" w:cs="Arial"/>
        </w:rPr>
      </w:pPr>
      <w:r>
        <w:rPr>
          <w:rFonts w:ascii="Arial" w:hAnsi="Arial" w:cs="Arial"/>
        </w:rPr>
        <w:t>Support Desk Telephone:</w:t>
      </w:r>
      <w:r>
        <w:rPr>
          <w:rFonts w:ascii="Arial" w:hAnsi="Arial" w:cs="Arial"/>
        </w:rPr>
        <w:tab/>
      </w:r>
      <w:r>
        <w:rPr>
          <w:rFonts w:ascii="Arial" w:hAnsi="Arial" w:cs="Arial"/>
        </w:rPr>
        <w:tab/>
        <w:t>(800) 518-4726</w:t>
      </w:r>
    </w:p>
    <w:p>
      <w:pPr>
        <w:spacing w:line="276" w:lineRule="auto"/>
        <w:ind w:left="4320" w:hanging="3960"/>
        <w:rPr>
          <w:rFonts w:ascii="Arial" w:hAnsi="Arial" w:cs="Arial"/>
        </w:rPr>
      </w:pPr>
      <w:r>
        <w:rPr>
          <w:rFonts w:ascii="Arial" w:hAnsi="Arial" w:cs="Arial"/>
        </w:rPr>
        <w:t xml:space="preserve">Contact Telephone Hours: </w:t>
      </w:r>
      <w:r>
        <w:rPr>
          <w:rFonts w:ascii="Arial" w:hAnsi="Arial" w:cs="Arial"/>
        </w:rPr>
        <w:tab/>
        <w:t>24 hours, 7 days a week, except Federal holidays</w:t>
      </w:r>
    </w:p>
    <w:p>
      <w:pPr>
        <w:spacing w:line="276" w:lineRule="auto"/>
        <w:ind w:firstLine="360"/>
        <w:rPr>
          <w:rFonts w:ascii="Arial" w:hAnsi="Arial" w:cs="Arial"/>
        </w:rPr>
      </w:pPr>
      <w:r>
        <w:rPr>
          <w:rFonts w:ascii="Arial" w:hAnsi="Arial" w:cs="Arial"/>
        </w:rPr>
        <w:t>Online Web Site:</w:t>
      </w:r>
      <w:r>
        <w:rPr>
          <w:rFonts w:ascii="Arial" w:hAnsi="Arial" w:cs="Arial"/>
        </w:rPr>
        <w:tab/>
      </w:r>
      <w:r>
        <w:rPr>
          <w:rFonts w:ascii="Arial" w:hAnsi="Arial" w:cs="Arial"/>
        </w:rPr>
        <w:tab/>
      </w:r>
      <w:r>
        <w:rPr>
          <w:rFonts w:ascii="Arial" w:hAnsi="Arial" w:cs="Arial"/>
        </w:rPr>
        <w:tab/>
      </w:r>
      <w:r>
        <w:rPr>
          <w:rFonts w:ascii="Arial" w:hAnsi="Arial" w:cs="Arial"/>
          <w:color w:val="0000FF"/>
          <w:u w:val="single"/>
        </w:rPr>
        <w:t>http://Grants.gov</w:t>
      </w:r>
    </w:p>
    <w:p>
      <w:pPr>
        <w:tabs>
          <w:tab w:val="left" w:pos="360"/>
        </w:tabs>
        <w:spacing w:line="276" w:lineRule="auto"/>
        <w:rPr>
          <w:rFonts w:ascii="Arial" w:hAnsi="Arial" w:cs="Arial"/>
        </w:rPr>
      </w:pPr>
    </w:p>
    <w:p>
      <w:pPr>
        <w:tabs>
          <w:tab w:val="left" w:pos="360"/>
        </w:tabs>
        <w:spacing w:line="276" w:lineRule="auto"/>
        <w:rPr>
          <w:rFonts w:ascii="Arial" w:hAnsi="Arial" w:cs="Arial"/>
        </w:rPr>
      </w:pPr>
      <w:r>
        <w:rPr>
          <w:rFonts w:ascii="Arial" w:hAnsi="Arial" w:cs="Arial"/>
        </w:rPr>
        <w:tab/>
        <w:t>Also, refer to the “Submission Procedures and Tips for Applicants” section found in</w:t>
      </w:r>
      <w:r>
        <w:rPr>
          <w:rFonts w:ascii="Arial" w:hAnsi="Arial" w:cs="Arial"/>
        </w:rPr>
        <w:tab/>
        <w:t xml:space="preserve">this application booklet. </w:t>
      </w:r>
    </w:p>
    <w:p>
      <w:pPr>
        <w:tabs>
          <w:tab w:val="left" w:pos="360"/>
        </w:tabs>
        <w:spacing w:line="276" w:lineRule="auto"/>
        <w:rPr>
          <w:rFonts w:ascii="Arial" w:hAnsi="Arial" w:cs="Arial"/>
        </w:rPr>
      </w:pPr>
    </w:p>
    <w:p>
      <w:pPr>
        <w:spacing w:line="276" w:lineRule="auto"/>
        <w:ind w:left="360"/>
        <w:rPr>
          <w:rFonts w:ascii="Arial" w:hAnsi="Arial" w:cs="Arial"/>
        </w:rPr>
      </w:pPr>
      <w:r>
        <w:rPr>
          <w:rFonts w:ascii="Arial" w:hAnsi="Arial" w:cs="Arial"/>
        </w:rPr>
        <w:t xml:space="preserve">You are reminded that the document published in the </w:t>
      </w:r>
      <w:r>
        <w:rPr>
          <w:rFonts w:ascii="Arial" w:hAnsi="Arial" w:cs="Arial"/>
          <w:u w:val="single"/>
        </w:rPr>
        <w:t>Federal Register</w:t>
      </w:r>
      <w:r>
        <w:rPr>
          <w:rFonts w:ascii="Arial" w:hAnsi="Arial" w:cs="Arial"/>
        </w:rPr>
        <w:t xml:space="preserve"> is the official document, and that you should not rely upon any information that is inconsistent with the guidelines contained within the official document.</w:t>
      </w:r>
    </w:p>
    <w:p>
      <w:pPr>
        <w:tabs>
          <w:tab w:val="left" w:pos="360"/>
        </w:tabs>
        <w:spacing w:line="276" w:lineRule="auto"/>
        <w:rPr>
          <w:rFonts w:ascii="Arial" w:eastAsia="Arial Unicode MS" w:hAnsi="Arial" w:cs="Arial"/>
          <w:b/>
          <w:bCs/>
        </w:rPr>
      </w:pPr>
    </w:p>
    <w:p>
      <w:pPr>
        <w:numPr>
          <w:ilvl w:val="0"/>
          <w:numId w:val="13"/>
        </w:numPr>
        <w:tabs>
          <w:tab w:val="left" w:pos="360"/>
        </w:tabs>
        <w:spacing w:line="276" w:lineRule="auto"/>
        <w:ind w:left="360"/>
        <w:rPr>
          <w:rFonts w:ascii="Arial" w:hAnsi="Arial" w:cs="Arial"/>
        </w:rPr>
      </w:pPr>
      <w:r>
        <w:rPr>
          <w:rFonts w:ascii="Arial" w:hAnsi="Arial" w:cs="Arial"/>
        </w:rPr>
        <w:t>In the FY 2014 competition, the Department has established one competitive preference priority that is outlined below:</w:t>
      </w:r>
    </w:p>
    <w:p>
      <w:pPr>
        <w:tabs>
          <w:tab w:val="left" w:pos="360"/>
        </w:tabs>
        <w:spacing w:line="276" w:lineRule="auto"/>
        <w:ind w:left="360"/>
        <w:rPr>
          <w:rFonts w:ascii="Arial" w:hAnsi="Arial" w:cs="Arial"/>
        </w:rPr>
      </w:pPr>
    </w:p>
    <w:p>
      <w:pPr>
        <w:tabs>
          <w:tab w:val="left" w:pos="360"/>
        </w:tabs>
        <w:spacing w:line="276" w:lineRule="auto"/>
        <w:ind w:left="360"/>
        <w:rPr>
          <w:rFonts w:ascii="Arial" w:hAnsi="Arial" w:cs="Arial"/>
          <w:b/>
        </w:rPr>
      </w:pPr>
      <w:r>
        <w:rPr>
          <w:rFonts w:ascii="Arial" w:hAnsi="Arial" w:cs="Arial"/>
          <w:b/>
          <w:u w:val="single"/>
        </w:rPr>
        <w:t>Competitive Preference Priority</w:t>
      </w:r>
      <w:r>
        <w:rPr>
          <w:rFonts w:ascii="Arial" w:hAnsi="Arial" w:cs="Arial"/>
          <w:b/>
        </w:rPr>
        <w:t>:</w:t>
      </w:r>
    </w:p>
    <w:p>
      <w:pPr>
        <w:tabs>
          <w:tab w:val="left" w:pos="360"/>
        </w:tabs>
        <w:spacing w:line="276" w:lineRule="auto"/>
        <w:ind w:left="360"/>
        <w:rPr>
          <w:rFonts w:ascii="Arial" w:hAnsi="Arial" w:cs="Arial"/>
          <w:b/>
        </w:rPr>
      </w:pPr>
    </w:p>
    <w:p>
      <w:pPr>
        <w:tabs>
          <w:tab w:val="left" w:pos="360"/>
        </w:tabs>
        <w:spacing w:line="276" w:lineRule="auto"/>
        <w:ind w:left="360"/>
        <w:rPr>
          <w:rFonts w:ascii="Arial" w:hAnsi="Arial" w:cs="Arial"/>
        </w:rPr>
      </w:pPr>
      <w:r>
        <w:rPr>
          <w:rFonts w:ascii="Arial" w:hAnsi="Arial" w:cs="Arial"/>
        </w:rPr>
        <w:t>Applicants must address the competitive preference priority to receive up to an additional two points based on the extent to which the application contains substantive information regarding the priority.</w:t>
      </w:r>
    </w:p>
    <w:p>
      <w:pPr>
        <w:tabs>
          <w:tab w:val="left" w:pos="360"/>
        </w:tabs>
        <w:spacing w:line="276" w:lineRule="auto"/>
        <w:ind w:left="360"/>
        <w:rPr>
          <w:rFonts w:ascii="Arial" w:hAnsi="Arial" w:cs="Arial"/>
        </w:rPr>
      </w:pPr>
    </w:p>
    <w:p>
      <w:pPr>
        <w:tabs>
          <w:tab w:val="left" w:pos="360"/>
        </w:tabs>
        <w:spacing w:line="276" w:lineRule="auto"/>
        <w:ind w:left="360"/>
        <w:rPr>
          <w:rFonts w:ascii="Arial" w:hAnsi="Arial" w:cs="Arial"/>
        </w:rPr>
      </w:pPr>
      <w:r>
        <w:rPr>
          <w:rFonts w:ascii="Arial" w:hAnsi="Arial" w:cs="Arial"/>
        </w:rPr>
        <w:t>Competitive Preference Priority:</w:t>
      </w:r>
    </w:p>
    <w:p>
      <w:pPr>
        <w:tabs>
          <w:tab w:val="left" w:pos="360"/>
        </w:tabs>
        <w:spacing w:line="276" w:lineRule="auto"/>
        <w:ind w:left="360"/>
        <w:rPr>
          <w:rFonts w:ascii="Arial" w:hAnsi="Arial" w:cs="Arial"/>
        </w:rPr>
      </w:pPr>
    </w:p>
    <w:p>
      <w:pPr>
        <w:tabs>
          <w:tab w:val="left" w:pos="360"/>
        </w:tabs>
        <w:spacing w:line="276" w:lineRule="auto"/>
        <w:ind w:left="360"/>
        <w:rPr>
          <w:rFonts w:ascii="Arial" w:hAnsi="Arial" w:cs="Arial"/>
        </w:rPr>
      </w:pPr>
      <w:r>
        <w:rPr>
          <w:rFonts w:ascii="Arial" w:hAnsi="Arial" w:cs="Arial"/>
        </w:rPr>
        <w:t>Projects at institutions of higher education that can demonstrate expertise in the development of programs to assist single parents who are students at institutions of higher education, as shown by the institution’s development of a variety of targeted services to such students, including on-campus housing, child care, counseling, advising, internship opportunities, financial aid, and financial aid counseling and assistance.</w:t>
      </w:r>
    </w:p>
    <w:p>
      <w:pPr>
        <w:tabs>
          <w:tab w:val="left" w:pos="360"/>
        </w:tabs>
        <w:spacing w:line="276" w:lineRule="auto"/>
        <w:ind w:left="360"/>
        <w:rPr>
          <w:rFonts w:ascii="Arial" w:hAnsi="Arial" w:cs="Arial"/>
          <w:b/>
        </w:rPr>
      </w:pPr>
    </w:p>
    <w:p>
      <w:pPr>
        <w:spacing w:line="276" w:lineRule="auto"/>
        <w:ind w:left="360" w:hanging="360"/>
        <w:rPr>
          <w:rFonts w:ascii="Arial" w:hAnsi="Arial" w:cs="Arial"/>
          <w:b/>
          <w:color w:val="FF0000"/>
        </w:rPr>
      </w:pPr>
      <w:r>
        <w:rPr>
          <w:rFonts w:ascii="Arial" w:hAnsi="Arial" w:cs="Arial"/>
        </w:rPr>
        <w:t>8.</w:t>
      </w:r>
      <w:r>
        <w:rPr>
          <w:rFonts w:ascii="Arial" w:hAnsi="Arial" w:cs="Arial"/>
        </w:rPr>
        <w:tab/>
        <w:t xml:space="preserve">As you develop your proposal, we ask you to carefully consider the specific content that you will provide in the Project Narrative in the application.  This part of the </w:t>
      </w:r>
      <w:r>
        <w:rPr>
          <w:rFonts w:ascii="Arial" w:hAnsi="Arial" w:cs="Arial"/>
        </w:rPr>
        <w:lastRenderedPageBreak/>
        <w:t xml:space="preserve">application must address the selection criteria as listed in this application booklet and the </w:t>
      </w:r>
      <w:r>
        <w:rPr>
          <w:rFonts w:ascii="Arial" w:hAnsi="Arial" w:cs="Arial"/>
          <w:u w:val="single"/>
        </w:rPr>
        <w:t>Federal Register</w:t>
      </w:r>
      <w:r>
        <w:rPr>
          <w:rFonts w:ascii="Arial" w:hAnsi="Arial" w:cs="Arial"/>
        </w:rPr>
        <w:t xml:space="preserve">.  </w:t>
      </w:r>
    </w:p>
    <w:p>
      <w:pPr>
        <w:tabs>
          <w:tab w:val="left" w:pos="360"/>
        </w:tabs>
        <w:spacing w:line="276" w:lineRule="auto"/>
        <w:ind w:left="360" w:hanging="360"/>
        <w:rPr>
          <w:rFonts w:ascii="Arial" w:eastAsia="Arial Unicode MS" w:hAnsi="Arial" w:cs="Arial"/>
          <w:bCs/>
        </w:rPr>
      </w:pPr>
    </w:p>
    <w:p>
      <w:pPr>
        <w:tabs>
          <w:tab w:val="left" w:pos="360"/>
        </w:tabs>
        <w:spacing w:line="276" w:lineRule="auto"/>
        <w:ind w:left="360" w:hanging="360"/>
        <w:rPr>
          <w:rFonts w:ascii="Arial" w:eastAsia="Arial Unicode MS" w:hAnsi="Arial" w:cs="Arial"/>
          <w:bCs/>
        </w:rPr>
      </w:pPr>
      <w:r>
        <w:rPr>
          <w:rFonts w:ascii="Arial" w:eastAsia="Arial Unicode MS" w:hAnsi="Arial" w:cs="Arial"/>
          <w:bCs/>
        </w:rPr>
        <w:t>9.  In accordance with the Higher Education Act of 1965 (HEA), as amended, all successful applicants funded under the FY 2014 Center for Best Practices to Support Single Parent Students Program competition may receive grant awards of up to four years (48 months) duration.</w:t>
      </w:r>
    </w:p>
    <w:p>
      <w:pPr>
        <w:tabs>
          <w:tab w:val="left" w:pos="360"/>
        </w:tabs>
        <w:spacing w:line="276" w:lineRule="auto"/>
        <w:ind w:left="360" w:hanging="360"/>
        <w:rPr>
          <w:rFonts w:ascii="Arial" w:eastAsia="Arial Unicode MS" w:hAnsi="Arial" w:cs="Arial"/>
          <w:bCs/>
        </w:rPr>
      </w:pPr>
    </w:p>
    <w:p>
      <w:pPr>
        <w:spacing w:line="276" w:lineRule="auto"/>
        <w:ind w:left="360" w:hanging="360"/>
        <w:rPr>
          <w:rFonts w:ascii="Arial" w:hAnsi="Arial" w:cs="Arial"/>
          <w:bCs/>
          <w:color w:val="000000"/>
        </w:rPr>
      </w:pPr>
      <w:r>
        <w:rPr>
          <w:rFonts w:ascii="Arial" w:hAnsi="Arial" w:cs="Arial"/>
        </w:rPr>
        <w:t xml:space="preserve">10. </w:t>
      </w:r>
      <w:r>
        <w:rPr>
          <w:rFonts w:ascii="Arial" w:hAnsi="Arial" w:cs="Arial"/>
          <w:bCs/>
          <w:color w:val="000000"/>
        </w:rPr>
        <w:t xml:space="preserve">All applicants must provide a one-page abstract.  The abstract should briefly describe the target area to be served, the services that will be provided and the activities to be conducted during the grant’s performance period.  The abstract should also indicate that you are addressing the competitive preference priority.  Complete instructions for submitting the abstract are included in the “Instructions for Completing the Application Package” section of this application.  The abstract must be uploaded into the </w:t>
      </w:r>
      <w:r>
        <w:rPr>
          <w:rFonts w:ascii="Arial" w:hAnsi="Arial" w:cs="Arial"/>
          <w:b/>
          <w:bCs/>
          <w:color w:val="000000"/>
          <w:u w:val="single"/>
        </w:rPr>
        <w:t>ED Abstract Form</w:t>
      </w:r>
      <w:r>
        <w:rPr>
          <w:rFonts w:ascii="Arial" w:hAnsi="Arial" w:cs="Arial"/>
          <w:bCs/>
          <w:color w:val="000000"/>
        </w:rPr>
        <w:t xml:space="preserve"> in Grants.gov.</w:t>
      </w:r>
    </w:p>
    <w:p>
      <w:pPr>
        <w:spacing w:line="276" w:lineRule="auto"/>
        <w:ind w:left="360" w:hanging="360"/>
        <w:rPr>
          <w:rFonts w:ascii="Arial" w:hAnsi="Arial" w:cs="Arial"/>
          <w:b/>
          <w:color w:val="FF0000"/>
        </w:rPr>
      </w:pPr>
    </w:p>
    <w:p>
      <w:pPr>
        <w:autoSpaceDE w:val="0"/>
        <w:autoSpaceDN w:val="0"/>
        <w:adjustRightInd w:val="0"/>
        <w:spacing w:line="276" w:lineRule="auto"/>
        <w:ind w:left="360" w:hanging="360"/>
        <w:rPr>
          <w:rFonts w:ascii="Arial" w:hAnsi="Arial" w:cs="Arial"/>
          <w:bCs/>
        </w:rPr>
      </w:pPr>
      <w:r>
        <w:rPr>
          <w:rFonts w:ascii="Arial" w:hAnsi="Arial" w:cs="Arial"/>
        </w:rPr>
        <w:t>11. I</w:t>
      </w:r>
      <w:r>
        <w:rPr>
          <w:rFonts w:ascii="Arial" w:hAnsi="Arial" w:cs="Arial"/>
          <w:bCs/>
        </w:rPr>
        <w:t>nformation on the Center for Best Practices to Support Single Parent Students</w:t>
      </w:r>
    </w:p>
    <w:p>
      <w:pPr>
        <w:autoSpaceDE w:val="0"/>
        <w:autoSpaceDN w:val="0"/>
        <w:adjustRightInd w:val="0"/>
        <w:spacing w:line="276" w:lineRule="auto"/>
        <w:ind w:left="360" w:hanging="360"/>
        <w:rPr>
          <w:rFonts w:ascii="Arial" w:hAnsi="Arial" w:cs="Arial"/>
        </w:rPr>
      </w:pPr>
      <w:r>
        <w:rPr>
          <w:rFonts w:ascii="Arial" w:hAnsi="Arial" w:cs="Arial"/>
          <w:bCs/>
        </w:rPr>
        <w:t xml:space="preserve">    </w:t>
      </w:r>
      <w:r>
        <w:rPr>
          <w:rFonts w:ascii="Arial" w:hAnsi="Arial" w:cs="Arial"/>
          <w:bCs/>
        </w:rPr>
        <w:tab/>
        <w:t xml:space="preserve"> Program</w:t>
      </w:r>
      <w:r>
        <w:rPr>
          <w:rFonts w:ascii="Arial" w:hAnsi="Arial" w:cs="Arial"/>
        </w:rPr>
        <w:t xml:space="preserve"> is accessible at the Department’s website at:    </w:t>
      </w:r>
    </w:p>
    <w:p>
      <w:pPr>
        <w:autoSpaceDE w:val="0"/>
        <w:autoSpaceDN w:val="0"/>
        <w:adjustRightInd w:val="0"/>
        <w:spacing w:line="276" w:lineRule="auto"/>
        <w:ind w:left="360" w:hanging="360"/>
        <w:rPr>
          <w:rFonts w:ascii="Arial" w:hAnsi="Arial" w:cs="Arial"/>
          <w:sz w:val="22"/>
          <w:szCs w:val="22"/>
        </w:rPr>
      </w:pPr>
      <w:r>
        <w:rPr>
          <w:rFonts w:ascii="Arial" w:hAnsi="Arial" w:cs="Arial"/>
        </w:rPr>
        <w:t xml:space="preserve">    </w:t>
      </w:r>
      <w:r>
        <w:rPr>
          <w:rFonts w:ascii="Arial" w:hAnsi="Arial" w:cs="Arial"/>
        </w:rPr>
        <w:tab/>
        <w:t xml:space="preserve"> </w:t>
      </w:r>
      <w:hyperlink r:id="rId13" w:history="1">
        <w:r>
          <w:rPr>
            <w:rStyle w:val="Hyperlink"/>
            <w:rFonts w:ascii="Arial" w:hAnsi="Arial" w:cs="Arial"/>
          </w:rPr>
          <w:t>http://www2.ed.gov/about/offices/list/ope/fipse/index.html</w:t>
        </w:r>
      </w:hyperlink>
      <w:r>
        <w:rPr>
          <w:rFonts w:ascii="Arial" w:hAnsi="Arial" w:cs="Arial"/>
        </w:rPr>
        <w:t xml:space="preserve">. </w:t>
      </w:r>
    </w:p>
    <w:p>
      <w:pPr>
        <w:keepNext/>
        <w:pageBreakBefore/>
        <w:pBdr>
          <w:top w:val="single" w:sz="4" w:space="1" w:color="auto"/>
          <w:bottom w:val="single" w:sz="4" w:space="1" w:color="auto"/>
        </w:pBdr>
        <w:shd w:val="clear" w:color="auto" w:fill="E0E0E0"/>
        <w:jc w:val="center"/>
        <w:outlineLvl w:val="0"/>
        <w:rPr>
          <w:rFonts w:ascii="Arial" w:hAnsi="Arial"/>
          <w:b/>
          <w:color w:val="000000"/>
          <w:sz w:val="28"/>
        </w:rPr>
      </w:pPr>
      <w:bookmarkStart w:id="4" w:name="_Toc175639949"/>
      <w:r>
        <w:rPr>
          <w:rFonts w:ascii="Arial" w:hAnsi="Arial"/>
          <w:b/>
          <w:color w:val="000000"/>
          <w:sz w:val="28"/>
        </w:rPr>
        <w:lastRenderedPageBreak/>
        <w:t>INTRODUCTION</w:t>
      </w:r>
      <w:bookmarkEnd w:id="4"/>
      <w:r>
        <w:rPr>
          <w:rFonts w:ascii="Arial" w:hAnsi="Arial"/>
          <w:b/>
          <w:color w:val="000000"/>
          <w:sz w:val="28"/>
        </w:rPr>
        <w:t xml:space="preserve"> </w:t>
      </w:r>
    </w:p>
    <w:p>
      <w:pPr>
        <w:keepNext/>
        <w:pBdr>
          <w:top w:val="single" w:sz="4" w:space="1" w:color="auto"/>
          <w:bottom w:val="single" w:sz="4" w:space="1" w:color="auto"/>
        </w:pBdr>
        <w:shd w:val="clear" w:color="auto" w:fill="E0E0E0"/>
        <w:tabs>
          <w:tab w:val="left" w:pos="1605"/>
          <w:tab w:val="center" w:pos="4680"/>
        </w:tabs>
        <w:jc w:val="center"/>
        <w:outlineLvl w:val="0"/>
        <w:rPr>
          <w:rFonts w:ascii="Arial" w:hAnsi="Arial"/>
          <w:b/>
          <w:color w:val="000000"/>
          <w:sz w:val="28"/>
        </w:rPr>
      </w:pPr>
      <w:bookmarkStart w:id="5" w:name="_Toc175639950"/>
      <w:r>
        <w:rPr>
          <w:rFonts w:ascii="Arial" w:hAnsi="Arial"/>
          <w:b/>
          <w:color w:val="000000"/>
          <w:sz w:val="28"/>
        </w:rPr>
        <w:t>CENTER FOR BEST PRACTICES TO SUPPORT SINGLE PARENT STUDENTS</w:t>
      </w:r>
      <w:bookmarkEnd w:id="5"/>
      <w:r>
        <w:rPr>
          <w:rFonts w:ascii="Arial" w:hAnsi="Arial"/>
          <w:b/>
          <w:color w:val="000000"/>
          <w:sz w:val="28"/>
        </w:rPr>
        <w:t xml:space="preserve"> PROGRAM</w:t>
      </w:r>
    </w:p>
    <w:p>
      <w:pPr>
        <w:jc w:val="center"/>
        <w:rPr>
          <w:rFonts w:ascii="Arial" w:hAnsi="Arial" w:cs="Arial"/>
        </w:rPr>
      </w:pPr>
    </w:p>
    <w:p>
      <w:pPr>
        <w:jc w:val="both"/>
        <w:rPr>
          <w:rFonts w:ascii="Arial" w:hAnsi="Arial" w:cs="Arial"/>
          <w:b/>
          <w:bCs/>
        </w:rPr>
      </w:pPr>
      <w:r>
        <w:rPr>
          <w:rFonts w:ascii="Arial" w:hAnsi="Arial" w:cs="Arial"/>
          <w:b/>
          <w:bCs/>
        </w:rPr>
        <w:t>AUTHORIZATION</w:t>
      </w:r>
    </w:p>
    <w:p>
      <w:pPr>
        <w:jc w:val="both"/>
        <w:rPr>
          <w:rFonts w:ascii="Arial" w:hAnsi="Arial" w:cs="Arial"/>
          <w:bCs/>
          <w:color w:val="000000" w:themeColor="text1"/>
        </w:rPr>
      </w:pPr>
      <w:r>
        <w:rPr>
          <w:rFonts w:ascii="Arial" w:hAnsi="Arial" w:cs="Arial"/>
          <w:bCs/>
          <w:color w:val="000000" w:themeColor="text1"/>
        </w:rPr>
        <w:t>Higher Education Act 741(c)</w:t>
      </w:r>
    </w:p>
    <w:p>
      <w:pPr>
        <w:ind w:firstLine="180"/>
        <w:jc w:val="both"/>
        <w:rPr>
          <w:rFonts w:ascii="Arial" w:hAnsi="Arial" w:cs="Arial"/>
          <w:color w:val="000000" w:themeColor="text1"/>
        </w:rPr>
      </w:pPr>
    </w:p>
    <w:p>
      <w:pPr>
        <w:jc w:val="both"/>
        <w:rPr>
          <w:rFonts w:ascii="Arial" w:hAnsi="Arial" w:cs="Arial"/>
          <w:b/>
          <w:bCs/>
        </w:rPr>
      </w:pPr>
      <w:r>
        <w:rPr>
          <w:rFonts w:ascii="Arial" w:hAnsi="Arial" w:cs="Arial"/>
          <w:b/>
          <w:bCs/>
        </w:rPr>
        <w:t>PROGRAM STATUTE</w:t>
      </w:r>
    </w:p>
    <w:p>
      <w:pPr>
        <w:jc w:val="both"/>
        <w:rPr>
          <w:rFonts w:ascii="Arial" w:hAnsi="Arial" w:cs="Arial"/>
        </w:rPr>
      </w:pPr>
      <w:r>
        <w:rPr>
          <w:rFonts w:ascii="Arial" w:hAnsi="Arial" w:cs="Arial"/>
        </w:rPr>
        <w:t>20 U.S.C. 1161s Center for Best Practices to Support Single Parent Students</w:t>
      </w:r>
    </w:p>
    <w:p>
      <w:pPr>
        <w:jc w:val="both"/>
        <w:rPr>
          <w:rFonts w:ascii="Arial" w:hAnsi="Arial" w:cs="Arial"/>
        </w:rPr>
      </w:pPr>
      <w:r>
        <w:rPr>
          <w:rFonts w:ascii="Arial" w:hAnsi="Arial" w:cs="Arial"/>
        </w:rPr>
        <w:t xml:space="preserve"> </w:t>
      </w:r>
    </w:p>
    <w:p>
      <w:pPr>
        <w:jc w:val="both"/>
        <w:rPr>
          <w:rFonts w:ascii="Courier New" w:hAnsi="Courier New" w:cs="Courier New"/>
        </w:rPr>
      </w:pPr>
      <w:r>
        <w:rPr>
          <w:rFonts w:ascii="Arial" w:hAnsi="Arial" w:cs="Arial"/>
          <w:b/>
          <w:bCs/>
        </w:rPr>
        <w:t>PURPOSE</w:t>
      </w:r>
      <w:r>
        <w:rPr>
          <w:rFonts w:ascii="Courier New" w:hAnsi="Courier New" w:cs="Courier New"/>
        </w:rPr>
        <w:t xml:space="preserve"> </w:t>
      </w:r>
    </w:p>
    <w:p>
      <w:pPr>
        <w:jc w:val="both"/>
        <w:rPr>
          <w:rFonts w:ascii="Arial" w:hAnsi="Arial" w:cs="Arial"/>
          <w:bCs/>
        </w:rPr>
      </w:pPr>
      <w:r>
        <w:rPr>
          <w:rFonts w:ascii="Arial" w:hAnsi="Arial" w:cs="Arial"/>
          <w:bCs/>
        </w:rPr>
        <w:t>The objective of this program is to award a grant to an institution of higher education to enable such institution to establish and maintain a center to study and develop best practices for institutions of higher education to support single parent students who are also students attending such institutions.</w:t>
      </w:r>
    </w:p>
    <w:p>
      <w:pPr>
        <w:rPr>
          <w:rFonts w:ascii="Arial" w:hAnsi="Arial" w:cs="Arial"/>
        </w:rPr>
      </w:pPr>
    </w:p>
    <w:p>
      <w:pPr>
        <w:jc w:val="both"/>
        <w:rPr>
          <w:rFonts w:ascii="Arial" w:hAnsi="Arial" w:cs="Arial"/>
          <w:b/>
          <w:bCs/>
        </w:rPr>
      </w:pPr>
      <w:r>
        <w:rPr>
          <w:rFonts w:ascii="Arial" w:hAnsi="Arial" w:cs="Arial"/>
          <w:b/>
          <w:bCs/>
        </w:rPr>
        <w:t>ELIGIBLE APPLICANTS</w:t>
      </w:r>
    </w:p>
    <w:p>
      <w:pPr>
        <w:jc w:val="both"/>
        <w:rPr>
          <w:rFonts w:ascii="Arial" w:hAnsi="Arial" w:cs="Arial"/>
          <w:bCs/>
        </w:rPr>
      </w:pPr>
      <w:r>
        <w:rPr>
          <w:rFonts w:ascii="Arial" w:hAnsi="Arial" w:cs="Arial"/>
        </w:rPr>
        <w:t xml:space="preserve">Four-year public and private institutions of higher education (IHE) that have demonstrated expertise in the development of programs </w:t>
      </w:r>
      <w:r>
        <w:rPr>
          <w:rFonts w:ascii="Arial" w:hAnsi="Arial" w:cs="Arial"/>
          <w:bCs/>
        </w:rPr>
        <w:t>to assist single parents who are students at institutions of higher education, as shown by the institution’s development of a variety of targeted services to such students, including:</w:t>
      </w:r>
    </w:p>
    <w:p>
      <w:pPr>
        <w:pStyle w:val="ListParagraph"/>
        <w:numPr>
          <w:ilvl w:val="0"/>
          <w:numId w:val="21"/>
        </w:numPr>
        <w:jc w:val="both"/>
        <w:rPr>
          <w:rFonts w:ascii="Arial" w:hAnsi="Arial" w:cs="Arial"/>
          <w:bCs/>
        </w:rPr>
      </w:pPr>
      <w:r>
        <w:rPr>
          <w:rFonts w:ascii="Arial" w:hAnsi="Arial" w:cs="Arial"/>
          <w:bCs/>
        </w:rPr>
        <w:t>on-campus housing;</w:t>
      </w:r>
    </w:p>
    <w:p>
      <w:pPr>
        <w:pStyle w:val="ListParagraph"/>
        <w:numPr>
          <w:ilvl w:val="0"/>
          <w:numId w:val="21"/>
        </w:numPr>
        <w:jc w:val="both"/>
        <w:rPr>
          <w:rFonts w:ascii="Arial" w:hAnsi="Arial" w:cs="Arial"/>
          <w:bCs/>
        </w:rPr>
      </w:pPr>
      <w:r>
        <w:rPr>
          <w:rFonts w:ascii="Arial" w:hAnsi="Arial" w:cs="Arial"/>
          <w:bCs/>
        </w:rPr>
        <w:t>child care;</w:t>
      </w:r>
    </w:p>
    <w:p>
      <w:pPr>
        <w:pStyle w:val="ListParagraph"/>
        <w:numPr>
          <w:ilvl w:val="0"/>
          <w:numId w:val="21"/>
        </w:numPr>
        <w:jc w:val="both"/>
        <w:rPr>
          <w:rFonts w:ascii="Arial" w:hAnsi="Arial" w:cs="Arial"/>
          <w:bCs/>
        </w:rPr>
      </w:pPr>
      <w:r>
        <w:rPr>
          <w:rFonts w:ascii="Arial" w:hAnsi="Arial" w:cs="Arial"/>
          <w:bCs/>
        </w:rPr>
        <w:t>counseling;</w:t>
      </w:r>
    </w:p>
    <w:p>
      <w:pPr>
        <w:pStyle w:val="ListParagraph"/>
        <w:numPr>
          <w:ilvl w:val="0"/>
          <w:numId w:val="21"/>
        </w:numPr>
        <w:jc w:val="both"/>
        <w:rPr>
          <w:rFonts w:ascii="Arial" w:hAnsi="Arial" w:cs="Arial"/>
          <w:bCs/>
        </w:rPr>
      </w:pPr>
      <w:r>
        <w:rPr>
          <w:rFonts w:ascii="Arial" w:hAnsi="Arial" w:cs="Arial"/>
          <w:bCs/>
        </w:rPr>
        <w:t>advising;</w:t>
      </w:r>
    </w:p>
    <w:p>
      <w:pPr>
        <w:pStyle w:val="ListParagraph"/>
        <w:numPr>
          <w:ilvl w:val="0"/>
          <w:numId w:val="21"/>
        </w:numPr>
        <w:jc w:val="both"/>
        <w:rPr>
          <w:rFonts w:ascii="Arial" w:hAnsi="Arial" w:cs="Arial"/>
          <w:bCs/>
        </w:rPr>
      </w:pPr>
      <w:r>
        <w:rPr>
          <w:rFonts w:ascii="Arial" w:hAnsi="Arial" w:cs="Arial"/>
          <w:bCs/>
        </w:rPr>
        <w:t>internships;</w:t>
      </w:r>
    </w:p>
    <w:p>
      <w:pPr>
        <w:pStyle w:val="ListParagraph"/>
        <w:numPr>
          <w:ilvl w:val="0"/>
          <w:numId w:val="21"/>
        </w:numPr>
        <w:jc w:val="both"/>
        <w:rPr>
          <w:rFonts w:ascii="Arial" w:hAnsi="Arial" w:cs="Arial"/>
          <w:bCs/>
        </w:rPr>
      </w:pPr>
      <w:r>
        <w:rPr>
          <w:rFonts w:ascii="Arial" w:hAnsi="Arial" w:cs="Arial"/>
          <w:bCs/>
        </w:rPr>
        <w:t xml:space="preserve">financial aid; and </w:t>
      </w:r>
    </w:p>
    <w:p>
      <w:pPr>
        <w:pStyle w:val="ListParagraph"/>
        <w:numPr>
          <w:ilvl w:val="0"/>
          <w:numId w:val="21"/>
        </w:numPr>
        <w:jc w:val="both"/>
        <w:rPr>
          <w:rFonts w:ascii="Arial" w:hAnsi="Arial" w:cs="Arial"/>
          <w:bCs/>
        </w:rPr>
      </w:pPr>
      <w:r>
        <w:rPr>
          <w:rFonts w:ascii="Arial" w:hAnsi="Arial" w:cs="Arial"/>
          <w:bCs/>
        </w:rPr>
        <w:t xml:space="preserve">financial aid counseling and assistance. </w:t>
      </w:r>
    </w:p>
    <w:p>
      <w:pPr>
        <w:ind w:left="720"/>
        <w:jc w:val="both"/>
        <w:rPr>
          <w:rFonts w:ascii="Arial" w:hAnsi="Arial" w:cs="Arial"/>
        </w:rPr>
      </w:pPr>
    </w:p>
    <w:p>
      <w:pPr>
        <w:rPr>
          <w:rFonts w:ascii="Arial" w:hAnsi="Arial" w:cs="Arial"/>
          <w:b/>
          <w:bCs/>
        </w:rPr>
      </w:pPr>
      <w:r>
        <w:rPr>
          <w:rFonts w:ascii="Arial" w:hAnsi="Arial" w:cs="Arial"/>
          <w:b/>
          <w:bCs/>
        </w:rPr>
        <w:t>ACTIVITIES FUNDED UNDER THIS PROGRAM</w:t>
      </w:r>
    </w:p>
    <w:p>
      <w:pPr>
        <w:jc w:val="both"/>
        <w:rPr>
          <w:rFonts w:ascii="Arial" w:eastAsia="Arial Unicode MS" w:hAnsi="Arial" w:cs="Arial"/>
          <w:bCs/>
          <w:szCs w:val="20"/>
        </w:rPr>
      </w:pPr>
      <w:r>
        <w:rPr>
          <w:rFonts w:ascii="Arial" w:eastAsia="Arial Unicode MS" w:hAnsi="Arial" w:cs="Arial"/>
          <w:bCs/>
          <w:szCs w:val="20"/>
        </w:rPr>
        <w:t>The Center funded under this section shall-</w:t>
      </w:r>
    </w:p>
    <w:p>
      <w:pPr>
        <w:pStyle w:val="ListParagraph"/>
        <w:numPr>
          <w:ilvl w:val="0"/>
          <w:numId w:val="22"/>
        </w:numPr>
        <w:jc w:val="both"/>
        <w:rPr>
          <w:rFonts w:ascii="Arial" w:eastAsia="Arial Unicode MS" w:hAnsi="Arial" w:cs="Arial"/>
          <w:bCs/>
          <w:szCs w:val="20"/>
        </w:rPr>
      </w:pPr>
      <w:r>
        <w:rPr>
          <w:rFonts w:ascii="Arial" w:eastAsia="Arial Unicode MS" w:hAnsi="Arial" w:cs="Arial"/>
          <w:bCs/>
          <w:szCs w:val="20"/>
        </w:rPr>
        <w:t>Assist institutions implementing innovative programs that support single</w:t>
      </w:r>
    </w:p>
    <w:p>
      <w:pPr>
        <w:pStyle w:val="ListParagraph"/>
        <w:ind w:left="1110"/>
        <w:jc w:val="both"/>
        <w:rPr>
          <w:rFonts w:ascii="Arial" w:eastAsia="Arial Unicode MS" w:hAnsi="Arial" w:cs="Arial"/>
          <w:bCs/>
          <w:szCs w:val="20"/>
        </w:rPr>
      </w:pPr>
      <w:r>
        <w:rPr>
          <w:rFonts w:ascii="Arial" w:eastAsia="Arial Unicode MS" w:hAnsi="Arial" w:cs="Arial"/>
          <w:bCs/>
          <w:szCs w:val="20"/>
        </w:rPr>
        <w:t>parents pursuing higher education;</w:t>
      </w:r>
    </w:p>
    <w:p>
      <w:pPr>
        <w:pStyle w:val="ListParagraph"/>
        <w:numPr>
          <w:ilvl w:val="0"/>
          <w:numId w:val="22"/>
        </w:numPr>
        <w:jc w:val="both"/>
        <w:rPr>
          <w:rFonts w:ascii="Arial" w:eastAsia="Arial Unicode MS" w:hAnsi="Arial" w:cs="Arial"/>
          <w:bCs/>
          <w:szCs w:val="20"/>
        </w:rPr>
      </w:pPr>
      <w:r>
        <w:rPr>
          <w:rFonts w:ascii="Arial" w:eastAsia="Arial Unicode MS" w:hAnsi="Arial" w:cs="Arial"/>
          <w:bCs/>
          <w:szCs w:val="20"/>
        </w:rPr>
        <w:t>Study and develop an evaluation protocol for such programs that include</w:t>
      </w:r>
    </w:p>
    <w:p>
      <w:pPr>
        <w:pStyle w:val="ListParagraph"/>
        <w:ind w:left="1110"/>
        <w:jc w:val="both"/>
        <w:rPr>
          <w:rFonts w:ascii="Arial" w:eastAsia="Arial Unicode MS" w:hAnsi="Arial" w:cs="Arial"/>
          <w:bCs/>
          <w:szCs w:val="20"/>
        </w:rPr>
      </w:pPr>
      <w:r>
        <w:rPr>
          <w:rFonts w:ascii="Arial" w:eastAsia="Arial Unicode MS" w:hAnsi="Arial" w:cs="Arial"/>
          <w:bCs/>
          <w:szCs w:val="20"/>
        </w:rPr>
        <w:t xml:space="preserve">quantitative and qualitative methodologies; </w:t>
      </w:r>
    </w:p>
    <w:p>
      <w:pPr>
        <w:pStyle w:val="ListParagraph"/>
        <w:numPr>
          <w:ilvl w:val="0"/>
          <w:numId w:val="22"/>
        </w:numPr>
        <w:jc w:val="both"/>
        <w:rPr>
          <w:rFonts w:ascii="Arial" w:eastAsia="Arial Unicode MS" w:hAnsi="Arial" w:cs="Arial"/>
          <w:bCs/>
          <w:szCs w:val="20"/>
        </w:rPr>
      </w:pPr>
      <w:r>
        <w:rPr>
          <w:rFonts w:ascii="Arial" w:eastAsia="Arial Unicode MS" w:hAnsi="Arial" w:cs="Arial"/>
          <w:bCs/>
          <w:szCs w:val="20"/>
        </w:rPr>
        <w:t>Provide appropriate technical assistance regarding the replication, evaluation,</w:t>
      </w:r>
    </w:p>
    <w:p>
      <w:pPr>
        <w:ind w:left="720"/>
        <w:jc w:val="both"/>
        <w:rPr>
          <w:rFonts w:ascii="Arial" w:eastAsia="Arial Unicode MS" w:hAnsi="Arial" w:cs="Arial"/>
          <w:bCs/>
          <w:szCs w:val="20"/>
        </w:rPr>
      </w:pPr>
      <w:r>
        <w:rPr>
          <w:rFonts w:ascii="Arial" w:eastAsia="Arial Unicode MS" w:hAnsi="Arial" w:cs="Arial"/>
          <w:bCs/>
          <w:szCs w:val="20"/>
        </w:rPr>
        <w:t xml:space="preserve">      and continuous improvement of such programs; and </w:t>
      </w:r>
    </w:p>
    <w:p>
      <w:pPr>
        <w:ind w:left="720"/>
        <w:jc w:val="both"/>
        <w:rPr>
          <w:rFonts w:ascii="Arial" w:eastAsia="Arial Unicode MS" w:hAnsi="Arial" w:cs="Arial"/>
          <w:bCs/>
          <w:szCs w:val="20"/>
        </w:rPr>
      </w:pPr>
      <w:r>
        <w:rPr>
          <w:rFonts w:ascii="Arial" w:eastAsia="Arial Unicode MS" w:hAnsi="Arial" w:cs="Arial"/>
          <w:bCs/>
          <w:szCs w:val="20"/>
        </w:rPr>
        <w:t xml:space="preserve">(D) Develop and disseminate best practices for such programs. </w:t>
      </w:r>
    </w:p>
    <w:p>
      <w:pPr>
        <w:ind w:left="720"/>
        <w:jc w:val="both"/>
        <w:rPr>
          <w:rFonts w:ascii="Arial" w:eastAsia="Arial Unicode MS" w:hAnsi="Arial" w:cs="Arial"/>
          <w:bCs/>
          <w:szCs w:val="20"/>
        </w:rPr>
      </w:pPr>
      <w:r>
        <w:rPr>
          <w:rFonts w:ascii="Arial" w:eastAsia="Arial Unicode MS" w:hAnsi="Arial" w:cs="Arial"/>
          <w:bCs/>
          <w:szCs w:val="20"/>
        </w:rPr>
        <w:t xml:space="preserve"> </w:t>
      </w:r>
    </w:p>
    <w:p>
      <w:pPr>
        <w:ind w:left="720"/>
        <w:jc w:val="both"/>
        <w:rPr>
          <w:rFonts w:ascii="Arial" w:eastAsia="Arial Unicode MS" w:hAnsi="Arial" w:cs="Arial"/>
          <w:szCs w:val="20"/>
        </w:rPr>
      </w:pPr>
    </w:p>
    <w:p>
      <w:pPr>
        <w:rPr>
          <w:rFonts w:ascii="Arial" w:hAnsi="Arial" w:cs="Arial"/>
        </w:rPr>
      </w:pPr>
      <w:r>
        <w:rPr>
          <w:rFonts w:ascii="Arial" w:hAnsi="Arial" w:cs="Arial"/>
        </w:rPr>
        <w:br w:type="page"/>
      </w:r>
    </w:p>
    <w:p>
      <w:pPr>
        <w:jc w:val="center"/>
        <w:rPr>
          <w:b/>
          <w:bCs/>
        </w:rPr>
      </w:pPr>
      <w:r>
        <w:rPr>
          <w:b/>
          <w:bCs/>
        </w:rPr>
        <w:lastRenderedPageBreak/>
        <w:t>***Updated 3/2014***</w:t>
      </w:r>
    </w:p>
    <w:p>
      <w:pPr>
        <w:jc w:val="center"/>
        <w:rPr>
          <w:b/>
          <w:bCs/>
        </w:rPr>
      </w:pPr>
    </w:p>
    <w:p>
      <w:pPr>
        <w:jc w:val="center"/>
        <w:rPr>
          <w:b/>
          <w:bCs/>
        </w:rPr>
      </w:pPr>
    </w:p>
    <w:p>
      <w:pPr>
        <w:jc w:val="center"/>
        <w:rPr>
          <w:b/>
          <w:bCs/>
          <w:sz w:val="32"/>
          <w:szCs w:val="32"/>
        </w:rPr>
      </w:pPr>
      <w:r>
        <w:rPr>
          <w:b/>
          <w:bCs/>
          <w:sz w:val="32"/>
          <w:szCs w:val="32"/>
        </w:rPr>
        <w:t>IMPORTANT – PLEASE READ FIRST</w:t>
      </w:r>
    </w:p>
    <w:p>
      <w:pPr>
        <w:jc w:val="center"/>
        <w:rPr>
          <w:b/>
          <w:bCs/>
          <w:sz w:val="8"/>
        </w:rPr>
      </w:pPr>
    </w:p>
    <w:p>
      <w:pPr>
        <w:jc w:val="center"/>
        <w:rPr>
          <w:b/>
          <w:bCs/>
          <w:sz w:val="26"/>
        </w:rPr>
      </w:pPr>
      <w:r>
        <w:rPr>
          <w:b/>
          <w:bCs/>
          <w:sz w:val="26"/>
        </w:rPr>
        <w:t>U.S. Department of Education</w:t>
      </w:r>
    </w:p>
    <w:p>
      <w:pPr>
        <w:pStyle w:val="Header"/>
        <w:jc w:val="center"/>
        <w:rPr>
          <w:b/>
          <w:bCs/>
          <w:i/>
          <w:iCs/>
          <w:sz w:val="32"/>
          <w:szCs w:val="32"/>
          <w:u w:val="single"/>
        </w:rPr>
      </w:pPr>
      <w:r>
        <w:rPr>
          <w:b/>
          <w:bCs/>
          <w:i/>
          <w:iCs/>
          <w:sz w:val="32"/>
          <w:szCs w:val="32"/>
          <w:u w:val="single"/>
        </w:rPr>
        <w:t>Grants.gov Submission Procedures and Tips for Applicants</w:t>
      </w:r>
    </w:p>
    <w:p>
      <w:pPr>
        <w:pStyle w:val="BodyText"/>
        <w:rPr>
          <w:szCs w:val="24"/>
        </w:rPr>
      </w:pPr>
    </w:p>
    <w:p>
      <w:pPr>
        <w:pStyle w:val="BodyText"/>
      </w:pPr>
    </w:p>
    <w:p>
      <w:pPr>
        <w:pStyle w:val="BodyText"/>
      </w:pPr>
      <w:r>
        <w:t>To facilitate your use of Grants.gov, this document includes important submission procedures you need to be aware of to ensure your application is received in a timely manner and accepted by the Department of Education.</w:t>
      </w:r>
    </w:p>
    <w:p>
      <w:pPr>
        <w:pStyle w:val="BodyText"/>
      </w:pPr>
    </w:p>
    <w:p>
      <w:pPr>
        <w:pStyle w:val="BodyText"/>
        <w:rPr>
          <w:b/>
          <w:bCs/>
          <w:sz w:val="20"/>
        </w:rPr>
      </w:pPr>
      <w:r>
        <w:rPr>
          <w:b/>
          <w:bCs/>
          <w:sz w:val="20"/>
        </w:rPr>
        <w:t>ATTENTION – Adobe Forms and PDF Files Required</w:t>
      </w:r>
    </w:p>
    <w:p>
      <w:pPr>
        <w:pStyle w:val="BodyText"/>
      </w:pPr>
      <w:r>
        <w:rPr>
          <w:sz w:val="20"/>
        </w:rPr>
        <w:t xml:space="preserve">Applications submitted to Grants.gov for the Department of Education will be posted using Adobe forms.  Therefore, applicants will need to download the latest version of Adobe reader </w:t>
      </w:r>
      <w:r>
        <w:rPr>
          <w:color w:val="000000"/>
          <w:sz w:val="20"/>
        </w:rPr>
        <w:t>(</w:t>
      </w:r>
      <w:r>
        <w:rPr>
          <w:sz w:val="20"/>
        </w:rPr>
        <w:t>at least Adobe Reader 10.1.14</w:t>
      </w:r>
      <w:r>
        <w:rPr>
          <w:color w:val="000000"/>
          <w:sz w:val="20"/>
        </w:rPr>
        <w:t>).</w:t>
      </w:r>
      <w:r>
        <w:rPr>
          <w:sz w:val="20"/>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14" w:history="1">
        <w:r>
          <w:rPr>
            <w:rStyle w:val="Hyperlink"/>
            <w:rFonts w:eastAsiaTheme="majorEastAsia"/>
            <w:sz w:val="20"/>
          </w:rPr>
          <w:t>compatibility table</w:t>
        </w:r>
      </w:hyperlink>
      <w:r>
        <w:rPr>
          <w:sz w:val="20"/>
        </w:rPr>
        <w:t xml:space="preserve">.  We strongly recommend that you review these details on </w:t>
      </w:r>
      <w:hyperlink r:id="rId15" w:history="1">
        <w:r>
          <w:rPr>
            <w:rStyle w:val="Hyperlink"/>
            <w:rFonts w:eastAsiaTheme="majorEastAsia"/>
            <w:sz w:val="20"/>
          </w:rPr>
          <w:t>www.Grants.gov</w:t>
        </w:r>
      </w:hyperlink>
      <w:r>
        <w:rPr>
          <w:sz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16" w:history="1">
        <w:r>
          <w:rPr>
            <w:rStyle w:val="Hyperlink"/>
            <w:rFonts w:eastAsiaTheme="majorEastAsia"/>
            <w:sz w:val="20"/>
          </w:rPr>
          <w:t>support@grants.gov</w:t>
        </w:r>
      </w:hyperlink>
      <w:r>
        <w:rPr>
          <w:sz w:val="20"/>
        </w:rPr>
        <w:t xml:space="preserve"> or call 1-800-518-4726.</w:t>
      </w:r>
      <w:r>
        <w:rPr>
          <w:sz w:val="20"/>
        </w:rPr>
        <w:br/>
      </w:r>
    </w:p>
    <w:p>
      <w:pPr>
        <w:numPr>
          <w:ilvl w:val="0"/>
          <w:numId w:val="7"/>
        </w:numPr>
        <w:suppressAutoHyphens/>
        <w:ind w:right="-360"/>
        <w:rPr>
          <w:sz w:val="18"/>
        </w:rPr>
      </w:pPr>
      <w:r>
        <w:rPr>
          <w:b/>
          <w:bCs/>
        </w:rPr>
        <w:t>REGISTER EARLY</w:t>
      </w:r>
      <w:r>
        <w:rPr>
          <w:sz w:val="18"/>
        </w:rPr>
        <w:t xml:space="preserve"> – </w:t>
      </w:r>
      <w:r>
        <w:rPr>
          <w:sz w:val="18"/>
          <w:szCs w:val="18"/>
        </w:rPr>
        <w:t>Grants.gov registration involves many steps including registration on SAM (</w:t>
      </w:r>
      <w:hyperlink r:id="rId17" w:history="1">
        <w:r>
          <w:rPr>
            <w:rStyle w:val="Hyperlink"/>
            <w:rFonts w:eastAsiaTheme="majorEastAsia"/>
            <w:sz w:val="18"/>
            <w:szCs w:val="18"/>
          </w:rPr>
          <w:t>www.sam.gov</w:t>
        </w:r>
      </w:hyperlink>
      <w:r>
        <w:rPr>
          <w:sz w:val="18"/>
          <w:szCs w:val="18"/>
        </w:rPr>
        <w:t xml:space="preserve">) which may take </w:t>
      </w:r>
      <w:r>
        <w:rPr>
          <w:color w:val="000000"/>
          <w:sz w:val="18"/>
          <w:szCs w:val="18"/>
        </w:rPr>
        <w:t>approximately one week to complete, but could take upwards of several weeks  to complete, depending upon the completeness and accuracy of the data entered into the SAM database by an applicant</w:t>
      </w:r>
      <w:r>
        <w:rPr>
          <w:sz w:val="18"/>
        </w:rPr>
        <w:t xml:space="preserve">.  You may begin working on your application </w:t>
      </w:r>
      <w:r>
        <w:rPr>
          <w:sz w:val="18"/>
          <w:szCs w:val="18"/>
        </w:rPr>
        <w:t xml:space="preserve">while completing the registration process, but you cannot submit an application until all of the Registration steps are complete.  </w:t>
      </w:r>
      <w:r>
        <w:rPr>
          <w:color w:val="000000"/>
          <w:sz w:val="18"/>
          <w:szCs w:val="18"/>
        </w:rPr>
        <w:t xml:space="preserve">Please note that once your SAM registration is active, it will take 24-48 hours for the information to be available in Grants.gov, and before you can submit an application through Grants.gov.  </w:t>
      </w:r>
      <w:r>
        <w:rPr>
          <w:sz w:val="18"/>
        </w:rPr>
        <w:t xml:space="preserve">For detailed information on the Registration Steps, please go to:  </w:t>
      </w:r>
      <w:hyperlink r:id="rId18" w:history="1">
        <w:r>
          <w:rPr>
            <w:rStyle w:val="Hyperlink"/>
            <w:rFonts w:eastAsiaTheme="majorEastAsia"/>
            <w:sz w:val="18"/>
          </w:rPr>
          <w:t>http://www.grants.gov/web/grants/register.html</w:t>
        </w:r>
      </w:hyperlink>
      <w:r>
        <w:rPr>
          <w:sz w:val="18"/>
        </w:rPr>
        <w:t xml:space="preserve">  [Note: Your organization will need to update its SAM registration annually (formerly Central Contractor Registry (CCR).]</w:t>
      </w:r>
    </w:p>
    <w:p>
      <w:pPr>
        <w:suppressAutoHyphens/>
        <w:ind w:left="720" w:right="-360"/>
        <w:rPr>
          <w:b/>
          <w:bCs/>
        </w:rPr>
      </w:pPr>
    </w:p>
    <w:p>
      <w:pPr>
        <w:suppressAutoHyphens/>
        <w:ind w:left="720" w:right="-360"/>
        <w:rPr>
          <w:sz w:val="18"/>
        </w:rPr>
      </w:pPr>
      <w:r>
        <w:rPr>
          <w:sz w:val="18"/>
        </w:rPr>
        <w:t xml:space="preserve">Primary information about SAM is available at </w:t>
      </w:r>
      <w:hyperlink r:id="rId19" w:history="1">
        <w:r>
          <w:rPr>
            <w:rStyle w:val="Hyperlink"/>
            <w:rFonts w:eastAsiaTheme="majorEastAsia"/>
            <w:sz w:val="18"/>
          </w:rPr>
          <w:t>www.sam.gov</w:t>
        </w:r>
      </w:hyperlink>
      <w:r>
        <w:rPr>
          <w:sz w:val="18"/>
        </w:rPr>
        <w:t xml:space="preserve"> . However, to further assist you with obtaining and registering your DUNS number and TIN in SAM or updating your existing SAM account the Department of Education has prepared a SAM.gov Tip Sheet which you can find at: </w:t>
      </w:r>
      <w:hyperlink r:id="rId20" w:history="1">
        <w:r>
          <w:rPr>
            <w:rStyle w:val="Hyperlink"/>
            <w:rFonts w:eastAsiaTheme="majorEastAsia"/>
            <w:sz w:val="18"/>
          </w:rPr>
          <w:t>http://www2.ed.gov/fund/grant/apply/sam-faqs.html</w:t>
        </w:r>
      </w:hyperlink>
      <w:r>
        <w:rPr>
          <w:sz w:val="18"/>
        </w:rPr>
        <w:t xml:space="preserve"> </w:t>
      </w:r>
    </w:p>
    <w:p>
      <w:pPr>
        <w:ind w:left="360"/>
        <w:rPr>
          <w:sz w:val="18"/>
        </w:rPr>
      </w:pPr>
    </w:p>
    <w:p>
      <w:pPr>
        <w:numPr>
          <w:ilvl w:val="0"/>
          <w:numId w:val="7"/>
        </w:numPr>
        <w:rPr>
          <w:sz w:val="18"/>
        </w:rPr>
      </w:pPr>
      <w:r>
        <w:rPr>
          <w:b/>
          <w:bCs/>
        </w:rPr>
        <w:t>SUBMIT EARLY</w:t>
      </w:r>
      <w:r>
        <w:rPr>
          <w:b/>
          <w:bCs/>
          <w:sz w:val="18"/>
        </w:rPr>
        <w:t xml:space="preserve"> </w:t>
      </w:r>
      <w:r>
        <w:rPr>
          <w:sz w:val="18"/>
        </w:rPr>
        <w:t xml:space="preserve">– </w:t>
      </w:r>
      <w:r>
        <w:rPr>
          <w:b/>
          <w:bCs/>
          <w:sz w:val="18"/>
        </w:rPr>
        <w:t>We strongly recommend that you do not wait until the last day to submit your application.  Grants.gov will put a date/time stamp on your application and then process it after it is fully uploaded.</w:t>
      </w:r>
      <w:r>
        <w:rPr>
          <w:sz w:val="18"/>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pPr>
        <w:pStyle w:val="ListParagraph"/>
        <w:rPr>
          <w:sz w:val="18"/>
        </w:rPr>
      </w:pPr>
    </w:p>
    <w:p>
      <w:pPr>
        <w:ind w:left="720"/>
        <w:rPr>
          <w:b/>
          <w:bCs/>
          <w:sz w:val="18"/>
        </w:rPr>
      </w:pPr>
      <w:r>
        <w:rPr>
          <w:b/>
          <w:bCs/>
          <w:sz w:val="18"/>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pPr>
        <w:ind w:firstLine="720"/>
        <w:rPr>
          <w:sz w:val="18"/>
        </w:rPr>
      </w:pPr>
    </w:p>
    <w:p>
      <w:pPr>
        <w:numPr>
          <w:ilvl w:val="0"/>
          <w:numId w:val="7"/>
        </w:numPr>
        <w:rPr>
          <w:sz w:val="18"/>
        </w:rPr>
      </w:pPr>
      <w:r>
        <w:rPr>
          <w:b/>
          <w:bCs/>
        </w:rPr>
        <w:t>VERIFY SUBMISSION IS OK</w:t>
      </w:r>
      <w:r>
        <w:rPr>
          <w:sz w:val="18"/>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w:t>
      </w:r>
      <w:r>
        <w:rPr>
          <w:sz w:val="18"/>
        </w:rPr>
        <w:lastRenderedPageBreak/>
        <w:t>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pPr>
        <w:rPr>
          <w:sz w:val="18"/>
        </w:rPr>
      </w:pPr>
    </w:p>
    <w:p>
      <w:pPr>
        <w:ind w:left="720"/>
        <w:rPr>
          <w:sz w:val="18"/>
        </w:rPr>
      </w:pPr>
      <w:r>
        <w:rPr>
          <w:sz w:val="18"/>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1" w:history="1">
        <w:r>
          <w:rPr>
            <w:rStyle w:val="Hyperlink"/>
            <w:rFonts w:eastAsiaTheme="majorEastAsia"/>
            <w:sz w:val="18"/>
          </w:rPr>
          <w:t>http://www.grants.gov/web/grants/applicants/applicant-faqs.html</w:t>
        </w:r>
      </w:hyperlink>
      <w:r>
        <w:rPr>
          <w:sz w:val="18"/>
        </w:rPr>
        <w:t xml:space="preserve">.  For more detailed information on troubleshooting Adobe errors, you can review the Adobe Reader Error Messages document at </w:t>
      </w:r>
      <w:hyperlink r:id="rId22" w:history="1">
        <w:r>
          <w:rPr>
            <w:rStyle w:val="Hyperlink"/>
            <w:rFonts w:eastAsiaTheme="majorEastAsia"/>
            <w:sz w:val="18"/>
          </w:rPr>
          <w:t>http://www.grants.gov/web/grants/support/technical-support/troubleshooting/encountering-error-messages.html</w:t>
        </w:r>
      </w:hyperlink>
      <w:r>
        <w:rPr>
          <w:sz w:val="18"/>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p>
      <w:pPr>
        <w:pStyle w:val="Heading1"/>
        <w:rPr>
          <w:sz w:val="20"/>
        </w:rPr>
      </w:pPr>
      <w:r>
        <w:rPr>
          <w:sz w:val="20"/>
        </w:rPr>
        <w:t>Submission Problems – What should you do?</w:t>
      </w:r>
    </w:p>
    <w:p>
      <w:pPr>
        <w:rPr>
          <w:szCs w:val="14"/>
        </w:rPr>
      </w:pPr>
      <w:r>
        <w:t xml:space="preserve">If you have problems submitting to Grants.gov before the closing date, please contact Grants.gov Customer Support at </w:t>
      </w:r>
      <w:r>
        <w:rPr>
          <w:szCs w:val="14"/>
        </w:rPr>
        <w:t xml:space="preserve">1-800-518-4726 or </w:t>
      </w:r>
      <w:hyperlink r:id="rId23" w:history="1">
        <w:r>
          <w:rPr>
            <w:rStyle w:val="Hyperlink"/>
            <w:rFonts w:eastAsiaTheme="majorEastAsia"/>
            <w:szCs w:val="14"/>
          </w:rPr>
          <w:t>http://www.grants.gov/web/grants/about/contact-us.html</w:t>
        </w:r>
      </w:hyperlink>
      <w:r>
        <w:rPr>
          <w:szCs w:val="14"/>
        </w:rPr>
        <w:t xml:space="preserve">, or access the Grants.gov Self-Service web portal at:  </w:t>
      </w:r>
      <w:hyperlink r:id="rId24" w:history="1">
        <w:r>
          <w:rPr>
            <w:rStyle w:val="Hyperlink"/>
            <w:rFonts w:eastAsiaTheme="majorEastAsia"/>
            <w:szCs w:val="14"/>
          </w:rPr>
          <w:t>https://grants-portal.psc.gov/Welcome.aspx?pt=Grants</w:t>
        </w:r>
      </w:hyperlink>
    </w:p>
    <w:p/>
    <w:p>
      <w:r>
        <w:t xml:space="preserve">If electronic submission is </w:t>
      </w:r>
      <w:r>
        <w:rPr>
          <w:u w:val="single"/>
        </w:rPr>
        <w:t>optional</w:t>
      </w:r>
      <w: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p>
      <w:r>
        <w:t xml:space="preserve">If electronic submission is </w:t>
      </w:r>
      <w:r>
        <w:rPr>
          <w:u w:val="single"/>
        </w:rPr>
        <w:t>required</w:t>
      </w:r>
      <w:r>
        <w:t xml:space="preserve">, you must submit an electronic application before 4:30:00 p.m., unless you follow the procedures in the Federal Register notice and qualify for one of the exceptions to the electronic submission requirement </w:t>
      </w:r>
      <w:r>
        <w:rPr>
          <w:u w:val="single"/>
        </w:rPr>
        <w:t>and</w:t>
      </w:r>
      <w:r>
        <w:t xml:space="preserve"> submit, no later than two weeks before the application deadline date, a written statement to the Department that you qualify for one of these exceptions.  (See the Federal Register notice for detailed instructions.)</w:t>
      </w:r>
    </w:p>
    <w:p>
      <w:pPr>
        <w:pStyle w:val="Heading1"/>
        <w:rPr>
          <w:sz w:val="20"/>
        </w:rPr>
      </w:pPr>
    </w:p>
    <w:p>
      <w:pPr>
        <w:pStyle w:val="Heading1"/>
        <w:rPr>
          <w:sz w:val="20"/>
        </w:rPr>
      </w:pPr>
      <w:r>
        <w:rPr>
          <w:sz w:val="20"/>
        </w:rPr>
        <w:t>Helpful Hints When Working with Grants.gov</w:t>
      </w:r>
    </w:p>
    <w:p>
      <w:pPr>
        <w:rPr>
          <w:b/>
          <w:bCs/>
        </w:rPr>
      </w:pPr>
      <w: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Pr>
          <w:b/>
          <w:bCs/>
        </w:rPr>
        <w:t xml:space="preserve">You </w:t>
      </w:r>
      <w:r>
        <w:rPr>
          <w:b/>
          <w:bCs/>
          <w:sz w:val="18"/>
        </w:rPr>
        <w:t>must provide the DUNS number on your application that was used when you registered as an Authorized Organization Representative (AOR) on Grants.gov.</w:t>
      </w:r>
    </w:p>
    <w:p/>
    <w:p>
      <w:r>
        <w:t xml:space="preserve">Please go to </w:t>
      </w:r>
      <w:hyperlink r:id="rId25" w:history="1">
        <w:r>
          <w:rPr>
            <w:rStyle w:val="Hyperlink"/>
            <w:rFonts w:eastAsiaTheme="majorEastAsia"/>
          </w:rPr>
          <w:t>http://www.grants.gov/web/grants/about/contact-us.html</w:t>
        </w:r>
      </w:hyperlink>
      <w:r>
        <w:t xml:space="preserve"> for help with Grants.gov.  For additional tips related to submitting grant applications, please refer to the Grants.gov Submit Application FAQs found on the Grants.gov </w:t>
      </w:r>
      <w:hyperlink r:id="rId26" w:history="1">
        <w:r>
          <w:rPr>
            <w:rStyle w:val="Hyperlink"/>
            <w:rFonts w:eastAsiaTheme="majorEastAsia"/>
          </w:rPr>
          <w:t>http://www.grants.gov/web/grants/support/general-support/faqs.html</w:t>
        </w:r>
      </w:hyperlink>
      <w:r>
        <w:t xml:space="preserve">. </w:t>
      </w:r>
    </w:p>
    <w:p>
      <w:pPr>
        <w:pStyle w:val="Heading1"/>
        <w:ind w:left="1440" w:hanging="1440"/>
        <w:rPr>
          <w:sz w:val="20"/>
        </w:rPr>
      </w:pPr>
    </w:p>
    <w:p>
      <w:pPr>
        <w:pStyle w:val="Heading1"/>
        <w:rPr>
          <w:sz w:val="20"/>
        </w:rPr>
      </w:pPr>
      <w:r>
        <w:rPr>
          <w:sz w:val="20"/>
        </w:rPr>
        <w:t>Dial-Up Internet Connections</w:t>
      </w:r>
    </w:p>
    <w:p>
      <w:pPr>
        <w:pStyle w:val="BodyText"/>
        <w:rPr>
          <w:sz w:val="20"/>
        </w:rPr>
      </w:pPr>
      <w:r>
        <w:rPr>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Pr>
          <w:b/>
          <w:bCs/>
          <w:sz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Pr>
          <w:sz w:val="20"/>
        </w:rPr>
        <w:t xml:space="preserve">  (See the Federal Register notice for detailed instructions.) </w:t>
      </w:r>
    </w:p>
    <w:p>
      <w:pPr>
        <w:pStyle w:val="Heading1"/>
        <w:rPr>
          <w:sz w:val="20"/>
        </w:rPr>
      </w:pPr>
    </w:p>
    <w:p>
      <w:pPr>
        <w:pStyle w:val="Heading1"/>
        <w:rPr>
          <w:sz w:val="20"/>
        </w:rPr>
      </w:pPr>
      <w:r>
        <w:rPr>
          <w:sz w:val="20"/>
        </w:rPr>
        <w:t>MAC Users</w:t>
      </w:r>
    </w:p>
    <w:p>
      <w:pPr>
        <w:rPr>
          <w:szCs w:val="14"/>
        </w:rPr>
      </w:pPr>
      <w:r>
        <w:t xml:space="preserve">For MAC compatibility information, review the Operating System Platform Compatibility Table at the following Grants.gov link: </w:t>
      </w:r>
      <w:hyperlink r:id="rId27" w:history="1">
        <w:r>
          <w:rPr>
            <w:rStyle w:val="Hyperlink"/>
            <w:rFonts w:eastAsiaTheme="majorEastAsia"/>
          </w:rPr>
          <w:t>http://www.grants.gov/web/grants/support/technical-support/recommended-software.html</w:t>
        </w:r>
      </w:hyperlink>
      <w:r>
        <w:t xml:space="preserve">.  </w:t>
      </w:r>
      <w:r>
        <w:rPr>
          <w:b/>
          <w:bCs/>
        </w:rPr>
        <w:t>If</w:t>
      </w:r>
      <w:hyperlink w:history="1"/>
      <w:r>
        <w:rPr>
          <w:b/>
          <w:bCs/>
          <w:szCs w:val="1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Pr>
          <w:szCs w:val="14"/>
        </w:rPr>
        <w:t>(See the Federal Register notice for detailed instructions.)</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14"/>
        </w:rPr>
      </w:pPr>
    </w:p>
    <w:p>
      <w:pPr>
        <w:rPr>
          <w:b/>
          <w:bCs/>
          <w:szCs w:val="14"/>
        </w:rPr>
      </w:pPr>
      <w:r>
        <w:rPr>
          <w:b/>
          <w:bCs/>
          <w:szCs w:val="14"/>
        </w:rPr>
        <w:t>Attaching Files – Additional Tips</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14"/>
        </w:rPr>
      </w:pPr>
    </w:p>
    <w:p>
      <w:pPr>
        <w:pStyle w:val="NormalWeb1"/>
        <w:spacing w:before="0" w:beforeAutospacing="0" w:after="0" w:afterAutospacing="0"/>
        <w:rPr>
          <w:rFonts w:ascii="Times New Roman" w:hAnsi="Times New Roman" w:cs="Times New Roman"/>
          <w:sz w:val="20"/>
        </w:rPr>
      </w:pPr>
      <w:r>
        <w:rPr>
          <w:rFonts w:ascii="Times New Roman" w:hAnsi="Times New Roman" w:cs="Times New Roman"/>
          <w:sz w:val="20"/>
        </w:rPr>
        <w:t xml:space="preserve">Please note the following tips related to attaching files to your application, especially the requirement that applicants </w:t>
      </w:r>
      <w:r>
        <w:rPr>
          <w:rFonts w:ascii="Times New Roman" w:hAnsi="Times New Roman" w:cs="Times New Roman"/>
          <w:b/>
          <w:sz w:val="20"/>
        </w:rPr>
        <w:t>only include read-only, non-modifiable .PDF files</w:t>
      </w:r>
      <w:r>
        <w:rPr>
          <w:rFonts w:ascii="Times New Roman" w:hAnsi="Times New Roman" w:cs="Times New Roman"/>
          <w:sz w:val="20"/>
        </w:rPr>
        <w:t xml:space="preserve"> in their application:</w:t>
      </w:r>
    </w:p>
    <w:p>
      <w:pPr>
        <w:pStyle w:val="NormalWeb1"/>
        <w:spacing w:before="0" w:beforeAutospacing="0" w:after="0" w:afterAutospacing="0"/>
        <w:rPr>
          <w:rFonts w:ascii="Times New Roman" w:hAnsi="Times New Roman" w:cs="Times New Roman"/>
          <w:sz w:val="20"/>
        </w:rPr>
      </w:pPr>
    </w:p>
    <w:p>
      <w:pPr>
        <w:pStyle w:val="NormalWeb1"/>
        <w:numPr>
          <w:ilvl w:val="0"/>
          <w:numId w:val="8"/>
        </w:numPr>
        <w:spacing w:before="0" w:beforeAutospacing="0" w:after="0" w:afterAutospacing="0"/>
        <w:rPr>
          <w:rFonts w:ascii="Times New Roman" w:hAnsi="Times New Roman" w:cs="Times New Roman"/>
          <w:sz w:val="20"/>
        </w:rPr>
      </w:pPr>
      <w:r>
        <w:rPr>
          <w:rFonts w:ascii="Times New Roman" w:hAnsi="Times New Roman" w:cs="Times New Roman"/>
          <w:sz w:val="20"/>
        </w:rPr>
        <w:t xml:space="preserve">Ensure that you attach </w:t>
      </w:r>
      <w:r>
        <w:rPr>
          <w:rFonts w:ascii="Times New Roman" w:hAnsi="Times New Roman" w:cs="Times New Roman"/>
          <w:b/>
          <w:i/>
          <w:sz w:val="20"/>
          <w:u w:val="single"/>
        </w:rPr>
        <w:t>.PDF files only</w:t>
      </w:r>
      <w:r>
        <w:rPr>
          <w:rFonts w:ascii="Times New Roman" w:hAnsi="Times New Roman" w:cs="Times New Roman"/>
          <w:sz w:val="20"/>
        </w:rPr>
        <w:t xml:space="preserve"> for any attachments to your application, and they must be in a </w:t>
      </w:r>
      <w:r>
        <w:rPr>
          <w:rFonts w:ascii="Times New Roman" w:hAnsi="Times New Roman" w:cs="Times New Roman"/>
          <w:b/>
          <w:sz w:val="20"/>
        </w:rPr>
        <w:t>read-only, non-modifiable format</w:t>
      </w:r>
      <w:r>
        <w:rPr>
          <w:rFonts w:ascii="Times New Roman" w:hAnsi="Times New Roman" w:cs="Times New Roman"/>
          <w:sz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28" w:history="1">
        <w:r>
          <w:rPr>
            <w:rStyle w:val="Hyperlink"/>
            <w:rFonts w:ascii="Times New Roman" w:hAnsi="Times New Roman" w:cs="Times New Roman"/>
            <w:sz w:val="20"/>
          </w:rPr>
          <w:t>http://www.grants.gov/web/grants/support/technical-support/software/pdf-conversion-software.html</w:t>
        </w:r>
      </w:hyperlink>
    </w:p>
    <w:p>
      <w:pPr>
        <w:pStyle w:val="NormalWeb1"/>
        <w:spacing w:before="0" w:beforeAutospacing="0" w:after="0" w:afterAutospacing="0"/>
        <w:ind w:left="1080"/>
        <w:rPr>
          <w:rFonts w:ascii="Times New Roman" w:hAnsi="Times New Roman" w:cs="Times New Roman"/>
          <w:sz w:val="20"/>
        </w:rPr>
      </w:pPr>
    </w:p>
    <w:p>
      <w:pPr>
        <w:pStyle w:val="NormalWeb1"/>
        <w:numPr>
          <w:ilvl w:val="0"/>
          <w:numId w:val="8"/>
        </w:numPr>
        <w:spacing w:before="0" w:beforeAutospacing="0" w:after="0" w:afterAutospacing="0"/>
        <w:rPr>
          <w:rFonts w:ascii="Times New Roman" w:hAnsi="Times New Roman" w:cs="Times New Roman"/>
          <w:sz w:val="20"/>
        </w:rPr>
      </w:pPr>
      <w:r>
        <w:rPr>
          <w:rFonts w:ascii="Times New Roman" w:hAnsi="Times New Roman" w:cs="Times New Roman"/>
          <w:sz w:val="20"/>
        </w:rPr>
        <w:t>Grants.gov cannot process an application that includes two or more files that have the same name within a grant submission.  Therefore, each file uploaded to your application package should have a unique file name.</w:t>
      </w:r>
    </w:p>
    <w:p>
      <w:pPr>
        <w:numPr>
          <w:ilvl w:val="0"/>
          <w:numId w:val="8"/>
        </w:numPr>
      </w:pPr>
      <w: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pPr>
        <w:pStyle w:val="NormalWeb1"/>
        <w:spacing w:before="0" w:beforeAutospacing="0" w:after="0" w:afterAutospacing="0"/>
        <w:ind w:left="720"/>
        <w:rPr>
          <w:rFonts w:ascii="Times New Roman" w:hAnsi="Times New Roman" w:cs="Times New Roman"/>
          <w:sz w:val="20"/>
        </w:rPr>
      </w:pPr>
    </w:p>
    <w:p>
      <w:pPr>
        <w:pStyle w:val="NormalWeb1"/>
        <w:numPr>
          <w:ilvl w:val="0"/>
          <w:numId w:val="8"/>
        </w:numPr>
        <w:spacing w:before="0" w:beforeAutospacing="0" w:after="0" w:afterAutospacing="0"/>
        <w:rPr>
          <w:rFonts w:ascii="Times New Roman" w:hAnsi="Times New Roman" w:cs="Times New Roman"/>
          <w:sz w:val="20"/>
        </w:rPr>
      </w:pPr>
      <w:r>
        <w:rPr>
          <w:rFonts w:ascii="Times New Roman" w:hAnsi="Times New Roman" w:cs="Times New Roman"/>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pPr>
        <w:pStyle w:val="ListParagraph"/>
      </w:pPr>
    </w:p>
    <w:p>
      <w:pPr>
        <w:pStyle w:val="ListParagraph"/>
      </w:pPr>
    </w:p>
    <w:p>
      <w:pPr>
        <w:pStyle w:val="NormalWeb1"/>
        <w:spacing w:before="0" w:beforeAutospacing="0" w:after="0" w:afterAutospacing="0"/>
        <w:ind w:left="1080"/>
        <w:rPr>
          <w:rFonts w:ascii="Times New Roman" w:hAnsi="Times New Roman" w:cs="Times New Roman"/>
          <w:sz w:val="20"/>
        </w:rPr>
      </w:pPr>
    </w:p>
    <w:p>
      <w:pPr>
        <w:pStyle w:val="NormalWeb1"/>
        <w:spacing w:before="0" w:beforeAutospacing="0" w:after="0" w:afterAutospacing="0"/>
        <w:ind w:left="8640"/>
        <w:rPr>
          <w:rFonts w:ascii="Times New Roman" w:hAnsi="Times New Roman" w:cs="Times New Roman"/>
          <w:sz w:val="20"/>
        </w:rPr>
      </w:pPr>
      <w:r>
        <w:rPr>
          <w:rFonts w:ascii="Times New Roman" w:hAnsi="Times New Roman" w:cs="Times New Roman"/>
          <w:sz w:val="20"/>
        </w:rPr>
        <w:t>3/2014</w:t>
      </w:r>
    </w:p>
    <w:p>
      <w:pPr>
        <w:pStyle w:val="NormalWeb1"/>
        <w:spacing w:before="0" w:beforeAutospacing="0" w:after="0" w:afterAutospacing="0"/>
        <w:ind w:left="8640"/>
        <w:rPr>
          <w:rFonts w:ascii="Times New Roman" w:hAnsi="Times New Roman" w:cs="Times New Roman"/>
          <w:sz w:val="20"/>
        </w:rPr>
      </w:pPr>
    </w:p>
    <w:p>
      <w:pPr>
        <w:pStyle w:val="NormalWeb1"/>
        <w:spacing w:before="0" w:beforeAutospacing="0" w:after="0" w:afterAutospacing="0"/>
        <w:ind w:left="8640"/>
        <w:rPr>
          <w:rFonts w:ascii="Times New Roman" w:hAnsi="Times New Roman" w:cs="Times New Roman"/>
          <w:sz w:val="20"/>
        </w:rPr>
      </w:pPr>
    </w:p>
    <w:p>
      <w:pPr>
        <w:pStyle w:val="NormalWeb1"/>
        <w:spacing w:before="0" w:beforeAutospacing="0" w:after="0" w:afterAutospacing="0"/>
        <w:ind w:left="8640"/>
        <w:rPr>
          <w:rFonts w:ascii="Times New Roman" w:hAnsi="Times New Roman" w:cs="Times New Roman"/>
          <w:sz w:val="20"/>
        </w:rPr>
      </w:pPr>
    </w:p>
    <w:p>
      <w:pPr>
        <w:pStyle w:val="NormalWeb1"/>
        <w:spacing w:before="0" w:beforeAutospacing="0" w:after="0" w:afterAutospacing="0"/>
        <w:ind w:left="8640"/>
        <w:rPr>
          <w:rFonts w:ascii="Times New Roman" w:hAnsi="Times New Roman" w:cs="Times New Roman"/>
          <w:sz w:val="20"/>
        </w:rPr>
      </w:pPr>
    </w:p>
    <w:p>
      <w:pPr>
        <w:pStyle w:val="NormalWeb1"/>
        <w:spacing w:before="0" w:beforeAutospacing="0" w:after="0" w:afterAutospacing="0"/>
        <w:ind w:left="8640"/>
        <w:rPr>
          <w:rFonts w:ascii="Times New Roman" w:hAnsi="Times New Roman" w:cs="Times New Roman"/>
          <w:sz w:val="20"/>
        </w:rPr>
      </w:pPr>
    </w:p>
    <w:p>
      <w:pPr>
        <w:pStyle w:val="NormalWeb1"/>
        <w:spacing w:before="0" w:beforeAutospacing="0" w:after="0" w:afterAutospacing="0"/>
        <w:ind w:left="8640"/>
        <w:rPr>
          <w:rFonts w:ascii="Times New Roman" w:hAnsi="Times New Roman" w:cs="Times New Roman"/>
          <w:sz w:val="20"/>
        </w:rPr>
      </w:pPr>
    </w:p>
    <w:p>
      <w:pPr>
        <w:rPr>
          <w:b/>
          <w:bCs/>
          <w:sz w:val="32"/>
          <w:szCs w:val="32"/>
        </w:rPr>
      </w:pPr>
    </w:p>
    <w:p>
      <w:pPr>
        <w:pStyle w:val="Heading1"/>
        <w:pBdr>
          <w:top w:val="single" w:sz="4" w:space="1" w:color="auto"/>
          <w:bottom w:val="single" w:sz="4" w:space="1" w:color="auto"/>
        </w:pBdr>
        <w:shd w:val="clear" w:color="auto" w:fill="E0E0E0"/>
        <w:jc w:val="center"/>
        <w:rPr>
          <w:caps/>
          <w:sz w:val="28"/>
          <w:szCs w:val="28"/>
        </w:rPr>
      </w:pPr>
      <w:bookmarkStart w:id="6" w:name="_Toc262126928"/>
      <w:r>
        <w:rPr>
          <w:caps/>
          <w:sz w:val="28"/>
          <w:szCs w:val="28"/>
        </w:rPr>
        <w:lastRenderedPageBreak/>
        <w:t>Application Transmittal Instructions</w:t>
      </w:r>
      <w:bookmarkEnd w:id="6"/>
    </w:p>
    <w:p/>
    <w:p>
      <w:r>
        <w:t xml:space="preserve">ATTENTION ELECTRONIC APPLICANTS:  Please note that you must follow the Application Procedures as described in the </w:t>
      </w:r>
      <w:r>
        <w:rPr>
          <w:u w:val="single"/>
        </w:rPr>
        <w:t>Federal Register</w:t>
      </w:r>
      <w:r>
        <w:t xml:space="preserve"> notice announcing the grant competition.</w:t>
      </w:r>
    </w:p>
    <w:p>
      <w:pPr>
        <w:rPr>
          <w:b/>
          <w:bCs/>
        </w:rPr>
      </w:pPr>
    </w:p>
    <w:p>
      <w:pPr>
        <w:rPr>
          <w:b/>
          <w:bCs/>
        </w:rPr>
      </w:pPr>
      <w:r>
        <w:rPr>
          <w:b/>
          <w:bCs/>
          <w:u w:val="single"/>
        </w:rPr>
        <w:t>This program requires the electronic submission</w:t>
      </w:r>
      <w:r>
        <w:rPr>
          <w:b/>
          <w:bCs/>
        </w:rPr>
        <w:t xml:space="preserve"> of applications; specific requirements and waiver instructions can be found in the </w:t>
      </w:r>
      <w:r>
        <w:rPr>
          <w:b/>
          <w:bCs/>
          <w:u w:val="single"/>
        </w:rPr>
        <w:t>Federal Register</w:t>
      </w:r>
      <w:r>
        <w:rPr>
          <w:b/>
          <w:bCs/>
        </w:rPr>
        <w:t xml:space="preserve"> notice.</w:t>
      </w:r>
    </w:p>
    <w:p>
      <w:pPr>
        <w:rPr>
          <w:b/>
          <w:bCs/>
        </w:rPr>
      </w:pPr>
    </w:p>
    <w:p>
      <w:r>
        <w:t xml:space="preserve">According to the instructions found in the </w:t>
      </w:r>
      <w:r>
        <w:rPr>
          <w:u w:val="single"/>
        </w:rPr>
        <w:t>Federal Register</w:t>
      </w:r>
      <w:r>
        <w:t xml:space="preserve"> notice, those requesting and qualifying for an exception to the electronic submission requirement may submit an application by mail, commercial carrier or by hand delivery.</w:t>
      </w:r>
    </w:p>
    <w:p/>
    <w:p>
      <w:r>
        <w:t>If you want to apply for a grant and be considered for funding, you must meet the following deadline requirements:</w:t>
      </w:r>
    </w:p>
    <w:p/>
    <w:p>
      <w:pPr>
        <w:rPr>
          <w:b/>
          <w:bCs/>
          <w:u w:val="single"/>
        </w:rPr>
      </w:pPr>
      <w:r>
        <w:rPr>
          <w:b/>
          <w:bCs/>
          <w:u w:val="single"/>
        </w:rPr>
        <w:t>Applications Submitted Electronically</w:t>
      </w:r>
    </w:p>
    <w:p>
      <w:pPr>
        <w:rPr>
          <w:b/>
          <w:bCs/>
          <w:u w:val="single"/>
        </w:rPr>
      </w:pPr>
    </w:p>
    <w:p>
      <w:pPr>
        <w:rPr>
          <w:b/>
          <w:bCs/>
        </w:rPr>
      </w:pPr>
      <w:r>
        <w:rPr>
          <w:b/>
          <w:bCs/>
        </w:rPr>
        <w:t>You must submit your grant application through the Internet using the software provided on the Grants.gov Web site (</w:t>
      </w:r>
      <w:hyperlink r:id="rId29" w:history="1">
        <w:r>
          <w:rPr>
            <w:rStyle w:val="Hyperlink"/>
            <w:b/>
            <w:bCs/>
          </w:rPr>
          <w:t>http://grants.gov</w:t>
        </w:r>
      </w:hyperlink>
      <w:r>
        <w:rPr>
          <w:b/>
          <w:bCs/>
        </w:rPr>
        <w:t>) by 4:30:00 p.m. (Washington, D.C. time) on or before the deadline date.</w:t>
      </w:r>
    </w:p>
    <w:p>
      <w:pPr>
        <w:rPr>
          <w:b/>
          <w:bCs/>
        </w:rPr>
      </w:pPr>
    </w:p>
    <w:p>
      <w:r>
        <w:t>If you submit your application through the Internet via the Grants.gov Web site, you will receive an automatic acknowledgement when we receive your application.</w:t>
      </w:r>
    </w:p>
    <w:p/>
    <w:p>
      <w:r>
        <w:t xml:space="preserve">For more information on using Grants.gov, please refer to the “Notice Inviting Applications” that was published in the </w:t>
      </w:r>
      <w:r>
        <w:rPr>
          <w:u w:val="single"/>
        </w:rPr>
        <w:t>Federal Register</w:t>
      </w:r>
      <w:r>
        <w:t xml:space="preserve"> or visit </w:t>
      </w:r>
      <w:hyperlink r:id="rId30" w:history="1">
        <w:r>
          <w:rPr>
            <w:rStyle w:val="Hyperlink"/>
          </w:rPr>
          <w:t>http://www.grants.gov</w:t>
        </w:r>
      </w:hyperlink>
      <w:r>
        <w:t>.</w:t>
      </w:r>
    </w:p>
    <w:p/>
    <w:p>
      <w:pPr>
        <w:rPr>
          <w:b/>
        </w:rPr>
      </w:pPr>
      <w:r>
        <w:rPr>
          <w:b/>
          <w:u w:val="single"/>
        </w:rPr>
        <w:t>Submission of Paper Applications by Mail:</w:t>
      </w:r>
    </w:p>
    <w:p/>
    <w:p>
      <w:r>
        <w:t>If you submit your application in paper format by mail (through the U.S. Postal Service or a commercial carrier), you must mail the original and two copies of your application, on or before the application deadline date, to the Department at the following address:</w:t>
      </w:r>
    </w:p>
    <w:p/>
    <w:p>
      <w:pPr>
        <w:rPr>
          <w:b/>
        </w:rPr>
      </w:pPr>
      <w:r>
        <w:rPr>
          <w:b/>
        </w:rPr>
        <w:t>U.S. Department of Education</w:t>
      </w:r>
    </w:p>
    <w:p>
      <w:pPr>
        <w:rPr>
          <w:b/>
        </w:rPr>
      </w:pPr>
      <w:r>
        <w:rPr>
          <w:b/>
        </w:rPr>
        <w:t>Application Control Center</w:t>
      </w:r>
    </w:p>
    <w:p>
      <w:pPr>
        <w:rPr>
          <w:b/>
        </w:rPr>
      </w:pPr>
      <w:r>
        <w:rPr>
          <w:b/>
        </w:rPr>
        <w:t xml:space="preserve">Attention:  CFDA Number </w:t>
      </w:r>
      <w:r>
        <w:rPr>
          <w:b/>
          <w:bCs/>
          <w:i/>
          <w:iCs/>
        </w:rPr>
        <w:t>84.116L</w:t>
      </w:r>
    </w:p>
    <w:p>
      <w:pPr>
        <w:rPr>
          <w:b/>
        </w:rPr>
      </w:pPr>
      <w:r>
        <w:rPr>
          <w:b/>
        </w:rPr>
        <w:t>LBJ Basement Level 1</w:t>
      </w:r>
    </w:p>
    <w:p>
      <w:pPr>
        <w:rPr>
          <w:b/>
        </w:rPr>
      </w:pPr>
      <w:r>
        <w:rPr>
          <w:b/>
        </w:rPr>
        <w:t>400 Maryland Avenue, SW</w:t>
      </w:r>
    </w:p>
    <w:p>
      <w:r>
        <w:rPr>
          <w:b/>
        </w:rPr>
        <w:t>Washington, DC  20202-4260</w:t>
      </w:r>
    </w:p>
    <w:p/>
    <w:p>
      <w:r>
        <w:t>You must show proof of mailing consisting of one of the following:</w:t>
      </w:r>
    </w:p>
    <w:p>
      <w:r>
        <w:t>(1)  A legibly dated U.S. Postal Service postmark.</w:t>
      </w:r>
    </w:p>
    <w:p>
      <w:r>
        <w:t>(2)  A legible mail receipt with the date of mailing stamped by the U.S. Postal Service.</w:t>
      </w:r>
    </w:p>
    <w:p>
      <w:r>
        <w:t xml:space="preserve">(3)  A dated shipping label, invoice, or receipt from a commercial carrier. </w:t>
      </w:r>
    </w:p>
    <w:p>
      <w:r>
        <w:t>(4)  Any other proof of mailing acceptable to the Secretary of the U.S. Department of Education.</w:t>
      </w:r>
    </w:p>
    <w:p/>
    <w:p>
      <w:r>
        <w:lastRenderedPageBreak/>
        <w:t xml:space="preserve">If you mail your application through the U.S. Postal Service, we do </w:t>
      </w:r>
      <w:r>
        <w:rPr>
          <w:b/>
        </w:rPr>
        <w:t>not</w:t>
      </w:r>
      <w:r>
        <w:t xml:space="preserve"> accept either of the following as proof of mailing:</w:t>
      </w:r>
    </w:p>
    <w:p/>
    <w:p>
      <w:r>
        <w:t>1.  A private metered postmark.</w:t>
      </w:r>
    </w:p>
    <w:p>
      <w:r>
        <w:t>2.  A mail receipt that is not dated by the U.S. Postal Service.</w:t>
      </w:r>
    </w:p>
    <w:p/>
    <w:p>
      <w:r>
        <w:t>An applicant should note that the U.S. Postal Service does not uniformly provide a dated postmark.  Before relying on this method, an applicant should check with its local post office.</w:t>
      </w:r>
    </w:p>
    <w:p/>
    <w:p>
      <w:r>
        <w:t xml:space="preserve">Special Note:  Due to potential disruption to normal mail delivery, the Department encourages you to consider using an alternative delivery method (for example, a commercial carrier, such as Federal Express or United Postal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 </w:t>
      </w:r>
    </w:p>
    <w:p/>
    <w:p>
      <w:pPr>
        <w:rPr>
          <w:b/>
        </w:rPr>
      </w:pPr>
      <w:r>
        <w:rPr>
          <w:b/>
          <w:u w:val="single"/>
        </w:rPr>
        <w:t>Submission of Paper Applications by Hand Delivery:</w:t>
      </w:r>
    </w:p>
    <w:p/>
    <w:p>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p>
      <w:pPr>
        <w:rPr>
          <w:b/>
        </w:rPr>
      </w:pPr>
      <w:r>
        <w:rPr>
          <w:b/>
        </w:rPr>
        <w:t>U.S. Department of Education</w:t>
      </w:r>
    </w:p>
    <w:p>
      <w:pPr>
        <w:rPr>
          <w:b/>
        </w:rPr>
      </w:pPr>
      <w:r>
        <w:rPr>
          <w:b/>
        </w:rPr>
        <w:t>Application Control Center</w:t>
      </w:r>
    </w:p>
    <w:p>
      <w:pPr>
        <w:rPr>
          <w:b/>
        </w:rPr>
      </w:pPr>
      <w:r>
        <w:rPr>
          <w:b/>
        </w:rPr>
        <w:t xml:space="preserve">Attention:  CFDA Number </w:t>
      </w:r>
      <w:r>
        <w:rPr>
          <w:b/>
          <w:bCs/>
          <w:i/>
          <w:iCs/>
        </w:rPr>
        <w:t>84.116L</w:t>
      </w:r>
    </w:p>
    <w:p>
      <w:pPr>
        <w:rPr>
          <w:b/>
        </w:rPr>
      </w:pPr>
      <w:r>
        <w:rPr>
          <w:b/>
        </w:rPr>
        <w:t>550 12th Street, SW.</w:t>
      </w:r>
    </w:p>
    <w:p>
      <w:pPr>
        <w:rPr>
          <w:b/>
        </w:rPr>
      </w:pPr>
      <w:r>
        <w:rPr>
          <w:b/>
        </w:rPr>
        <w:t>Room 7041, Potomac Center Plaza</w:t>
      </w:r>
    </w:p>
    <w:p>
      <w:pPr>
        <w:rPr>
          <w:b/>
          <w:bCs/>
        </w:rPr>
      </w:pPr>
      <w:r>
        <w:rPr>
          <w:b/>
          <w:bCs/>
        </w:rPr>
        <w:t xml:space="preserve">Washington, DC  20202-4260 </w:t>
      </w:r>
    </w:p>
    <w:p/>
    <w:p>
      <w:r>
        <w:rPr>
          <w:b/>
          <w:u w:val="single"/>
        </w:rPr>
        <w:t>Note for Mail or Hand Delivery of Paper Applications</w:t>
      </w:r>
      <w:r>
        <w:rPr>
          <w:b/>
        </w:rPr>
        <w:t>:</w:t>
      </w:r>
      <w:r>
        <w:t xml:space="preserve">  If you mail or hand deliver your application to the Department—</w:t>
      </w:r>
    </w:p>
    <w:p/>
    <w:p>
      <w:pPr>
        <w:numPr>
          <w:ilvl w:val="0"/>
          <w:numId w:val="9"/>
        </w:numPr>
      </w:pPr>
      <w:r>
        <w:t>You must indicate on the envelope and--if not provided by the Department--in Item 11 of the SF 424 the CFDA number, including suffix letter, if any, of the competition under which you are submitting your application; and</w:t>
      </w:r>
    </w:p>
    <w:p/>
    <w:p>
      <w:pPr>
        <w:numPr>
          <w:ilvl w:val="0"/>
          <w:numId w:val="9"/>
        </w:numPr>
      </w:pPr>
      <w:r>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p>
      <w:pPr>
        <w:rPr>
          <w:b/>
          <w:bCs/>
          <w:u w:val="single"/>
        </w:rPr>
      </w:pPr>
    </w:p>
    <w:p>
      <w:pPr>
        <w:rPr>
          <w:b/>
          <w:bCs/>
          <w:u w:val="single"/>
        </w:rPr>
      </w:pPr>
    </w:p>
    <w:p>
      <w:pPr>
        <w:rPr>
          <w:b/>
          <w:bCs/>
          <w:u w:val="single"/>
        </w:rPr>
      </w:pPr>
    </w:p>
    <w:p>
      <w:pPr>
        <w:rPr>
          <w:b/>
          <w:bCs/>
          <w:u w:val="single"/>
        </w:rPr>
      </w:pPr>
    </w:p>
    <w:p>
      <w:pPr>
        <w:rPr>
          <w:b/>
          <w:bCs/>
          <w:u w:val="single"/>
        </w:rPr>
      </w:pPr>
      <w:r>
        <w:rPr>
          <w:b/>
          <w:bCs/>
          <w:u w:val="single"/>
        </w:rPr>
        <w:lastRenderedPageBreak/>
        <w:t>Application Control Center Hours of Operation</w:t>
      </w:r>
    </w:p>
    <w:p/>
    <w:p>
      <w:r>
        <w:t xml:space="preserve">The Application Control Center accepts application deliveries daily between 8:00 a.m. and 4:30 p.m. (Washington, D.C. time) except Saturdays, Sundays, and Federal holidays.  </w:t>
      </w:r>
    </w:p>
    <w:p/>
    <w:p>
      <w:pPr>
        <w:rPr>
          <w:b/>
          <w:bCs/>
        </w:rPr>
      </w:pPr>
      <w:r>
        <w:rPr>
          <w:b/>
          <w:bCs/>
          <w:u w:val="single"/>
        </w:rPr>
        <w:t>Late Applications</w:t>
      </w:r>
    </w:p>
    <w:p>
      <w:pPr>
        <w:rPr>
          <w:b/>
          <w:bCs/>
        </w:rPr>
      </w:pPr>
    </w:p>
    <w:p>
      <w:r>
        <w:t>If your application is late, we will notify you that we will not consider the application.</w:t>
      </w:r>
    </w:p>
    <w:p/>
    <w:p/>
    <w:p/>
    <w:p/>
    <w:p/>
    <w:p>
      <w:r>
        <w:t xml:space="preserve"> </w:t>
      </w:r>
    </w:p>
    <w:p/>
    <w:p/>
    <w:p/>
    <w:p/>
    <w:p/>
    <w:p/>
    <w:p/>
    <w:p/>
    <w:p/>
    <w:p/>
    <w:p/>
    <w:p/>
    <w:p/>
    <w:p/>
    <w:p/>
    <w:p/>
    <w:p/>
    <w:p/>
    <w:p/>
    <w:p/>
    <w:p/>
    <w:p/>
    <w:p>
      <w:pPr>
        <w:autoSpaceDE w:val="0"/>
        <w:autoSpaceDN w:val="0"/>
        <w:adjustRightInd w:val="0"/>
        <w:jc w:val="center"/>
        <w:rPr>
          <w:rFonts w:ascii="Arial" w:hAnsi="Arial" w:cs="Arial"/>
          <w:color w:val="0000FF"/>
          <w:sz w:val="22"/>
          <w:szCs w:val="22"/>
        </w:rPr>
      </w:pPr>
    </w:p>
    <w:p>
      <w:pPr>
        <w:autoSpaceDE w:val="0"/>
        <w:autoSpaceDN w:val="0"/>
        <w:adjustRightInd w:val="0"/>
        <w:jc w:val="center"/>
        <w:rPr>
          <w:rFonts w:ascii="Arial" w:hAnsi="Arial" w:cs="Arial"/>
          <w:color w:val="0000FF"/>
          <w:sz w:val="22"/>
          <w:szCs w:val="22"/>
        </w:rPr>
      </w:pPr>
    </w:p>
    <w:p>
      <w:pPr>
        <w:autoSpaceDE w:val="0"/>
        <w:autoSpaceDN w:val="0"/>
        <w:adjustRightInd w:val="0"/>
        <w:jc w:val="center"/>
        <w:rPr>
          <w:rFonts w:ascii="Arial" w:hAnsi="Arial" w:cs="Arial"/>
          <w:color w:val="0000FF"/>
          <w:sz w:val="22"/>
          <w:szCs w:val="22"/>
        </w:rPr>
      </w:pPr>
    </w:p>
    <w:p>
      <w:pPr>
        <w:autoSpaceDE w:val="0"/>
        <w:autoSpaceDN w:val="0"/>
        <w:adjustRightInd w:val="0"/>
        <w:jc w:val="center"/>
        <w:rPr>
          <w:rFonts w:ascii="Arial" w:hAnsi="Arial" w:cs="Arial"/>
          <w:color w:val="0000FF"/>
          <w:sz w:val="22"/>
          <w:szCs w:val="22"/>
        </w:rPr>
      </w:pPr>
    </w:p>
    <w:p>
      <w:pPr>
        <w:autoSpaceDE w:val="0"/>
        <w:autoSpaceDN w:val="0"/>
        <w:adjustRightInd w:val="0"/>
        <w:jc w:val="center"/>
        <w:rPr>
          <w:rFonts w:ascii="Arial" w:hAnsi="Arial" w:cs="Arial"/>
          <w:color w:val="0000FF"/>
          <w:sz w:val="22"/>
          <w:szCs w:val="22"/>
        </w:rPr>
      </w:pPr>
    </w:p>
    <w:p>
      <w:pPr>
        <w:autoSpaceDE w:val="0"/>
        <w:autoSpaceDN w:val="0"/>
        <w:adjustRightInd w:val="0"/>
        <w:jc w:val="center"/>
        <w:rPr>
          <w:rFonts w:ascii="Arial" w:hAnsi="Arial" w:cs="Arial"/>
          <w:color w:val="0000FF"/>
          <w:sz w:val="22"/>
          <w:szCs w:val="22"/>
        </w:rPr>
      </w:pPr>
    </w:p>
    <w:p>
      <w:pPr>
        <w:autoSpaceDE w:val="0"/>
        <w:autoSpaceDN w:val="0"/>
        <w:adjustRightInd w:val="0"/>
        <w:jc w:val="center"/>
        <w:rPr>
          <w:rFonts w:ascii="Arial" w:hAnsi="Arial" w:cs="Arial"/>
          <w:color w:val="0000FF"/>
          <w:sz w:val="22"/>
          <w:szCs w:val="22"/>
        </w:rPr>
      </w:pPr>
    </w:p>
    <w:p>
      <w:pPr>
        <w:autoSpaceDE w:val="0"/>
        <w:autoSpaceDN w:val="0"/>
        <w:adjustRightInd w:val="0"/>
        <w:jc w:val="center"/>
        <w:rPr>
          <w:rFonts w:ascii="Arial" w:hAnsi="Arial" w:cs="Arial"/>
          <w:color w:val="0000FF"/>
          <w:sz w:val="22"/>
          <w:szCs w:val="22"/>
        </w:rPr>
      </w:pPr>
    </w:p>
    <w:p>
      <w:pPr>
        <w:autoSpaceDE w:val="0"/>
        <w:autoSpaceDN w:val="0"/>
        <w:adjustRightInd w:val="0"/>
        <w:jc w:val="center"/>
        <w:rPr>
          <w:rFonts w:ascii="Arial" w:hAnsi="Arial" w:cs="Arial"/>
          <w:color w:val="0000FF"/>
          <w:sz w:val="22"/>
          <w:szCs w:val="22"/>
        </w:rPr>
      </w:pPr>
    </w:p>
    <w:p>
      <w:pPr>
        <w:rPr>
          <w:rFonts w:ascii="Arial" w:hAnsi="Arial" w:cs="Arial"/>
        </w:rPr>
      </w:pPr>
    </w:p>
    <w:p>
      <w:pPr>
        <w:keepNext/>
        <w:pBdr>
          <w:top w:val="single" w:sz="4" w:space="1" w:color="auto"/>
          <w:bottom w:val="single" w:sz="4" w:space="1" w:color="auto"/>
        </w:pBdr>
        <w:shd w:val="clear" w:color="auto" w:fill="E0E0E0"/>
        <w:jc w:val="center"/>
        <w:outlineLvl w:val="0"/>
        <w:rPr>
          <w:rFonts w:ascii="Arial" w:hAnsi="Arial"/>
          <w:b/>
          <w:color w:val="000000"/>
          <w:sz w:val="28"/>
        </w:rPr>
      </w:pPr>
      <w:r>
        <w:rPr>
          <w:rFonts w:ascii="Arial" w:hAnsi="Arial"/>
          <w:b/>
          <w:color w:val="000000"/>
          <w:sz w:val="28"/>
        </w:rPr>
        <w:lastRenderedPageBreak/>
        <w:t>Notice Inviting Applications for New Awards</w:t>
      </w:r>
    </w:p>
    <w:p>
      <w:pPr>
        <w:spacing w:line="480" w:lineRule="auto"/>
        <w:rPr>
          <w:rFonts w:ascii="Courier New" w:hAnsi="Courier New" w:cs="Courier New"/>
          <w:highlight w:val="yellow"/>
        </w:rPr>
      </w:pPr>
    </w:p>
    <w:p>
      <w:pPr>
        <w:spacing w:line="480" w:lineRule="auto"/>
        <w:rPr>
          <w:rFonts w:ascii="Courier New" w:hAnsi="Courier New" w:cs="Courier New"/>
        </w:rPr>
      </w:pPr>
      <w:r>
        <w:rPr>
          <w:rFonts w:ascii="Courier New" w:hAnsi="Courier New" w:cs="Courier New"/>
        </w:rPr>
        <w:t>4000-01-U</w:t>
      </w:r>
    </w:p>
    <w:p>
      <w:pPr>
        <w:widowControl w:val="0"/>
        <w:tabs>
          <w:tab w:val="left" w:pos="1080"/>
        </w:tabs>
        <w:overflowPunct w:val="0"/>
        <w:autoSpaceDE w:val="0"/>
        <w:autoSpaceDN w:val="0"/>
        <w:adjustRightInd w:val="0"/>
        <w:spacing w:line="480" w:lineRule="auto"/>
        <w:rPr>
          <w:rFonts w:ascii="Courier New" w:hAnsi="Courier New" w:cs="Courier New"/>
        </w:rPr>
      </w:pPr>
      <w:r>
        <w:rPr>
          <w:rFonts w:ascii="Courier New" w:hAnsi="Courier New" w:cs="Courier New"/>
        </w:rPr>
        <w:t>DEPARTMENT OF EDUCATION</w:t>
      </w:r>
    </w:p>
    <w:p>
      <w:pPr>
        <w:spacing w:line="480" w:lineRule="auto"/>
        <w:rPr>
          <w:rFonts w:ascii="Courier New" w:hAnsi="Courier New" w:cs="Courier New"/>
        </w:rPr>
      </w:pPr>
      <w:r>
        <w:rPr>
          <w:rFonts w:ascii="Courier New" w:hAnsi="Courier New" w:cs="Courier New"/>
        </w:rPr>
        <w:t>Application for New Award; Center for Best Practices to Support Single Parent Students</w:t>
      </w:r>
    </w:p>
    <w:p>
      <w:pPr>
        <w:spacing w:line="480" w:lineRule="auto"/>
        <w:rPr>
          <w:rFonts w:ascii="Courier New" w:hAnsi="Courier New" w:cs="Courier New"/>
        </w:rPr>
      </w:pPr>
      <w:r>
        <w:rPr>
          <w:rFonts w:ascii="Courier New" w:hAnsi="Courier New" w:cs="Courier New"/>
        </w:rPr>
        <w:t>AGENCY:  Office of Postsecondary Education, Department of Education</w:t>
      </w:r>
    </w:p>
    <w:p>
      <w:pPr>
        <w:spacing w:line="480" w:lineRule="auto"/>
        <w:rPr>
          <w:rFonts w:ascii="Courier New" w:hAnsi="Courier New" w:cs="Courier New"/>
        </w:rPr>
      </w:pPr>
      <w:r>
        <w:rPr>
          <w:rFonts w:ascii="Courier New" w:hAnsi="Courier New" w:cs="Courier New"/>
        </w:rPr>
        <w:t>ACTION:  Notice.</w:t>
      </w:r>
    </w:p>
    <w:p>
      <w:pPr>
        <w:spacing w:line="480" w:lineRule="auto"/>
        <w:rPr>
          <w:rFonts w:ascii="Courier New" w:hAnsi="Courier New" w:cs="Courier New"/>
          <w:bCs/>
          <w:u w:val="single"/>
        </w:rPr>
      </w:pPr>
      <w:r>
        <w:rPr>
          <w:rFonts w:ascii="Courier New" w:hAnsi="Courier New" w:cs="Courier New"/>
          <w:bCs/>
          <w:u w:val="single"/>
        </w:rPr>
        <w:t>Overview Information</w:t>
      </w:r>
      <w:r>
        <w:rPr>
          <w:rFonts w:ascii="Courier New" w:hAnsi="Courier New" w:cs="Courier New"/>
          <w:bCs/>
        </w:rPr>
        <w:t>:</w:t>
      </w:r>
    </w:p>
    <w:p>
      <w:pPr>
        <w:tabs>
          <w:tab w:val="right" w:pos="540"/>
          <w:tab w:val="left" w:pos="630"/>
        </w:tabs>
        <w:spacing w:line="480" w:lineRule="auto"/>
        <w:rPr>
          <w:rFonts w:ascii="Courier New" w:hAnsi="Courier New" w:cs="Courier New"/>
          <w:bCs/>
        </w:rPr>
      </w:pPr>
      <w:r>
        <w:rPr>
          <w:rFonts w:ascii="Courier New" w:hAnsi="Courier New" w:cs="Courier New"/>
          <w:bCs/>
        </w:rPr>
        <w:t>Center for Best Practices to Support Single Parent Students</w:t>
      </w:r>
    </w:p>
    <w:p>
      <w:pPr>
        <w:tabs>
          <w:tab w:val="right" w:pos="540"/>
          <w:tab w:val="left" w:pos="630"/>
        </w:tabs>
        <w:spacing w:line="480" w:lineRule="auto"/>
        <w:rPr>
          <w:rFonts w:ascii="Courier New" w:hAnsi="Courier New" w:cs="Courier New"/>
          <w:bCs/>
        </w:rPr>
      </w:pPr>
      <w:r>
        <w:rPr>
          <w:rFonts w:ascii="Courier New" w:hAnsi="Courier New" w:cs="Courier New"/>
          <w:bCs/>
        </w:rPr>
        <w:t>Notice inviting applications for a new award for fiscal year (FY) 2014.</w:t>
      </w:r>
    </w:p>
    <w:p>
      <w:pPr>
        <w:tabs>
          <w:tab w:val="right" w:pos="540"/>
          <w:tab w:val="left" w:pos="630"/>
        </w:tabs>
        <w:spacing w:line="480" w:lineRule="auto"/>
        <w:rPr>
          <w:rFonts w:ascii="Courier New" w:hAnsi="Courier New" w:cs="Courier New"/>
          <w:bCs/>
        </w:rPr>
      </w:pPr>
      <w:r>
        <w:rPr>
          <w:rFonts w:ascii="Courier New" w:hAnsi="Courier New" w:cs="Courier New"/>
          <w:bCs/>
          <w:iCs/>
        </w:rPr>
        <w:t>Catalog of Federal Domestic Assistance</w:t>
      </w:r>
      <w:r>
        <w:rPr>
          <w:rFonts w:ascii="Courier New" w:hAnsi="Courier New" w:cs="Courier New"/>
          <w:bCs/>
        </w:rPr>
        <w:t xml:space="preserve"> (CFDA) Number:  84.116L.  </w:t>
      </w:r>
    </w:p>
    <w:p>
      <w:pPr>
        <w:tabs>
          <w:tab w:val="right" w:pos="540"/>
          <w:tab w:val="left" w:pos="630"/>
        </w:tabs>
        <w:spacing w:line="480" w:lineRule="auto"/>
        <w:ind w:hanging="630"/>
        <w:rPr>
          <w:rFonts w:ascii="Courier New" w:hAnsi="Courier New" w:cs="Courier New"/>
          <w:bCs/>
        </w:rPr>
      </w:pPr>
      <w:r>
        <w:rPr>
          <w:rFonts w:ascii="Courier New" w:hAnsi="Courier New" w:cs="Courier New"/>
          <w:bCs/>
        </w:rPr>
        <w:tab/>
      </w:r>
      <w:r>
        <w:rPr>
          <w:rFonts w:ascii="Courier New" w:hAnsi="Courier New" w:cs="Courier New"/>
          <w:bCs/>
          <w:u w:val="single"/>
        </w:rPr>
        <w:t>Dates</w:t>
      </w:r>
      <w:r>
        <w:rPr>
          <w:rFonts w:ascii="Courier New" w:hAnsi="Courier New" w:cs="Courier New"/>
          <w:bCs/>
        </w:rPr>
        <w:t xml:space="preserve">:  </w:t>
      </w:r>
    </w:p>
    <w:p>
      <w:pPr>
        <w:spacing w:line="480" w:lineRule="auto"/>
        <w:rPr>
          <w:rFonts w:ascii="Courier New" w:hAnsi="Courier New" w:cs="Courier New"/>
        </w:rPr>
      </w:pPr>
      <w:r>
        <w:rPr>
          <w:rFonts w:ascii="Courier New" w:hAnsi="Courier New" w:cs="Courier New"/>
        </w:rPr>
        <w:t>Applications Available:  [INSERT DATE OF PUBLICATION IN THE FEDERAL REGISTER].</w:t>
      </w:r>
    </w:p>
    <w:p>
      <w:pPr>
        <w:spacing w:line="480" w:lineRule="auto"/>
        <w:rPr>
          <w:rFonts w:ascii="Courier New" w:hAnsi="Courier New" w:cs="Courier New"/>
        </w:rPr>
      </w:pPr>
      <w:r>
        <w:rPr>
          <w:rFonts w:ascii="Courier New" w:hAnsi="Courier New" w:cs="Courier New"/>
        </w:rPr>
        <w:t xml:space="preserve">Deadline for Transmittal of Applications:  [INSERT DATE 30 DAYS AFTER DATE OF PUBLICATION IN THE FEDERAL REGISTER].  </w:t>
      </w:r>
    </w:p>
    <w:p>
      <w:pPr>
        <w:spacing w:line="480" w:lineRule="auto"/>
        <w:rPr>
          <w:rFonts w:ascii="Courier New" w:hAnsi="Courier New" w:cs="Courier New"/>
        </w:rPr>
      </w:pPr>
      <w:r>
        <w:rPr>
          <w:rFonts w:ascii="Courier New" w:hAnsi="Courier New" w:cs="Courier New"/>
        </w:rPr>
        <w:t>Deadline for Intergovernmental Review:  [INSERT DATE 105 DAYS AFTER DATE OF PUBLICATION IN THE FEDERAL REGISTER].</w:t>
      </w:r>
    </w:p>
    <w:p>
      <w:pPr>
        <w:keepNext/>
        <w:keepLines/>
        <w:spacing w:line="480" w:lineRule="auto"/>
        <w:outlineLvl w:val="3"/>
        <w:rPr>
          <w:rFonts w:ascii="Courier New" w:hAnsi="Courier New" w:cs="Courier New"/>
          <w:iCs/>
        </w:rPr>
      </w:pPr>
      <w:r>
        <w:rPr>
          <w:rFonts w:ascii="Courier New" w:hAnsi="Courier New" w:cs="Courier New"/>
          <w:bCs/>
          <w:iCs/>
        </w:rPr>
        <w:t>Full Text of Announcement</w:t>
      </w:r>
    </w:p>
    <w:p>
      <w:pPr>
        <w:spacing w:line="480" w:lineRule="auto"/>
        <w:rPr>
          <w:rFonts w:ascii="Courier New" w:hAnsi="Courier New" w:cs="Courier New"/>
        </w:rPr>
      </w:pPr>
      <w:r>
        <w:rPr>
          <w:rFonts w:ascii="Courier New" w:hAnsi="Courier New" w:cs="Courier New"/>
        </w:rPr>
        <w:t>I.  Funding Opportunity Description</w:t>
      </w:r>
    </w:p>
    <w:p>
      <w:pPr>
        <w:spacing w:line="480" w:lineRule="auto"/>
        <w:rPr>
          <w:rFonts w:ascii="Courier New" w:hAnsi="Courier New" w:cs="Courier New"/>
        </w:rPr>
      </w:pPr>
      <w:r>
        <w:rPr>
          <w:rFonts w:ascii="Courier New" w:hAnsi="Courier New" w:cs="Courier New"/>
          <w:u w:val="single"/>
        </w:rPr>
        <w:lastRenderedPageBreak/>
        <w:t>Purpose of Program</w:t>
      </w:r>
      <w:r>
        <w:rPr>
          <w:rFonts w:ascii="Courier New" w:hAnsi="Courier New" w:cs="Courier New"/>
        </w:rPr>
        <w:t>:  The objective of this program is to support a Center for Best Practices to Support Single Parent Students, as authorized by section 741(c) of the HEA, to promote replication of programs that have proven effective at providing postsecondary degree completion opportunities to low-income single parents.  The Center will study and develop best practices, and assist other institutions in implementing innovative programs that support this target population.  The center funded under this section shall- (A) assist institutions implementing innovative programs that support single parents pursuing higher education; (B) study and develop as evaluation protocol for such programs that includes quantitative and qualitative methodologies; (C) provide appropriate technical assistance regarding the replication, evaluation, and continuous improvement of such programs; and (D) develop and disseminate best practices for such programs.</w:t>
      </w:r>
    </w:p>
    <w:p>
      <w:pPr>
        <w:spacing w:line="480" w:lineRule="auto"/>
        <w:rPr>
          <w:rFonts w:ascii="Courier New" w:hAnsi="Courier New" w:cs="Courier New"/>
        </w:rPr>
      </w:pPr>
      <w:r>
        <w:rPr>
          <w:rFonts w:ascii="Courier New" w:hAnsi="Courier New" w:cs="Courier New"/>
          <w:u w:val="single"/>
        </w:rPr>
        <w:t>Program Authority</w:t>
      </w:r>
      <w:r>
        <w:rPr>
          <w:rFonts w:ascii="Courier New" w:hAnsi="Courier New" w:cs="Courier New"/>
        </w:rPr>
        <w:t>:  20 U.S.C. 1161s.</w:t>
      </w:r>
    </w:p>
    <w:p>
      <w:pPr>
        <w:spacing w:line="480" w:lineRule="auto"/>
        <w:rPr>
          <w:rFonts w:ascii="Courier New" w:hAnsi="Courier New" w:cs="Courier New"/>
          <w:bCs/>
          <w:iCs/>
        </w:rPr>
      </w:pPr>
      <w:r>
        <w:rPr>
          <w:rFonts w:ascii="Courier New" w:hAnsi="Courier New" w:cs="Courier New"/>
          <w:bCs/>
          <w:iCs/>
          <w:u w:val="single"/>
        </w:rPr>
        <w:t>Applicable Regulations</w:t>
      </w:r>
      <w:r>
        <w:rPr>
          <w:rFonts w:ascii="Courier New" w:hAnsi="Courier New" w:cs="Courier New"/>
          <w:bCs/>
          <w:iCs/>
        </w:rPr>
        <w:t>:  (a)  The Education Department General Administrative Regulations (EDGAR) in 34 CFR parts 74, 75, 77, 79, 80, 82, 84, 86, 97, 98, and 99.</w:t>
      </w:r>
      <w:r>
        <w:rPr>
          <w:rFonts w:ascii="Courier New" w:hAnsi="Courier New" w:cs="Courier New"/>
        </w:rPr>
        <w:t xml:space="preserve">  </w:t>
      </w:r>
      <w:r>
        <w:rPr>
          <w:rFonts w:ascii="Courier New" w:hAnsi="Courier New" w:cs="Courier New"/>
          <w:bCs/>
          <w:iCs/>
        </w:rPr>
        <w:t>(b)  The Education Department suspension and debarment</w:t>
      </w:r>
    </w:p>
    <w:p>
      <w:pPr>
        <w:spacing w:line="480" w:lineRule="auto"/>
        <w:rPr>
          <w:rFonts w:ascii="Courier New" w:hAnsi="Courier New" w:cs="Courier New"/>
          <w:bCs/>
          <w:iCs/>
        </w:rPr>
      </w:pPr>
      <w:r>
        <w:rPr>
          <w:rFonts w:ascii="Courier New" w:hAnsi="Courier New" w:cs="Courier New"/>
          <w:bCs/>
          <w:iCs/>
        </w:rPr>
        <w:t xml:space="preserve">regulations in 2 CFR part 3485.  (c)  The notice of final supplemental priorities and definitions for discretionary grant </w:t>
      </w:r>
      <w:r>
        <w:rPr>
          <w:rFonts w:ascii="Courier New" w:hAnsi="Courier New" w:cs="Courier New"/>
          <w:bCs/>
          <w:iCs/>
        </w:rPr>
        <w:lastRenderedPageBreak/>
        <w:t xml:space="preserve">programs, published in the </w:t>
      </w:r>
      <w:r>
        <w:rPr>
          <w:rFonts w:ascii="Courier New" w:hAnsi="Courier New" w:cs="Courier New"/>
          <w:bCs/>
          <w:iCs/>
          <w:u w:val="single"/>
        </w:rPr>
        <w:t>Federal Register</w:t>
      </w:r>
      <w:r>
        <w:rPr>
          <w:rFonts w:ascii="Courier New" w:hAnsi="Courier New" w:cs="Courier New"/>
          <w:bCs/>
          <w:iCs/>
        </w:rPr>
        <w:t xml:space="preserve"> on December 15, 2010 (75 FR 78486), and corrected on May 12, 2011 (76 FR 27637).</w:t>
      </w:r>
    </w:p>
    <w:p>
      <w:pPr>
        <w:spacing w:line="480" w:lineRule="auto"/>
        <w:rPr>
          <w:rFonts w:ascii="Courier New" w:hAnsi="Courier New" w:cs="Courier New"/>
          <w:bCs/>
          <w:iCs/>
        </w:rPr>
      </w:pPr>
      <w:r>
        <w:rPr>
          <w:rFonts w:ascii="Courier New" w:hAnsi="Courier New" w:cs="Courier New"/>
          <w:bCs/>
          <w:iCs/>
          <w:u w:val="single"/>
        </w:rPr>
        <w:t>Note</w:t>
      </w:r>
      <w:r>
        <w:rPr>
          <w:rFonts w:ascii="Courier New" w:hAnsi="Courier New" w:cs="Courier New"/>
          <w:bCs/>
          <w:iCs/>
        </w:rPr>
        <w:t>:  The regulations in 34 CFR part 79 apply to all applicants except federally recognized Indian tribes.</w:t>
      </w:r>
    </w:p>
    <w:p>
      <w:pPr>
        <w:spacing w:line="480" w:lineRule="auto"/>
        <w:rPr>
          <w:rFonts w:ascii="Courier New" w:hAnsi="Courier New" w:cs="Courier New"/>
          <w:bCs/>
          <w:iCs/>
        </w:rPr>
      </w:pPr>
      <w:r>
        <w:rPr>
          <w:rFonts w:ascii="Courier New" w:hAnsi="Courier New" w:cs="Courier New"/>
          <w:bCs/>
          <w:iCs/>
          <w:u w:val="single"/>
        </w:rPr>
        <w:t>Note</w:t>
      </w:r>
      <w:r>
        <w:rPr>
          <w:rFonts w:ascii="Courier New" w:hAnsi="Courier New" w:cs="Courier New"/>
          <w:bCs/>
          <w:iCs/>
        </w:rPr>
        <w:t>:  The regulations in 34 CFR part 86 apply to IHEs only.</w:t>
      </w:r>
    </w:p>
    <w:p>
      <w:pPr>
        <w:spacing w:line="480" w:lineRule="auto"/>
        <w:rPr>
          <w:rFonts w:ascii="Courier New" w:hAnsi="Courier New" w:cs="Courier New"/>
        </w:rPr>
      </w:pPr>
      <w:r>
        <w:rPr>
          <w:rFonts w:ascii="Courier New" w:hAnsi="Courier New" w:cs="Courier New"/>
        </w:rPr>
        <w:t>II.  Award Information</w:t>
      </w:r>
    </w:p>
    <w:p>
      <w:pPr>
        <w:spacing w:line="480" w:lineRule="auto"/>
        <w:rPr>
          <w:rFonts w:ascii="Courier New" w:hAnsi="Courier New" w:cs="Courier New"/>
          <w:bCs/>
        </w:rPr>
      </w:pPr>
      <w:r>
        <w:rPr>
          <w:rFonts w:ascii="Courier New" w:hAnsi="Courier New" w:cs="Courier New"/>
          <w:u w:val="single"/>
        </w:rPr>
        <w:t>Type of Award</w:t>
      </w:r>
      <w:r>
        <w:rPr>
          <w:rFonts w:ascii="Courier New" w:hAnsi="Courier New" w:cs="Courier New"/>
        </w:rPr>
        <w:t xml:space="preserve">:  Discretionary grant. </w:t>
      </w:r>
    </w:p>
    <w:p>
      <w:pPr>
        <w:spacing w:line="480" w:lineRule="auto"/>
        <w:rPr>
          <w:rFonts w:ascii="Courier New" w:hAnsi="Courier New" w:cs="Courier New"/>
        </w:rPr>
      </w:pPr>
      <w:r>
        <w:rPr>
          <w:rFonts w:ascii="Courier New" w:hAnsi="Courier New" w:cs="Courier New"/>
          <w:u w:val="single"/>
        </w:rPr>
        <w:t>Estimated Available Funds</w:t>
      </w:r>
      <w:r>
        <w:rPr>
          <w:rFonts w:ascii="Courier New" w:hAnsi="Courier New" w:cs="Courier New"/>
        </w:rPr>
        <w:t>:  $495,000.</w:t>
      </w:r>
    </w:p>
    <w:p>
      <w:pPr>
        <w:spacing w:line="480" w:lineRule="auto"/>
        <w:rPr>
          <w:rFonts w:ascii="Courier New" w:hAnsi="Courier New" w:cs="Courier New"/>
        </w:rPr>
      </w:pPr>
      <w:r>
        <w:rPr>
          <w:rFonts w:ascii="Courier New" w:hAnsi="Courier New" w:cs="Courier New"/>
          <w:u w:val="single"/>
        </w:rPr>
        <w:t>Estimated Range of Award</w:t>
      </w:r>
      <w:r>
        <w:rPr>
          <w:rFonts w:ascii="Courier New" w:hAnsi="Courier New" w:cs="Courier New"/>
        </w:rPr>
        <w:t xml:space="preserve">:  $450,000-$495,000. </w:t>
      </w:r>
    </w:p>
    <w:p>
      <w:pPr>
        <w:spacing w:line="480" w:lineRule="auto"/>
        <w:rPr>
          <w:rFonts w:ascii="Courier New" w:hAnsi="Courier New" w:cs="Courier New"/>
        </w:rPr>
      </w:pPr>
      <w:r>
        <w:rPr>
          <w:rFonts w:ascii="Courier New" w:hAnsi="Courier New" w:cs="Courier New"/>
          <w:u w:val="single"/>
        </w:rPr>
        <w:t>Estimated Average Size of Award</w:t>
      </w:r>
      <w:r>
        <w:rPr>
          <w:rFonts w:ascii="Courier New" w:hAnsi="Courier New" w:cs="Courier New"/>
        </w:rPr>
        <w:t>:  $495,000 for the entire grant period.</w:t>
      </w:r>
    </w:p>
    <w:p>
      <w:pPr>
        <w:spacing w:line="480" w:lineRule="auto"/>
        <w:rPr>
          <w:rFonts w:ascii="Courier New" w:hAnsi="Courier New" w:cs="Courier New"/>
        </w:rPr>
      </w:pPr>
      <w:r>
        <w:rPr>
          <w:rFonts w:ascii="Courier New" w:hAnsi="Courier New" w:cs="Courier New"/>
          <w:u w:val="single"/>
        </w:rPr>
        <w:t>Maximum Award</w:t>
      </w:r>
      <w:r>
        <w:rPr>
          <w:rFonts w:ascii="Courier New" w:hAnsi="Courier New" w:cs="Courier New"/>
        </w:rPr>
        <w:t xml:space="preserve">:  We will reject any application that proposes a budget exceeding $495,000 for the entire grant period.  The Assistant Secretary for Postsecondary Education may change the maximum amount through a notice published in the </w:t>
      </w:r>
      <w:r>
        <w:rPr>
          <w:rFonts w:ascii="Courier New" w:hAnsi="Courier New" w:cs="Courier New"/>
          <w:u w:val="single"/>
        </w:rPr>
        <w:t>Federal Register</w:t>
      </w:r>
      <w:r>
        <w:rPr>
          <w:rFonts w:ascii="Courier New" w:hAnsi="Courier New" w:cs="Courier New"/>
        </w:rPr>
        <w:t>.</w:t>
      </w:r>
    </w:p>
    <w:p>
      <w:pPr>
        <w:spacing w:line="480" w:lineRule="auto"/>
        <w:rPr>
          <w:rFonts w:ascii="Courier New" w:hAnsi="Courier New" w:cs="Courier New"/>
        </w:rPr>
      </w:pPr>
      <w:r>
        <w:rPr>
          <w:rFonts w:ascii="Courier New" w:hAnsi="Courier New" w:cs="Courier New"/>
          <w:u w:val="single"/>
        </w:rPr>
        <w:t>Estimated Number of Award</w:t>
      </w:r>
      <w:r>
        <w:rPr>
          <w:rFonts w:ascii="Courier New" w:hAnsi="Courier New" w:cs="Courier New"/>
        </w:rPr>
        <w:t xml:space="preserve">:  1.  </w:t>
      </w:r>
    </w:p>
    <w:p>
      <w:pPr>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The Department is not bound by any estimates in this notice.</w:t>
      </w:r>
    </w:p>
    <w:p>
      <w:pPr>
        <w:spacing w:line="480" w:lineRule="auto"/>
        <w:rPr>
          <w:rFonts w:ascii="Courier New" w:hAnsi="Courier New" w:cs="Courier New"/>
        </w:rPr>
      </w:pPr>
      <w:r>
        <w:rPr>
          <w:rFonts w:ascii="Courier New" w:hAnsi="Courier New" w:cs="Courier New"/>
          <w:u w:val="single"/>
        </w:rPr>
        <w:t>Project Period</w:t>
      </w:r>
      <w:r>
        <w:rPr>
          <w:rFonts w:ascii="Courier New" w:hAnsi="Courier New" w:cs="Courier New"/>
        </w:rPr>
        <w:t xml:space="preserve">:  Up to 48 months. </w:t>
      </w:r>
    </w:p>
    <w:p>
      <w:pPr>
        <w:keepNext/>
        <w:spacing w:line="480" w:lineRule="auto"/>
        <w:outlineLvl w:val="1"/>
        <w:rPr>
          <w:rFonts w:ascii="Courier New" w:hAnsi="Courier New" w:cs="Courier New"/>
        </w:rPr>
      </w:pPr>
      <w:r>
        <w:rPr>
          <w:rFonts w:ascii="Courier New" w:hAnsi="Courier New" w:cs="Courier New"/>
          <w:bCs/>
        </w:rPr>
        <w:t xml:space="preserve">III.  Eligibility Information </w:t>
      </w:r>
    </w:p>
    <w:p>
      <w:pPr>
        <w:spacing w:line="480" w:lineRule="auto"/>
        <w:ind w:firstLine="720"/>
        <w:rPr>
          <w:rFonts w:ascii="Courier New" w:hAnsi="Courier New" w:cs="Courier New"/>
          <w:bCs/>
        </w:rPr>
      </w:pPr>
      <w:r>
        <w:rPr>
          <w:rFonts w:ascii="Courier New" w:hAnsi="Courier New" w:cs="Courier New"/>
          <w:bCs/>
        </w:rPr>
        <w:t xml:space="preserve">1.  </w:t>
      </w:r>
      <w:r>
        <w:rPr>
          <w:rFonts w:ascii="Courier New" w:hAnsi="Courier New" w:cs="Courier New"/>
          <w:bCs/>
          <w:u w:val="single"/>
        </w:rPr>
        <w:t>Eligible Applicants</w:t>
      </w:r>
      <w:r>
        <w:rPr>
          <w:rFonts w:ascii="Courier New" w:hAnsi="Courier New" w:cs="Courier New"/>
          <w:bCs/>
        </w:rPr>
        <w:t xml:space="preserve">:  Four-year public or private institutions of higher education (IHE) that has demonstrated expertise in the development of programs to assist single </w:t>
      </w:r>
      <w:r>
        <w:rPr>
          <w:rFonts w:ascii="Courier New" w:hAnsi="Courier New" w:cs="Courier New"/>
          <w:bCs/>
        </w:rPr>
        <w:lastRenderedPageBreak/>
        <w:t xml:space="preserve">parents who are students at institutions of higher education, as shown by the institution’s development of a variety of targeted services to such students, including on-campus housing, child care, counseling, advising, internships, financial aid, and financial aid counseling and assistance.  </w:t>
      </w:r>
    </w:p>
    <w:p>
      <w:pPr>
        <w:tabs>
          <w:tab w:val="left" w:pos="630"/>
          <w:tab w:val="right" w:pos="720"/>
        </w:tabs>
        <w:spacing w:line="480" w:lineRule="auto"/>
        <w:ind w:firstLine="720"/>
        <w:rPr>
          <w:rFonts w:ascii="Courier New" w:hAnsi="Courier New" w:cs="Courier New"/>
        </w:rPr>
      </w:pPr>
      <w:r>
        <w:rPr>
          <w:rFonts w:ascii="Courier New" w:hAnsi="Courier New" w:cs="Courier New"/>
        </w:rPr>
        <w:t xml:space="preserve">2.  (a)  </w:t>
      </w:r>
      <w:r>
        <w:rPr>
          <w:rFonts w:ascii="Courier New" w:hAnsi="Courier New" w:cs="Courier New"/>
          <w:u w:val="single"/>
        </w:rPr>
        <w:t>Cost Sharing or Matching</w:t>
      </w:r>
      <w:r>
        <w:rPr>
          <w:rFonts w:ascii="Courier New" w:hAnsi="Courier New" w:cs="Courier New"/>
        </w:rPr>
        <w:t xml:space="preserve">:  This program does not require cost sharing or matching.  </w:t>
      </w:r>
    </w:p>
    <w:p>
      <w:pPr>
        <w:tabs>
          <w:tab w:val="right" w:pos="540"/>
          <w:tab w:val="left" w:pos="630"/>
        </w:tabs>
        <w:overflowPunct w:val="0"/>
        <w:autoSpaceDE w:val="0"/>
        <w:autoSpaceDN w:val="0"/>
        <w:adjustRightInd w:val="0"/>
        <w:spacing w:line="480" w:lineRule="auto"/>
        <w:ind w:hanging="720"/>
        <w:rPr>
          <w:rFonts w:ascii="Courier New" w:hAnsi="Courier New" w:cs="Courier New"/>
        </w:rPr>
      </w:pPr>
      <w:r>
        <w:rPr>
          <w:rFonts w:ascii="Courier New" w:hAnsi="Courier New" w:cs="Courier New"/>
        </w:rPr>
        <w:tab/>
        <w:t>IV.  Application and Submission Information</w:t>
      </w:r>
    </w:p>
    <w:p>
      <w:pPr>
        <w:spacing w:line="480" w:lineRule="auto"/>
        <w:ind w:firstLine="720"/>
        <w:rPr>
          <w:rFonts w:ascii="Courier New" w:hAnsi="Courier New" w:cs="Courier New"/>
        </w:rPr>
      </w:pPr>
      <w:r>
        <w:rPr>
          <w:rFonts w:ascii="Courier New" w:hAnsi="Courier New" w:cs="Courier New"/>
        </w:rPr>
        <w:t xml:space="preserve">1.  </w:t>
      </w:r>
      <w:r>
        <w:rPr>
          <w:rFonts w:ascii="Courier New" w:hAnsi="Courier New" w:cs="Courier New"/>
          <w:u w:val="single"/>
        </w:rPr>
        <w:t>Address to Request Application Package</w:t>
      </w:r>
      <w:r>
        <w:rPr>
          <w:rFonts w:ascii="Courier New" w:hAnsi="Courier New" w:cs="Courier New"/>
        </w:rPr>
        <w:t xml:space="preserve">:  You can obtain an application package via the Internet or from the Education Publications Center (ED Pubs).  </w:t>
      </w:r>
    </w:p>
    <w:p>
      <w:pPr>
        <w:spacing w:line="480" w:lineRule="auto"/>
        <w:ind w:firstLine="720"/>
        <w:rPr>
          <w:rFonts w:ascii="Courier New" w:hAnsi="Courier New" w:cs="Courier New"/>
        </w:rPr>
      </w:pPr>
      <w:r>
        <w:rPr>
          <w:rFonts w:ascii="Courier New" w:hAnsi="Courier New" w:cs="Courier New"/>
        </w:rPr>
        <w:t xml:space="preserve">To obtain a copy via the Internet, use the following address:  www.ed.gov/fund/grant/apply/grantapps/index.html.  </w:t>
      </w:r>
    </w:p>
    <w:p>
      <w:pPr>
        <w:spacing w:line="480" w:lineRule="auto"/>
        <w:ind w:firstLine="720"/>
        <w:rPr>
          <w:rFonts w:ascii="Courier New" w:hAnsi="Courier New" w:cs="Courier New"/>
        </w:rPr>
      </w:pPr>
      <w:r>
        <w:rPr>
          <w:rFonts w:ascii="Courier New" w:hAnsi="Courier New" w:cs="Courier New"/>
        </w:rPr>
        <w:t>To obtain a copy from ED Pubs, write, fax, or call the following:  ED Pubs, U.S. Department of Education, P.O. Box 22207, Alexandria, VA 22304.  Telephone, toll free:  1-877-433-7827.  FAX:  (703) 605-6794.  If you use a telecommunications device for the deaf (TDD) or a text telephone (TTY), call, toll free:  1-877-576-7734.</w:t>
      </w:r>
    </w:p>
    <w:p>
      <w:pPr>
        <w:spacing w:line="480" w:lineRule="auto"/>
        <w:ind w:firstLine="720"/>
        <w:rPr>
          <w:rFonts w:ascii="Courier New" w:hAnsi="Courier New" w:cs="Courier New"/>
        </w:rPr>
      </w:pPr>
      <w:r>
        <w:rPr>
          <w:rFonts w:ascii="Courier New" w:hAnsi="Courier New" w:cs="Courier New"/>
        </w:rPr>
        <w:t xml:space="preserve">You can contact ED Pubs at its Web site, also:  </w:t>
      </w:r>
      <w:hyperlink r:id="rId31" w:history="1">
        <w:r>
          <w:rPr>
            <w:rStyle w:val="Hyperlink"/>
            <w:rFonts w:ascii="Courier New" w:hAnsi="Courier New" w:cs="Courier New"/>
          </w:rPr>
          <w:t>www.EDPubs.gov</w:t>
        </w:r>
      </w:hyperlink>
      <w:r>
        <w:rPr>
          <w:rFonts w:ascii="Courier New" w:hAnsi="Courier New" w:cs="Courier New"/>
        </w:rPr>
        <w:t xml:space="preserve"> or at its e-mail address:  </w:t>
      </w:r>
      <w:hyperlink r:id="rId32" w:history="1">
        <w:r>
          <w:rPr>
            <w:rStyle w:val="Hyperlink"/>
            <w:rFonts w:ascii="Courier New" w:hAnsi="Courier New" w:cs="Courier New"/>
          </w:rPr>
          <w:t>edpubs@inet.ed.gov</w:t>
        </w:r>
      </w:hyperlink>
      <w:r>
        <w:rPr>
          <w:rFonts w:ascii="Courier New" w:hAnsi="Courier New" w:cs="Courier New"/>
        </w:rPr>
        <w:t>.</w:t>
      </w:r>
    </w:p>
    <w:p>
      <w:pPr>
        <w:spacing w:line="480" w:lineRule="auto"/>
        <w:ind w:firstLine="720"/>
        <w:rPr>
          <w:rFonts w:ascii="Courier New" w:hAnsi="Courier New" w:cs="Courier New"/>
        </w:rPr>
      </w:pPr>
      <w:r>
        <w:rPr>
          <w:rFonts w:ascii="Courier New" w:hAnsi="Courier New" w:cs="Courier New"/>
        </w:rPr>
        <w:t>If you request an application from ED Pubs, be sure to identify this program or competition as follows:  CFDA number 84.116L.</w:t>
      </w:r>
    </w:p>
    <w:p>
      <w:pPr>
        <w:tabs>
          <w:tab w:val="left" w:pos="5390"/>
        </w:tabs>
        <w:spacing w:line="480" w:lineRule="auto"/>
        <w:ind w:firstLine="720"/>
        <w:rPr>
          <w:rFonts w:ascii="Courier New" w:hAnsi="Courier New" w:cs="Courier New"/>
        </w:rPr>
      </w:pPr>
      <w:r>
        <w:rPr>
          <w:rFonts w:ascii="Courier New" w:hAnsi="Courier New" w:cs="Courier New"/>
        </w:rPr>
        <w:lastRenderedPageBreak/>
        <w:t xml:space="preserve">Individuals with disabilities can obtain a copy of the application package in an accessible format (e.g., braille, large print, audiotape, or compact disc) by contacting the program contact person listed in this section.    </w:t>
      </w:r>
    </w:p>
    <w:p>
      <w:pPr>
        <w:spacing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Content and Form of Application Submission</w:t>
      </w:r>
      <w:r>
        <w:rPr>
          <w:rFonts w:ascii="Courier New" w:hAnsi="Courier New" w:cs="Courier New"/>
        </w:rPr>
        <w:t>:  Requirements concerning the content of an application, together with the forms you must submit, are in the application package for this program.</w:t>
      </w:r>
    </w:p>
    <w:p>
      <w:pPr>
        <w:tabs>
          <w:tab w:val="left" w:pos="720"/>
        </w:tabs>
        <w:spacing w:line="480" w:lineRule="auto"/>
        <w:rPr>
          <w:rFonts w:ascii="Courier New" w:hAnsi="Courier New" w:cs="Courier New"/>
        </w:rPr>
      </w:pPr>
      <w:r>
        <w:rPr>
          <w:rFonts w:ascii="Courier New" w:hAnsi="Courier New" w:cs="Courier New"/>
        </w:rPr>
        <w:t xml:space="preserve">Page Limit:  The application narrative (Part III of the application) is where you, the applicant, address the selection criteria that reviewers use to evaluate your application.  You must limit the application narrative to no more than 20 pages, using the following standards:  </w:t>
      </w:r>
    </w:p>
    <w:p>
      <w:pPr>
        <w:tabs>
          <w:tab w:val="left" w:pos="900"/>
        </w:tabs>
        <w:spacing w:line="480" w:lineRule="auto"/>
        <w:rPr>
          <w:rFonts w:ascii="Courier New" w:hAnsi="Courier New" w:cs="Courier New"/>
        </w:rPr>
      </w:pPr>
      <w:r>
        <w:rPr>
          <w:rFonts w:ascii="Courier New" w:hAnsi="Courier New" w:cs="Courier New"/>
        </w:rPr>
        <w:t xml:space="preserve">     ●  A “page” is 8.5” x 11”, on one side only, with 1” margins at the top, bottom, and both sides. </w:t>
      </w:r>
    </w:p>
    <w:p>
      <w:pPr>
        <w:tabs>
          <w:tab w:val="left" w:pos="900"/>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For purposes of determining compliance with the page limit, each page on which there are words will be counted as one full page.  </w:t>
      </w:r>
    </w:p>
    <w:p>
      <w:pPr>
        <w:spacing w:line="480" w:lineRule="auto"/>
        <w:rPr>
          <w:rFonts w:ascii="Courier New" w:hAnsi="Courier New" w:cs="Courier New"/>
        </w:rPr>
      </w:pPr>
      <w:r>
        <w:rPr>
          <w:rFonts w:ascii="Courier New" w:hAnsi="Courier New" w:cs="Courier New"/>
        </w:rPr>
        <w:t xml:space="preserve">     ●  Double space (no more than three lines per vertical inch) all text in the application narrative, </w:t>
      </w:r>
      <w:r>
        <w:rPr>
          <w:rFonts w:ascii="Courier New" w:hAnsi="Courier New" w:cs="Courier New"/>
          <w:u w:val="single"/>
        </w:rPr>
        <w:t>except</w:t>
      </w:r>
      <w:r>
        <w:rPr>
          <w:rFonts w:ascii="Courier New" w:hAnsi="Courier New" w:cs="Courier New"/>
        </w:rPr>
        <w:t xml:space="preserve"> titles, headings, footnotes, endnotes, quotations, references, and captions.   Charts, tables, figures, and graphs in the application narrative may be single spaced.</w:t>
      </w:r>
    </w:p>
    <w:p>
      <w:pPr>
        <w:spacing w:line="480" w:lineRule="auto"/>
        <w:rPr>
          <w:rFonts w:ascii="Courier New" w:hAnsi="Courier New" w:cs="Courier New"/>
        </w:rPr>
      </w:pPr>
      <w:r>
        <w:rPr>
          <w:rFonts w:ascii="Courier New" w:hAnsi="Courier New" w:cs="Courier New"/>
        </w:rPr>
        <w:lastRenderedPageBreak/>
        <w:t xml:space="preserve">     ●  Use a font that is either 12 point or larger; or, no smaller than 10 pitch (characters per inch).  However, you may use a 10 point font in charts, tables, figures, graphs, footnotes, and endnotes.</w:t>
      </w:r>
    </w:p>
    <w:p>
      <w:pPr>
        <w:spacing w:line="480" w:lineRule="auto"/>
        <w:rPr>
          <w:rFonts w:ascii="Courier New" w:hAnsi="Courier New" w:cs="Courier New"/>
        </w:rPr>
      </w:pPr>
      <w:r>
        <w:rPr>
          <w:rFonts w:ascii="Courier New" w:hAnsi="Courier New" w:cs="Courier New"/>
        </w:rPr>
        <w:t xml:space="preserve">     ●  Use one of the following fonts:  Times New Roman, Courier, Courier New, or Arial.  An application submitted in any other font (including Times Roman or Arial Narrow) will not be accepted.</w:t>
      </w:r>
    </w:p>
    <w:p>
      <w:pPr>
        <w:spacing w:line="480" w:lineRule="auto"/>
        <w:rPr>
          <w:rFonts w:ascii="Courier New" w:hAnsi="Courier New" w:cs="Courier New"/>
        </w:rPr>
      </w:pPr>
      <w:r>
        <w:rPr>
          <w:rFonts w:ascii="Courier New" w:hAnsi="Courier New" w:cs="Courier New"/>
        </w:rPr>
        <w:tab/>
        <w:t>The page limit does not apply to Part I, the Application for Federal Assistance (SF 424) and the Department of Education Supplemental Information for the SF 424 Form; the one-page Abstract; Budget Information--Non-Construction Programs (ED 524); or Part IV, the Assurances and Certifications.  The page limit also does not apply to a Table of Contents, if you include one.  However, the page limit does apply to all of the project narrative section in Part III.</w:t>
      </w:r>
    </w:p>
    <w:p>
      <w:pPr>
        <w:spacing w:line="480" w:lineRule="auto"/>
        <w:ind w:firstLine="720"/>
        <w:rPr>
          <w:rFonts w:ascii="Courier New" w:hAnsi="Courier New" w:cs="Courier New"/>
        </w:rPr>
      </w:pPr>
      <w:r>
        <w:rPr>
          <w:rFonts w:ascii="Courier New" w:hAnsi="Courier New" w:cs="Courier New"/>
        </w:rPr>
        <w:t xml:space="preserve">If you include any attachments or appendices not specifically requested, these items will be counted as part of the program narrative [Part III] for purposes of the page limit requirement.  </w:t>
      </w:r>
    </w:p>
    <w:p>
      <w:pPr>
        <w:spacing w:line="480" w:lineRule="auto"/>
        <w:ind w:firstLine="720"/>
        <w:rPr>
          <w:rFonts w:ascii="Courier New" w:hAnsi="Courier New" w:cs="Courier New"/>
        </w:rPr>
      </w:pPr>
      <w:r>
        <w:rPr>
          <w:rFonts w:ascii="Courier New" w:hAnsi="Courier New" w:cs="Courier New"/>
        </w:rPr>
        <w:t>We will reject your application if you exceed the page limit.</w:t>
      </w:r>
    </w:p>
    <w:p>
      <w:pPr>
        <w:tabs>
          <w:tab w:val="left" w:pos="900"/>
        </w:tabs>
        <w:spacing w:line="480" w:lineRule="auto"/>
        <w:rPr>
          <w:rFonts w:ascii="Courier New" w:hAnsi="Courier New" w:cs="Courier New"/>
        </w:rPr>
      </w:pPr>
      <w:r>
        <w:rPr>
          <w:rFonts w:ascii="Courier New" w:hAnsi="Courier New" w:cs="Courier New"/>
        </w:rPr>
        <w:t xml:space="preserve">     3.  </w:t>
      </w:r>
      <w:r>
        <w:rPr>
          <w:rFonts w:ascii="Courier New" w:hAnsi="Courier New" w:cs="Courier New"/>
          <w:u w:val="single"/>
        </w:rPr>
        <w:t>Submission Dates and Times</w:t>
      </w:r>
      <w:r>
        <w:rPr>
          <w:rFonts w:ascii="Courier New" w:hAnsi="Courier New" w:cs="Courier New"/>
        </w:rPr>
        <w:t>:</w:t>
      </w:r>
    </w:p>
    <w:p>
      <w:pPr>
        <w:spacing w:line="480" w:lineRule="auto"/>
        <w:rPr>
          <w:rFonts w:ascii="Courier New" w:hAnsi="Courier New" w:cs="Courier New"/>
        </w:rPr>
      </w:pPr>
      <w:r>
        <w:rPr>
          <w:rFonts w:ascii="Courier New" w:hAnsi="Courier New" w:cs="Courier New"/>
        </w:rPr>
        <w:lastRenderedPageBreak/>
        <w:t>Applications Available:  [INSERT DATE OF PUBLICATION IN THE FEDERAL REGISTER].</w:t>
      </w:r>
    </w:p>
    <w:p>
      <w:pPr>
        <w:spacing w:line="480" w:lineRule="auto"/>
        <w:rPr>
          <w:rFonts w:ascii="Courier New" w:hAnsi="Courier New" w:cs="Courier New"/>
        </w:rPr>
      </w:pPr>
      <w:r>
        <w:rPr>
          <w:rFonts w:ascii="Courier New" w:hAnsi="Courier New" w:cs="Courier New"/>
        </w:rPr>
        <w:t>Deadline for Transmittal of Applications:  [INSERT DATE 30 DAYS AFTER DATE OF PUBLICATION IN THE FEDERAL REGISTER].</w:t>
      </w:r>
    </w:p>
    <w:p>
      <w:pPr>
        <w:spacing w:line="480" w:lineRule="auto"/>
        <w:ind w:firstLine="720"/>
        <w:rPr>
          <w:rFonts w:ascii="Courier New" w:hAnsi="Courier New" w:cs="Courier New"/>
        </w:rPr>
      </w:pPr>
      <w:r>
        <w:rPr>
          <w:rFonts w:ascii="Courier New" w:hAnsi="Courier New" w:cs="Courier New"/>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Pr>
          <w:rFonts w:ascii="Courier New" w:hAnsi="Courier New" w:cs="Courier New"/>
          <w:u w:val="single"/>
        </w:rPr>
        <w:t>Other Submission Requirements</w:t>
      </w:r>
      <w:r>
        <w:rPr>
          <w:rFonts w:ascii="Courier New" w:hAnsi="Courier New" w:cs="Courier New"/>
        </w:rPr>
        <w:t xml:space="preserve"> of this notice.</w:t>
      </w:r>
    </w:p>
    <w:p>
      <w:pPr>
        <w:spacing w:line="480" w:lineRule="auto"/>
        <w:rPr>
          <w:rFonts w:ascii="Courier New" w:hAnsi="Courier New" w:cs="Courier New"/>
        </w:rPr>
      </w:pPr>
      <w:r>
        <w:rPr>
          <w:rFonts w:ascii="Courier New" w:hAnsi="Courier New" w:cs="Courier New"/>
        </w:rPr>
        <w:tab/>
        <w:t xml:space="preserve">We do not consider an application that does not comply with the deadline requirements.  </w:t>
      </w:r>
    </w:p>
    <w:p>
      <w:pPr>
        <w:spacing w:line="480" w:lineRule="auto"/>
        <w:rPr>
          <w:rFonts w:ascii="Courier New" w:hAnsi="Courier New" w:cs="Courier New"/>
        </w:rPr>
      </w:pPr>
      <w:r>
        <w:rPr>
          <w:rFonts w:ascii="Courier New" w:hAnsi="Courier New" w:cs="Courier New"/>
        </w:rPr>
        <w:tab/>
        <w:t xml:space="preserve">Individuals with disabilities who need an accommodation or auxiliary aid in connection with the application process should contact the person listed under </w:t>
      </w:r>
      <w:r>
        <w:rPr>
          <w:rFonts w:ascii="Courier New" w:hAnsi="Courier New" w:cs="Courier New"/>
          <w:u w:val="single"/>
        </w:rPr>
        <w:t>For Further Information Contact</w:t>
      </w:r>
      <w:r>
        <w:rPr>
          <w:rFonts w:ascii="Courier New" w:hAnsi="Courier New"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pPr>
        <w:spacing w:line="480" w:lineRule="auto"/>
        <w:rPr>
          <w:rFonts w:ascii="Courier New" w:hAnsi="Courier New" w:cs="Courier New"/>
        </w:rPr>
      </w:pPr>
      <w:r>
        <w:rPr>
          <w:rFonts w:ascii="Courier New" w:hAnsi="Courier New" w:cs="Courier New"/>
        </w:rPr>
        <w:t>Deadline for Intergovernmental Review:  [INSERT DATE 105 DAYS AFTER DATE OF PUBLICATION IN THE FEDERAL REGISTER].</w:t>
      </w:r>
    </w:p>
    <w:p>
      <w:pPr>
        <w:spacing w:line="480" w:lineRule="auto"/>
        <w:ind w:firstLine="720"/>
        <w:rPr>
          <w:rFonts w:ascii="Courier New" w:hAnsi="Courier New" w:cs="Courier New"/>
        </w:rPr>
      </w:pPr>
      <w:r>
        <w:rPr>
          <w:rFonts w:ascii="Courier New" w:hAnsi="Courier New" w:cs="Courier New"/>
        </w:rPr>
        <w:lastRenderedPageBreak/>
        <w:t xml:space="preserve">4.  </w:t>
      </w:r>
      <w:r>
        <w:rPr>
          <w:rFonts w:ascii="Courier New" w:hAnsi="Courier New" w:cs="Courier New"/>
          <w:u w:val="single"/>
        </w:rPr>
        <w:t>Intergovernmental Review</w:t>
      </w:r>
      <w:r>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competition.</w:t>
      </w:r>
    </w:p>
    <w:p>
      <w:pPr>
        <w:spacing w:line="480" w:lineRule="auto"/>
        <w:rPr>
          <w:rFonts w:ascii="Courier New" w:hAnsi="Courier New" w:cs="Courier New"/>
        </w:rPr>
      </w:pPr>
      <w:r>
        <w:rPr>
          <w:rFonts w:ascii="Courier New" w:hAnsi="Courier New" w:cs="Courier New"/>
        </w:rPr>
        <w:t xml:space="preserve">     5.  </w:t>
      </w:r>
      <w:r>
        <w:rPr>
          <w:rFonts w:ascii="Courier New" w:hAnsi="Courier New" w:cs="Courier New"/>
          <w:u w:val="single"/>
        </w:rPr>
        <w:t>Data Universal Numbering System Number, Taxpayer Identification Number, and System for Award Management</w:t>
      </w:r>
      <w:r>
        <w:rPr>
          <w:rFonts w:ascii="Courier New" w:hAnsi="Courier New" w:cs="Courier New"/>
        </w:rPr>
        <w:t xml:space="preserve">:  To do business with the Department of Education, you must--     </w:t>
      </w:r>
    </w:p>
    <w:p>
      <w:pPr>
        <w:spacing w:line="480" w:lineRule="auto"/>
        <w:ind w:firstLine="720"/>
        <w:rPr>
          <w:rFonts w:ascii="Courier New" w:hAnsi="Courier New" w:cs="Courier New"/>
        </w:rPr>
      </w:pPr>
      <w:r>
        <w:rPr>
          <w:rFonts w:ascii="Courier New" w:hAnsi="Courier New" w:cs="Courier New"/>
        </w:rPr>
        <w:t>a.  Have a Data Universal Numbering System (DUNS) number and a Taxpayer Identification Number (TIN);</w:t>
      </w:r>
    </w:p>
    <w:p>
      <w:pPr>
        <w:spacing w:line="480" w:lineRule="auto"/>
        <w:ind w:firstLine="720"/>
        <w:rPr>
          <w:rFonts w:ascii="Courier New" w:hAnsi="Courier New" w:cs="Courier New"/>
        </w:rPr>
      </w:pPr>
      <w:r>
        <w:rPr>
          <w:rFonts w:ascii="Courier New" w:hAnsi="Courier New" w:cs="Courier New"/>
        </w:rPr>
        <w:t xml:space="preserve">b.  Register both your DUNS number and TIN with the System for Award Management (SAM) (formerly the Central Contractor Registry (CCR)), the Government’s primary registrant database; </w:t>
      </w:r>
    </w:p>
    <w:p>
      <w:pPr>
        <w:spacing w:line="480" w:lineRule="auto"/>
        <w:ind w:firstLine="720"/>
        <w:rPr>
          <w:rFonts w:ascii="Courier New" w:hAnsi="Courier New" w:cs="Courier New"/>
        </w:rPr>
      </w:pPr>
      <w:r>
        <w:rPr>
          <w:rFonts w:ascii="Courier New" w:hAnsi="Courier New" w:cs="Courier New"/>
        </w:rPr>
        <w:t>c.  Provide your DUNS number and TIN on your application; and</w:t>
      </w:r>
    </w:p>
    <w:p>
      <w:pPr>
        <w:spacing w:line="480" w:lineRule="auto"/>
        <w:ind w:firstLine="720"/>
        <w:rPr>
          <w:rFonts w:ascii="Courier New" w:hAnsi="Courier New" w:cs="Courier New"/>
        </w:rPr>
      </w:pPr>
      <w:r>
        <w:rPr>
          <w:rFonts w:ascii="Courier New" w:hAnsi="Courier New" w:cs="Courier New"/>
        </w:rPr>
        <w:t>d.  Maintain an active SAM registration with current information while your application is under review by the Department and, if you are awarded a grant, during the project period.</w:t>
      </w:r>
    </w:p>
    <w:p>
      <w:pPr>
        <w:spacing w:line="480" w:lineRule="auto"/>
        <w:ind w:firstLine="720"/>
        <w:rPr>
          <w:rFonts w:ascii="Courier New" w:hAnsi="Courier New" w:cs="Courier New"/>
        </w:rPr>
      </w:pPr>
      <w:r>
        <w:rPr>
          <w:rFonts w:ascii="Courier New" w:hAnsi="Courier New" w:cs="Courier New"/>
        </w:rPr>
        <w:t>You can obtain a DUNS number from Dun and Bradstreet.  A DUNS number can be created within one to two business days.</w:t>
      </w:r>
    </w:p>
    <w:p>
      <w:pPr>
        <w:spacing w:line="480" w:lineRule="auto"/>
        <w:ind w:firstLine="720"/>
        <w:rPr>
          <w:rFonts w:ascii="Courier New" w:hAnsi="Courier New" w:cs="Courier New"/>
        </w:rPr>
      </w:pPr>
      <w:r>
        <w:rPr>
          <w:rFonts w:ascii="Courier New" w:hAnsi="Courier New" w:cs="Courier New"/>
        </w:rPr>
        <w:t xml:space="preserve">If you are a corporate entity, agency, institution, or organization, you can obtain a TIN from the Internal Revenue Service.  If you are an individual, you can obtain a TIN from </w:t>
      </w:r>
      <w:r>
        <w:rPr>
          <w:rFonts w:ascii="Courier New" w:hAnsi="Courier New" w:cs="Courier New"/>
        </w:rPr>
        <w:lastRenderedPageBreak/>
        <w:t>the Internal Revenue Service or the Social Security Administration.  If you need a new TIN, please allow 2-5 weeks for your TIN to become active.</w:t>
      </w:r>
    </w:p>
    <w:p>
      <w:pPr>
        <w:spacing w:line="480" w:lineRule="auto"/>
        <w:ind w:firstLine="720"/>
        <w:rPr>
          <w:rFonts w:ascii="Courier New" w:hAnsi="Courier New" w:cs="Courier New"/>
        </w:rPr>
      </w:pPr>
      <w:r>
        <w:rPr>
          <w:rFonts w:ascii="Courier New" w:hAnsi="Courier New" w:cs="Courier New"/>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pPr>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Once your SAM registration is active, you will need to allow 24 to 48 hours for the information to be available in Grants.gov and before you can submit an application through Grants.gov.</w:t>
      </w:r>
    </w:p>
    <w:p>
      <w:pPr>
        <w:spacing w:line="480" w:lineRule="auto"/>
        <w:ind w:firstLine="720"/>
        <w:rPr>
          <w:rFonts w:ascii="Courier New" w:hAnsi="Courier New" w:cs="Courier New"/>
        </w:rPr>
      </w:pPr>
      <w:r>
        <w:rPr>
          <w:rFonts w:ascii="Courier New" w:hAnsi="Courier New" w:cs="Courier New"/>
        </w:rPr>
        <w:t>If you are currently registered with the SAM, you may not need to make any changes.  However, please make certain that the TIN associated with your DUNS number is correct.  Also note that you will need to update your registration annually.  This may take three or more business days.</w:t>
      </w:r>
    </w:p>
    <w:p>
      <w:pPr>
        <w:spacing w:line="480" w:lineRule="auto"/>
        <w:ind w:firstLine="720"/>
        <w:rPr>
          <w:rFonts w:ascii="Courier New" w:hAnsi="Courier New" w:cs="Courier New"/>
        </w:rPr>
      </w:pPr>
      <w:r>
        <w:rPr>
          <w:rFonts w:ascii="Courier New" w:hAnsi="Courier New" w:cs="Courier New"/>
        </w:rPr>
        <w:t xml:space="preserve">Information about SAM is available at </w:t>
      </w:r>
      <w:hyperlink r:id="rId33" w:history="1">
        <w:r>
          <w:rPr>
            <w:rStyle w:val="Hyperlink"/>
            <w:rFonts w:ascii="Courier New" w:hAnsi="Courier New" w:cs="Courier New"/>
          </w:rPr>
          <w:t>www.SAM.gov</w:t>
        </w:r>
      </w:hyperlink>
      <w:r>
        <w:rPr>
          <w:rFonts w:ascii="Courier New" w:hAnsi="Courier New" w:cs="Courier New"/>
        </w:rPr>
        <w:t xml:space="preserve">.  To further assist you with obtaining and registering your DUNS number and TIN in SAM or updating your existing SAM account, we </w:t>
      </w:r>
      <w:r>
        <w:rPr>
          <w:rFonts w:ascii="Courier New" w:hAnsi="Courier New" w:cs="Courier New"/>
        </w:rPr>
        <w:lastRenderedPageBreak/>
        <w:t>have prepared a SAM.gov Tip Sheet, which you can find at:  www2.ed.gov/fund/grant/apply/sam-faqs.html.</w:t>
      </w:r>
    </w:p>
    <w:p>
      <w:pPr>
        <w:spacing w:line="480" w:lineRule="auto"/>
        <w:ind w:firstLine="720"/>
        <w:rPr>
          <w:rFonts w:ascii="Courier New" w:hAnsi="Courier New" w:cs="Courier New"/>
        </w:rPr>
      </w:pPr>
      <w:r>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pPr>
        <w:spacing w:line="480" w:lineRule="auto"/>
        <w:rPr>
          <w:rFonts w:ascii="Courier New" w:hAnsi="Courier New" w:cs="Courier New"/>
        </w:rPr>
      </w:pPr>
      <w:r>
        <w:rPr>
          <w:rFonts w:ascii="Courier New" w:hAnsi="Courier New" w:cs="Courier New"/>
        </w:rPr>
        <w:t xml:space="preserve">6.  </w:t>
      </w:r>
      <w:r>
        <w:rPr>
          <w:rFonts w:ascii="Courier New" w:hAnsi="Courier New" w:cs="Courier New"/>
          <w:u w:val="single"/>
        </w:rPr>
        <w:t>Other Submission Requirements</w:t>
      </w:r>
      <w:r>
        <w:rPr>
          <w:rFonts w:ascii="Courier New" w:hAnsi="Courier New" w:cs="Courier New"/>
        </w:rPr>
        <w:t>:  Applications for grants under this program must be submitted electronically unless you qualify for an exception to this requirement in accordance with the instructions in this section.</w:t>
      </w:r>
    </w:p>
    <w:p>
      <w:pPr>
        <w:spacing w:line="480" w:lineRule="auto"/>
        <w:rPr>
          <w:rFonts w:ascii="Courier New" w:hAnsi="Courier New" w:cs="Courier New"/>
        </w:rPr>
      </w:pPr>
      <w:r>
        <w:rPr>
          <w:rFonts w:ascii="Courier New" w:hAnsi="Courier New" w:cs="Courier New"/>
        </w:rPr>
        <w:t xml:space="preserve">     a.  </w:t>
      </w:r>
      <w:r>
        <w:rPr>
          <w:rFonts w:ascii="Courier New" w:hAnsi="Courier New" w:cs="Courier New"/>
          <w:u w:val="single"/>
        </w:rPr>
        <w:t>Electronic Submission of Applications</w:t>
      </w:r>
      <w:r>
        <w:rPr>
          <w:rFonts w:ascii="Courier New" w:hAnsi="Courier New" w:cs="Courier New"/>
        </w:rPr>
        <w:t>.</w:t>
      </w:r>
    </w:p>
    <w:p>
      <w:pPr>
        <w:spacing w:line="480" w:lineRule="auto"/>
        <w:ind w:firstLine="720"/>
        <w:rPr>
          <w:rFonts w:ascii="Courier New" w:hAnsi="Courier New" w:cs="Courier New"/>
        </w:rPr>
      </w:pPr>
      <w:r>
        <w:rPr>
          <w:rFonts w:ascii="Courier New" w:hAnsi="Courier New" w:cs="Courier New"/>
        </w:rPr>
        <w:t xml:space="preserve">Applications for grants under the Center for Best Practices to Support Single Parent Students, CFDA number 84.116L, must </w:t>
      </w:r>
      <w:r>
        <w:rPr>
          <w:rFonts w:ascii="Courier New" w:hAnsi="Courier New" w:cs="Courier New"/>
          <w:spacing w:val="-3"/>
        </w:rPr>
        <w:t>be su</w:t>
      </w:r>
      <w:r>
        <w:rPr>
          <w:rFonts w:ascii="Courier New" w:hAnsi="Courier New" w:cs="Courier New"/>
        </w:rPr>
        <w:t xml:space="preserve">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pPr>
        <w:spacing w:line="480" w:lineRule="auto"/>
        <w:ind w:firstLine="720"/>
        <w:rPr>
          <w:rFonts w:ascii="Courier New" w:hAnsi="Courier New" w:cs="Courier New"/>
        </w:rPr>
      </w:pPr>
      <w:r>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Pr>
          <w:rFonts w:ascii="Courier New" w:hAnsi="Courier New" w:cs="Courier New"/>
          <w:u w:val="single"/>
        </w:rPr>
        <w:t>and</w:t>
      </w:r>
      <w:r>
        <w:rPr>
          <w:rFonts w:ascii="Courier New" w:hAnsi="Courier New" w:cs="Courier New"/>
        </w:rPr>
        <w:t xml:space="preserve"> submit, no later than two weeks before the </w:t>
      </w:r>
      <w:r>
        <w:rPr>
          <w:rFonts w:ascii="Courier New" w:hAnsi="Courier New" w:cs="Courier New"/>
        </w:rPr>
        <w:lastRenderedPageBreak/>
        <w:t xml:space="preserve">application deadline date, a written statement to the Department that you qualify for one of these exceptions.  Further information regarding calculation of the date that is two weeks before the application deadline date is provided later in this section under </w:t>
      </w:r>
      <w:r>
        <w:rPr>
          <w:rFonts w:ascii="Courier New" w:hAnsi="Courier New" w:cs="Courier New"/>
          <w:u w:val="single"/>
        </w:rPr>
        <w:t>Exception to Electronic Submission Requirement</w:t>
      </w:r>
      <w:r>
        <w:rPr>
          <w:rFonts w:ascii="Courier New" w:hAnsi="Courier New" w:cs="Courier New"/>
        </w:rPr>
        <w:t>.</w:t>
      </w:r>
    </w:p>
    <w:p>
      <w:pPr>
        <w:spacing w:line="480" w:lineRule="auto"/>
        <w:ind w:firstLine="720"/>
        <w:rPr>
          <w:rFonts w:ascii="Courier New" w:hAnsi="Courier New" w:cs="Courier New"/>
        </w:rPr>
      </w:pPr>
      <w:r>
        <w:rPr>
          <w:rFonts w:ascii="Courier New" w:hAnsi="Courier New" w:cs="Courier New"/>
        </w:rPr>
        <w:t xml:space="preserve">You may access the electronic grant application for the Center for Best Practices to Support Single Parent Students at </w:t>
      </w:r>
      <w:hyperlink r:id="rId34" w:history="1">
        <w:r>
          <w:rPr>
            <w:rFonts w:ascii="Courier New" w:hAnsi="Courier New" w:cs="Courier New"/>
          </w:rPr>
          <w:t>www.Grants.gov</w:t>
        </w:r>
      </w:hyperlink>
      <w:r>
        <w:rPr>
          <w:rFonts w:ascii="Courier New" w:hAnsi="Courier New" w:cs="Courier New"/>
        </w:rPr>
        <w:t xml:space="preserve">.  You must search for the downloadable application package for this </w:t>
      </w:r>
      <w:r>
        <w:rPr>
          <w:rFonts w:ascii="Courier New" w:hAnsi="Courier New" w:cs="Courier New"/>
          <w:color w:val="000000"/>
        </w:rPr>
        <w:t xml:space="preserve">competition </w:t>
      </w:r>
      <w:r>
        <w:rPr>
          <w:rFonts w:ascii="Courier New" w:hAnsi="Courier New" w:cs="Courier New"/>
        </w:rPr>
        <w:t>by the CFDA number.  Do not include the CFDA number’s alpha suffix in your search (e.g., search for 84.116, not 84.116L).</w:t>
      </w:r>
    </w:p>
    <w:p>
      <w:pPr>
        <w:spacing w:line="480" w:lineRule="auto"/>
        <w:ind w:firstLine="720"/>
        <w:rPr>
          <w:rFonts w:ascii="Courier New" w:hAnsi="Courier New" w:cs="Courier New"/>
        </w:rPr>
      </w:pPr>
      <w:r>
        <w:rPr>
          <w:rFonts w:ascii="Courier New" w:hAnsi="Courier New" w:cs="Courier New"/>
        </w:rPr>
        <w:t>Please note the following:</w:t>
      </w:r>
    </w:p>
    <w:p>
      <w:pPr>
        <w:spacing w:line="480" w:lineRule="auto"/>
        <w:ind w:firstLine="720"/>
        <w:rPr>
          <w:rFonts w:ascii="Courier New" w:hAnsi="Courier New" w:cs="Courier New"/>
        </w:rPr>
      </w:pPr>
      <w:r>
        <w:rPr>
          <w:rFonts w:ascii="Courier New" w:hAnsi="Courier New" w:cs="Courier New"/>
        </w:rPr>
        <w:t>●  When you enter the Grants.gov site, you will find information about submitting an application electronically through the site, as well as the hours of operation.</w:t>
      </w:r>
    </w:p>
    <w:p>
      <w:pPr>
        <w:spacing w:line="480" w:lineRule="auto"/>
        <w:rPr>
          <w:rFonts w:ascii="Courier New" w:hAnsi="Courier New" w:cs="Courier New"/>
        </w:rPr>
      </w:pPr>
      <w:r>
        <w:rPr>
          <w:rFonts w:ascii="Courier New" w:hAnsi="Courier New" w:cs="Courier New"/>
        </w:rPr>
        <w:tab/>
        <w:t xml:space="preserve">●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w:t>
      </w:r>
      <w:r>
        <w:rPr>
          <w:rFonts w:ascii="Courier New" w:hAnsi="Courier New" w:cs="Courier New"/>
        </w:rPr>
        <w:lastRenderedPageBreak/>
        <w:t>deadline requirements.  When we retrieve your application from Grants.gov, we will notify you if we are rejecting your application because it was date and time stamped by the Grants.gov system after 4:30:00 p.m., Washington, DC time, on the application deadline date.</w:t>
      </w:r>
    </w:p>
    <w:p>
      <w:pPr>
        <w:spacing w:line="480" w:lineRule="auto"/>
        <w:rPr>
          <w:rFonts w:ascii="Courier New" w:hAnsi="Courier New" w:cs="Courier New"/>
        </w:rPr>
      </w:pPr>
      <w:r>
        <w:rPr>
          <w:rFonts w:ascii="Courier New" w:hAnsi="Courier New" w:cs="Courier New"/>
        </w:rPr>
        <w:t xml:space="preserve">     ●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w:t>
      </w:r>
    </w:p>
    <w:p>
      <w:pPr>
        <w:spacing w:line="480" w:lineRule="auto"/>
        <w:ind w:firstLine="720"/>
        <w:rPr>
          <w:rFonts w:ascii="Courier New" w:hAnsi="Courier New" w:cs="Courier New"/>
        </w:rPr>
      </w:pPr>
      <w:r>
        <w:rPr>
          <w:rFonts w:ascii="Courier New" w:hAnsi="Courier New" w:cs="Courier New"/>
        </w:rPr>
        <w:t xml:space="preserve">●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t>
      </w:r>
      <w:hyperlink r:id="rId35" w:history="1">
        <w:r>
          <w:rPr>
            <w:rFonts w:ascii="Courier New" w:hAnsi="Courier New" w:cs="Courier New"/>
          </w:rPr>
          <w:t>http://www.G5.gov</w:t>
        </w:r>
      </w:hyperlink>
      <w:r>
        <w:rPr>
          <w:rFonts w:ascii="Courier New" w:hAnsi="Courier New" w:cs="Courier New"/>
        </w:rPr>
        <w:t>.</w:t>
      </w:r>
    </w:p>
    <w:p>
      <w:pPr>
        <w:spacing w:line="480" w:lineRule="auto"/>
        <w:rPr>
          <w:rFonts w:ascii="Courier New" w:hAnsi="Courier New" w:cs="Courier New"/>
        </w:rPr>
      </w:pPr>
      <w:r>
        <w:rPr>
          <w:rFonts w:ascii="Courier New" w:hAnsi="Courier New" w:cs="Courier New"/>
        </w:rPr>
        <w:t xml:space="preserve">     ●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pPr>
        <w:spacing w:line="480" w:lineRule="auto"/>
        <w:rPr>
          <w:rFonts w:ascii="Courier New" w:hAnsi="Courier New" w:cs="Courier New"/>
        </w:rPr>
      </w:pPr>
      <w:r>
        <w:rPr>
          <w:rFonts w:ascii="Courier New" w:hAnsi="Courier New" w:cs="Courier New"/>
        </w:rPr>
        <w:lastRenderedPageBreak/>
        <w:t xml:space="preserve">     ●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pPr>
        <w:spacing w:line="480" w:lineRule="auto"/>
        <w:rPr>
          <w:rFonts w:ascii="Courier New" w:hAnsi="Courier New" w:cs="Courier New"/>
        </w:rPr>
      </w:pPr>
      <w:r>
        <w:rPr>
          <w:rFonts w:ascii="Courier New" w:hAnsi="Courier New" w:cs="Courier New"/>
        </w:rPr>
        <w:t xml:space="preserve">     ●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pPr>
        <w:spacing w:line="480" w:lineRule="auto"/>
        <w:rPr>
          <w:rFonts w:ascii="Courier New" w:hAnsi="Courier New" w:cs="Courier New"/>
        </w:rPr>
      </w:pPr>
      <w:r>
        <w:rPr>
          <w:rFonts w:ascii="Courier New" w:hAnsi="Courier New" w:cs="Courier New"/>
        </w:rPr>
        <w:t xml:space="preserve">     ●  Your electronic application must comply with any page-limit requirements described in this notice.</w:t>
      </w:r>
    </w:p>
    <w:p>
      <w:pPr>
        <w:spacing w:line="480" w:lineRule="auto"/>
        <w:ind w:firstLine="720"/>
        <w:rPr>
          <w:rFonts w:ascii="Courier New" w:hAnsi="Courier New" w:cs="Courier New"/>
        </w:rPr>
      </w:pPr>
      <w:r>
        <w:rPr>
          <w:rFonts w:ascii="Courier New" w:hAnsi="Courier New" w:cs="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pPr>
        <w:spacing w:line="480" w:lineRule="auto"/>
        <w:rPr>
          <w:rFonts w:ascii="Courier New" w:hAnsi="Courier New" w:cs="Courier New"/>
        </w:rPr>
      </w:pPr>
      <w:r>
        <w:rPr>
          <w:rFonts w:ascii="Courier New" w:hAnsi="Courier New" w:cs="Courier New"/>
        </w:rPr>
        <w:lastRenderedPageBreak/>
        <w:t xml:space="preserve">     ●  We may request that you provide us original signatures on forms at a later date.</w:t>
      </w:r>
    </w:p>
    <w:p>
      <w:pPr>
        <w:spacing w:line="480" w:lineRule="auto"/>
        <w:rPr>
          <w:rFonts w:ascii="Courier New" w:hAnsi="Courier New" w:cs="Courier New"/>
        </w:rPr>
      </w:pPr>
      <w:r>
        <w:rPr>
          <w:rFonts w:ascii="Courier New" w:hAnsi="Courier New" w:cs="Courier New"/>
          <w:u w:val="single"/>
        </w:rPr>
        <w:t>Application Deadline Date Extension in Case of Technical Issues with the Grants.gov System</w:t>
      </w:r>
      <w:r>
        <w:rPr>
          <w:rFonts w:ascii="Courier New" w:hAnsi="Courier New" w:cs="Courier New"/>
        </w:rPr>
        <w:t xml:space="preserve">:  If you are experiencing problems submitting your application through Grants.gov, please contact the Grants.gov Support Desk, toll free, at 1-800-518-4726.  You must obtain a Grants.gov Support Desk Case Number and must keep a record of it.  </w:t>
      </w:r>
    </w:p>
    <w:p>
      <w:pPr>
        <w:spacing w:line="480" w:lineRule="auto"/>
        <w:ind w:firstLine="720"/>
        <w:rPr>
          <w:rFonts w:ascii="Courier New" w:hAnsi="Courier New" w:cs="Courier New"/>
        </w:rPr>
      </w:pPr>
      <w:r>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pPr>
        <w:spacing w:line="480" w:lineRule="auto"/>
        <w:ind w:firstLine="720"/>
        <w:rPr>
          <w:rFonts w:ascii="Courier New" w:hAnsi="Courier New" w:cs="Courier New"/>
        </w:rPr>
      </w:pPr>
      <w:r>
        <w:rPr>
          <w:rFonts w:ascii="Courier New" w:hAnsi="Courier New" w:cs="Courier New"/>
        </w:rPr>
        <w:t xml:space="preserve">If you submit an application after 4:30:00 p.m., Washington, DC time, on the application deadline date, please contact the person listed under </w:t>
      </w:r>
      <w:r>
        <w:rPr>
          <w:rFonts w:ascii="Courier New" w:hAnsi="Courier New" w:cs="Courier New"/>
          <w:u w:val="single"/>
        </w:rPr>
        <w:t>For Further Information Contact</w:t>
      </w:r>
      <w:r>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w:t>
      </w:r>
      <w:r>
        <w:rPr>
          <w:rFonts w:ascii="Courier New" w:hAnsi="Courier New" w:cs="Courier New"/>
        </w:rPr>
        <w:lastRenderedPageBreak/>
        <w:t xml:space="preserve">ability to submit your application by 4:30:00 p.m., Washington, DC time, on the application deadline date.  The Department will contact you after a determination is made on whether your application will be accepted.  </w:t>
      </w:r>
    </w:p>
    <w:p>
      <w:pPr>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pPr>
        <w:spacing w:line="480" w:lineRule="auto"/>
        <w:rPr>
          <w:rFonts w:ascii="Courier New" w:hAnsi="Courier New" w:cs="Courier New"/>
        </w:rPr>
      </w:pPr>
      <w:r>
        <w:rPr>
          <w:rFonts w:ascii="Courier New" w:hAnsi="Courier New" w:cs="Courier New"/>
          <w:u w:val="single"/>
        </w:rPr>
        <w:t>Exception to Electronic Submission Requirement</w:t>
      </w:r>
      <w:r>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pPr>
        <w:spacing w:line="480" w:lineRule="auto"/>
        <w:rPr>
          <w:rFonts w:ascii="Courier New" w:hAnsi="Courier New" w:cs="Courier New"/>
        </w:rPr>
      </w:pPr>
      <w:r>
        <w:rPr>
          <w:rFonts w:ascii="Courier New" w:hAnsi="Courier New" w:cs="Courier New"/>
        </w:rPr>
        <w:t xml:space="preserve">     ●  You do not have access to the Internet; or</w:t>
      </w:r>
    </w:p>
    <w:p>
      <w:pPr>
        <w:tabs>
          <w:tab w:val="num" w:pos="1080"/>
        </w:tabs>
        <w:spacing w:line="480" w:lineRule="auto"/>
        <w:rPr>
          <w:rFonts w:ascii="Courier New" w:hAnsi="Courier New" w:cs="Courier New"/>
          <w:u w:val="single"/>
        </w:rPr>
      </w:pPr>
      <w:r>
        <w:rPr>
          <w:rFonts w:ascii="Courier New" w:hAnsi="Courier New" w:cs="Courier New"/>
        </w:rPr>
        <w:t xml:space="preserve">     ●  You do not have the capacity to upload large documents to the Grants.gov system; </w:t>
      </w:r>
    </w:p>
    <w:p>
      <w:pPr>
        <w:spacing w:line="480" w:lineRule="auto"/>
        <w:ind w:firstLine="720"/>
        <w:rPr>
          <w:rFonts w:ascii="Courier New" w:hAnsi="Courier New" w:cs="Courier New"/>
          <w:u w:val="single"/>
        </w:rPr>
      </w:pPr>
      <w:r>
        <w:rPr>
          <w:rFonts w:ascii="Courier New" w:hAnsi="Courier New" w:cs="Courier New"/>
          <w:u w:val="single"/>
        </w:rPr>
        <w:t xml:space="preserve">and </w:t>
      </w:r>
    </w:p>
    <w:p>
      <w:pPr>
        <w:spacing w:line="480" w:lineRule="auto"/>
        <w:rPr>
          <w:rFonts w:ascii="Courier New" w:hAnsi="Courier New" w:cs="Courier New"/>
        </w:rPr>
      </w:pPr>
      <w:r>
        <w:rPr>
          <w:rFonts w:ascii="Courier New" w:hAnsi="Courier New" w:cs="Courier New"/>
        </w:rPr>
        <w:t xml:space="preserve">     ●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w:t>
      </w:r>
      <w:r>
        <w:rPr>
          <w:rFonts w:ascii="Courier New" w:hAnsi="Courier New" w:cs="Courier New"/>
        </w:rPr>
        <w:lastRenderedPageBreak/>
        <w:t xml:space="preserve">of the two grounds for an exception prevent you from using the Internet to submit your application.  </w:t>
      </w:r>
    </w:p>
    <w:p>
      <w:pPr>
        <w:spacing w:line="480" w:lineRule="auto"/>
        <w:ind w:firstLine="720"/>
        <w:rPr>
          <w:rFonts w:ascii="Courier New" w:hAnsi="Courier New" w:cs="Courier New"/>
        </w:rPr>
      </w:pPr>
      <w:r>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pPr>
        <w:spacing w:line="480" w:lineRule="auto"/>
        <w:rPr>
          <w:rFonts w:ascii="Courier New" w:hAnsi="Courier New" w:cs="Courier New"/>
        </w:rPr>
      </w:pPr>
      <w:r>
        <w:rPr>
          <w:rFonts w:ascii="Courier New" w:hAnsi="Courier New" w:cs="Courier New"/>
        </w:rPr>
        <w:t xml:space="preserve">     Address and mail or fax your statement to:  Kelly Harris, Center for Best Practices to Support Single Parent Students, U.S. Department of Education, 1990 K Street, NW., room 6161, Washington, DC 20006-8544.  </w:t>
      </w:r>
      <w:hyperlink r:id="rId36" w:history="1">
        <w:r>
          <w:rPr>
            <w:rStyle w:val="Hyperlink"/>
            <w:rFonts w:ascii="Courier New" w:hAnsi="Courier New" w:cs="Courier New"/>
          </w:rPr>
          <w:t>FAX</w:t>
        </w:r>
      </w:hyperlink>
      <w:r>
        <w:rPr>
          <w:rFonts w:ascii="Courier New" w:hAnsi="Courier New" w:cs="Courier New"/>
        </w:rPr>
        <w:t xml:space="preserve">: (202) 502-7877.  </w:t>
      </w:r>
    </w:p>
    <w:p>
      <w:pPr>
        <w:spacing w:line="480" w:lineRule="auto"/>
        <w:rPr>
          <w:rFonts w:ascii="Courier New" w:hAnsi="Courier New" w:cs="Courier New"/>
        </w:rPr>
      </w:pPr>
      <w:r>
        <w:rPr>
          <w:rFonts w:ascii="Courier New" w:hAnsi="Courier New" w:cs="Courier New"/>
        </w:rPr>
        <w:t xml:space="preserve">     Your paper application must be submitted in accordance with the mail or hand delivery instructions described in this notice.   </w:t>
      </w:r>
    </w:p>
    <w:p>
      <w:pPr>
        <w:spacing w:line="480" w:lineRule="auto"/>
        <w:ind w:firstLine="720"/>
        <w:rPr>
          <w:rFonts w:ascii="Courier New" w:hAnsi="Courier New" w:cs="Courier New"/>
        </w:rPr>
      </w:pPr>
      <w:r>
        <w:rPr>
          <w:rFonts w:ascii="Courier New" w:hAnsi="Courier New" w:cs="Courier New"/>
        </w:rPr>
        <w:t xml:space="preserve">b.  </w:t>
      </w:r>
      <w:r>
        <w:rPr>
          <w:rFonts w:ascii="Courier New" w:hAnsi="Courier New" w:cs="Courier New"/>
          <w:u w:val="single"/>
        </w:rPr>
        <w:t>Submission of Paper Applications by Mail</w:t>
      </w:r>
      <w:r>
        <w:rPr>
          <w:rFonts w:ascii="Courier New" w:hAnsi="Courier New" w:cs="Courier New"/>
        </w:rPr>
        <w:t>.</w:t>
      </w:r>
    </w:p>
    <w:p>
      <w:pPr>
        <w:spacing w:line="480" w:lineRule="auto"/>
        <w:rPr>
          <w:rFonts w:ascii="Courier New" w:hAnsi="Courier New" w:cs="Courier New"/>
        </w:rPr>
      </w:pPr>
      <w:r>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pPr>
        <w:rPr>
          <w:rFonts w:ascii="Courier New" w:hAnsi="Courier New" w:cs="Courier New"/>
        </w:rPr>
      </w:pPr>
      <w:r>
        <w:rPr>
          <w:rFonts w:ascii="Courier New" w:hAnsi="Courier New" w:cs="Courier New"/>
        </w:rPr>
        <w:tab/>
        <w:t>U.S. Department of Education</w:t>
      </w:r>
    </w:p>
    <w:p>
      <w:pPr>
        <w:rPr>
          <w:rFonts w:ascii="Courier New" w:hAnsi="Courier New" w:cs="Courier New"/>
        </w:rPr>
      </w:pPr>
      <w:r>
        <w:rPr>
          <w:rFonts w:ascii="Courier New" w:hAnsi="Courier New" w:cs="Courier New"/>
        </w:rPr>
        <w:tab/>
        <w:t>Application Control Center</w:t>
      </w:r>
    </w:p>
    <w:p>
      <w:pPr>
        <w:rPr>
          <w:rFonts w:ascii="Courier New" w:hAnsi="Courier New" w:cs="Courier New"/>
        </w:rPr>
      </w:pPr>
      <w:r>
        <w:rPr>
          <w:rFonts w:ascii="Courier New" w:hAnsi="Courier New" w:cs="Courier New"/>
        </w:rPr>
        <w:tab/>
        <w:t>Attention:  (CFDA Number 84.116L)</w:t>
      </w:r>
    </w:p>
    <w:p>
      <w:pPr>
        <w:rPr>
          <w:rFonts w:ascii="Courier New" w:hAnsi="Courier New" w:cs="Courier New"/>
        </w:rPr>
      </w:pPr>
      <w:r>
        <w:rPr>
          <w:rFonts w:ascii="Courier New" w:hAnsi="Courier New" w:cs="Courier New"/>
        </w:rPr>
        <w:tab/>
        <w:t>LBJ Basement Level 1</w:t>
      </w:r>
    </w:p>
    <w:p>
      <w:pPr>
        <w:rPr>
          <w:rFonts w:ascii="Courier New" w:hAnsi="Courier New" w:cs="Courier New"/>
        </w:rPr>
      </w:pPr>
      <w:r>
        <w:rPr>
          <w:rFonts w:ascii="Courier New" w:hAnsi="Courier New" w:cs="Courier New"/>
        </w:rPr>
        <w:tab/>
        <w:t>400 Maryland Avenue, SW.</w:t>
      </w:r>
    </w:p>
    <w:p>
      <w:pPr>
        <w:rPr>
          <w:rFonts w:ascii="Courier New" w:hAnsi="Courier New" w:cs="Courier New"/>
        </w:rPr>
      </w:pPr>
      <w:r>
        <w:rPr>
          <w:rFonts w:ascii="Courier New" w:hAnsi="Courier New" w:cs="Courier New"/>
        </w:rPr>
        <w:tab/>
        <w:t>Washington, DC  20202-4260</w:t>
      </w:r>
    </w:p>
    <w:p>
      <w:pPr>
        <w:rPr>
          <w:rFonts w:ascii="Courier New" w:hAnsi="Courier New" w:cs="Courier New"/>
        </w:rPr>
      </w:pPr>
    </w:p>
    <w:p>
      <w:pPr>
        <w:spacing w:line="480" w:lineRule="auto"/>
        <w:ind w:firstLine="720"/>
        <w:rPr>
          <w:rFonts w:ascii="Courier New" w:hAnsi="Courier New" w:cs="Courier New"/>
        </w:rPr>
      </w:pPr>
      <w:r>
        <w:rPr>
          <w:rFonts w:ascii="Courier New" w:hAnsi="Courier New" w:cs="Courier New"/>
        </w:rPr>
        <w:lastRenderedPageBreak/>
        <w:t xml:space="preserve">You must show proof of mailing consisting of one of the following:     </w:t>
      </w:r>
    </w:p>
    <w:p>
      <w:pPr>
        <w:tabs>
          <w:tab w:val="left" w:pos="0"/>
        </w:tabs>
        <w:spacing w:line="480" w:lineRule="auto"/>
        <w:rPr>
          <w:rFonts w:ascii="Courier New" w:hAnsi="Courier New" w:cs="Courier New"/>
        </w:rPr>
      </w:pPr>
      <w:r>
        <w:rPr>
          <w:rFonts w:ascii="Courier New" w:hAnsi="Courier New" w:cs="Courier New"/>
        </w:rPr>
        <w:t xml:space="preserve">     (1)  A legibly dated U.S. Postal Service postmark.</w:t>
      </w:r>
    </w:p>
    <w:p>
      <w:pPr>
        <w:tabs>
          <w:tab w:val="left" w:pos="0"/>
        </w:tabs>
        <w:spacing w:line="480" w:lineRule="auto"/>
        <w:rPr>
          <w:rFonts w:ascii="Courier New" w:hAnsi="Courier New" w:cs="Courier New"/>
        </w:rPr>
      </w:pPr>
      <w:r>
        <w:rPr>
          <w:rFonts w:ascii="Courier New" w:hAnsi="Courier New" w:cs="Courier New"/>
        </w:rPr>
        <w:t xml:space="preserve">     (2)  A legible mail receipt with the date of mailing</w:t>
      </w:r>
    </w:p>
    <w:p>
      <w:pPr>
        <w:tabs>
          <w:tab w:val="left" w:pos="0"/>
        </w:tabs>
        <w:spacing w:line="480" w:lineRule="auto"/>
        <w:rPr>
          <w:rFonts w:ascii="Courier New" w:hAnsi="Courier New" w:cs="Courier New"/>
        </w:rPr>
      </w:pPr>
      <w:r>
        <w:rPr>
          <w:rFonts w:ascii="Courier New" w:hAnsi="Courier New" w:cs="Courier New"/>
        </w:rPr>
        <w:t>stamped by the U.S. Postal Service.</w:t>
      </w:r>
    </w:p>
    <w:p>
      <w:pPr>
        <w:spacing w:line="480" w:lineRule="auto"/>
        <w:ind w:firstLine="720"/>
        <w:rPr>
          <w:rFonts w:ascii="Courier New" w:hAnsi="Courier New" w:cs="Courier New"/>
        </w:rPr>
      </w:pPr>
      <w:r>
        <w:rPr>
          <w:rFonts w:ascii="Courier New" w:hAnsi="Courier New" w:cs="Courier New"/>
        </w:rPr>
        <w:t>(3)  A dated shipping label, invoice, or receipt from a commercial carrier.</w:t>
      </w:r>
    </w:p>
    <w:p>
      <w:pPr>
        <w:spacing w:line="480" w:lineRule="auto"/>
        <w:ind w:firstLine="720"/>
        <w:rPr>
          <w:rFonts w:ascii="Courier New" w:hAnsi="Courier New" w:cs="Courier New"/>
        </w:rPr>
      </w:pPr>
      <w:r>
        <w:rPr>
          <w:rFonts w:ascii="Courier New" w:hAnsi="Courier New" w:cs="Courier New"/>
        </w:rPr>
        <w:t>(4)  Any other proof of mailing acceptable to the Secretary of the U.S. Department of Education.</w:t>
      </w:r>
    </w:p>
    <w:p>
      <w:pPr>
        <w:spacing w:line="480" w:lineRule="auto"/>
        <w:rPr>
          <w:rFonts w:ascii="Courier New" w:hAnsi="Courier New" w:cs="Courier New"/>
        </w:rPr>
      </w:pPr>
      <w:r>
        <w:rPr>
          <w:rFonts w:ascii="Courier New" w:hAnsi="Courier New" w:cs="Courier New"/>
        </w:rPr>
        <w:tab/>
        <w:t xml:space="preserve">If you mail your application through the U.S. Postal Service, we do not accept either of the following as proof of mailing:       </w:t>
      </w:r>
    </w:p>
    <w:p>
      <w:pPr>
        <w:spacing w:line="480" w:lineRule="auto"/>
        <w:rPr>
          <w:rFonts w:ascii="Courier New" w:hAnsi="Courier New" w:cs="Courier New"/>
        </w:rPr>
      </w:pPr>
      <w:r>
        <w:rPr>
          <w:rFonts w:ascii="Courier New" w:hAnsi="Courier New" w:cs="Courier New"/>
        </w:rPr>
        <w:t xml:space="preserve">     (1)  A private metered postmark.       </w:t>
      </w:r>
    </w:p>
    <w:p>
      <w:pPr>
        <w:spacing w:line="480" w:lineRule="auto"/>
        <w:rPr>
          <w:rFonts w:ascii="Courier New" w:hAnsi="Courier New" w:cs="Courier New"/>
        </w:rPr>
      </w:pPr>
      <w:r>
        <w:rPr>
          <w:rFonts w:ascii="Courier New" w:hAnsi="Courier New" w:cs="Courier New"/>
        </w:rPr>
        <w:t xml:space="preserve">     (2)  A mail receipt that is not dated by the U.S. Postal Service.</w:t>
      </w:r>
    </w:p>
    <w:p>
      <w:pPr>
        <w:tabs>
          <w:tab w:val="right" w:pos="540"/>
          <w:tab w:val="left" w:pos="630"/>
          <w:tab w:val="left" w:pos="720"/>
          <w:tab w:val="left" w:pos="900"/>
          <w:tab w:val="left" w:pos="1440"/>
          <w:tab w:val="left" w:pos="1980"/>
          <w:tab w:val="left" w:pos="2160"/>
        </w:tabs>
        <w:spacing w:line="48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If your application is postmarked after the application deadline date, we will not consider your application.</w:t>
      </w:r>
    </w:p>
    <w:p>
      <w:pPr>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The U.S. Postal Service does not uniformly provide a dated postmark.  Before relying on this method, you should check with your local post office.     </w:t>
      </w:r>
    </w:p>
    <w:p>
      <w:pPr>
        <w:spacing w:line="480" w:lineRule="auto"/>
        <w:ind w:firstLine="720"/>
        <w:rPr>
          <w:rFonts w:ascii="Courier New" w:hAnsi="Courier New" w:cs="Courier New"/>
        </w:rPr>
      </w:pPr>
      <w:r>
        <w:rPr>
          <w:rFonts w:ascii="Courier New" w:hAnsi="Courier New" w:cs="Courier New"/>
        </w:rPr>
        <w:t xml:space="preserve">c.  </w:t>
      </w:r>
      <w:r>
        <w:rPr>
          <w:rFonts w:ascii="Courier New" w:hAnsi="Courier New" w:cs="Courier New"/>
          <w:u w:val="single"/>
        </w:rPr>
        <w:t>Submission of Paper Applications by Hand Delivery</w:t>
      </w:r>
      <w:r>
        <w:rPr>
          <w:rFonts w:ascii="Courier New" w:hAnsi="Courier New" w:cs="Courier New"/>
        </w:rPr>
        <w:t>.</w:t>
      </w:r>
    </w:p>
    <w:p>
      <w:pPr>
        <w:spacing w:line="480" w:lineRule="auto"/>
        <w:rPr>
          <w:rFonts w:ascii="Courier New" w:hAnsi="Courier New" w:cs="Courier New"/>
        </w:rPr>
      </w:pPr>
      <w:r>
        <w:rPr>
          <w:rFonts w:ascii="Courier New" w:hAnsi="Courier New" w:cs="Courier New"/>
        </w:rPr>
        <w:tab/>
        <w:t xml:space="preserve">If you qualify for an exception to the electronic submission requirement, you (or a courier service) may deliver your paper application to the Department by hand.  You must </w:t>
      </w:r>
      <w:r>
        <w:rPr>
          <w:rFonts w:ascii="Courier New" w:hAnsi="Courier New" w:cs="Courier New"/>
        </w:rPr>
        <w:lastRenderedPageBreak/>
        <w:t>deliver the original and two copies of your application, by hand, on or before the application deadline date, to the Department at the following address:</w:t>
      </w:r>
    </w:p>
    <w:p>
      <w:pPr>
        <w:rPr>
          <w:rFonts w:ascii="Courier New" w:hAnsi="Courier New" w:cs="Courier New"/>
        </w:rPr>
      </w:pPr>
      <w:r>
        <w:rPr>
          <w:rFonts w:ascii="Courier New" w:hAnsi="Courier New" w:cs="Courier New"/>
        </w:rPr>
        <w:tab/>
        <w:t>U.S. Department of Education</w:t>
      </w:r>
    </w:p>
    <w:p>
      <w:pPr>
        <w:rPr>
          <w:rFonts w:ascii="Courier New" w:hAnsi="Courier New" w:cs="Courier New"/>
        </w:rPr>
      </w:pPr>
      <w:r>
        <w:rPr>
          <w:rFonts w:ascii="Courier New" w:hAnsi="Courier New" w:cs="Courier New"/>
        </w:rPr>
        <w:tab/>
        <w:t>Application Control Center</w:t>
      </w:r>
    </w:p>
    <w:p>
      <w:pPr>
        <w:rPr>
          <w:rFonts w:ascii="Courier New" w:hAnsi="Courier New" w:cs="Courier New"/>
        </w:rPr>
      </w:pPr>
      <w:r>
        <w:rPr>
          <w:rFonts w:ascii="Courier New" w:hAnsi="Courier New" w:cs="Courier New"/>
        </w:rPr>
        <w:tab/>
        <w:t>Attention:  (CFDA Number 84.116L)</w:t>
      </w:r>
    </w:p>
    <w:p>
      <w:pPr>
        <w:rPr>
          <w:rFonts w:ascii="Courier New" w:hAnsi="Courier New" w:cs="Courier New"/>
        </w:rPr>
      </w:pPr>
      <w:r>
        <w:rPr>
          <w:rFonts w:ascii="Courier New" w:hAnsi="Courier New" w:cs="Courier New"/>
        </w:rPr>
        <w:tab/>
        <w:t>550 12th Street, SW.</w:t>
      </w:r>
    </w:p>
    <w:p>
      <w:pPr>
        <w:rPr>
          <w:rFonts w:ascii="Courier New" w:hAnsi="Courier New" w:cs="Courier New"/>
        </w:rPr>
      </w:pPr>
      <w:r>
        <w:rPr>
          <w:rFonts w:ascii="Courier New" w:hAnsi="Courier New" w:cs="Courier New"/>
        </w:rPr>
        <w:tab/>
        <w:t>Room 7039, Potomac Center Plaza</w:t>
      </w:r>
    </w:p>
    <w:p>
      <w:pPr>
        <w:rPr>
          <w:rFonts w:ascii="Courier New" w:hAnsi="Courier New" w:cs="Courier New"/>
        </w:rPr>
      </w:pPr>
      <w:r>
        <w:rPr>
          <w:rFonts w:ascii="Courier New" w:hAnsi="Courier New" w:cs="Courier New"/>
        </w:rPr>
        <w:tab/>
        <w:t>Washington, DC  20202-4260</w:t>
      </w:r>
    </w:p>
    <w:p>
      <w:pPr>
        <w:rPr>
          <w:rFonts w:ascii="Courier New" w:hAnsi="Courier New" w:cs="Courier New"/>
        </w:rPr>
      </w:pPr>
    </w:p>
    <w:p>
      <w:pPr>
        <w:spacing w:line="480" w:lineRule="auto"/>
        <w:rPr>
          <w:rFonts w:ascii="Courier New" w:hAnsi="Courier New" w:cs="Courier New"/>
        </w:rPr>
      </w:pPr>
      <w:r>
        <w:rPr>
          <w:rFonts w:ascii="Courier New" w:hAnsi="Courier New" w:cs="Courier New"/>
        </w:rPr>
        <w:t>The Application Control Center accepts hand deliveries daily between 8:00 a.m. and 4:30:00 p.m., Washington, DC time, except Saturdays, Sundays, and Federal holidays.</w:t>
      </w:r>
    </w:p>
    <w:p>
      <w:pPr>
        <w:spacing w:line="480" w:lineRule="auto"/>
        <w:rPr>
          <w:rFonts w:ascii="Courier New" w:hAnsi="Courier New" w:cs="Courier New"/>
        </w:rPr>
      </w:pPr>
      <w:r>
        <w:rPr>
          <w:rFonts w:ascii="Courier New" w:hAnsi="Courier New" w:cs="Courier New"/>
          <w:u w:val="single"/>
        </w:rPr>
        <w:t>Note for Mail or Hand Delivery of Paper Applications</w:t>
      </w:r>
      <w:r>
        <w:rPr>
          <w:rFonts w:ascii="Courier New" w:hAnsi="Courier New" w:cs="Courier New"/>
        </w:rPr>
        <w:t>:  If you mail or hand deliver your application to the Department--</w:t>
      </w:r>
    </w:p>
    <w:p>
      <w:pPr>
        <w:spacing w:line="480" w:lineRule="auto"/>
        <w:rPr>
          <w:rFonts w:ascii="Courier New" w:hAnsi="Courier New" w:cs="Courier New"/>
        </w:rPr>
      </w:pPr>
      <w:r>
        <w:rPr>
          <w:rFonts w:ascii="Courier New" w:hAnsi="Courier New" w:cs="Courier New"/>
        </w:rPr>
        <w:tab/>
        <w:t xml:space="preserve">(1)  You must indicate on the envelope and--if not provided by the Department--in Item 11 of the SF 424 the CFDA number, including suffix letter, if any, of the competition under which you are submitting your application; and     </w:t>
      </w:r>
    </w:p>
    <w:p>
      <w:pPr>
        <w:spacing w:line="480" w:lineRule="auto"/>
        <w:rPr>
          <w:rFonts w:ascii="Courier New" w:hAnsi="Courier New" w:cs="Courier New"/>
        </w:rPr>
      </w:pPr>
      <w:r>
        <w:rPr>
          <w:rFonts w:ascii="Courier New" w:hAnsi="Courier New" w:cs="Courier New"/>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r>
        <w:rPr>
          <w:rFonts w:ascii="Courier New" w:hAnsi="Courier New" w:cs="Courier New"/>
        </w:rPr>
        <w:tab/>
      </w:r>
    </w:p>
    <w:p>
      <w:pPr>
        <w:spacing w:line="480" w:lineRule="auto"/>
        <w:rPr>
          <w:rFonts w:ascii="Courier New" w:hAnsi="Courier New" w:cs="Courier New"/>
        </w:rPr>
      </w:pPr>
      <w:r>
        <w:rPr>
          <w:rFonts w:ascii="Courier New" w:hAnsi="Courier New" w:cs="Courier New"/>
        </w:rPr>
        <w:t xml:space="preserve">V.  Application Review Information     </w:t>
      </w:r>
    </w:p>
    <w:p>
      <w:pPr>
        <w:spacing w:line="480" w:lineRule="auto"/>
        <w:ind w:firstLine="720"/>
        <w:rPr>
          <w:rFonts w:ascii="Courier New" w:hAnsi="Courier New" w:cs="Courier New"/>
        </w:rPr>
      </w:pPr>
      <w:r>
        <w:rPr>
          <w:rFonts w:ascii="Courier New" w:hAnsi="Courier New" w:cs="Courier New"/>
        </w:rPr>
        <w:lastRenderedPageBreak/>
        <w:t xml:space="preserve">1.  </w:t>
      </w:r>
      <w:r>
        <w:rPr>
          <w:rFonts w:ascii="Courier New" w:hAnsi="Courier New" w:cs="Courier New"/>
          <w:u w:val="single"/>
        </w:rPr>
        <w:t>Selection Criteria</w:t>
      </w:r>
      <w:r>
        <w:rPr>
          <w:rFonts w:ascii="Courier New" w:hAnsi="Courier New" w:cs="Courier New"/>
        </w:rPr>
        <w:t xml:space="preserve">:  The selection criteria for this program are from 34 CFR 75.210 and are listed in the application package.  </w:t>
      </w:r>
    </w:p>
    <w:p>
      <w:pPr>
        <w:spacing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Review and Selection Process</w:t>
      </w:r>
      <w:r>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pPr>
        <w:spacing w:line="480" w:lineRule="auto"/>
        <w:ind w:firstLine="720"/>
        <w:rPr>
          <w:rFonts w:ascii="Courier New" w:hAnsi="Courier New" w:cs="Courier New"/>
        </w:rPr>
      </w:pPr>
      <w:r>
        <w:rPr>
          <w:rFonts w:ascii="Courier New" w:hAnsi="Courier New" w:cs="Courier New"/>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pPr>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Special Conditions</w:t>
      </w:r>
      <w:r>
        <w:rPr>
          <w:rFonts w:ascii="Courier New" w:hAnsi="Courier New" w:cs="Courier New"/>
        </w:rPr>
        <w:t xml:space="preserve">:  Under 34 CFR 74.14 and 80.12, the Secretary may impose special conditions on a grant if the applicant or grantee is not financially stable; has a history of unsatisfactory performance; has a financial or other management system that does not meet the standards in 34 CFR parts 74 or </w:t>
      </w:r>
      <w:r>
        <w:rPr>
          <w:rFonts w:ascii="Courier New" w:hAnsi="Courier New" w:cs="Courier New"/>
        </w:rPr>
        <w:lastRenderedPageBreak/>
        <w:t>80, as applicable; has not fulfilled the conditions of a prior grant; or is otherwise not responsible.</w:t>
      </w:r>
    </w:p>
    <w:p>
      <w:pPr>
        <w:tabs>
          <w:tab w:val="right" w:pos="540"/>
          <w:tab w:val="left" w:pos="630"/>
        </w:tabs>
        <w:spacing w:line="480" w:lineRule="auto"/>
        <w:rPr>
          <w:rFonts w:ascii="Courier New" w:hAnsi="Courier New" w:cs="Courier New"/>
        </w:rPr>
      </w:pPr>
      <w:r>
        <w:rPr>
          <w:rFonts w:ascii="Courier New" w:hAnsi="Courier New" w:cs="Courier New"/>
        </w:rPr>
        <w:t xml:space="preserve">VI.  Award Administration Information     </w:t>
      </w:r>
    </w:p>
    <w:p>
      <w:pPr>
        <w:tabs>
          <w:tab w:val="right" w:pos="540"/>
          <w:tab w:val="left" w:pos="630"/>
        </w:tabs>
        <w:spacing w:line="480" w:lineRule="auto"/>
        <w:rPr>
          <w:rFonts w:ascii="Courier New" w:hAnsi="Courier New" w:cs="Courier New"/>
        </w:rPr>
      </w:pPr>
      <w:r>
        <w:rPr>
          <w:rFonts w:ascii="Courier New" w:hAnsi="Courier New" w:cs="Courier New"/>
        </w:rPr>
        <w:t xml:space="preserve">     1.  </w:t>
      </w:r>
      <w:r>
        <w:rPr>
          <w:rFonts w:ascii="Courier New" w:hAnsi="Courier New" w:cs="Courier New"/>
          <w:u w:val="single"/>
        </w:rPr>
        <w:t>Award Notices</w:t>
      </w:r>
      <w:r>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pPr>
        <w:spacing w:line="480" w:lineRule="auto"/>
        <w:ind w:firstLine="720"/>
        <w:rPr>
          <w:rFonts w:ascii="Courier New" w:hAnsi="Courier New" w:cs="Courier New"/>
        </w:rPr>
      </w:pPr>
      <w:r>
        <w:rPr>
          <w:rFonts w:ascii="Courier New" w:hAnsi="Courier New" w:cs="Courier New"/>
        </w:rPr>
        <w:t xml:space="preserve">If your application is not evaluated or not selected for funding, we notify you. </w:t>
      </w:r>
    </w:p>
    <w:p>
      <w:pPr>
        <w:spacing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Administrative and National Policy Requirements</w:t>
      </w:r>
      <w:r>
        <w:rPr>
          <w:rFonts w:ascii="Courier New" w:hAnsi="Courier New" w:cs="Courier New"/>
        </w:rPr>
        <w:t xml:space="preserve">:  We identify administrative and national policy requirements in the application package and reference these and other requirements in the </w:t>
      </w:r>
      <w:r>
        <w:rPr>
          <w:rFonts w:ascii="Courier New" w:hAnsi="Courier New" w:cs="Courier New"/>
          <w:u w:val="single"/>
        </w:rPr>
        <w:t>Applicable Regulations</w:t>
      </w:r>
      <w:r>
        <w:rPr>
          <w:rFonts w:ascii="Courier New" w:hAnsi="Courier New" w:cs="Courier New"/>
        </w:rPr>
        <w:t xml:space="preserve"> section in this notice.</w:t>
      </w:r>
    </w:p>
    <w:p>
      <w:pPr>
        <w:spacing w:line="480" w:lineRule="auto"/>
        <w:ind w:firstLine="720"/>
        <w:rPr>
          <w:rFonts w:ascii="Courier New" w:hAnsi="Courier New" w:cs="Courier New"/>
        </w:rPr>
      </w:pPr>
      <w:r>
        <w:rPr>
          <w:rFonts w:ascii="Courier New" w:hAnsi="Courier New" w:cs="Courier New"/>
        </w:rPr>
        <w:t xml:space="preserve">We reference the regulations outlining the terms and conditions of an award in the </w:t>
      </w:r>
      <w:r>
        <w:rPr>
          <w:rFonts w:ascii="Courier New" w:hAnsi="Courier New" w:cs="Courier New"/>
          <w:u w:val="single"/>
        </w:rPr>
        <w:t>Applicable Regulations</w:t>
      </w:r>
      <w:r>
        <w:rPr>
          <w:rFonts w:ascii="Courier New" w:hAnsi="Courier New" w:cs="Courier New"/>
        </w:rPr>
        <w:t xml:space="preserve"> section in this notice and include these and other specific conditions in the GAN.  The GAN also incorporates your approved application as part of your binding commitments under the grant. </w:t>
      </w:r>
    </w:p>
    <w:p>
      <w:pPr>
        <w:pStyle w:val="HTMLPreformatted"/>
        <w:spacing w:line="480" w:lineRule="auto"/>
        <w:rPr>
          <w:rFonts w:eastAsia="Arial Unicode MS"/>
          <w:color w:val="FF0000"/>
          <w:sz w:val="24"/>
          <w:szCs w:val="24"/>
        </w:rPr>
      </w:pPr>
      <w:r>
        <w:rPr>
          <w:sz w:val="24"/>
          <w:szCs w:val="24"/>
        </w:rPr>
        <w:tab/>
        <w:t xml:space="preserve">3.  </w:t>
      </w:r>
      <w:r>
        <w:rPr>
          <w:sz w:val="24"/>
          <w:szCs w:val="24"/>
          <w:u w:val="single"/>
        </w:rPr>
        <w:t>Reporting</w:t>
      </w:r>
      <w:r>
        <w:rPr>
          <w:sz w:val="24"/>
          <w:szCs w:val="24"/>
        </w:rPr>
        <w:t xml:space="preserve">:  </w:t>
      </w:r>
      <w:r>
        <w:rPr>
          <w:rFonts w:eastAsia="Arial Unicode MS"/>
          <w:sz w:val="24"/>
          <w:szCs w:val="24"/>
        </w:rPr>
        <w:t xml:space="preserve">(a)  If you apply for a grant under this competition, you must ensure that you have in place the necessary processes and systems to comply with the reporting requirements in 2 CFR part 170 should you receive funding under </w:t>
      </w:r>
      <w:r>
        <w:rPr>
          <w:rFonts w:eastAsia="Arial Unicode MS"/>
          <w:sz w:val="24"/>
          <w:szCs w:val="24"/>
        </w:rPr>
        <w:lastRenderedPageBreak/>
        <w:t>the competition.  This does not apply if you have an exception under 2 CFR 170.110(b).</w:t>
      </w:r>
    </w:p>
    <w:p>
      <w:pPr>
        <w:spacing w:line="480" w:lineRule="auto"/>
        <w:ind w:firstLine="720"/>
        <w:rPr>
          <w:rFonts w:ascii="Courier New" w:hAnsi="Courier New" w:cs="Courier New"/>
        </w:rPr>
      </w:pPr>
      <w:r>
        <w:rPr>
          <w:rFonts w:ascii="Courier New" w:hAnsi="Courier New"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pPr>
        <w:tabs>
          <w:tab w:val="left" w:pos="770"/>
        </w:tabs>
        <w:spacing w:line="480" w:lineRule="auto"/>
        <w:rPr>
          <w:rFonts w:ascii="Courier New" w:hAnsi="Courier New" w:cs="Courier New"/>
        </w:rPr>
      </w:pPr>
      <w:r>
        <w:rPr>
          <w:rFonts w:ascii="Courier New" w:hAnsi="Courier New" w:cs="Courier New"/>
        </w:rPr>
        <w:t xml:space="preserve">     4.  </w:t>
      </w:r>
      <w:r>
        <w:rPr>
          <w:rFonts w:ascii="Courier New" w:hAnsi="Courier New" w:cs="Courier New"/>
          <w:u w:val="single"/>
        </w:rPr>
        <w:t>Performance Measures</w:t>
      </w:r>
      <w:r>
        <w:rPr>
          <w:rFonts w:ascii="Courier New" w:hAnsi="Courier New" w:cs="Courier New"/>
        </w:rPr>
        <w:t xml:space="preserve">:  The Secretary has established the following Government Performance and Results Act of 1993 (GPRA) performance measure for the Center for Best Practices to Support Single Parent Students:  The number and percentage of low-income single parent students who have received opportunities to complete a degree in postsecondary education.  </w:t>
      </w:r>
    </w:p>
    <w:p>
      <w:pPr>
        <w:tabs>
          <w:tab w:val="left" w:pos="770"/>
        </w:tabs>
        <w:spacing w:line="480" w:lineRule="auto"/>
        <w:rPr>
          <w:rFonts w:ascii="Courier New" w:hAnsi="Courier New" w:cs="Courier New"/>
        </w:rPr>
      </w:pPr>
      <w:r>
        <w:rPr>
          <w:rFonts w:ascii="Courier New" w:hAnsi="Courier New" w:cs="Courier New"/>
        </w:rPr>
        <w:tab/>
        <w:t xml:space="preserve">This measure constitutes the Department's indicator of success for this program.  Consequently, we advise an applicant for a grant under this program to give careful consideration to this measure in conceptualizing the approach and evaluation for its proposed project.  </w:t>
      </w:r>
    </w:p>
    <w:p>
      <w:pPr>
        <w:spacing w:line="480" w:lineRule="auto"/>
        <w:ind w:firstLine="720"/>
        <w:rPr>
          <w:rFonts w:ascii="Courier New" w:hAnsi="Courier New" w:cs="Courier New"/>
        </w:rPr>
      </w:pPr>
      <w:r>
        <w:rPr>
          <w:rFonts w:ascii="Courier New" w:hAnsi="Courier New" w:cs="Courier New"/>
        </w:rPr>
        <w:t xml:space="preserve">If funded, you will be required to collect and report data in your project’s annual performance report (34 CFR 75.590). </w:t>
      </w:r>
    </w:p>
    <w:p>
      <w:pPr>
        <w:spacing w:line="480" w:lineRule="auto"/>
        <w:rPr>
          <w:rFonts w:ascii="Courier New" w:hAnsi="Courier New" w:cs="Courier New"/>
        </w:rPr>
      </w:pPr>
      <w:r>
        <w:rPr>
          <w:rFonts w:ascii="Courier New" w:hAnsi="Courier New" w:cs="Courier New"/>
          <w:bCs/>
        </w:rPr>
        <w:lastRenderedPageBreak/>
        <w:t xml:space="preserve">VII.  Agency Contact </w:t>
      </w:r>
    </w:p>
    <w:p>
      <w:pPr>
        <w:spacing w:line="480" w:lineRule="auto"/>
        <w:rPr>
          <w:rFonts w:ascii="Courier New" w:hAnsi="Courier New" w:cs="Courier New"/>
        </w:rPr>
      </w:pPr>
      <w:r>
        <w:rPr>
          <w:rFonts w:ascii="Courier New" w:hAnsi="Courier New" w:cs="Courier New"/>
          <w:u w:val="single"/>
        </w:rPr>
        <w:t>For Further Information Contact</w:t>
      </w:r>
      <w:r>
        <w:rPr>
          <w:rFonts w:ascii="Courier New" w:hAnsi="Courier New" w:cs="Courier New"/>
        </w:rPr>
        <w:t xml:space="preserve">:  Kelly Harris, Center for Best Practices to Support Single Parent Students, U.S. Department of Education, 1990 K Street, NW., room 6161, Washington, DC 20006-8544.  Telephone:  (202) 219-7083 or by e-mail:  kelly.harris@ed.gov.  </w:t>
      </w:r>
    </w:p>
    <w:p>
      <w:pPr>
        <w:spacing w:line="480" w:lineRule="auto"/>
        <w:ind w:firstLine="720"/>
        <w:rPr>
          <w:rFonts w:ascii="Courier New" w:hAnsi="Courier New" w:cs="Courier New"/>
        </w:rPr>
      </w:pPr>
      <w:r>
        <w:rPr>
          <w:rFonts w:ascii="Courier New" w:hAnsi="Courier New" w:cs="Courier New"/>
        </w:rPr>
        <w:t>If you use a TDD or a TTY, call the Federal Relay Service, toll free, at 1-800-877-8339.</w:t>
      </w:r>
    </w:p>
    <w:p>
      <w:pPr>
        <w:keepNext/>
        <w:spacing w:line="480" w:lineRule="auto"/>
        <w:outlineLvl w:val="3"/>
        <w:rPr>
          <w:rFonts w:ascii="Courier New" w:hAnsi="Courier New" w:cs="Courier New"/>
        </w:rPr>
      </w:pPr>
      <w:r>
        <w:rPr>
          <w:rFonts w:ascii="Courier New" w:hAnsi="Courier New" w:cs="Courier New"/>
        </w:rPr>
        <w:t>VIII.  Other Information</w:t>
      </w:r>
    </w:p>
    <w:p>
      <w:pPr>
        <w:spacing w:line="480" w:lineRule="auto"/>
        <w:rPr>
          <w:rFonts w:ascii="Courier New" w:hAnsi="Courier New" w:cs="Courier New"/>
        </w:rPr>
      </w:pPr>
      <w:r>
        <w:rPr>
          <w:rFonts w:ascii="Courier New" w:hAnsi="Courier New" w:cs="Courier New"/>
          <w:u w:val="single"/>
        </w:rPr>
        <w:t>Accessible Format</w:t>
      </w:r>
      <w:r>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 listed under </w:t>
      </w:r>
      <w:r>
        <w:rPr>
          <w:rFonts w:ascii="Courier New" w:hAnsi="Courier New" w:cs="Courier New"/>
          <w:u w:val="single"/>
        </w:rPr>
        <w:t>For Further Information Contact</w:t>
      </w:r>
      <w:r>
        <w:rPr>
          <w:rFonts w:ascii="Courier New" w:hAnsi="Courier New" w:cs="Courier New"/>
        </w:rPr>
        <w:t xml:space="preserve"> in section VII of this notice.</w:t>
      </w:r>
    </w:p>
    <w:p>
      <w:pPr>
        <w:spacing w:line="480" w:lineRule="auto"/>
        <w:rPr>
          <w:rFonts w:ascii="Courier New" w:hAnsi="Courier New" w:cs="Courier New"/>
        </w:rPr>
      </w:pPr>
      <w:r>
        <w:rPr>
          <w:rFonts w:ascii="Courier New" w:hAnsi="Courier New" w:cs="Courier New"/>
          <w:u w:val="single"/>
        </w:rPr>
        <w:t>Electronic Access to This Document</w:t>
      </w:r>
      <w:r>
        <w:rPr>
          <w:rFonts w:ascii="Courier New" w:hAnsi="Courier New" w:cs="Courier New"/>
        </w:rPr>
        <w:t xml:space="preserve">:  The official version of this document is the document published in the </w:t>
      </w:r>
      <w:r>
        <w:rPr>
          <w:rFonts w:ascii="Courier New" w:hAnsi="Courier New" w:cs="Courier New"/>
          <w:u w:val="single"/>
        </w:rPr>
        <w:t>Federal Register</w:t>
      </w:r>
      <w:r>
        <w:rPr>
          <w:rFonts w:ascii="Courier New" w:hAnsi="Courier New" w:cs="Courier New"/>
        </w:rPr>
        <w:t xml:space="preserve">.  Free Internet access to the official edition of the </w:t>
      </w:r>
      <w:r>
        <w:rPr>
          <w:rFonts w:ascii="Courier New" w:hAnsi="Courier New" w:cs="Courier New"/>
          <w:u w:val="single"/>
        </w:rPr>
        <w:t>Federal Register</w:t>
      </w:r>
      <w:r>
        <w:rPr>
          <w:rFonts w:ascii="Courier New" w:hAnsi="Courier New" w:cs="Courier New"/>
        </w:rPr>
        <w:t xml:space="preserve"> and the Code of Federal Regulations is available via the Federal Digital System at:  </w:t>
      </w:r>
      <w:hyperlink r:id="rId37" w:history="1">
        <w:r>
          <w:rPr>
            <w:rStyle w:val="Hyperlink"/>
            <w:rFonts w:ascii="Courier New" w:hAnsi="Courier New" w:cs="Courier New"/>
          </w:rPr>
          <w:t>www.gpo.gov/fdsys</w:t>
        </w:r>
      </w:hyperlink>
      <w:r>
        <w:rPr>
          <w:rFonts w:ascii="Courier New" w:hAnsi="Courier New" w:cs="Courier New"/>
        </w:rPr>
        <w:t xml:space="preserve">.  At this site, you can view this document, as well as all other documents of this Department published in the </w:t>
      </w:r>
      <w:r>
        <w:rPr>
          <w:rFonts w:ascii="Courier New" w:hAnsi="Courier New" w:cs="Courier New"/>
          <w:u w:val="single"/>
        </w:rPr>
        <w:t>Federal Register</w:t>
      </w:r>
      <w:r>
        <w:rPr>
          <w:rFonts w:ascii="Courier New" w:hAnsi="Courier New" w:cs="Courier New"/>
        </w:rPr>
        <w:t xml:space="preserve">, in text or Adobe Portable Document Format (PDF).  To use PDF you must have Adobe Acrobat Reader, which is available free at this site. </w:t>
      </w:r>
    </w:p>
    <w:p>
      <w:pPr>
        <w:spacing w:line="480" w:lineRule="auto"/>
        <w:rPr>
          <w:rFonts w:ascii="Courier New" w:hAnsi="Courier New" w:cs="Courier New"/>
        </w:rPr>
      </w:pPr>
      <w:r>
        <w:rPr>
          <w:rFonts w:ascii="Courier New" w:hAnsi="Courier New" w:cs="Courier New"/>
        </w:rPr>
        <w:lastRenderedPageBreak/>
        <w:tab/>
        <w:t xml:space="preserve">You may also access documents of the Department published in the </w:t>
      </w:r>
      <w:r>
        <w:rPr>
          <w:rFonts w:ascii="Courier New" w:hAnsi="Courier New" w:cs="Courier New"/>
          <w:u w:val="single"/>
        </w:rPr>
        <w:t>Federal Register</w:t>
      </w:r>
      <w:r>
        <w:rPr>
          <w:rFonts w:ascii="Courier New" w:hAnsi="Courier New" w:cs="Courier New"/>
        </w:rPr>
        <w:t xml:space="preserve"> by using the article search feature at:  </w:t>
      </w:r>
      <w:hyperlink r:id="rId38" w:history="1">
        <w:r>
          <w:rPr>
            <w:rFonts w:ascii="Courier New" w:hAnsi="Courier New" w:cs="Courier New"/>
          </w:rPr>
          <w:t>www.federalregister.gov</w:t>
        </w:r>
      </w:hyperlink>
      <w:r>
        <w:rPr>
          <w:rFonts w:ascii="Courier New" w:hAnsi="Courier New" w:cs="Courier New"/>
        </w:rPr>
        <w:t>.  Specifically, through the advanced search feature at this site, you can limit your search to documents published by the Department.</w:t>
      </w:r>
    </w:p>
    <w:p>
      <w:pPr>
        <w:spacing w:line="480" w:lineRule="auto"/>
        <w:rPr>
          <w:rFonts w:ascii="Courier New" w:hAnsi="Courier New" w:cs="Courier New"/>
        </w:rPr>
      </w:pPr>
      <w:r>
        <w:rPr>
          <w:rFonts w:ascii="Courier New" w:hAnsi="Courier New" w:cs="Courier New"/>
        </w:rPr>
        <w:t xml:space="preserve">Dated:  </w:t>
      </w:r>
    </w:p>
    <w:p>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pPr>
        <w:rPr>
          <w:rFonts w:ascii="Courier New" w:hAnsi="Courier New" w:cs="Courier New"/>
        </w:rPr>
      </w:pPr>
      <w:r>
        <w:rPr>
          <w:rFonts w:ascii="Courier New" w:hAnsi="Courier New" w:cs="Courier New"/>
        </w:rPr>
        <w:t xml:space="preserve">                         ________________________________</w:t>
      </w:r>
    </w:p>
    <w:p>
      <w:pPr>
        <w:ind w:left="3600"/>
        <w:rPr>
          <w:rFonts w:ascii="Courier New" w:hAnsi="Courier New" w:cs="Courier New"/>
        </w:rPr>
      </w:pPr>
      <w:r>
        <w:rPr>
          <w:rFonts w:ascii="Courier New" w:hAnsi="Courier New" w:cs="Courier New"/>
        </w:rPr>
        <w:t>Brenda Dann-Messier,</w:t>
      </w:r>
    </w:p>
    <w:p>
      <w:pPr>
        <w:ind w:left="3600"/>
        <w:rPr>
          <w:rFonts w:ascii="Courier New" w:hAnsi="Courier New" w:cs="Courier New"/>
          <w:u w:val="single"/>
        </w:rPr>
      </w:pPr>
      <w:r>
        <w:rPr>
          <w:rFonts w:ascii="Courier New" w:hAnsi="Courier New" w:cs="Courier New"/>
          <w:u w:val="single"/>
        </w:rPr>
        <w:t xml:space="preserve">Acting Assistant Secretary </w:t>
      </w:r>
    </w:p>
    <w:p>
      <w:pPr>
        <w:ind w:left="3600"/>
        <w:rPr>
          <w:rFonts w:ascii="Courier New" w:hAnsi="Courier New" w:cs="Courier New"/>
          <w:u w:val="single"/>
        </w:rPr>
      </w:pPr>
      <w:r>
        <w:rPr>
          <w:rFonts w:ascii="Courier New" w:hAnsi="Courier New" w:cs="Courier New"/>
          <w:u w:val="single"/>
        </w:rPr>
        <w:t>for Postsecondary Education</w:t>
      </w:r>
      <w:r>
        <w:rPr>
          <w:rFonts w:ascii="Courier New" w:hAnsi="Courier New" w:cs="Courier New"/>
        </w:rPr>
        <w:t>.</w:t>
      </w:r>
      <w:r>
        <w:rPr>
          <w:rFonts w:ascii="Courier New" w:hAnsi="Courier New" w:cs="Courier New"/>
          <w:u w:val="single"/>
        </w:rPr>
        <w:t xml:space="preserve"> </w:t>
      </w:r>
    </w:p>
    <w:p>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r>
    </w:p>
    <w:p>
      <w:pPr>
        <w:ind w:left="2880" w:firstLine="720"/>
        <w:rPr>
          <w:rFonts w:ascii="Courier New" w:hAnsi="Courier New" w:cs="Courier New"/>
        </w:rPr>
      </w:pPr>
    </w:p>
    <w:p>
      <w:pPr>
        <w:rPr>
          <w:rFonts w:ascii="Courier New" w:hAnsi="Courier New" w:cs="Courier New"/>
        </w:rPr>
      </w:pPr>
    </w:p>
    <w:p/>
    <w:p>
      <w:pPr>
        <w:spacing w:line="480" w:lineRule="auto"/>
        <w:rPr>
          <w:rFonts w:ascii="Courier New" w:hAnsi="Courier New" w:cs="Courier New"/>
          <w:highlight w:val="yellow"/>
        </w:rPr>
      </w:pPr>
    </w:p>
    <w:p>
      <w:pPr>
        <w:spacing w:line="480" w:lineRule="auto"/>
        <w:rPr>
          <w:rFonts w:ascii="Courier New" w:hAnsi="Courier New" w:cs="Courier New"/>
          <w:highlight w:val="yellow"/>
        </w:rPr>
      </w:pPr>
    </w:p>
    <w:p>
      <w:pPr>
        <w:spacing w:line="480" w:lineRule="auto"/>
        <w:rPr>
          <w:rFonts w:ascii="Courier New" w:hAnsi="Courier New" w:cs="Courier New"/>
          <w:highlight w:val="yellow"/>
        </w:rPr>
      </w:pPr>
    </w:p>
    <w:p>
      <w:pPr>
        <w:spacing w:line="480" w:lineRule="auto"/>
        <w:rPr>
          <w:rFonts w:ascii="Courier New" w:hAnsi="Courier New" w:cs="Courier New"/>
          <w:highlight w:val="yellow"/>
        </w:rPr>
      </w:pPr>
    </w:p>
    <w:p>
      <w:pPr>
        <w:spacing w:line="480" w:lineRule="auto"/>
        <w:rPr>
          <w:rFonts w:ascii="Courier New" w:hAnsi="Courier New" w:cs="Courier New"/>
        </w:rPr>
      </w:pPr>
    </w:p>
    <w:p>
      <w:pPr>
        <w:spacing w:line="480" w:lineRule="auto"/>
        <w:rPr>
          <w:rFonts w:ascii="Courier New" w:hAnsi="Courier New" w:cs="Courier New"/>
        </w:rPr>
      </w:pPr>
    </w:p>
    <w:p>
      <w:pPr>
        <w:spacing w:line="480" w:lineRule="auto"/>
        <w:rPr>
          <w:rFonts w:ascii="Courier New" w:hAnsi="Courier New" w:cs="Courier New"/>
        </w:rPr>
      </w:pPr>
    </w:p>
    <w:p>
      <w:pPr>
        <w:spacing w:line="480" w:lineRule="auto"/>
        <w:rPr>
          <w:rFonts w:ascii="Courier New" w:hAnsi="Courier New" w:cs="Courier New"/>
        </w:rPr>
      </w:pPr>
    </w:p>
    <w:p>
      <w:pPr>
        <w:spacing w:line="480" w:lineRule="auto"/>
        <w:rPr>
          <w:rFonts w:ascii="Courier New" w:hAnsi="Courier New" w:cs="Courier New"/>
        </w:rPr>
      </w:pPr>
    </w:p>
    <w:p>
      <w:pPr>
        <w:spacing w:line="480" w:lineRule="auto"/>
        <w:rPr>
          <w:rFonts w:ascii="Courier New" w:hAnsi="Courier New" w:cs="Courier New"/>
        </w:rPr>
      </w:pPr>
    </w:p>
    <w:p>
      <w:pPr>
        <w:spacing w:line="480" w:lineRule="auto"/>
        <w:rPr>
          <w:rFonts w:ascii="Courier New" w:hAnsi="Courier New" w:cs="Courier New"/>
        </w:rPr>
      </w:pPr>
    </w:p>
    <w:p>
      <w:pPr>
        <w:spacing w:line="480" w:lineRule="auto"/>
        <w:rPr>
          <w:rFonts w:ascii="Courier New" w:hAnsi="Courier New" w:cs="Courier New"/>
        </w:rPr>
      </w:pPr>
    </w:p>
    <w:p>
      <w:pPr>
        <w:spacing w:line="480" w:lineRule="auto"/>
        <w:rPr>
          <w:rFonts w:ascii="Courier New" w:hAnsi="Courier New" w:cs="Courier New"/>
        </w:rPr>
      </w:pPr>
    </w:p>
    <w:p>
      <w:pPr>
        <w:pBdr>
          <w:top w:val="single" w:sz="4" w:space="1" w:color="auto"/>
          <w:bottom w:val="single" w:sz="4" w:space="1" w:color="auto"/>
        </w:pBdr>
        <w:shd w:val="clear" w:color="auto" w:fill="E0E0E0"/>
        <w:tabs>
          <w:tab w:val="left" w:pos="720"/>
        </w:tabs>
        <w:jc w:val="center"/>
        <w:rPr>
          <w:rFonts w:ascii="Arial" w:hAnsi="Arial" w:cs="Arial"/>
          <w:b/>
          <w:bCs/>
          <w:color w:val="000000"/>
          <w:sz w:val="28"/>
        </w:rPr>
      </w:pPr>
      <w:r>
        <w:rPr>
          <w:rFonts w:ascii="Arial" w:hAnsi="Arial" w:cs="Arial"/>
          <w:b/>
          <w:bCs/>
          <w:color w:val="000000"/>
          <w:sz w:val="28"/>
          <w:shd w:val="clear" w:color="auto" w:fill="E0E0E0"/>
        </w:rPr>
        <w:lastRenderedPageBreak/>
        <w:t>AUTHORIZING LEGISLATION</w:t>
      </w:r>
    </w:p>
    <w:p>
      <w:pPr>
        <w:pStyle w:val="PlainText"/>
        <w:tabs>
          <w:tab w:val="left" w:pos="720"/>
        </w:tabs>
        <w:rPr>
          <w:rFonts w:ascii="Arial" w:hAnsi="Arial" w:cs="Arial"/>
          <w:color w:val="000000"/>
          <w:sz w:val="24"/>
        </w:rPr>
      </w:pPr>
    </w:p>
    <w:p>
      <w:pPr>
        <w:tabs>
          <w:tab w:val="left" w:pos="720"/>
        </w:tabs>
        <w:rPr>
          <w:rFonts w:ascii="Arial" w:hAnsi="Arial" w:cs="Arial"/>
          <w:b/>
          <w:bCs/>
        </w:rPr>
      </w:pPr>
      <w:r>
        <w:rPr>
          <w:rFonts w:ascii="Arial" w:hAnsi="Arial" w:cs="Arial"/>
          <w:b/>
          <w:bCs/>
        </w:rPr>
        <w:t>Authorizing Statute</w:t>
      </w:r>
      <w:r>
        <w:rPr>
          <w:rFonts w:ascii="Arial" w:hAnsi="Arial" w:cs="Arial"/>
        </w:rPr>
        <w:br/>
      </w:r>
    </w:p>
    <w:p>
      <w:pPr>
        <w:rPr>
          <w:rFonts w:ascii="Arial" w:hAnsi="Arial" w:cs="Arial"/>
        </w:rPr>
      </w:pPr>
      <w:r>
        <w:rPr>
          <w:rFonts w:ascii="Arial" w:hAnsi="Arial" w:cs="Arial"/>
        </w:rPr>
        <w:t>20 U.S.C. 1138-1138d</w:t>
      </w:r>
    </w:p>
    <w:p>
      <w:pPr>
        <w:pStyle w:val="NoSpacing"/>
        <w:rPr>
          <w:rFonts w:ascii="Arial" w:hAnsi="Arial" w:cs="Arial"/>
          <w:sz w:val="24"/>
          <w:szCs w:val="24"/>
        </w:rPr>
      </w:pPr>
      <w:r>
        <w:rPr>
          <w:rFonts w:ascii="Arial" w:hAnsi="Arial" w:cs="Arial"/>
          <w:sz w:val="24"/>
          <w:szCs w:val="24"/>
        </w:rPr>
        <w:t>Higher Education Act of 1965</w:t>
      </w:r>
    </w:p>
    <w:p>
      <w:pPr>
        <w:pStyle w:val="NoSpacing"/>
        <w:rPr>
          <w:rFonts w:ascii="Arial" w:hAnsi="Arial" w:cs="Arial"/>
          <w:sz w:val="24"/>
          <w:szCs w:val="24"/>
        </w:rPr>
      </w:pPr>
      <w:r>
        <w:rPr>
          <w:rFonts w:ascii="Arial" w:hAnsi="Arial" w:cs="Arial"/>
          <w:sz w:val="24"/>
          <w:szCs w:val="24"/>
        </w:rPr>
        <w:t>Title VII, Part B, Subparts 741-745</w:t>
      </w:r>
    </w:p>
    <w:p>
      <w:pPr>
        <w:pStyle w:val="NoSpacing"/>
        <w:rPr>
          <w:rFonts w:ascii="Arial" w:hAnsi="Arial" w:cs="Arial"/>
          <w:sz w:val="24"/>
          <w:szCs w:val="24"/>
        </w:rPr>
      </w:pPr>
      <w:r>
        <w:rPr>
          <w:rFonts w:ascii="Arial" w:hAnsi="Arial" w:cs="Arial"/>
          <w:sz w:val="24"/>
          <w:szCs w:val="24"/>
        </w:rPr>
        <w:t>(As amended by the Higher Education Opportunity Act of 2008)</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PART B, SEC. 741. — FUND FOR THE IMPROVEMENT OF POSTSECONDARY EDUCATION</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(a) AUTHORITY — The Secretary is authorized to make grants to, or enter into contracts with, institutions of higher education, combinations of such institutions, and other public and private nonprofit institutions and agencies, to enable such institutions, combinations, and agencies to improve postsecondary education opportunities by–</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(1) the encouragement of reform and improvement of, and innovation in, postsecondary education and the provision of educational opportunity for all students, including nontraditional students;</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(2) the creation of institutions, programs, and joint efforts involving paths to career and professional training, including–</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(A) Efforts that provide academic credit for programs; and</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(B) Combinations of academic and experiential learning;</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(3) the establishment and continuation of institutions, programs, consortia, collaborations, and other joint efforts based on communications technology, including those efforts that utilize distance education and technological advancements to educate and train postsecondary students (including health professionals serving medically underserved populations);</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(4) the carrying out, in postsecondary educational institutions, of changes in internal structure and operations designed to clarify institutional priorities and purposes;</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(5) the design and introduction of cost-effective methods of instruction and operation;</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(6) the introduction of institutional reforms designed to expand individual opportunities for entering and reentering postsecondary institutions and pursuing programs of postsecondary study tailored to individual needs;</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(7) the introduction of reforms in graduate education, in the structure of academic professions, and in the recruitment and retention of faculties;</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lastRenderedPageBreak/>
        <w:t>(8) the creation of new institutions and programs for examining and awarding credentials to individuals, and the introduction of reforms in current institutional practices related thereto;</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(9) the introduction of reforms in remedial education, including English language instruction, to customize remedial courses to student goals and help students progress rapidly from remedial courses into core courses and through postsecondary program completion;</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(10) the provision of support and assistance to partnerships between institutions of higher education and secondary schools with a significant population of students identified as late-entering limited English proficient students, to establish programs that–</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(A) Result in increased secondary school graduation rates of limited English proficient students; and</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(B) Increase the number of participating late-entering limited English proficient students who pursue postsecondary education;</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(11) the creation of consortia that join diverse institutions of higher education to design and offer curricular and cocurricular interdisciplinary programs at the undergraduate and graduate levels, sustained for not less than a 5 year period, that–</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(A) Focus on poverty and human capability; and</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(B) Include–</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(i) A service-learning component; and</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(ii) the delivery of educational services through informational resource centers, summer institutes, midyear seminars, and other educational activities that stress the effects of poverty and how poverty can be alleviated through different career paths;</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(12) the provision of support and assistance for demonstration projects to provide comprehensive support services to ensure that homeless students, or students who were in foster care or were a ward of the court at any time before the age of 13, enroll and succeed in postsecondary education, including providing housing to such students during periods when housing at the institution of higher education is closed or generally unavailable to other students; and</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(13) the support of efforts to work with institutions of higher education, and nonprofit organizations, that seek to promote cultural diversity in the entertainment media industry, including through the training of students in production, marketing, and distribution of culturally relevant content.</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lastRenderedPageBreak/>
        <w:t>(b) PLANNING GRANTS — The Secretary is authorized to make planning grants to institutions of higher education for the development and testing of innovative techniques in postsecondary education. Such grants shall not exceed $20,000.</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(c) CENTER FOR BEST PRACTICES TO SUPPORT SINGLE PARENT STUDENTS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(1) The Secretary is authorized to award one grant or contract to an institution of higher education to enable such institution to establish and maintain a center to study and develop best practices for institutions of higher education to support single parents who are also students attending such institutions.</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(2) The Secretary shall award the grant or contract under this subsection to a four-year institution of higher education that has demonstrated expertise in the development of programs to assist single parents who are students at institutions of higher education, as shown by the institution's development of a variety of targeted services to such students, including on-campus housing, child care, counseling, advising, internship opportunities, financial aid, and financial aid counseling and assistance.</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(3) The center funded under this section shall–</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(A) Assist institutions implementing innovative programs that support single parents pursuing higher education;</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(B) Study and develop an evaluation protocol for such programs that includes quantitative and qualitative methodologies;</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(C) Provide appropriate technical assistance regarding the replication, evaluation, and continuous improvement of such programs; and</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(D) Develop and disseminate best practices for such programs.</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(d) PROHIBITION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(1) In general. – No funds made available under this part shall be used to provide direct financial assistance in the form of grants or scholarships to students who do not meet the requirements of section 484(a).</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(2) Rule of construction. – Nothing in this subsection shall be construed to prevent a student who does not meet the requirements of section 484(a) from participating in programs funded under this part.</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(e) PRIORITY — In making grants under this part to any institution of higher education after the date of enactment of the Higher Education Opportunity Act, the Secretary may give priority to institutions that meet or exceed the most current version of ASHRAE/IES Standard 90.1 (as such term is used in section 342(a)(6) of the Energy Policy and Conservation Act (42 U.S.C. 6313(a)(6)) for any new facilities construction or major </w:t>
      </w:r>
      <w:r>
        <w:rPr>
          <w:rFonts w:ascii="Arial" w:hAnsi="Arial" w:cs="Arial"/>
          <w:sz w:val="24"/>
          <w:szCs w:val="24"/>
        </w:rPr>
        <w:lastRenderedPageBreak/>
        <w:t>renovation of the institution after such date, except that this subsection shall not apply with respect to barns or greenhouses or similar structures owned by the institution.</w:t>
      </w:r>
    </w:p>
    <w:p>
      <w:pPr>
        <w:pStyle w:val="NormalWeb"/>
        <w:rPr>
          <w:rFonts w:ascii="Arial" w:hAnsi="Arial" w:cs="Arial"/>
        </w:rPr>
      </w:pPr>
      <w:r>
        <w:rPr>
          <w:rStyle w:val="Strong"/>
          <w:rFonts w:ascii="Arial" w:hAnsi="Arial" w:cs="Arial"/>
        </w:rPr>
        <w:t>SEC. 742. BOARD OF THE FUND FOR THE IMPROVEMENT OF POSTSECONDARY EDUCATION.</w:t>
      </w:r>
    </w:p>
    <w:p>
      <w:pPr>
        <w:pStyle w:val="NormalWeb"/>
        <w:rPr>
          <w:rFonts w:ascii="Arial" w:hAnsi="Arial" w:cs="Arial"/>
        </w:rPr>
      </w:pPr>
      <w:r>
        <w:rPr>
          <w:rFonts w:ascii="Arial" w:hAnsi="Arial" w:cs="Arial"/>
        </w:rPr>
        <w:t>(a) ESTABLISHMENT — There is established a National Board of the Fund for the Improvement of Postsecondary Education (in this part referred to as the `Board'). The Board shall consist of 15 members appointed by the Secretary for overlapping 3-year terms. A majority of the Board shall constitute a quorum. Any member of the Board who has served for 6 consecutive years shall thereafter be ineligible for appointment to the Board during a 2-year period following the expiration of such sixth year.</w:t>
      </w:r>
    </w:p>
    <w:p>
      <w:pPr>
        <w:pStyle w:val="NormalWeb"/>
        <w:rPr>
          <w:rFonts w:ascii="Arial" w:hAnsi="Arial" w:cs="Arial"/>
        </w:rPr>
      </w:pPr>
      <w:r>
        <w:rPr>
          <w:rFonts w:ascii="Arial" w:hAnsi="Arial" w:cs="Arial"/>
        </w:rPr>
        <w:t>(b) MEMBERSHIP — The Secretary shall designate one of the members of the Board as Chairperson of the Board. A majority of the members of the Board shall be public interest representatives, including students, and a minority shall be educational representatives. All members selected shall be individuals able to contribute an important perspective on priorities for improvement in postsecondary education and strategies of educational and institutional change.</w:t>
      </w:r>
    </w:p>
    <w:p>
      <w:pPr>
        <w:pStyle w:val="NormalWeb"/>
        <w:rPr>
          <w:rFonts w:ascii="Arial" w:hAnsi="Arial" w:cs="Arial"/>
        </w:rPr>
      </w:pPr>
      <w:r>
        <w:rPr>
          <w:rFonts w:ascii="Arial" w:hAnsi="Arial" w:cs="Arial"/>
        </w:rPr>
        <w:t>(c) DUTIES — The Board shall–</w:t>
      </w:r>
    </w:p>
    <w:p>
      <w:pPr>
        <w:pStyle w:val="NormalWeb"/>
        <w:rPr>
          <w:rFonts w:ascii="Arial" w:hAnsi="Arial" w:cs="Arial"/>
        </w:rPr>
      </w:pPr>
      <w:r>
        <w:rPr>
          <w:rFonts w:ascii="Arial" w:hAnsi="Arial" w:cs="Arial"/>
        </w:rPr>
        <w:t>(1) Advise the Secretary on priorities for the improvement of postsecondary education and make such recommendations as the Board may deem appropriate for the improvement of postsecondary education and for the evaluation, dissemination, and adaptation of demonstrated improvements in postsecondary educational practice;</w:t>
      </w:r>
    </w:p>
    <w:p>
      <w:pPr>
        <w:pStyle w:val="NormalWeb"/>
        <w:rPr>
          <w:rFonts w:ascii="Arial" w:hAnsi="Arial" w:cs="Arial"/>
        </w:rPr>
      </w:pPr>
      <w:r>
        <w:rPr>
          <w:rFonts w:ascii="Arial" w:hAnsi="Arial" w:cs="Arial"/>
        </w:rPr>
        <w:t>(2) advise the Secretary on the operation of the Fund for the Improvement of Postsecondary Education, including advice on planning documents, guidelines, and procedures for grant competitions prepared by the Fund; and</w:t>
      </w:r>
    </w:p>
    <w:p>
      <w:pPr>
        <w:pStyle w:val="NormalWeb"/>
        <w:rPr>
          <w:rFonts w:ascii="Arial" w:hAnsi="Arial" w:cs="Arial"/>
        </w:rPr>
      </w:pPr>
      <w:r>
        <w:rPr>
          <w:rFonts w:ascii="Arial" w:hAnsi="Arial" w:cs="Arial"/>
        </w:rPr>
        <w:t>(3) Meet at the call of the Chairperson, except that the Board shall meet whenever one-third or more of the members request in writing that a meeting be held.</w:t>
      </w:r>
    </w:p>
    <w:p>
      <w:pPr>
        <w:pStyle w:val="NormalWeb"/>
        <w:rPr>
          <w:rFonts w:ascii="Arial" w:hAnsi="Arial" w:cs="Arial"/>
        </w:rPr>
      </w:pPr>
      <w:r>
        <w:rPr>
          <w:rFonts w:ascii="Arial" w:hAnsi="Arial" w:cs="Arial"/>
        </w:rPr>
        <w:t>(d) INFORMATION AND ASSISTANCE — The Secretary shall make available to the Board such information and assistance as may be necessary to enable the Board to carry out its functions.</w:t>
      </w:r>
    </w:p>
    <w:p>
      <w:pPr>
        <w:pStyle w:val="NormalWeb"/>
        <w:rPr>
          <w:rFonts w:ascii="Arial" w:hAnsi="Arial" w:cs="Arial"/>
        </w:rPr>
      </w:pPr>
      <w:r>
        <w:rPr>
          <w:rStyle w:val="Strong"/>
          <w:rFonts w:ascii="Arial" w:hAnsi="Arial" w:cs="Arial"/>
        </w:rPr>
        <w:t>SEC. 743. ADMINISTRATIVE PROVISIONS.</w:t>
      </w:r>
    </w:p>
    <w:p>
      <w:pPr>
        <w:pStyle w:val="NormalWeb"/>
        <w:rPr>
          <w:rFonts w:ascii="Arial" w:hAnsi="Arial" w:cs="Arial"/>
        </w:rPr>
      </w:pPr>
      <w:r>
        <w:rPr>
          <w:rFonts w:ascii="Arial" w:hAnsi="Arial" w:cs="Arial"/>
        </w:rPr>
        <w:t>The Secretary may appoint, for terms not to exceed 3 years, without regard to the provisions of title 5, United States Code, governing appointments in the competitive service, not more than 7 technical employees to administer this part who may be paid without regard to the provisions of chapter 51 and subchapter III of chapter 53 of such title relating to classification and General Schedule pay rates.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
        </w:rPr>
      </w:pPr>
    </w:p>
    <w:p>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8"/>
          <w:shd w:val="clear" w:color="auto" w:fill="E0E0E0"/>
        </w:rPr>
      </w:pPr>
      <w:r>
        <w:rPr>
          <w:rFonts w:ascii="Arial" w:hAnsi="Arial" w:cs="Arial"/>
          <w:b/>
          <w:bCs/>
          <w:sz w:val="28"/>
          <w:shd w:val="clear" w:color="auto" w:fill="E0E0E0"/>
        </w:rPr>
        <w:t>INTERGOVERNMENTAL REVIEW OF FEDERAL PROGRAMS:</w:t>
      </w:r>
    </w:p>
    <w:p>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8"/>
        </w:rPr>
      </w:pPr>
      <w:r>
        <w:rPr>
          <w:rFonts w:ascii="Arial" w:hAnsi="Arial" w:cs="Arial"/>
          <w:b/>
          <w:bCs/>
          <w:sz w:val="28"/>
          <w:shd w:val="clear" w:color="auto" w:fill="E0E0E0"/>
        </w:rPr>
        <w:t>EXECUTIVE ORDER 12372</w:t>
      </w:r>
    </w:p>
    <w:p>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rPr>
          <w:rFonts w:ascii="Arial" w:hAnsi="Arial" w:cs="Arial"/>
          <w:szCs w:val="22"/>
        </w:rPr>
      </w:pPr>
      <w:r>
        <w:rPr>
          <w:rFonts w:ascii="Arial" w:hAnsi="Arial" w:cs="Arial"/>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rPr>
          <w:rFonts w:ascii="Arial" w:hAnsi="Arial" w:cs="Arial"/>
          <w:szCs w:val="22"/>
        </w:rPr>
      </w:pPr>
      <w:r>
        <w:rPr>
          <w:rFonts w:ascii="Arial" w:hAnsi="Arial" w:cs="Arial"/>
          <w:szCs w:val="22"/>
        </w:rPr>
        <w:t xml:space="preserve">The process for doing this requires grant applicants to contact State Single Points of Contact for information on how this works. Multi-state applicants should follow procedures specific to each state.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rPr>
          <w:rFonts w:ascii="Arial" w:hAnsi="Arial" w:cs="Arial"/>
          <w:szCs w:val="22"/>
        </w:rPr>
      </w:pPr>
      <w:r>
        <w:rPr>
          <w:rFonts w:ascii="Arial" w:hAnsi="Arial" w:cs="Arial"/>
          <w:szCs w:val="22"/>
        </w:rPr>
        <w:t xml:space="preserve">Further information about the State Single Point of Contact process and a list of names by State can be found at: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rPr>
          <w:rFonts w:ascii="Arial" w:hAnsi="Arial" w:cs="Arial"/>
          <w:szCs w:val="2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jc w:val="center"/>
        <w:rPr>
          <w:rFonts w:ascii="Arial" w:hAnsi="Arial" w:cs="Arial"/>
          <w:szCs w:val="22"/>
        </w:rPr>
      </w:pPr>
      <w:hyperlink r:id="rId39" w:history="1">
        <w:r>
          <w:rPr>
            <w:rStyle w:val="Hyperlink"/>
            <w:rFonts w:ascii="Arial" w:hAnsi="Arial" w:cs="Arial"/>
            <w:szCs w:val="22"/>
          </w:rPr>
          <w:t>http://www.whitehouse.gov/omb/grants/spoc.PDF</w:t>
        </w:r>
      </w:hyperlink>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jc w:val="center"/>
        <w:rPr>
          <w:rFonts w:ascii="Arial" w:hAnsi="Arial" w:cs="Arial"/>
          <w:szCs w:val="2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rPr>
          <w:rFonts w:ascii="Arial" w:hAnsi="Arial" w:cs="Arial"/>
          <w:szCs w:val="22"/>
        </w:rPr>
      </w:pPr>
      <w:r>
        <w:rPr>
          <w:rFonts w:ascii="Arial" w:hAnsi="Arial" w:cs="Arial"/>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 84.116L, U.S. Department of Education, room 7E200. 400 Maryland Avenue, SW., Washington, DC 20202.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rPr>
          <w:rFonts w:ascii="Arial" w:hAnsi="Arial" w:cs="Arial"/>
          <w:szCs w:val="22"/>
        </w:rPr>
      </w:pPr>
      <w:r>
        <w:rPr>
          <w:rFonts w:ascii="Arial" w:hAnsi="Arial" w:cs="Arial"/>
          <w:szCs w:val="22"/>
        </w:rPr>
        <w:t>Proof of mailing will be determined on the same basis as applications (see 34 CFR §75.102). Recommendations or comments may be hand-delivered until 4:30 p.m. (eastern time) on the closing date indicated in this notice.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b/>
          <w:bCs/>
          <w:szCs w:val="22"/>
          <w:u w:val="single"/>
        </w:rPr>
        <w:t>Important note:</w:t>
      </w:r>
      <w:r>
        <w:rPr>
          <w:rFonts w:ascii="Arial" w:hAnsi="Arial" w:cs="Arial"/>
          <w:szCs w:val="22"/>
        </w:rPr>
        <w:t xml:space="preserve">  The above address is not the same address as the one to which the applicant submits its completed applications.</w:t>
      </w:r>
      <w:r>
        <w:rPr>
          <w:rFonts w:ascii="Arial" w:hAnsi="Arial" w:cs="Arial"/>
          <w:b/>
          <w:bCs/>
          <w:szCs w:val="22"/>
        </w:rPr>
        <w:t xml:space="preserve"> </w:t>
      </w:r>
      <w:r>
        <w:rPr>
          <w:rFonts w:ascii="Arial" w:hAnsi="Arial" w:cs="Arial"/>
          <w:b/>
          <w:bCs/>
          <w:i/>
          <w:iCs/>
          <w:szCs w:val="22"/>
          <w:u w:val="single"/>
        </w:rPr>
        <w:t>Do not send applications to the above address</w:t>
      </w:r>
      <w:r>
        <w:rPr>
          <w:rFonts w:ascii="Arial" w:hAnsi="Arial" w:cs="Arial"/>
          <w:b/>
          <w:bCs/>
          <w:i/>
          <w:iCs/>
          <w:sz w:val="22"/>
          <w:szCs w:val="22"/>
          <w:u w:val="single"/>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keepNext/>
        <w:pageBreakBefore/>
        <w:pBdr>
          <w:top w:val="single" w:sz="4" w:space="1" w:color="auto"/>
          <w:bottom w:val="single" w:sz="4" w:space="1" w:color="auto"/>
        </w:pBdr>
        <w:shd w:val="clear" w:color="auto" w:fill="E0E0E0"/>
        <w:jc w:val="center"/>
        <w:outlineLvl w:val="0"/>
        <w:rPr>
          <w:rFonts w:ascii="Arial" w:hAnsi="Arial"/>
          <w:b/>
          <w:color w:val="000000"/>
          <w:sz w:val="28"/>
        </w:rPr>
      </w:pPr>
      <w:bookmarkStart w:id="7" w:name="_Toc175639951"/>
      <w:r>
        <w:rPr>
          <w:rFonts w:ascii="Arial" w:hAnsi="Arial"/>
          <w:b/>
          <w:color w:val="000000"/>
          <w:sz w:val="28"/>
        </w:rPr>
        <w:lastRenderedPageBreak/>
        <w:t>SUPPLEMENTAL INFORMATION</w:t>
      </w:r>
      <w:bookmarkEnd w:id="7"/>
    </w:p>
    <w:p>
      <w:pPr>
        <w:ind w:left="180"/>
        <w:jc w:val="center"/>
        <w:rPr>
          <w:rFonts w:ascii="Arial" w:hAnsi="Arial" w:cs="Arial"/>
          <w:b/>
          <w:bCs/>
          <w:sz w:val="28"/>
        </w:rPr>
      </w:pPr>
    </w:p>
    <w:p>
      <w:pPr>
        <w:ind w:left="180"/>
        <w:jc w:val="center"/>
        <w:rPr>
          <w:rFonts w:ascii="Arial" w:hAnsi="Arial" w:cs="Arial"/>
          <w:b/>
          <w:bCs/>
          <w:sz w:val="28"/>
        </w:rPr>
      </w:pPr>
    </w:p>
    <w:p>
      <w:pPr>
        <w:ind w:left="180"/>
        <w:jc w:val="both"/>
        <w:rPr>
          <w:rFonts w:ascii="Arial" w:hAnsi="Arial" w:cs="Arial"/>
        </w:rPr>
      </w:pPr>
      <w:r>
        <w:rPr>
          <w:rFonts w:ascii="Arial" w:hAnsi="Arial" w:cs="Arial"/>
        </w:rPr>
        <w:t xml:space="preserve">The following supplements the information provided in the “Dear Applicant” letter and the notice. </w:t>
      </w:r>
    </w:p>
    <w:p>
      <w:pPr>
        <w:ind w:left="180"/>
        <w:jc w:val="both"/>
        <w:rPr>
          <w:rFonts w:ascii="Arial" w:hAnsi="Arial" w:cs="Arial"/>
        </w:rPr>
      </w:pPr>
    </w:p>
    <w:p>
      <w:pPr>
        <w:numPr>
          <w:ilvl w:val="0"/>
          <w:numId w:val="11"/>
        </w:numPr>
        <w:spacing w:after="200" w:line="276" w:lineRule="auto"/>
        <w:rPr>
          <w:rFonts w:ascii="Arial" w:hAnsi="Arial" w:cs="Arial"/>
          <w:b/>
          <w:bCs/>
        </w:rPr>
      </w:pPr>
      <w:r>
        <w:rPr>
          <w:rFonts w:ascii="Arial" w:hAnsi="Arial" w:cs="Arial"/>
          <w:b/>
          <w:bCs/>
        </w:rPr>
        <w:t>Estimated Funding</w:t>
      </w:r>
    </w:p>
    <w:p>
      <w:pPr>
        <w:numPr>
          <w:ilvl w:val="1"/>
          <w:numId w:val="11"/>
        </w:numPr>
        <w:ind w:left="1267"/>
        <w:rPr>
          <w:rFonts w:ascii="Arial" w:hAnsi="Arial" w:cs="Arial"/>
        </w:rPr>
      </w:pPr>
      <w:r>
        <w:rPr>
          <w:rFonts w:ascii="Arial" w:hAnsi="Arial" w:cs="Arial"/>
        </w:rPr>
        <w:t>Estimated Available Funds for New Award:  $495,000</w:t>
      </w:r>
    </w:p>
    <w:p>
      <w:pPr>
        <w:numPr>
          <w:ilvl w:val="1"/>
          <w:numId w:val="11"/>
        </w:numPr>
        <w:ind w:left="1267"/>
        <w:rPr>
          <w:rFonts w:ascii="Arial" w:hAnsi="Arial" w:cs="Arial"/>
        </w:rPr>
      </w:pPr>
      <w:r>
        <w:rPr>
          <w:rFonts w:ascii="Arial" w:hAnsi="Arial" w:cs="Arial"/>
        </w:rPr>
        <w:t>Estimated Range of Award:  $450,000-$495,000</w:t>
      </w:r>
    </w:p>
    <w:p>
      <w:pPr>
        <w:numPr>
          <w:ilvl w:val="1"/>
          <w:numId w:val="11"/>
        </w:numPr>
        <w:ind w:left="1267"/>
        <w:rPr>
          <w:rFonts w:ascii="Arial" w:hAnsi="Arial" w:cs="Arial"/>
        </w:rPr>
      </w:pPr>
      <w:r>
        <w:rPr>
          <w:rFonts w:ascii="Arial" w:hAnsi="Arial" w:cs="Arial"/>
        </w:rPr>
        <w:t>Maximum Award:  $495,000</w:t>
      </w:r>
    </w:p>
    <w:p>
      <w:pPr>
        <w:numPr>
          <w:ilvl w:val="1"/>
          <w:numId w:val="11"/>
        </w:numPr>
        <w:ind w:left="1267"/>
        <w:rPr>
          <w:rFonts w:ascii="Arial" w:hAnsi="Arial" w:cs="Arial"/>
        </w:rPr>
      </w:pPr>
      <w:r>
        <w:rPr>
          <w:rFonts w:ascii="Arial" w:hAnsi="Arial" w:cs="Arial"/>
        </w:rPr>
        <w:t xml:space="preserve">Estimated Number of New Awards:  1 </w:t>
      </w:r>
    </w:p>
    <w:p>
      <w:pPr>
        <w:numPr>
          <w:ilvl w:val="1"/>
          <w:numId w:val="11"/>
        </w:numPr>
        <w:ind w:left="1267"/>
        <w:rPr>
          <w:rFonts w:ascii="Arial" w:hAnsi="Arial" w:cs="Arial"/>
        </w:rPr>
      </w:pPr>
      <w:r>
        <w:rPr>
          <w:rFonts w:ascii="Arial" w:hAnsi="Arial" w:cs="Arial"/>
        </w:rPr>
        <w:t>Project Period for Award:  up to 48 months</w:t>
      </w:r>
    </w:p>
    <w:p>
      <w:pPr>
        <w:ind w:left="900"/>
        <w:rPr>
          <w:rFonts w:ascii="Arial" w:hAnsi="Arial" w:cs="Arial"/>
        </w:rPr>
      </w:pPr>
    </w:p>
    <w:p>
      <w:pPr>
        <w:ind w:left="900"/>
        <w:rPr>
          <w:rFonts w:ascii="Arial" w:hAnsi="Arial" w:cs="Arial"/>
        </w:rPr>
      </w:pPr>
      <w:r>
        <w:rPr>
          <w:rFonts w:ascii="Arial" w:hAnsi="Arial" w:cs="Arial"/>
        </w:rPr>
        <w:t xml:space="preserve">The Department is not bound by these estimates. </w:t>
      </w:r>
    </w:p>
    <w:p>
      <w:pPr>
        <w:rPr>
          <w:rFonts w:ascii="Arial" w:hAnsi="Arial" w:cs="Arial"/>
        </w:rPr>
      </w:pPr>
    </w:p>
    <w:p>
      <w:pPr>
        <w:numPr>
          <w:ilvl w:val="0"/>
          <w:numId w:val="11"/>
        </w:numPr>
        <w:spacing w:after="200" w:line="276" w:lineRule="auto"/>
        <w:rPr>
          <w:rFonts w:ascii="Arial" w:eastAsia="Arial Unicode MS" w:hAnsi="Arial" w:cs="Arial"/>
          <w:b/>
          <w:bCs/>
          <w:color w:val="000000"/>
        </w:rPr>
      </w:pPr>
      <w:r>
        <w:rPr>
          <w:rFonts w:ascii="Arial" w:eastAsia="Arial Unicode MS" w:hAnsi="Arial" w:cs="Arial"/>
          <w:b/>
          <w:bCs/>
          <w:color w:val="000000"/>
        </w:rPr>
        <w:t>Intergovernmental Review of Federal Programs</w:t>
      </w:r>
    </w:p>
    <w:p>
      <w:pPr>
        <w:ind w:left="720"/>
        <w:rPr>
          <w:rFonts w:ascii="Arial" w:eastAsia="Arial Unicode MS" w:hAnsi="Arial" w:cs="Arial"/>
          <w:color w:val="000000"/>
        </w:rPr>
      </w:pPr>
      <w:r>
        <w:rPr>
          <w:rFonts w:ascii="Arial" w:eastAsia="Arial Unicode MS" w:hAnsi="Arial" w:cs="Arial"/>
          <w:color w:val="000000"/>
        </w:rPr>
        <w:t>Intergovernmental Review of Federal Programs was issued to foster an intergovernmental partnership and to strengthen federalism by relying on state and local processes for the coordination and review of proposed Federal financial assistance.</w:t>
      </w:r>
    </w:p>
    <w:p>
      <w:pPr>
        <w:rPr>
          <w:rFonts w:ascii="Arial" w:hAnsi="Arial" w:cs="Arial"/>
        </w:rPr>
      </w:pPr>
    </w:p>
    <w:p>
      <w:pPr>
        <w:rPr>
          <w:rFonts w:ascii="Arial" w:hAnsi="Arial" w:cs="Arial"/>
          <w:b/>
        </w:rPr>
      </w:pPr>
      <w:r>
        <w:rPr>
          <w:rFonts w:ascii="Arial" w:hAnsi="Arial" w:cs="Arial"/>
          <w:b/>
        </w:rPr>
        <w:t>3.        Length of New Award</w:t>
      </w:r>
    </w:p>
    <w:p>
      <w:pPr>
        <w:ind w:left="180"/>
        <w:rPr>
          <w:rFonts w:ascii="Arial" w:hAnsi="Arial" w:cs="Arial"/>
          <w:b/>
        </w:rPr>
      </w:pPr>
    </w:p>
    <w:p>
      <w:pPr>
        <w:rPr>
          <w:rFonts w:ascii="Arial" w:hAnsi="Arial" w:cs="Arial"/>
        </w:rPr>
      </w:pPr>
      <w:r>
        <w:rPr>
          <w:rFonts w:ascii="Arial" w:hAnsi="Arial" w:cs="Arial"/>
          <w:szCs w:val="20"/>
        </w:rPr>
        <w:tab/>
      </w:r>
      <w:r>
        <w:rPr>
          <w:rFonts w:ascii="Arial" w:hAnsi="Arial" w:cs="Arial"/>
        </w:rPr>
        <w:t>Applicants may apply for up to four years (48 months) of funding.</w:t>
      </w:r>
    </w:p>
    <w:p>
      <w:pPr>
        <w:ind w:left="720"/>
        <w:rPr>
          <w:rFonts w:ascii="Arial" w:hAnsi="Arial" w:cs="Arial"/>
        </w:rPr>
      </w:pPr>
    </w:p>
    <w:p>
      <w:pPr>
        <w:ind w:left="720" w:hanging="720"/>
        <w:rPr>
          <w:rFonts w:ascii="Arial" w:hAnsi="Arial" w:cs="Arial"/>
          <w:b/>
          <w:bCs/>
        </w:rPr>
      </w:pPr>
      <w:r>
        <w:rPr>
          <w:rFonts w:ascii="Arial" w:hAnsi="Arial" w:cs="Arial"/>
          <w:b/>
          <w:bCs/>
        </w:rPr>
        <w:t>4.</w:t>
      </w:r>
      <w:r>
        <w:rPr>
          <w:rFonts w:ascii="Arial" w:hAnsi="Arial" w:cs="Arial"/>
          <w:b/>
          <w:bCs/>
        </w:rPr>
        <w:tab/>
        <w:t>Center for Best Practices to Support Single Parent Students Program Assurances</w:t>
      </w:r>
    </w:p>
    <w:p>
      <w:pPr>
        <w:rPr>
          <w:rFonts w:ascii="Arial" w:hAnsi="Arial" w:cs="Arial"/>
          <w:b/>
          <w:bCs/>
        </w:rPr>
      </w:pPr>
    </w:p>
    <w:p>
      <w:pPr>
        <w:ind w:left="720"/>
        <w:rPr>
          <w:rFonts w:ascii="Arial" w:hAnsi="Arial" w:cs="Arial"/>
        </w:rPr>
      </w:pPr>
      <w:r>
        <w:rPr>
          <w:rFonts w:ascii="Arial" w:hAnsi="Arial" w:cs="Arial"/>
        </w:rPr>
        <w:t xml:space="preserve">All applications must comply with the Center for Best Practices to Support Single Parent Students Program </w:t>
      </w:r>
      <w:r>
        <w:rPr>
          <w:rFonts w:ascii="Arial" w:hAnsi="Arial" w:cs="Arial"/>
          <w:szCs w:val="23"/>
        </w:rPr>
        <w:t xml:space="preserve">statutory and regulatory requirements.  The assurances are included in the application package </w:t>
      </w:r>
      <w:r>
        <w:rPr>
          <w:rFonts w:ascii="Arial" w:hAnsi="Arial" w:cs="Arial"/>
        </w:rPr>
        <w:t>and must be signed by a certifying official and uploaded into the</w:t>
      </w:r>
      <w:r>
        <w:rPr>
          <w:rFonts w:ascii="Arial" w:hAnsi="Arial" w:cs="Arial"/>
          <w:b/>
          <w:bCs/>
          <w:color w:val="000000"/>
        </w:rPr>
        <w:t xml:space="preserve"> </w:t>
      </w:r>
      <w:r>
        <w:rPr>
          <w:rFonts w:ascii="Arial" w:hAnsi="Arial" w:cs="Arial"/>
          <w:b/>
          <w:bCs/>
          <w:color w:val="000000"/>
          <w:u w:val="single"/>
        </w:rPr>
        <w:t>Other Attachments Form</w:t>
      </w:r>
      <w:r>
        <w:rPr>
          <w:rFonts w:ascii="Arial" w:hAnsi="Arial" w:cs="Arial"/>
          <w:bCs/>
          <w:color w:val="000000"/>
        </w:rPr>
        <w:t xml:space="preserve"> in Grants.gov.  </w:t>
      </w:r>
      <w:r>
        <w:rPr>
          <w:rFonts w:ascii="Arial" w:hAnsi="Arial" w:cs="Arial"/>
          <w:szCs w:val="23"/>
        </w:rPr>
        <w:t>By submitting a Center for Best Practices to Support Single Parent Students Program application, an applicant certifies that it has read the assurances and will fully comply with the requirements</w:t>
      </w:r>
      <w:r>
        <w:rPr>
          <w:rFonts w:ascii="Arial" w:hAnsi="Arial" w:cs="Arial"/>
        </w:rPr>
        <w:t>.</w:t>
      </w:r>
    </w:p>
    <w:p>
      <w:pPr>
        <w:ind w:left="720"/>
        <w:rPr>
          <w:rFonts w:ascii="Arial" w:hAnsi="Arial" w:cs="Arial"/>
        </w:rPr>
      </w:pPr>
      <w:r>
        <w:rPr>
          <w:rFonts w:ascii="Arial" w:hAnsi="Arial" w:cs="Arial"/>
          <w:szCs w:val="23"/>
        </w:rPr>
        <w:t xml:space="preserve"> </w:t>
      </w:r>
    </w:p>
    <w:p>
      <w:pPr>
        <w:rPr>
          <w:rFonts w:ascii="Arial" w:hAnsi="Arial" w:cs="Arial"/>
          <w:szCs w:val="23"/>
        </w:rPr>
      </w:pPr>
      <w:r>
        <w:rPr>
          <w:rFonts w:ascii="Arial" w:hAnsi="Arial" w:cs="Arial"/>
          <w:b/>
        </w:rPr>
        <w:t>5.</w:t>
      </w:r>
      <w:r>
        <w:rPr>
          <w:rFonts w:ascii="Arial" w:hAnsi="Arial" w:cs="Arial"/>
          <w:szCs w:val="23"/>
        </w:rPr>
        <w:t xml:space="preserve"> </w:t>
      </w:r>
      <w:r>
        <w:rPr>
          <w:rFonts w:ascii="Arial" w:hAnsi="Arial" w:cs="Arial"/>
          <w:b/>
          <w:bCs/>
        </w:rPr>
        <w:tab/>
        <w:t>Evaluation of Applications for Awards</w:t>
      </w:r>
    </w:p>
    <w:p>
      <w:pPr>
        <w:ind w:left="180"/>
        <w:rPr>
          <w:rFonts w:ascii="Arial" w:hAnsi="Arial" w:cs="Arial"/>
          <w:b/>
          <w:bCs/>
        </w:rPr>
      </w:pPr>
    </w:p>
    <w:p>
      <w:pPr>
        <w:ind w:left="720"/>
        <w:rPr>
          <w:rFonts w:ascii="Arial" w:hAnsi="Arial" w:cs="Arial"/>
        </w:rPr>
      </w:pPr>
      <w:r>
        <w:rPr>
          <w:rFonts w:ascii="Arial" w:hAnsi="Arial" w:cs="Arial"/>
        </w:rPr>
        <w:t xml:space="preserve">A panel of three non-federal reviewers will review each application in accordance with the selection criteria.  Each reviewer will prepare a written evaluation of the information presented in the project narrative section of the application.   </w:t>
      </w:r>
    </w:p>
    <w:p>
      <w:pPr>
        <w:ind w:left="720"/>
        <w:rPr>
          <w:rFonts w:ascii="Arial" w:hAnsi="Arial" w:cs="Arial"/>
          <w:color w:val="000000"/>
        </w:rPr>
      </w:pPr>
    </w:p>
    <w:p>
      <w:pPr>
        <w:ind w:left="720"/>
        <w:rPr>
          <w:rFonts w:ascii="Arial" w:hAnsi="Arial" w:cs="Arial"/>
          <w:color w:val="000000"/>
        </w:rPr>
      </w:pPr>
      <w:r>
        <w:rPr>
          <w:rFonts w:ascii="Arial" w:hAnsi="Arial" w:cs="Arial"/>
          <w:color w:val="000000"/>
        </w:rPr>
        <w:lastRenderedPageBreak/>
        <w:t>All applications for grants under the Center for Best Practices to Support Single Parent Students Program will be evaluated as new submissions according to the selection criteria listed in the program statute (20 U.S.C. 1161s).</w:t>
      </w:r>
    </w:p>
    <w:p>
      <w:pPr>
        <w:ind w:left="360"/>
        <w:rPr>
          <w:rFonts w:ascii="Arial" w:hAnsi="Arial" w:cs="Arial"/>
        </w:rPr>
      </w:pPr>
    </w:p>
    <w:p>
      <w:pPr>
        <w:ind w:left="180"/>
        <w:jc w:val="both"/>
        <w:rPr>
          <w:rFonts w:ascii="Arial" w:hAnsi="Arial" w:cs="Arial"/>
          <w:b/>
          <w:bCs/>
        </w:rPr>
      </w:pPr>
      <w:r>
        <w:rPr>
          <w:rFonts w:ascii="Arial" w:hAnsi="Arial" w:cs="Arial"/>
          <w:b/>
          <w:bCs/>
        </w:rPr>
        <w:t>6.</w:t>
      </w:r>
      <w:r>
        <w:rPr>
          <w:rFonts w:ascii="Arial" w:hAnsi="Arial" w:cs="Arial"/>
          <w:b/>
          <w:bCs/>
        </w:rPr>
        <w:tab/>
        <w:t>Selection Criteria</w:t>
      </w:r>
    </w:p>
    <w:p>
      <w:pPr>
        <w:ind w:left="180"/>
        <w:jc w:val="both"/>
        <w:rPr>
          <w:rFonts w:ascii="Arial" w:hAnsi="Arial" w:cs="Arial"/>
          <w:b/>
          <w:bCs/>
        </w:rPr>
      </w:pPr>
    </w:p>
    <w:p>
      <w:pPr>
        <w:ind w:left="720"/>
        <w:jc w:val="both"/>
        <w:rPr>
          <w:rFonts w:ascii="Arial" w:hAnsi="Arial" w:cs="Arial"/>
        </w:rPr>
      </w:pPr>
      <w:r>
        <w:rPr>
          <w:rFonts w:ascii="Arial" w:hAnsi="Arial" w:cs="Arial"/>
        </w:rPr>
        <w:t xml:space="preserve">The selection criteria in 34 CFR 75.210 are used to evaluate applications.  </w:t>
      </w:r>
    </w:p>
    <w:p>
      <w:pPr>
        <w:jc w:val="both"/>
        <w:rPr>
          <w:rFonts w:ascii="Arial" w:hAnsi="Arial" w:cs="Arial"/>
        </w:rPr>
      </w:pPr>
    </w:p>
    <w:p>
      <w:pPr>
        <w:numPr>
          <w:ilvl w:val="0"/>
          <w:numId w:val="12"/>
        </w:numPr>
        <w:spacing w:after="200" w:line="276" w:lineRule="auto"/>
        <w:ind w:left="720"/>
        <w:rPr>
          <w:rFonts w:ascii="Arial" w:hAnsi="Arial" w:cs="Arial"/>
          <w:b/>
        </w:rPr>
      </w:pPr>
      <w:r>
        <w:rPr>
          <w:rFonts w:ascii="Arial" w:hAnsi="Arial" w:cs="Arial"/>
          <w:b/>
        </w:rPr>
        <w:t>Applicant Funding</w:t>
      </w:r>
    </w:p>
    <w:p>
      <w:pPr>
        <w:ind w:left="720"/>
        <w:rPr>
          <w:rFonts w:ascii="Arial" w:hAnsi="Arial" w:cs="Arial"/>
          <w:color w:val="000000"/>
        </w:rPr>
      </w:pPr>
      <w:r>
        <w:rPr>
          <w:rFonts w:ascii="Arial" w:hAnsi="Arial" w:cs="Arial"/>
        </w:rPr>
        <w:t>Applicants should pay close attention to the “Maximum Award” section of the notice</w:t>
      </w:r>
      <w:r>
        <w:rPr>
          <w:rFonts w:ascii="Arial" w:hAnsi="Arial" w:cs="Arial"/>
          <w:color w:val="000000"/>
        </w:rPr>
        <w:t xml:space="preserve">.  The Department will reject any application that proposes a budget exceeding the maximum amount specified for the specific project type as indicated in the notice. </w:t>
      </w:r>
    </w:p>
    <w:p>
      <w:pPr>
        <w:jc w:val="both"/>
        <w:rPr>
          <w:rFonts w:ascii="Arial" w:hAnsi="Arial" w:cs="Arial"/>
        </w:rPr>
      </w:pPr>
    </w:p>
    <w:p>
      <w:pPr>
        <w:numPr>
          <w:ilvl w:val="0"/>
          <w:numId w:val="12"/>
        </w:numPr>
        <w:spacing w:after="200" w:line="276" w:lineRule="auto"/>
        <w:ind w:left="720"/>
        <w:rPr>
          <w:rFonts w:ascii="Arial" w:hAnsi="Arial" w:cs="Arial"/>
          <w:b/>
          <w:bCs/>
        </w:rPr>
      </w:pPr>
      <w:r>
        <w:rPr>
          <w:rFonts w:ascii="Arial" w:hAnsi="Arial" w:cs="Arial"/>
          <w:b/>
          <w:bCs/>
        </w:rPr>
        <w:t>Selection of Grantees</w:t>
      </w:r>
    </w:p>
    <w:p>
      <w:pPr>
        <w:ind w:left="720"/>
        <w:rPr>
          <w:rFonts w:ascii="Arial" w:hAnsi="Arial" w:cs="Arial"/>
        </w:rPr>
      </w:pPr>
      <w:r>
        <w:rPr>
          <w:rFonts w:ascii="Arial" w:hAnsi="Arial" w:cs="Arial"/>
        </w:rPr>
        <w:t xml:space="preserve">The Secretary will select applications for funding in rank order, based on the applications’ total scores for the selection criteria. </w:t>
      </w:r>
    </w:p>
    <w:p>
      <w:pPr>
        <w:ind w:left="360"/>
        <w:rPr>
          <w:rFonts w:ascii="Arial" w:hAnsi="Arial" w:cs="Arial"/>
        </w:rPr>
      </w:pPr>
    </w:p>
    <w:p>
      <w:pPr>
        <w:ind w:left="720"/>
        <w:rPr>
          <w:rFonts w:ascii="Arial" w:hAnsi="Arial" w:cs="Arial"/>
        </w:rPr>
      </w:pPr>
      <w:r>
        <w:rPr>
          <w:rFonts w:ascii="Arial" w:hAnsi="Arial" w:cs="Arial"/>
        </w:rPr>
        <w:t>The Department’s Office of Legislation and Congressional Affairs will inform the Congress regarding applications approved for new Center for Best Practices to Support Single Parent Students Program grants.  Successful applicants will receive award notices by mail shortly after the Congress is notified.  No funding information will be released before the Congress is notified.</w:t>
      </w:r>
    </w:p>
    <w:p>
      <w:pPr>
        <w:rPr>
          <w:rFonts w:ascii="Arial" w:hAnsi="Arial" w:cs="Arial"/>
        </w:rPr>
      </w:pPr>
    </w:p>
    <w:p>
      <w:pPr>
        <w:numPr>
          <w:ilvl w:val="0"/>
          <w:numId w:val="12"/>
        </w:numPr>
        <w:spacing w:after="200" w:line="276" w:lineRule="auto"/>
        <w:ind w:left="720"/>
        <w:rPr>
          <w:rFonts w:ascii="Arial" w:hAnsi="Arial" w:cs="Arial"/>
          <w:b/>
          <w:bCs/>
        </w:rPr>
      </w:pPr>
      <w:r>
        <w:rPr>
          <w:rFonts w:ascii="Arial" w:hAnsi="Arial" w:cs="Arial"/>
          <w:b/>
          <w:bCs/>
        </w:rPr>
        <w:t>Notice to Unsuccessful Applicants</w:t>
      </w:r>
    </w:p>
    <w:p>
      <w:pPr>
        <w:ind w:left="720"/>
        <w:rPr>
          <w:rFonts w:ascii="Arial" w:hAnsi="Arial" w:cs="Arial"/>
        </w:rPr>
      </w:pPr>
      <w:r>
        <w:rPr>
          <w:rFonts w:ascii="Arial" w:hAnsi="Arial" w:cs="Arial"/>
        </w:rPr>
        <w:t>Unsuccessful applicants will be notified in writing following the notice to successful applicants.</w:t>
      </w:r>
    </w:p>
    <w:p>
      <w:pPr>
        <w:rPr>
          <w:rFonts w:ascii="Arial" w:hAnsi="Arial" w:cs="Arial"/>
        </w:rPr>
      </w:pPr>
    </w:p>
    <w:p>
      <w:pPr>
        <w:ind w:left="180"/>
        <w:jc w:val="both"/>
        <w:rPr>
          <w:rFonts w:ascii="Arial" w:hAnsi="Arial" w:cs="Arial"/>
          <w:b/>
          <w:bCs/>
        </w:rPr>
      </w:pPr>
      <w:r>
        <w:rPr>
          <w:rFonts w:ascii="Arial" w:hAnsi="Arial" w:cs="Arial"/>
          <w:b/>
          <w:bCs/>
        </w:rPr>
        <w:t xml:space="preserve">10.   Annual Performance Report Requirements </w:t>
      </w:r>
    </w:p>
    <w:p>
      <w:pPr>
        <w:ind w:left="180"/>
        <w:jc w:val="both"/>
        <w:rPr>
          <w:rFonts w:ascii="Arial" w:hAnsi="Arial" w:cs="Arial"/>
          <w:b/>
          <w:bCs/>
        </w:rPr>
      </w:pPr>
    </w:p>
    <w:p>
      <w:pPr>
        <w:ind w:left="720"/>
        <w:rPr>
          <w:rFonts w:ascii="Arial" w:hAnsi="Arial" w:cs="Arial"/>
        </w:rPr>
      </w:pPr>
      <w:r>
        <w:rPr>
          <w:rFonts w:ascii="Arial" w:hAnsi="Arial" w:cs="Arial"/>
        </w:rPr>
        <w:t xml:space="preserve">If you receive a new grant award in FY 2014 you will be required during the funding cycle to submit annual and final performance reports using the FIPSE Grant Database.  This online system collects narratives and data about funded projects to help program officers determine if a grantee is making substantial progress toward meeting approved project objectives.  The database is accessible at: </w:t>
      </w:r>
      <w:hyperlink r:id="rId40" w:history="1">
        <w:r>
          <w:rPr>
            <w:rStyle w:val="Hyperlink"/>
            <w:rFonts w:ascii="Arial" w:hAnsi="Arial" w:cs="Arial"/>
          </w:rPr>
          <w:t>https://fipsedatabase.ed.gov/fipse/index.cfm</w:t>
        </w:r>
      </w:hyperlink>
      <w:r>
        <w:rPr>
          <w:rFonts w:ascii="Arial" w:hAnsi="Arial" w:cs="Arial"/>
        </w:rPr>
        <w:t xml:space="preserve">.  The Annual Performance Report used for this program can be found at </w:t>
      </w:r>
      <w:hyperlink r:id="rId41" w:history="1">
        <w:r>
          <w:rPr>
            <w:rStyle w:val="Hyperlink"/>
            <w:rFonts w:ascii="Arial" w:hAnsi="Arial" w:cs="Arial"/>
          </w:rPr>
          <w:t>http://www.ed.gov/programs/fipsecomp/performance.html</w:t>
        </w:r>
      </w:hyperlink>
      <w:r>
        <w:rPr>
          <w:rFonts w:ascii="Arial" w:hAnsi="Arial" w:cs="Arial"/>
        </w:rPr>
        <w:t>.</w:t>
      </w:r>
    </w:p>
    <w:p>
      <w:pPr>
        <w:jc w:val="both"/>
      </w:pPr>
    </w:p>
    <w:p>
      <w:pPr>
        <w:jc w:val="both"/>
      </w:pPr>
    </w:p>
    <w:p>
      <w:pPr>
        <w:jc w:val="both"/>
      </w:pPr>
    </w:p>
    <w:p>
      <w:pPr>
        <w:jc w:val="both"/>
      </w:pPr>
    </w:p>
    <w:p>
      <w:pPr>
        <w:jc w:val="both"/>
      </w:pPr>
    </w:p>
    <w:p>
      <w:pPr>
        <w:ind w:left="180"/>
        <w:rPr>
          <w:rFonts w:ascii="Arial" w:hAnsi="Arial" w:cs="Arial"/>
          <w:b/>
          <w:bCs/>
        </w:rPr>
      </w:pPr>
    </w:p>
    <w:p>
      <w:pPr>
        <w:ind w:left="180"/>
        <w:rPr>
          <w:rFonts w:ascii="Arial" w:hAnsi="Arial" w:cs="Arial"/>
          <w:b/>
          <w:bCs/>
        </w:rPr>
      </w:pPr>
      <w:r>
        <w:rPr>
          <w:rFonts w:ascii="Arial" w:hAnsi="Arial" w:cs="Arial"/>
          <w:b/>
          <w:bCs/>
        </w:rPr>
        <w:lastRenderedPageBreak/>
        <w:t xml:space="preserve">11. </w:t>
      </w:r>
      <w:r>
        <w:rPr>
          <w:rFonts w:ascii="Arial" w:hAnsi="Arial" w:cs="Arial"/>
          <w:b/>
          <w:bCs/>
        </w:rPr>
        <w:tab/>
        <w:t>Contact</w:t>
      </w:r>
      <w:r>
        <w:rPr>
          <w:b/>
          <w:bCs/>
        </w:rPr>
        <w:t xml:space="preserve"> </w:t>
      </w:r>
      <w:r>
        <w:rPr>
          <w:rFonts w:ascii="Arial" w:hAnsi="Arial" w:cs="Arial"/>
          <w:b/>
          <w:bCs/>
        </w:rPr>
        <w:t>Information</w:t>
      </w:r>
    </w:p>
    <w:p>
      <w:pPr>
        <w:ind w:left="180"/>
        <w:rPr>
          <w:rFonts w:ascii="Arial" w:hAnsi="Arial" w:cs="Arial"/>
          <w:b/>
          <w:bCs/>
        </w:rPr>
      </w:pPr>
    </w:p>
    <w:p>
      <w:pPr>
        <w:ind w:firstLine="720"/>
        <w:rPr>
          <w:rFonts w:ascii="Arial" w:hAnsi="Arial" w:cs="Arial"/>
        </w:rPr>
      </w:pPr>
      <w:r>
        <w:rPr>
          <w:rFonts w:ascii="Arial" w:hAnsi="Arial" w:cs="Arial"/>
        </w:rPr>
        <w:t>Kelly Harris</w:t>
      </w:r>
    </w:p>
    <w:p>
      <w:pPr>
        <w:ind w:left="720"/>
        <w:rPr>
          <w:rFonts w:ascii="Arial" w:hAnsi="Arial" w:cs="Arial"/>
        </w:rPr>
      </w:pPr>
      <w:r>
        <w:rPr>
          <w:rFonts w:ascii="Arial" w:hAnsi="Arial" w:cs="Arial"/>
        </w:rPr>
        <w:t>U.S. Department of Education (FIPSE)</w:t>
      </w:r>
    </w:p>
    <w:p>
      <w:pPr>
        <w:ind w:firstLine="720"/>
        <w:rPr>
          <w:rFonts w:ascii="Arial" w:hAnsi="Arial" w:cs="Arial"/>
        </w:rPr>
      </w:pPr>
      <w:r>
        <w:rPr>
          <w:rFonts w:ascii="Arial" w:hAnsi="Arial" w:cs="Arial"/>
        </w:rPr>
        <w:t>1990 K Street, N.W., Room 6161</w:t>
      </w:r>
    </w:p>
    <w:p>
      <w:pPr>
        <w:ind w:firstLine="720"/>
        <w:rPr>
          <w:rFonts w:ascii="Arial" w:hAnsi="Arial" w:cs="Arial"/>
        </w:rPr>
      </w:pPr>
      <w:r>
        <w:rPr>
          <w:rFonts w:ascii="Arial" w:hAnsi="Arial" w:cs="Arial"/>
        </w:rPr>
        <w:t>Washington, DC 20006-8544</w:t>
      </w:r>
    </w:p>
    <w:p>
      <w:pPr>
        <w:ind w:firstLine="720"/>
        <w:rPr>
          <w:rFonts w:ascii="Arial" w:hAnsi="Arial" w:cs="Arial"/>
        </w:rPr>
      </w:pPr>
      <w:r>
        <w:rPr>
          <w:rFonts w:ascii="Arial" w:hAnsi="Arial" w:cs="Arial"/>
        </w:rPr>
        <w:t>Tel: 202-219-7083</w:t>
      </w:r>
    </w:p>
    <w:p>
      <w:pPr>
        <w:ind w:firstLine="720"/>
        <w:rPr>
          <w:rFonts w:ascii="Arial" w:hAnsi="Arial" w:cs="Arial"/>
        </w:rPr>
      </w:pPr>
      <w:r>
        <w:rPr>
          <w:rFonts w:ascii="Arial" w:hAnsi="Arial" w:cs="Arial"/>
        </w:rPr>
        <w:t>Fax: 202-502-7877</w:t>
      </w:r>
    </w:p>
    <w:p>
      <w:pPr>
        <w:ind w:firstLine="720"/>
        <w:rPr>
          <w:rFonts w:ascii="Arial" w:hAnsi="Arial" w:cs="Arial"/>
        </w:rPr>
      </w:pPr>
      <w:r>
        <w:rPr>
          <w:rFonts w:ascii="Arial" w:hAnsi="Arial" w:cs="Arial"/>
        </w:rPr>
        <w:t xml:space="preserve">E-mail: </w:t>
      </w:r>
      <w:hyperlink r:id="rId42" w:history="1">
        <w:r>
          <w:rPr>
            <w:rStyle w:val="Hyperlink"/>
            <w:rFonts w:ascii="Arial" w:hAnsi="Arial" w:cs="Arial"/>
          </w:rPr>
          <w:t>kelly.harris@ed.gov</w:t>
        </w:r>
      </w:hyperlink>
    </w:p>
    <w:p>
      <w:pPr>
        <w:rPr>
          <w:rFonts w:ascii="Arial" w:hAnsi="Arial" w:cs="Arial"/>
          <w:lang w:val="fr-FR"/>
        </w:rPr>
      </w:pPr>
    </w:p>
    <w:p>
      <w:pPr>
        <w:rPr>
          <w:rFonts w:ascii="Arial" w:hAnsi="Arial" w:cs="Arial"/>
          <w:lang w:val="fr-FR"/>
        </w:rPr>
      </w:pPr>
    </w:p>
    <w:p>
      <w:pPr>
        <w:ind w:firstLine="720"/>
        <w:rPr>
          <w:rFonts w:ascii="Arial" w:hAnsi="Arial" w:cs="Arial"/>
        </w:rPr>
      </w:pPr>
      <w:r>
        <w:rPr>
          <w:rFonts w:ascii="Arial" w:hAnsi="Arial" w:cs="Arial"/>
          <w:b/>
          <w:bCs/>
          <w:u w:val="single"/>
        </w:rPr>
        <w:t>For Grants.gov-related questions and assistance, please contact</w:t>
      </w:r>
      <w:r>
        <w:rPr>
          <w:rFonts w:ascii="Arial" w:hAnsi="Arial" w:cs="Arial"/>
        </w:rPr>
        <w:t>:</w:t>
      </w:r>
    </w:p>
    <w:p>
      <w:pPr>
        <w:ind w:left="360"/>
        <w:rPr>
          <w:rFonts w:ascii="Arial" w:hAnsi="Arial" w:cs="Arial"/>
        </w:rPr>
      </w:pPr>
      <w:r>
        <w:rPr>
          <w:rFonts w:ascii="Arial" w:hAnsi="Arial" w:cs="Arial"/>
        </w:rPr>
        <w:t xml:space="preserve"> </w:t>
      </w:r>
    </w:p>
    <w:p>
      <w:pPr>
        <w:ind w:left="360" w:firstLine="360"/>
        <w:rPr>
          <w:rFonts w:ascii="Arial" w:hAnsi="Arial" w:cs="Arial"/>
        </w:rPr>
      </w:pPr>
      <w:r>
        <w:rPr>
          <w:rFonts w:ascii="Arial" w:hAnsi="Arial" w:cs="Arial"/>
        </w:rPr>
        <w:t>Support Desk:</w:t>
      </w:r>
      <w:r>
        <w:rPr>
          <w:rFonts w:ascii="Arial" w:hAnsi="Arial" w:cs="Arial"/>
        </w:rPr>
        <w:tab/>
      </w:r>
      <w:r>
        <w:rPr>
          <w:rFonts w:ascii="Arial" w:hAnsi="Arial" w:cs="Arial"/>
          <w:color w:val="000000"/>
        </w:rPr>
        <w:t>Grants.gov Support Desk</w:t>
      </w:r>
    </w:p>
    <w:p>
      <w:pPr>
        <w:ind w:left="360"/>
        <w:rPr>
          <w:rFonts w:ascii="Arial" w:hAnsi="Arial" w:cs="Arial"/>
        </w:rPr>
      </w:pPr>
      <w:r>
        <w:rPr>
          <w:rFonts w:ascii="Arial" w:hAnsi="Arial" w:cs="Arial"/>
        </w:rPr>
        <w:t xml:space="preserve">   </w:t>
      </w:r>
      <w:r>
        <w:rPr>
          <w:rFonts w:ascii="Arial" w:hAnsi="Arial" w:cs="Arial"/>
        </w:rPr>
        <w:tab/>
        <w:t>Telephone:</w:t>
      </w:r>
      <w:r>
        <w:rPr>
          <w:rFonts w:ascii="Arial" w:hAnsi="Arial" w:cs="Arial"/>
        </w:rPr>
        <w:tab/>
      </w:r>
      <w:r>
        <w:rPr>
          <w:rFonts w:ascii="Arial" w:hAnsi="Arial" w:cs="Arial"/>
        </w:rPr>
        <w:tab/>
        <w:t>(800) 518-4726</w:t>
      </w:r>
    </w:p>
    <w:p>
      <w:pPr>
        <w:ind w:firstLine="360"/>
        <w:rPr>
          <w:rFonts w:ascii="Arial" w:hAnsi="Arial" w:cs="Arial"/>
        </w:rPr>
      </w:pPr>
      <w:r>
        <w:rPr>
          <w:rFonts w:ascii="Arial" w:hAnsi="Arial" w:cs="Arial"/>
        </w:rPr>
        <w:t xml:space="preserve">   </w:t>
      </w:r>
      <w:r>
        <w:rPr>
          <w:rFonts w:ascii="Arial" w:hAnsi="Arial" w:cs="Arial"/>
        </w:rPr>
        <w:tab/>
        <w:t xml:space="preserve">Hours: </w:t>
      </w:r>
      <w:r>
        <w:rPr>
          <w:rFonts w:ascii="Arial" w:hAnsi="Arial" w:cs="Arial"/>
        </w:rPr>
        <w:tab/>
      </w:r>
      <w:r>
        <w:rPr>
          <w:rFonts w:ascii="Arial" w:hAnsi="Arial" w:cs="Arial"/>
        </w:rPr>
        <w:tab/>
        <w:t>24 hours, 7 days a week, except Federal holidays</w:t>
      </w:r>
    </w:p>
    <w:p>
      <w:pPr>
        <w:ind w:firstLine="360"/>
        <w:rPr>
          <w:rFonts w:ascii="Arial" w:hAnsi="Arial" w:cs="Arial"/>
        </w:rPr>
      </w:pPr>
      <w:r>
        <w:rPr>
          <w:rFonts w:ascii="Arial" w:hAnsi="Arial" w:cs="Arial"/>
        </w:rPr>
        <w:t xml:space="preserve">   </w:t>
      </w:r>
      <w:r>
        <w:rPr>
          <w:rFonts w:ascii="Arial" w:hAnsi="Arial" w:cs="Arial"/>
        </w:rPr>
        <w:tab/>
        <w:t>Email:</w:t>
      </w:r>
      <w:r>
        <w:rPr>
          <w:rFonts w:ascii="Arial" w:hAnsi="Arial" w:cs="Arial"/>
        </w:rPr>
        <w:tab/>
      </w:r>
      <w:r>
        <w:rPr>
          <w:rFonts w:ascii="Arial" w:hAnsi="Arial" w:cs="Arial"/>
        </w:rPr>
        <w:tab/>
      </w:r>
      <w:r>
        <w:rPr>
          <w:rFonts w:ascii="Arial" w:hAnsi="Arial" w:cs="Arial"/>
        </w:rPr>
        <w:tab/>
      </w:r>
      <w:hyperlink r:id="rId43" w:history="1">
        <w:r>
          <w:rPr>
            <w:rStyle w:val="Hyperlink"/>
            <w:rFonts w:ascii="Arial" w:hAnsi="Arial" w:cs="Arial"/>
          </w:rPr>
          <w:t>support@grants.gov</w:t>
        </w:r>
      </w:hyperlink>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ind w:firstLine="360"/>
        <w:rPr>
          <w:rFonts w:ascii="Arial" w:hAnsi="Arial" w:cs="Arial"/>
        </w:rPr>
      </w:pPr>
    </w:p>
    <w:p>
      <w:pPr>
        <w:keepNext/>
        <w:pageBreakBefore/>
        <w:pBdr>
          <w:top w:val="single" w:sz="4" w:space="1" w:color="auto"/>
          <w:bottom w:val="single" w:sz="4" w:space="1" w:color="auto"/>
        </w:pBdr>
        <w:shd w:val="clear" w:color="auto" w:fill="E0E0E0"/>
        <w:jc w:val="center"/>
        <w:outlineLvl w:val="0"/>
        <w:rPr>
          <w:rFonts w:ascii="Arial" w:hAnsi="Arial"/>
          <w:b/>
          <w:color w:val="000000"/>
          <w:sz w:val="28"/>
        </w:rPr>
      </w:pPr>
      <w:r>
        <w:rPr>
          <w:rFonts w:ascii="Arial" w:hAnsi="Arial"/>
          <w:b/>
          <w:color w:val="000000"/>
          <w:sz w:val="28"/>
        </w:rPr>
        <w:lastRenderedPageBreak/>
        <w:t>INSTRUCTIONS FOR COMPLETING THE APPLICATION PACKAGE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rPr>
          <w:rFonts w:ascii="Arial" w:hAnsi="Arial" w:cs="Arial"/>
        </w:rPr>
      </w:pPr>
      <w:r>
        <w:rPr>
          <w:rFonts w:ascii="Arial" w:hAnsi="Arial" w:cs="Arial"/>
        </w:rPr>
        <w:t xml:space="preserve">The application consists of the following four parts.  These parts are organized in the same manner that the submitted application should be organized.  The parts are as follows: </w:t>
      </w:r>
    </w:p>
    <w:p>
      <w:pPr>
        <w:rPr>
          <w:rFonts w:ascii="Arial" w:hAnsi="Arial" w:cs="Arial"/>
        </w:rPr>
      </w:pPr>
    </w:p>
    <w:p>
      <w:pPr>
        <w:rPr>
          <w:rFonts w:ascii="Arial" w:hAnsi="Arial" w:cs="Arial"/>
          <w:b/>
        </w:rPr>
      </w:pPr>
      <w:r>
        <w:rPr>
          <w:rFonts w:ascii="Arial" w:hAnsi="Arial" w:cs="Arial"/>
          <w:b/>
        </w:rPr>
        <w:t>Part I:</w:t>
      </w:r>
      <w:r>
        <w:rPr>
          <w:rFonts w:ascii="Arial" w:hAnsi="Arial" w:cs="Arial"/>
        </w:rPr>
        <w:tab/>
        <w:t xml:space="preserve">  </w:t>
      </w:r>
      <w:r>
        <w:rPr>
          <w:rFonts w:ascii="Arial" w:hAnsi="Arial" w:cs="Arial"/>
        </w:rPr>
        <w:tab/>
      </w:r>
      <w:r>
        <w:rPr>
          <w:rFonts w:ascii="Arial" w:hAnsi="Arial" w:cs="Arial"/>
          <w:b/>
        </w:rPr>
        <w:t>SF 424 Form</w:t>
      </w:r>
    </w:p>
    <w:p>
      <w:pPr>
        <w:rPr>
          <w:rFonts w:ascii="Arial" w:hAnsi="Arial" w:cs="Arial"/>
        </w:rPr>
      </w:pPr>
    </w:p>
    <w:p>
      <w:pPr>
        <w:ind w:left="720" w:firstLine="720"/>
        <w:rPr>
          <w:rFonts w:ascii="Arial" w:hAnsi="Arial" w:cs="Arial"/>
        </w:rPr>
      </w:pPr>
      <w:r>
        <w:rPr>
          <w:rFonts w:ascii="Arial" w:hAnsi="Arial" w:cs="Arial"/>
        </w:rPr>
        <w:t xml:space="preserve">Application for Federal Assistance - (SF 424) </w:t>
      </w:r>
    </w:p>
    <w:p>
      <w:pPr>
        <w:ind w:left="720" w:firstLine="720"/>
        <w:rPr>
          <w:rFonts w:ascii="Arial" w:hAnsi="Arial" w:cs="Arial"/>
        </w:rPr>
      </w:pPr>
      <w:r>
        <w:rPr>
          <w:rFonts w:ascii="Arial" w:hAnsi="Arial" w:cs="Arial"/>
        </w:rPr>
        <w:t>Department of Education Supplemental Information for SF 424</w:t>
      </w:r>
    </w:p>
    <w:p/>
    <w:p>
      <w:pPr>
        <w:rPr>
          <w:rFonts w:ascii="Arial" w:hAnsi="Arial" w:cs="Arial"/>
          <w:b/>
          <w:bCs/>
        </w:rPr>
      </w:pPr>
      <w:r>
        <w:rPr>
          <w:rFonts w:ascii="Arial" w:hAnsi="Arial" w:cs="Arial"/>
          <w:b/>
          <w:bCs/>
          <w:u w:val="single"/>
        </w:rPr>
        <w:t>*Notes:</w:t>
      </w:r>
      <w:r>
        <w:rPr>
          <w:rFonts w:ascii="Arial" w:hAnsi="Arial" w:cs="Arial"/>
          <w:b/>
          <w:bCs/>
        </w:rPr>
        <w:t xml:space="preserve">  </w:t>
      </w:r>
    </w:p>
    <w:p>
      <w:pPr>
        <w:numPr>
          <w:ilvl w:val="0"/>
          <w:numId w:val="10"/>
        </w:numPr>
        <w:rPr>
          <w:rFonts w:ascii="Arial" w:hAnsi="Arial" w:cs="Arial"/>
        </w:rPr>
      </w:pPr>
      <w:r>
        <w:rPr>
          <w:rFonts w:ascii="Arial" w:hAnsi="Arial" w:cs="Arial"/>
        </w:rPr>
        <w:t xml:space="preserve">Applicants must complete the Standard Form (SF 424) form first because some of the information you provide here is automatically inserted into other sections of the Grants.gov application package. </w:t>
      </w:r>
    </w:p>
    <w:p>
      <w:pPr>
        <w:numPr>
          <w:ilvl w:val="0"/>
          <w:numId w:val="10"/>
        </w:numPr>
        <w:rPr>
          <w:rFonts w:ascii="Arial" w:hAnsi="Arial" w:cs="Arial"/>
        </w:rPr>
      </w:pPr>
      <w:bookmarkStart w:id="8" w:name="OLE_LINK1"/>
      <w:r>
        <w:rPr>
          <w:rFonts w:ascii="Arial" w:hAnsi="Arial" w:cs="Arial"/>
        </w:rPr>
        <w:t>Please do not attach any narratives, supporting files, or application components to the SF 424.  Although the form accepts attachments, the Department of Education will only review materials/files attached to the forms listed below.</w:t>
      </w:r>
    </w:p>
    <w:bookmarkEnd w:id="8"/>
    <w:p/>
    <w:p/>
    <w:p>
      <w:pPr>
        <w:ind w:left="1440" w:hanging="1440"/>
        <w:rPr>
          <w:rFonts w:ascii="Arial" w:hAnsi="Arial" w:cs="Arial"/>
          <w:b/>
        </w:rPr>
      </w:pPr>
      <w:r>
        <w:rPr>
          <w:rFonts w:ascii="Arial" w:hAnsi="Arial" w:cs="Arial"/>
          <w:b/>
        </w:rPr>
        <w:t>Part II:</w:t>
      </w:r>
      <w:r>
        <w:rPr>
          <w:rFonts w:ascii="Arial" w:hAnsi="Arial" w:cs="Arial"/>
        </w:rPr>
        <w:t xml:space="preserve">  </w:t>
      </w:r>
      <w:r>
        <w:rPr>
          <w:rFonts w:ascii="Arial" w:hAnsi="Arial" w:cs="Arial"/>
        </w:rPr>
        <w:tab/>
      </w:r>
      <w:r>
        <w:rPr>
          <w:rFonts w:ascii="Arial" w:hAnsi="Arial" w:cs="Arial"/>
          <w:b/>
        </w:rPr>
        <w:t>ED Form 524</w:t>
      </w:r>
    </w:p>
    <w:p>
      <w:pPr>
        <w:ind w:left="1440" w:hanging="1440"/>
        <w:rPr>
          <w:rFonts w:ascii="Arial" w:hAnsi="Arial" w:cs="Arial"/>
          <w:b/>
        </w:rPr>
      </w:pPr>
    </w:p>
    <w:p>
      <w:pPr>
        <w:ind w:left="1440"/>
        <w:rPr>
          <w:rFonts w:ascii="Arial" w:hAnsi="Arial" w:cs="Arial"/>
        </w:rPr>
      </w:pPr>
      <w:r>
        <w:rPr>
          <w:rFonts w:ascii="Arial" w:hAnsi="Arial" w:cs="Arial"/>
        </w:rPr>
        <w:t xml:space="preserve">Department of Education Budget Summary Form - (ED Form 524) </w:t>
      </w:r>
    </w:p>
    <w:p>
      <w:pPr>
        <w:ind w:left="1440"/>
        <w:rPr>
          <w:rFonts w:ascii="Arial" w:hAnsi="Arial" w:cs="Arial"/>
        </w:rPr>
      </w:pPr>
      <w:r>
        <w:rPr>
          <w:rFonts w:ascii="Arial" w:hAnsi="Arial" w:cs="Arial"/>
        </w:rPr>
        <w:t>Sections A &amp; B</w:t>
      </w:r>
    </w:p>
    <w:p>
      <w:pPr>
        <w:ind w:left="1440"/>
        <w:rPr>
          <w:rFonts w:ascii="Arial" w:hAnsi="Arial" w:cs="Arial"/>
        </w:rPr>
      </w:pPr>
      <w:r>
        <w:rPr>
          <w:rFonts w:ascii="Arial" w:hAnsi="Arial" w:cs="Arial"/>
        </w:rPr>
        <w:t>(</w:t>
      </w:r>
      <w:r>
        <w:rPr>
          <w:rFonts w:ascii="Arial" w:hAnsi="Arial" w:cs="Arial"/>
          <w:b/>
        </w:rPr>
        <w:t>NOTE</w:t>
      </w:r>
      <w:r>
        <w:rPr>
          <w:rFonts w:ascii="Arial" w:hAnsi="Arial" w:cs="Arial"/>
        </w:rPr>
        <w:t>:   Section C – Budget Narrative must be included as part of the Program Narrative Attachment Form, located in Part III.)</w:t>
      </w:r>
    </w:p>
    <w:p>
      <w:pPr>
        <w:ind w:left="1440"/>
        <w:rPr>
          <w:rFonts w:ascii="Arial" w:hAnsi="Arial" w:cs="Arial"/>
        </w:rPr>
      </w:pPr>
    </w:p>
    <w:p>
      <w:pPr>
        <w:ind w:left="1440" w:hanging="720"/>
        <w:rPr>
          <w:rFonts w:ascii="Arial" w:hAnsi="Arial" w:cs="Arial"/>
        </w:rPr>
      </w:pPr>
    </w:p>
    <w:p>
      <w:pPr>
        <w:ind w:left="720" w:hanging="720"/>
        <w:rPr>
          <w:rFonts w:ascii="Arial" w:hAnsi="Arial" w:cs="Arial"/>
          <w:b/>
          <w:bCs/>
        </w:rPr>
      </w:pPr>
      <w:r>
        <w:rPr>
          <w:rFonts w:ascii="Arial" w:hAnsi="Arial" w:cs="Arial"/>
          <w:b/>
        </w:rPr>
        <w:t>Part III:</w:t>
      </w:r>
      <w:r>
        <w:tab/>
      </w:r>
      <w:r>
        <w:rPr>
          <w:rFonts w:ascii="Arial" w:hAnsi="Arial" w:cs="Arial"/>
          <w:b/>
          <w:bCs/>
        </w:rPr>
        <w:t>Attachments</w:t>
      </w:r>
    </w:p>
    <w:p>
      <w:pPr>
        <w:ind w:left="720" w:hanging="720"/>
        <w:rPr>
          <w:rFonts w:ascii="Arial" w:hAnsi="Arial" w:cs="Arial"/>
          <w:b/>
        </w:rPr>
      </w:pPr>
    </w:p>
    <w:p>
      <w:pPr>
        <w:ind w:left="720" w:hanging="720"/>
        <w:rPr>
          <w:rFonts w:ascii="Arial" w:hAnsi="Arial" w:cs="Arial"/>
          <w:color w:val="000000"/>
        </w:rPr>
      </w:pPr>
      <w:r>
        <w:rPr>
          <w:rFonts w:ascii="Arial" w:hAnsi="Arial" w:cs="Arial"/>
          <w:b/>
        </w:rPr>
        <w:tab/>
      </w:r>
      <w:r>
        <w:rPr>
          <w:rFonts w:ascii="Arial" w:hAnsi="Arial" w:cs="Arial"/>
          <w:b/>
        </w:rPr>
        <w:tab/>
      </w:r>
      <w:r>
        <w:rPr>
          <w:rFonts w:ascii="Arial" w:hAnsi="Arial" w:cs="Arial"/>
          <w:color w:val="000000"/>
        </w:rPr>
        <w:t>ED Abstract Form</w:t>
      </w:r>
    </w:p>
    <w:p>
      <w:pPr>
        <w:ind w:left="720" w:hanging="720"/>
        <w:rPr>
          <w:rFonts w:ascii="Arial" w:hAnsi="Arial" w:cs="Arial"/>
        </w:rPr>
      </w:pPr>
      <w:r>
        <w:rPr>
          <w:color w:val="000000"/>
        </w:rPr>
        <w:tab/>
      </w:r>
      <w:r>
        <w:rPr>
          <w:color w:val="000000"/>
        </w:rPr>
        <w:tab/>
      </w:r>
      <w:r>
        <w:rPr>
          <w:rFonts w:ascii="Arial" w:hAnsi="Arial" w:cs="Arial"/>
        </w:rPr>
        <w:t>Project Narrative Attachment Form – includes a Table of Contents</w:t>
      </w:r>
    </w:p>
    <w:p>
      <w:pPr>
        <w:ind w:left="1440"/>
        <w:rPr>
          <w:rFonts w:ascii="Arial" w:hAnsi="Arial" w:cs="Arial"/>
        </w:rPr>
      </w:pPr>
      <w:r>
        <w:rPr>
          <w:rFonts w:ascii="Arial" w:hAnsi="Arial" w:cs="Arial"/>
        </w:rPr>
        <w:t xml:space="preserve">Other Attachments Form </w:t>
      </w:r>
    </w:p>
    <w:p/>
    <w:p>
      <w:pPr>
        <w:ind w:left="1440"/>
        <w:rPr>
          <w:color w:val="000000"/>
        </w:rPr>
      </w:pPr>
    </w:p>
    <w:p>
      <w:pPr>
        <w:rPr>
          <w:rFonts w:ascii="Arial" w:hAnsi="Arial" w:cs="Arial"/>
        </w:rPr>
      </w:pPr>
      <w:r>
        <w:rPr>
          <w:rFonts w:ascii="Arial" w:hAnsi="Arial" w:cs="Arial"/>
        </w:rPr>
        <w:t xml:space="preserve">The </w:t>
      </w:r>
      <w:r>
        <w:rPr>
          <w:rFonts w:ascii="Arial" w:hAnsi="Arial" w:cs="Arial"/>
          <w:u w:val="single"/>
        </w:rPr>
        <w:t xml:space="preserve">Department of Education Abstract Form </w:t>
      </w:r>
      <w:r>
        <w:rPr>
          <w:rFonts w:ascii="Arial" w:hAnsi="Arial" w:cs="Arial"/>
        </w:rPr>
        <w:t>is where you attach the one-page Center for Best Practices to Support Single Parent Students Program project abstract.</w:t>
      </w:r>
    </w:p>
    <w:p>
      <w:pPr>
        <w:rPr>
          <w:rFonts w:ascii="Arial" w:hAnsi="Arial" w:cs="Arial"/>
        </w:rPr>
      </w:pPr>
    </w:p>
    <w:p>
      <w:pPr>
        <w:tabs>
          <w:tab w:val="left" w:pos="360"/>
        </w:tabs>
        <w:rPr>
          <w:rFonts w:ascii="Arial" w:hAnsi="Arial" w:cs="Arial"/>
        </w:rPr>
      </w:pPr>
      <w:r>
        <w:rPr>
          <w:rFonts w:ascii="Arial" w:hAnsi="Arial" w:cs="Arial"/>
        </w:rPr>
        <w:t xml:space="preserve">The </w:t>
      </w:r>
      <w:r>
        <w:rPr>
          <w:rFonts w:ascii="Arial" w:hAnsi="Arial" w:cs="Arial"/>
          <w:u w:val="single"/>
        </w:rPr>
        <w:t>Project Narrative Attachment Form</w:t>
      </w:r>
      <w:r>
        <w:rPr>
          <w:rFonts w:ascii="Arial" w:hAnsi="Arial" w:cs="Arial"/>
        </w:rPr>
        <w:t xml:space="preserve"> is where you attach the responses addressing the program selection criteria that will be used to evaluate applications submitted for </w:t>
      </w:r>
    </w:p>
    <w:p>
      <w:pPr>
        <w:tabs>
          <w:tab w:val="left" w:pos="360"/>
        </w:tabs>
        <w:rPr>
          <w:rFonts w:ascii="Arial" w:hAnsi="Arial" w:cs="Arial"/>
        </w:rPr>
      </w:pPr>
      <w:r>
        <w:rPr>
          <w:rFonts w:ascii="Arial" w:hAnsi="Arial" w:cs="Arial"/>
        </w:rPr>
        <w:t xml:space="preserve">this competition.  </w:t>
      </w:r>
      <w:r>
        <w:rPr>
          <w:rFonts w:ascii="Arial" w:hAnsi="Arial" w:cs="Arial"/>
          <w:b/>
        </w:rPr>
        <w:t>The total page limit for the project narrative portion of the application for the FY 2014 Center for Best Practices to Support Single Parent Students competition is 35 pages.  Please see the notice for detailed information on page limits and formatting requirements</w:t>
      </w:r>
      <w:r>
        <w:rPr>
          <w:rFonts w:ascii="Arial" w:hAnsi="Arial" w:cs="Arial"/>
        </w:rPr>
        <w:t xml:space="preserve">.  You should include a Table of Contents for your application as the first page of this section.  The Table of Contents will not count against the 35 pages you are allowed for your responses to the selection criteria. </w:t>
      </w:r>
      <w:r>
        <w:rPr>
          <w:rFonts w:ascii="Arial" w:hAnsi="Arial" w:cs="Arial"/>
          <w:b/>
        </w:rPr>
        <w:lastRenderedPageBreak/>
        <w:t xml:space="preserve">You must also include your budget narrative in this section as part of the selection criteria, which is also not counted as part of the 35-page limit.  </w:t>
      </w:r>
      <w:r>
        <w:rPr>
          <w:rFonts w:ascii="Arial" w:hAnsi="Arial" w:cs="Arial"/>
        </w:rPr>
        <w:t xml:space="preserve">The budget should demonstrate and justify that all costs are reasonable and necessary to accomplish the proposed project activities.  </w:t>
      </w:r>
    </w:p>
    <w:p>
      <w:pPr>
        <w:rPr>
          <w:rFonts w:ascii="Arial" w:hAnsi="Arial" w:cs="Arial"/>
        </w:rPr>
      </w:pPr>
    </w:p>
    <w:p>
      <w:pPr>
        <w:rPr>
          <w:rFonts w:ascii="Arial" w:hAnsi="Arial" w:cs="Arial"/>
        </w:rPr>
      </w:pPr>
      <w:r>
        <w:rPr>
          <w:rFonts w:ascii="Arial" w:hAnsi="Arial" w:cs="Arial"/>
        </w:rPr>
        <w:t xml:space="preserve">The </w:t>
      </w:r>
      <w:r>
        <w:rPr>
          <w:rFonts w:ascii="Arial" w:hAnsi="Arial" w:cs="Arial"/>
          <w:u w:val="single"/>
        </w:rPr>
        <w:t>Other Attachments Form</w:t>
      </w:r>
      <w:r>
        <w:rPr>
          <w:rFonts w:ascii="Arial" w:hAnsi="Arial" w:cs="Arial"/>
        </w:rPr>
        <w:t xml:space="preserve"> is where you attach project participant biographies.  These will not be counted as part of the 35-page limit.</w:t>
      </w:r>
    </w:p>
    <w:p>
      <w:pPr>
        <w:rPr>
          <w:rFonts w:ascii="Arial" w:hAnsi="Arial" w:cs="Arial"/>
        </w:rPr>
      </w:pPr>
    </w:p>
    <w:p>
      <w:pPr>
        <w:rPr>
          <w:rFonts w:ascii="Arial" w:hAnsi="Arial" w:cs="Arial"/>
          <w:b/>
          <w:bCs/>
        </w:rPr>
      </w:pPr>
      <w:r>
        <w:rPr>
          <w:rFonts w:ascii="Arial" w:hAnsi="Arial" w:cs="Arial"/>
          <w:b/>
          <w:bCs/>
        </w:rPr>
        <w:t>*All attachments must be in a .PDF format only.  Other types of files will not be accepted.</w:t>
      </w:r>
    </w:p>
    <w:p/>
    <w:p>
      <w:pPr>
        <w:rPr>
          <w:rFonts w:ascii="Arial" w:hAnsi="Arial" w:cs="Arial"/>
          <w:i/>
          <w:iCs/>
        </w:rPr>
      </w:pPr>
      <w:r>
        <w:rPr>
          <w:b/>
          <w:bCs/>
        </w:rPr>
        <w:tab/>
      </w:r>
    </w:p>
    <w:p>
      <w:pPr>
        <w:rPr>
          <w:rFonts w:ascii="Arial" w:hAnsi="Arial" w:cs="Arial"/>
          <w:b/>
          <w:bCs/>
        </w:rPr>
      </w:pPr>
      <w:r>
        <w:rPr>
          <w:rFonts w:ascii="Arial" w:hAnsi="Arial" w:cs="Arial"/>
          <w:b/>
          <w:bCs/>
        </w:rPr>
        <w:t>Part IV:</w:t>
      </w:r>
      <w:r>
        <w:rPr>
          <w:rFonts w:ascii="Arial" w:hAnsi="Arial" w:cs="Arial"/>
          <w:b/>
          <w:bCs/>
        </w:rPr>
        <w:tab/>
        <w:t>Assurances, Certifications, and Survey Forms</w:t>
      </w:r>
    </w:p>
    <w:p>
      <w:pPr>
        <w:rPr>
          <w:rFonts w:ascii="Arial" w:hAnsi="Arial" w:cs="Arial"/>
          <w:b/>
          <w:bCs/>
        </w:rPr>
      </w:pPr>
    </w:p>
    <w:p>
      <w:pPr>
        <w:rPr>
          <w:rFonts w:ascii="Arial" w:hAnsi="Arial" w:cs="Arial"/>
        </w:rPr>
      </w:pPr>
      <w:r>
        <w:rPr>
          <w:rFonts w:ascii="Arial" w:hAnsi="Arial" w:cs="Arial"/>
          <w:b/>
          <w:bCs/>
        </w:rPr>
        <w:tab/>
      </w:r>
      <w:r>
        <w:rPr>
          <w:rFonts w:ascii="Arial" w:hAnsi="Arial" w:cs="Arial"/>
          <w:b/>
          <w:bCs/>
        </w:rPr>
        <w:tab/>
      </w:r>
      <w:r>
        <w:rPr>
          <w:rFonts w:ascii="Arial" w:hAnsi="Arial" w:cs="Arial"/>
          <w:bCs/>
        </w:rPr>
        <w:t>ED</w:t>
      </w:r>
      <w:r>
        <w:rPr>
          <w:rFonts w:ascii="Arial" w:hAnsi="Arial" w:cs="Arial"/>
          <w:b/>
          <w:bCs/>
        </w:rPr>
        <w:t>-</w:t>
      </w:r>
      <w:r>
        <w:rPr>
          <w:rFonts w:ascii="Arial" w:hAnsi="Arial" w:cs="Arial"/>
        </w:rPr>
        <w:t>GEPA Section 427 Requirement</w:t>
      </w:r>
    </w:p>
    <w:p>
      <w:pPr>
        <w:rPr>
          <w:rFonts w:ascii="Arial" w:hAnsi="Arial" w:cs="Arial"/>
        </w:rPr>
      </w:pPr>
      <w:r>
        <w:rPr>
          <w:rFonts w:ascii="Arial" w:hAnsi="Arial" w:cs="Arial"/>
        </w:rPr>
        <w:tab/>
      </w:r>
      <w:r>
        <w:rPr>
          <w:rFonts w:ascii="Arial" w:hAnsi="Arial" w:cs="Arial"/>
        </w:rPr>
        <w:tab/>
        <w:t>Assurances – Non-Construction Programs (SF 424B)</w:t>
      </w:r>
    </w:p>
    <w:p>
      <w:pPr>
        <w:ind w:left="720" w:firstLine="720"/>
        <w:rPr>
          <w:rFonts w:ascii="Arial" w:hAnsi="Arial" w:cs="Arial"/>
        </w:rPr>
      </w:pPr>
      <w:r>
        <w:rPr>
          <w:rFonts w:ascii="Arial" w:hAnsi="Arial" w:cs="Arial"/>
        </w:rPr>
        <w:t>Grants.gov Lobbying Form (formerly ED Form 80-0013)</w:t>
      </w:r>
    </w:p>
    <w:p>
      <w:pPr>
        <w:rPr>
          <w:rFonts w:ascii="Arial" w:hAnsi="Arial" w:cs="Arial"/>
        </w:rPr>
      </w:pPr>
      <w:r>
        <w:rPr>
          <w:rFonts w:ascii="Arial" w:hAnsi="Arial" w:cs="Arial"/>
        </w:rPr>
        <w:tab/>
      </w:r>
      <w:r>
        <w:rPr>
          <w:rFonts w:ascii="Arial" w:hAnsi="Arial" w:cs="Arial"/>
        </w:rPr>
        <w:tab/>
        <w:t>Survey on Ensuring Equal Opportunity for Applicants</w:t>
      </w:r>
    </w:p>
    <w:p>
      <w:pPr>
        <w:rPr>
          <w:rFonts w:ascii="Arial" w:hAnsi="Arial" w:cs="Arial"/>
        </w:rPr>
      </w:pPr>
      <w:r>
        <w:tab/>
      </w:r>
      <w:r>
        <w:tab/>
      </w:r>
      <w:r>
        <w:rPr>
          <w:rFonts w:ascii="Arial" w:hAnsi="Arial" w:cs="Arial"/>
        </w:rPr>
        <w:t>Disclosure of Lobbying Activities (SF-LLL)</w:t>
      </w:r>
    </w:p>
    <w:p>
      <w:pPr>
        <w:rPr>
          <w:b/>
          <w:bCs/>
        </w:rPr>
      </w:pPr>
    </w:p>
    <w:p>
      <w:pPr>
        <w:ind w:firstLine="720"/>
        <w:rPr>
          <w:b/>
          <w:bCs/>
        </w:rPr>
      </w:pPr>
    </w:p>
    <w:p>
      <w:pPr>
        <w:ind w:firstLine="720"/>
        <w:rPr>
          <w:b/>
          <w:bCs/>
        </w:rPr>
      </w:pPr>
    </w:p>
    <w:p>
      <w:pPr>
        <w:ind w:firstLine="720"/>
        <w:rPr>
          <w:b/>
          <w:bCs/>
        </w:rPr>
      </w:pPr>
    </w:p>
    <w:p>
      <w:pPr>
        <w:ind w:firstLine="720"/>
      </w:pPr>
    </w:p>
    <w:p>
      <w:pPr>
        <w:tabs>
          <w:tab w:val="center" w:pos="4680"/>
          <w:tab w:val="left" w:pos="5400"/>
          <w:tab w:val="right" w:pos="9360"/>
        </w:tabs>
        <w:outlineLvl w:val="0"/>
        <w:rPr>
          <w:b/>
          <w:b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rPr>
          <w:rFonts w:ascii="Arial" w:hAnsi="Arial" w:cs="Arial"/>
          <w:b/>
          <w:bCs/>
          <w:caps/>
          <w:sz w:val="28"/>
          <w:szCs w:val="28"/>
        </w:rPr>
      </w:pPr>
      <w:bookmarkStart w:id="9" w:name="_Toc262126934"/>
      <w:r>
        <w:rPr>
          <w:caps/>
          <w:sz w:val="28"/>
          <w:szCs w:val="28"/>
        </w:rPr>
        <w:br w:type="page"/>
      </w:r>
    </w:p>
    <w:p>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r>
        <w:rPr>
          <w:caps/>
          <w:sz w:val="28"/>
          <w:szCs w:val="28"/>
        </w:rPr>
        <w:lastRenderedPageBreak/>
        <w:t>Instructions for project narrative</w:t>
      </w:r>
      <w:bookmarkEnd w:id="9"/>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2"/>
          <w:szCs w:val="2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u w:val="single"/>
        </w:rPr>
      </w:pPr>
      <w:r>
        <w:rPr>
          <w:rFonts w:ascii="Arial" w:hAnsi="Arial" w:cs="Arial"/>
          <w:u w:val="single"/>
        </w:rPr>
        <w:t xml:space="preserve">Applicants will attach the project narrative to the </w:t>
      </w:r>
      <w:r>
        <w:rPr>
          <w:rFonts w:ascii="Arial" w:hAnsi="Arial" w:cs="Arial"/>
          <w:b/>
          <w:bCs/>
          <w:u w:val="single"/>
        </w:rPr>
        <w:t xml:space="preserve">Project Narrative Attachment Form </w:t>
      </w:r>
      <w:r>
        <w:rPr>
          <w:rFonts w:ascii="Arial" w:hAnsi="Arial" w:cs="Arial"/>
          <w:bCs/>
          <w:u w:val="single"/>
        </w:rPr>
        <w:t>as described in Part III of the instructions for completing the application package, above.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u w:val="single"/>
        </w:rPr>
      </w:pPr>
    </w:p>
    <w:p>
      <w:pPr>
        <w:pStyle w:val="Step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Please note that the sum total number of pages allowed for your Project Narrative may not exceed </w:t>
      </w:r>
      <w:r>
        <w:rPr>
          <w:rFonts w:ascii="Arial" w:hAnsi="Arial" w:cs="Arial"/>
          <w:b/>
          <w:bCs/>
        </w:rPr>
        <w:t>35 pages</w:t>
      </w:r>
      <w:r>
        <w:rPr>
          <w:rFonts w:ascii="Arial" w:hAnsi="Arial" w:cs="Arial"/>
        </w:rPr>
        <w:t>.  The page limit does not apply to Part I, the Application for Federal Assistance form (SF-424); the Abstract, the Table of Contents; Part II, the budget section, including the narrative budget justification; Part IV, the assurances and certifications.  The page limit applies only to the application narrative section.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pStyle w:val="Steps"/>
        <w:rPr>
          <w:rFonts w:ascii="Arial" w:hAnsi="Arial" w:cs="Arial"/>
          <w:b/>
          <w:bCs/>
        </w:rPr>
      </w:pPr>
      <w:r>
        <w:rPr>
          <w:rFonts w:ascii="Arial" w:hAnsi="Arial" w:cs="Arial"/>
          <w:b/>
          <w:bCs/>
        </w:rPr>
        <w:t>Formatting</w:t>
      </w:r>
    </w:p>
    <w:p>
      <w:pPr>
        <w:pStyle w:val="Steps"/>
        <w:rPr>
          <w:rFonts w:ascii="Arial" w:hAnsi="Arial" w:cs="Arial"/>
          <w:b/>
          <w:bCs/>
        </w:rPr>
      </w:pPr>
    </w:p>
    <w:p>
      <w:pPr>
        <w:pStyle w:val="Steps"/>
        <w:rPr>
          <w:rFonts w:ascii="Arial" w:hAnsi="Arial" w:cs="Arial"/>
        </w:rPr>
      </w:pPr>
      <w:r>
        <w:rPr>
          <w:rFonts w:ascii="Arial" w:hAnsi="Arial" w:cs="Arial"/>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one of the following fonts:  </w:t>
      </w:r>
      <w:r>
        <w:rPr>
          <w:rFonts w:ascii="Arial" w:hAnsi="Arial" w:cs="Arial"/>
          <w:iCs/>
        </w:rPr>
        <w:t xml:space="preserve">Times New Roman, Courier, Courier New or Arial, </w:t>
      </w:r>
      <w:r>
        <w:rPr>
          <w:rFonts w:ascii="Arial" w:hAnsi="Arial" w:cs="Arial"/>
          <w:u w:val="single"/>
        </w:rPr>
        <w:t>only</w:t>
      </w:r>
      <w:r>
        <w:rPr>
          <w:rFonts w:ascii="Arial" w:hAnsi="Arial" w:cs="Arial"/>
        </w:rPr>
        <w:t>.</w:t>
      </w:r>
      <w:r>
        <w:rPr>
          <w:rFonts w:ascii="Arial" w:hAnsi="Arial" w:cs="Arial"/>
          <w:iCs/>
        </w:rPr>
        <w:t xml:space="preserve">  </w:t>
      </w:r>
      <w:r>
        <w:rPr>
          <w:rFonts w:ascii="Arial" w:hAnsi="Arial" w:cs="Arial"/>
        </w:rPr>
        <w:t>Applications submitted in any other font (including Times Roman and Arial Narrow) will not be accepted.  Do not use anything smaller than a 12-point font.</w:t>
      </w:r>
    </w:p>
    <w:p>
      <w:pPr>
        <w:pStyle w:val="Steps"/>
        <w:ind w:left="720"/>
        <w:rPr>
          <w:rFonts w:ascii="Arial" w:hAnsi="Arial" w:cs="Arial"/>
        </w:rPr>
      </w:pPr>
    </w:p>
    <w:p>
      <w:pPr>
        <w:pStyle w:val="Steps"/>
        <w:rPr>
          <w:rFonts w:ascii="Arial" w:hAnsi="Arial" w:cs="Arial"/>
        </w:rPr>
      </w:pPr>
      <w:r>
        <w:rPr>
          <w:rFonts w:ascii="Arial" w:hAnsi="Arial" w:cs="Arial"/>
        </w:rPr>
        <w:t xml:space="preserve">Before preparing the Program Narrative, applicants should review the Dear Applicant Letter, the </w:t>
      </w:r>
      <w:r>
        <w:rPr>
          <w:rFonts w:ascii="Arial" w:hAnsi="Arial" w:cs="Arial"/>
          <w:u w:val="single"/>
        </w:rPr>
        <w:t>Federal Register</w:t>
      </w:r>
      <w:r>
        <w:rPr>
          <w:rFonts w:ascii="Arial" w:hAnsi="Arial" w:cs="Arial"/>
        </w:rPr>
        <w:t xml:space="preserve"> notice (</w:t>
      </w:r>
      <w:r>
        <w:rPr>
          <w:rFonts w:ascii="Arial" w:hAnsi="Arial" w:cs="Arial"/>
          <w:u w:val="single"/>
        </w:rPr>
        <w:t>Notice</w:t>
      </w:r>
      <w:r>
        <w:rPr>
          <w:rFonts w:ascii="Arial" w:hAnsi="Arial" w:cs="Arial"/>
        </w:rPr>
        <w:t xml:space="preserve">), and program statute for specific guidance and requirements.  Note that applications will be evaluated according to the specific selection criteria specified in the </w:t>
      </w:r>
      <w:r>
        <w:rPr>
          <w:rFonts w:ascii="Arial" w:hAnsi="Arial" w:cs="Arial"/>
          <w:u w:val="single"/>
        </w:rPr>
        <w:t>Notice</w:t>
      </w:r>
      <w:r>
        <w:rPr>
          <w:rFonts w:ascii="Arial" w:hAnsi="Arial" w:cs="Arial"/>
        </w:rPr>
        <w:t xml:space="preserve"> and this package.</w:t>
      </w:r>
    </w:p>
    <w:p>
      <w:pPr>
        <w:pStyle w:val="Steps"/>
        <w:ind w:left="720"/>
        <w:rPr>
          <w:rFonts w:ascii="Arial" w:hAnsi="Arial" w:cs="Arial"/>
        </w:rPr>
      </w:pPr>
    </w:p>
    <w:p>
      <w:pPr>
        <w:pStyle w:val="TOC1"/>
        <w:tabs>
          <w:tab w:val="left" w:pos="720"/>
        </w:tabs>
        <w:rPr>
          <w:szCs w:val="24"/>
        </w:rPr>
      </w:pPr>
      <w:r>
        <w:rPr>
          <w:szCs w:val="24"/>
        </w:rPr>
        <w:t>SELECTION CRITERIA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The Secretary evaluates an application on the basis of the broad criteria in § 34 CFR Part 75, sections 75.209(a) and 75.210 of the Education Department General Administrative Regulations (EDGAR).  The Department will evaluate proposals using weighted selection criteria published in EDGAR § 34 CFR part 75 sections 75.210 (c)(2)(xiv), 210(f)(i-ii), 210(e)(2)(i-iii), and 210(h)(iii, vi).  The maximum score that any proposal may receive is 100 points.  </w:t>
      </w:r>
    </w:p>
    <w:p>
      <w:pPr>
        <w:pStyle w:val="Steps"/>
        <w:ind w:left="720"/>
        <w:jc w:val="both"/>
        <w:rPr>
          <w:rFonts w:ascii="Arial" w:hAnsi="Arial" w:cs="Arial"/>
        </w:rPr>
      </w:pPr>
    </w:p>
    <w:p>
      <w:pPr>
        <w:pStyle w:val="Steps"/>
        <w:rPr>
          <w:rFonts w:ascii="Arial" w:hAnsi="Arial" w:cs="Arial"/>
        </w:rPr>
      </w:pPr>
      <w:r>
        <w:rPr>
          <w:rFonts w:ascii="Arial" w:hAnsi="Arial" w:cs="Arial"/>
        </w:rPr>
        <w:t>To facilitate the review of the application, provide responses to the following four (4) EDGAR selection criteria in the following order:</w:t>
      </w:r>
    </w:p>
    <w:p>
      <w:pPr>
        <w:pStyle w:val="Steps"/>
        <w:rPr>
          <w:rFonts w:ascii="Arial" w:hAnsi="Arial" w:cs="Arial"/>
        </w:rPr>
      </w:pPr>
    </w:p>
    <w:p>
      <w:pPr>
        <w:numPr>
          <w:ilvl w:val="0"/>
          <w:numId w:val="1"/>
        </w:numPr>
        <w:ind w:left="360"/>
        <w:rPr>
          <w:rFonts w:ascii="Arial" w:hAnsi="Arial" w:cs="Arial"/>
        </w:rPr>
      </w:pPr>
      <w:r>
        <w:rPr>
          <w:rFonts w:ascii="Arial" w:hAnsi="Arial" w:cs="Arial"/>
        </w:rPr>
        <w:t>Project Design</w:t>
      </w:r>
      <w:r>
        <w:rPr>
          <w:rFonts w:ascii="Arial" w:hAnsi="Arial" w:cs="Arial"/>
        </w:rPr>
        <w:tab/>
        <w:t xml:space="preserve">  </w:t>
      </w:r>
      <w:r>
        <w:rPr>
          <w:rFonts w:ascii="Arial" w:hAnsi="Arial" w:cs="Arial"/>
        </w:rPr>
        <w:tab/>
      </w:r>
      <w:r>
        <w:rPr>
          <w:rFonts w:ascii="Arial" w:hAnsi="Arial" w:cs="Arial"/>
        </w:rPr>
        <w:tab/>
        <w:t>(50 Points)</w:t>
      </w:r>
    </w:p>
    <w:p>
      <w:pPr>
        <w:numPr>
          <w:ilvl w:val="0"/>
          <w:numId w:val="1"/>
        </w:numPr>
        <w:ind w:left="360"/>
        <w:rPr>
          <w:rFonts w:ascii="Arial" w:hAnsi="Arial" w:cs="Arial"/>
        </w:rPr>
      </w:pPr>
      <w:r>
        <w:rPr>
          <w:rFonts w:ascii="Arial" w:hAnsi="Arial" w:cs="Arial"/>
        </w:rPr>
        <w:t xml:space="preserve">Adequacy of Resources   </w:t>
      </w:r>
      <w:r>
        <w:rPr>
          <w:rFonts w:ascii="Arial" w:hAnsi="Arial" w:cs="Arial"/>
        </w:rPr>
        <w:tab/>
        <w:t>(15 Points)</w:t>
      </w:r>
    </w:p>
    <w:p>
      <w:pPr>
        <w:numPr>
          <w:ilvl w:val="0"/>
          <w:numId w:val="1"/>
        </w:numPr>
        <w:ind w:left="360"/>
        <w:rPr>
          <w:rFonts w:ascii="Arial" w:hAnsi="Arial" w:cs="Arial"/>
        </w:rPr>
      </w:pPr>
      <w:r>
        <w:rPr>
          <w:rFonts w:ascii="Arial" w:hAnsi="Arial" w:cs="Arial"/>
        </w:rPr>
        <w:t>Quality of Key Personnel</w:t>
      </w:r>
      <w:r>
        <w:rPr>
          <w:rFonts w:ascii="Arial" w:hAnsi="Arial" w:cs="Arial"/>
        </w:rPr>
        <w:tab/>
        <w:t>(15 Points)</w:t>
      </w:r>
    </w:p>
    <w:p>
      <w:pPr>
        <w:numPr>
          <w:ilvl w:val="0"/>
          <w:numId w:val="1"/>
        </w:numPr>
        <w:ind w:left="360"/>
        <w:rPr>
          <w:rFonts w:ascii="Arial" w:hAnsi="Arial" w:cs="Arial"/>
        </w:rPr>
      </w:pPr>
      <w:r>
        <w:rPr>
          <w:rFonts w:ascii="Arial" w:hAnsi="Arial" w:cs="Arial"/>
        </w:rPr>
        <w:t xml:space="preserve">Project Evaluation </w:t>
      </w:r>
      <w:r>
        <w:rPr>
          <w:rFonts w:ascii="Arial" w:hAnsi="Arial" w:cs="Arial"/>
        </w:rPr>
        <w:tab/>
        <w:t xml:space="preserve">  </w:t>
      </w:r>
      <w:r>
        <w:rPr>
          <w:rFonts w:ascii="Arial" w:hAnsi="Arial" w:cs="Arial"/>
        </w:rPr>
        <w:tab/>
        <w:t>(20 Points)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pStyle w:val="BodyText"/>
        <w:tabs>
          <w:tab w:val="left" w:pos="7767"/>
        </w:tabs>
        <w:rPr>
          <w:rFonts w:ascii="Arial" w:hAnsi="Arial" w:cs="Arial"/>
        </w:rPr>
      </w:pPr>
      <w:r>
        <w:rPr>
          <w:rFonts w:ascii="Arial" w:hAnsi="Arial" w:cs="Arial"/>
        </w:rPr>
        <w:lastRenderedPageBreak/>
        <w:t xml:space="preserve">We suggest that you organize your proposal narrative according to the selection criteria.  Each selection criterion is presented in bold type and followed by a discussion of how it applies to the Center for Best Practices to Support Single Parent Students competition.  The panelists who review the proposals use these criteria in assigning ratings to the applications, so it is in your interest to address each one explicitly.  The overall rating assessment of a proposal is based </w:t>
      </w:r>
      <w:r>
        <w:rPr>
          <w:rFonts w:ascii="Arial" w:hAnsi="Arial" w:cs="Arial"/>
          <w:color w:val="000000"/>
        </w:rPr>
        <w:t>on the extent to which it satisfactorily addresses all the selection</w:t>
      </w:r>
      <w:r>
        <w:rPr>
          <w:rFonts w:ascii="Arial" w:hAnsi="Arial" w:cs="Arial"/>
        </w:rPr>
        <w:t xml:space="preserve"> criteria.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In the following sections, the Department references the EDGAR citations that govern each selection criterion; the Department provides specific evaluation measures that reflect the Center for Best Practices to Support Single Parent Students Program provisions; and the Department indicates the maximum point values that can accrue to each section and subsection.  Applicants’ responses to each criterion may require documentation that the applicant may place in the Appendix.  Applications that omit documentation risk losing points.  </w:t>
      </w:r>
    </w:p>
    <w:p>
      <w:pPr>
        <w:pStyle w:val="BodyText"/>
        <w:tabs>
          <w:tab w:val="left" w:pos="7767"/>
        </w:tabs>
        <w:rPr>
          <w:rFonts w:ascii="Arial" w:hAnsi="Arial" w:cs="Arial"/>
        </w:rPr>
      </w:pPr>
    </w:p>
    <w:p>
      <w:pPr>
        <w:pStyle w:val="BodyText"/>
        <w:tabs>
          <w:tab w:val="left" w:pos="7767"/>
        </w:tabs>
        <w:rPr>
          <w:rFonts w:ascii="Arial" w:hAnsi="Arial" w:cs="Arial"/>
          <w:i/>
          <w:iCs/>
        </w:rPr>
      </w:pPr>
      <w:r>
        <w:rPr>
          <w:rFonts w:ascii="Arial" w:hAnsi="Arial" w:cs="Arial"/>
        </w:rPr>
        <w:t xml:space="preserve">Proposals will be considered in light of the following four criteria.  </w:t>
      </w:r>
    </w:p>
    <w:p>
      <w:pPr>
        <w:pStyle w:val="BodyText"/>
        <w:tabs>
          <w:tab w:val="left" w:pos="7767"/>
        </w:tabs>
        <w:rPr>
          <w:rFonts w:ascii="Arial" w:hAnsi="Arial" w:cs="Arial"/>
          <w:color w:val="FF0000"/>
        </w:rPr>
      </w:pPr>
    </w:p>
    <w:p>
      <w:pPr>
        <w:tabs>
          <w:tab w:val="left" w:pos="7767"/>
        </w:tabs>
        <w:rPr>
          <w:rFonts w:ascii="Arial" w:hAnsi="Arial" w:cs="Arial"/>
          <w:color w:val="00000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Pr>
          <w:rFonts w:ascii="Arial" w:hAnsi="Arial" w:cs="Arial"/>
          <w:b/>
          <w:u w:val="single"/>
        </w:rPr>
        <w:t xml:space="preserve">1. Project Design (50 Points)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rPr>
      </w:pPr>
      <w:r>
        <w:rPr>
          <w:rFonts w:ascii="Arial" w:hAnsi="Arial" w:cs="Arial"/>
        </w:rPr>
        <w:t xml:space="preserve">EDGAR indicates that the project design score will be determined by examining “the extent to which the proposed project represents an exceptional approach for meeting statutory purposes and requirements.” </w:t>
      </w:r>
    </w:p>
    <w:p>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i/>
        </w:rPr>
      </w:pPr>
    </w:p>
    <w:p>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rPr>
      </w:pPr>
      <w:r>
        <w:rPr>
          <w:rFonts w:ascii="Arial" w:hAnsi="Arial" w:cs="Arial"/>
        </w:rPr>
        <w:t xml:space="preserve">The Project Design section will require simple and direct responses—and short narrative explanations.  Applicants should provide a clear, succinct narrative delineated in sections that respond to the selection criteria and that adhere to the elements in the Authorizing Legislation.  </w:t>
      </w:r>
    </w:p>
    <w:p>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i/>
        </w:rPr>
      </w:pPr>
    </w:p>
    <w:p>
      <w:pPr>
        <w:tabs>
          <w:tab w:val="left" w:pos="7767"/>
        </w:tabs>
        <w:ind w:left="360"/>
        <w:rPr>
          <w:rFonts w:ascii="Arial" w:hAnsi="Arial" w:cs="Arial"/>
          <w:color w:val="000000"/>
        </w:rPr>
      </w:pPr>
      <w:r>
        <w:rPr>
          <w:rFonts w:ascii="Arial" w:hAnsi="Arial" w:cs="Arial"/>
          <w:color w:val="000000"/>
        </w:rPr>
        <w:t>The quality of the project design will be determined by the following factors (50 points):</w:t>
      </w:r>
    </w:p>
    <w:p>
      <w:pPr>
        <w:tabs>
          <w:tab w:val="left" w:pos="7767"/>
        </w:tabs>
        <w:rPr>
          <w:rFonts w:ascii="Arial" w:hAnsi="Arial" w:cs="Arial"/>
          <w:b/>
          <w:color w:val="000000"/>
        </w:rPr>
      </w:pPr>
    </w:p>
    <w:p>
      <w:pPr>
        <w:numPr>
          <w:ilvl w:val="0"/>
          <w:numId w:val="2"/>
        </w:numPr>
        <w:tabs>
          <w:tab w:val="left" w:pos="7767"/>
        </w:tabs>
        <w:rPr>
          <w:rFonts w:ascii="Arial" w:hAnsi="Arial" w:cs="Arial"/>
          <w:color w:val="000000"/>
        </w:rPr>
      </w:pPr>
      <w:r>
        <w:rPr>
          <w:rFonts w:ascii="Arial" w:hAnsi="Arial" w:cs="Arial"/>
          <w:color w:val="000000"/>
        </w:rPr>
        <w:t>the extent to which the design of the proposed project is appropriate to, and will successfully address, the needs of the target population or other identified needs; and</w:t>
      </w:r>
    </w:p>
    <w:p>
      <w:pPr>
        <w:tabs>
          <w:tab w:val="left" w:pos="7767"/>
        </w:tabs>
        <w:rPr>
          <w:rFonts w:ascii="Arial" w:hAnsi="Arial" w:cs="Arial"/>
          <w:color w:val="000000"/>
        </w:rPr>
      </w:pPr>
    </w:p>
    <w:p>
      <w:pPr>
        <w:tabs>
          <w:tab w:val="left" w:pos="7767"/>
        </w:tabs>
        <w:ind w:left="720" w:hanging="360"/>
        <w:rPr>
          <w:rFonts w:ascii="Arial" w:hAnsi="Arial" w:cs="Arial"/>
          <w:color w:val="000000"/>
        </w:rPr>
      </w:pPr>
      <w:r>
        <w:rPr>
          <w:rFonts w:ascii="Arial" w:hAnsi="Arial" w:cs="Arial"/>
          <w:color w:val="000000"/>
        </w:rPr>
        <w:t>b)</w:t>
      </w:r>
      <w:r>
        <w:rPr>
          <w:rFonts w:ascii="Arial" w:hAnsi="Arial" w:cs="Arial"/>
          <w:color w:val="000000"/>
        </w:rPr>
        <w:tab/>
        <w:t>the extent to which the project is designed to build capacity and yield results that will extend beyond the period of federal financial assistance.</w:t>
      </w:r>
    </w:p>
    <w:p>
      <w:pPr>
        <w:tabs>
          <w:tab w:val="left" w:pos="7767"/>
        </w:tabs>
        <w:ind w:firstLine="360"/>
        <w:rPr>
          <w:rFonts w:ascii="Arial" w:hAnsi="Arial" w:cs="Arial"/>
          <w:color w:val="000000"/>
        </w:rPr>
      </w:pPr>
    </w:p>
    <w:p>
      <w:pPr>
        <w:tabs>
          <w:tab w:val="left" w:pos="7767"/>
        </w:tabs>
        <w:rPr>
          <w:rFonts w:ascii="Arial" w:hAnsi="Arial" w:cs="Arial"/>
          <w:color w:val="000000"/>
        </w:rPr>
      </w:pPr>
      <w:r>
        <w:rPr>
          <w:rFonts w:ascii="Arial" w:hAnsi="Arial" w:cs="Arial"/>
          <w:color w:val="000000"/>
        </w:rPr>
        <w:t>Your narrative should offer reviewers a clear description of who will do what, when, where, why, and with what anticipated results.  The project's goals and objectives must be clearly identified and measurable.  Responsibilities, timelines, and milestones for accomplishing project tasks must also be specified.  Include in the narrative an indication of which competitive preference priorities, if any, the project will address.</w:t>
      </w:r>
    </w:p>
    <w:p>
      <w:pPr>
        <w:tabs>
          <w:tab w:val="left" w:pos="7767"/>
        </w:tabs>
        <w:rPr>
          <w:rFonts w:ascii="Arial" w:hAnsi="Arial" w:cs="Arial"/>
          <w:color w:val="000000"/>
        </w:rPr>
      </w:pPr>
    </w:p>
    <w:p>
      <w:pPr>
        <w:tabs>
          <w:tab w:val="left" w:pos="7767"/>
        </w:tabs>
        <w:rPr>
          <w:rFonts w:ascii="Arial" w:hAnsi="Arial" w:cs="Arial"/>
          <w:color w:val="000000"/>
        </w:rPr>
      </w:pPr>
      <w:r>
        <w:rPr>
          <w:rFonts w:ascii="Arial" w:hAnsi="Arial" w:cs="Arial"/>
          <w:color w:val="000000"/>
        </w:rPr>
        <w:lastRenderedPageBreak/>
        <w:t xml:space="preserve">In the appendix to your proposal, include the qualifications of key personnel, including the project director, project co-director, evaluator, and major consultants or subcontractors.  Please note that standard curriculum vitae are not appropriate for this purpose.  What is needed is a brief (one-page maximum) biography of each individual's background, with a special focus on those experiences related to the topic of your application.  (Curriculum vitae for key personnel will be requested from successful applicants after awards are announced.) </w:t>
      </w:r>
    </w:p>
    <w:p>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i/>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Pr>
          <w:rFonts w:ascii="Arial" w:hAnsi="Arial" w:cs="Arial"/>
          <w:b/>
          <w:u w:val="single"/>
        </w:rPr>
        <w:t xml:space="preserve">2. Adequacy of Resources (15 Points)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The applicant should provide substantive evidence that indicates that the project resources are adequate for project success and that they meet the standards established in EDGAR 34 CFR § 75.210(f)(i-ii).  </w:t>
      </w:r>
    </w:p>
    <w:p>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rPr>
      </w:pPr>
    </w:p>
    <w:p>
      <w:pPr>
        <w:tabs>
          <w:tab w:val="left" w:pos="7767"/>
        </w:tabs>
        <w:rPr>
          <w:rFonts w:ascii="Arial" w:hAnsi="Arial" w:cs="Arial"/>
        </w:rPr>
      </w:pPr>
      <w:r>
        <w:rPr>
          <w:rFonts w:ascii="Arial" w:hAnsi="Arial" w:cs="Arial"/>
        </w:rPr>
        <w:t>The adequacy of resources for the proposed project will be determined by the following factors (15 points):</w:t>
      </w:r>
    </w:p>
    <w:p>
      <w:pPr>
        <w:tabs>
          <w:tab w:val="left" w:pos="7767"/>
        </w:tabs>
        <w:rPr>
          <w:rFonts w:ascii="Arial" w:hAnsi="Arial" w:cs="Arial"/>
          <w:b/>
        </w:rPr>
      </w:pPr>
    </w:p>
    <w:p>
      <w:pPr>
        <w:numPr>
          <w:ilvl w:val="0"/>
          <w:numId w:val="3"/>
        </w:numPr>
        <w:tabs>
          <w:tab w:val="left" w:pos="7767"/>
        </w:tabs>
        <w:rPr>
          <w:rFonts w:ascii="Arial" w:hAnsi="Arial" w:cs="Arial"/>
        </w:rPr>
      </w:pPr>
      <w:r>
        <w:rPr>
          <w:rFonts w:ascii="Arial" w:hAnsi="Arial" w:cs="Arial"/>
        </w:rPr>
        <w:t>the extent to which costs are reasonable in relation to the objectives, design, and potential significance of the proposed project;</w:t>
      </w:r>
    </w:p>
    <w:p>
      <w:pPr>
        <w:tabs>
          <w:tab w:val="left" w:pos="7767"/>
        </w:tabs>
        <w:rPr>
          <w:rFonts w:ascii="Arial" w:hAnsi="Arial" w:cs="Arial"/>
          <w:b/>
        </w:rPr>
      </w:pPr>
    </w:p>
    <w:p>
      <w:pPr>
        <w:numPr>
          <w:ilvl w:val="0"/>
          <w:numId w:val="3"/>
        </w:numPr>
        <w:tabs>
          <w:tab w:val="left" w:pos="7767"/>
        </w:tabs>
        <w:rPr>
          <w:rFonts w:ascii="Arial" w:hAnsi="Arial" w:cs="Arial"/>
        </w:rPr>
      </w:pPr>
      <w:r>
        <w:rPr>
          <w:rFonts w:ascii="Arial" w:hAnsi="Arial" w:cs="Arial"/>
        </w:rPr>
        <w:t>the potential for continued support of the project after federal funding ends, including, as appropriate, the demonstrated commitment of appropriate entities to such support.</w:t>
      </w:r>
    </w:p>
    <w:p>
      <w:pPr>
        <w:tabs>
          <w:tab w:val="left" w:pos="7767"/>
        </w:tabs>
        <w:rPr>
          <w:rFonts w:ascii="Arial" w:hAnsi="Arial" w:cs="Arial"/>
        </w:rPr>
      </w:pPr>
    </w:p>
    <w:p>
      <w:pPr>
        <w:pStyle w:val="BodyText"/>
        <w:tabs>
          <w:tab w:val="left" w:pos="7767"/>
        </w:tabs>
        <w:rPr>
          <w:rFonts w:ascii="Arial" w:hAnsi="Arial" w:cs="Arial"/>
        </w:rPr>
      </w:pPr>
      <w:r>
        <w:rPr>
          <w:rFonts w:ascii="Arial" w:hAnsi="Arial" w:cs="Arial"/>
        </w:rPr>
        <w:t>A budget summary (SF 524 A and B) and budget narrative (SF 524 C) attached to your proposal should itemize the support you request from the Department and the support you expect to obtain from sources other than the Department, if applicable.  It must be clear from the proposal narrative how your budget request relates to the attainment of your goals and objectives.</w:t>
      </w:r>
    </w:p>
    <w:p>
      <w:pPr>
        <w:tabs>
          <w:tab w:val="left" w:pos="7767"/>
        </w:tabs>
        <w:rPr>
          <w:rFonts w:ascii="Arial" w:hAnsi="Arial" w:cs="Arial"/>
        </w:rPr>
      </w:pPr>
    </w:p>
    <w:p>
      <w:pPr>
        <w:tabs>
          <w:tab w:val="left" w:pos="7767"/>
        </w:tabs>
        <w:rPr>
          <w:rFonts w:ascii="Arial" w:hAnsi="Arial" w:cs="Arial"/>
        </w:rPr>
      </w:pPr>
      <w:r>
        <w:rPr>
          <w:rFonts w:ascii="Arial" w:hAnsi="Arial" w:cs="Arial"/>
        </w:rPr>
        <w:t xml:space="preserve">The Department is especially interested in projects designed to be cost-effective, designed to increase the likelihood that successful efforts will be continued beyond the period of the grant and designed to be replicated by others.  But cost effectiveness must not imply insufficient resources to accomplish the project's goals and objectives.  Costs should be allocated, and will be judged, in relation to the scope of the project and the requirements for achieving its objectives. </w:t>
      </w:r>
    </w:p>
    <w:p>
      <w:pPr>
        <w:tabs>
          <w:tab w:val="left" w:pos="7767"/>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Pr>
          <w:rFonts w:ascii="Arial" w:hAnsi="Arial" w:cs="Arial"/>
          <w:b/>
          <w:u w:val="single"/>
        </w:rPr>
        <w:t xml:space="preserve">3. Qualification of Key Personnel (15 Points) </w:t>
      </w:r>
    </w:p>
    <w:p>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val="0"/>
          <w:bCs w:val="0"/>
          <w:i w:val="0"/>
          <w:iCs w:val="0"/>
          <w:color w:val="auto"/>
        </w:rPr>
      </w:pPr>
      <w:r>
        <w:rPr>
          <w:rFonts w:ascii="Arial" w:hAnsi="Arial" w:cs="Arial"/>
          <w:b w:val="0"/>
          <w:i w:val="0"/>
          <w:color w:val="auto"/>
        </w:rPr>
        <w:t xml:space="preserve">The applicant should provide substantive evidence that indicates that the project’s key personnel will ensure project success and that they meet the standards established in EDGAR 34 CFR § 75. 210(e)(2)(i-iii).  </w:t>
      </w:r>
    </w:p>
    <w:p>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Arial" w:hAnsi="Arial" w:cs="Arial"/>
          <w:b w:val="0"/>
          <w:bCs w:val="0"/>
          <w:i w:val="0"/>
          <w:iCs w:val="0"/>
          <w:color w:val="auto"/>
        </w:rPr>
      </w:pPr>
      <w:r>
        <w:rPr>
          <w:rFonts w:ascii="Arial" w:hAnsi="Arial" w:cs="Arial"/>
          <w:b w:val="0"/>
          <w:bCs w:val="0"/>
          <w:i w:val="0"/>
          <w:iCs w:val="0"/>
          <w:color w:val="auto"/>
        </w:rPr>
        <w:t>The qualifications of:</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Arial" w:hAnsi="Arial" w:cs="Arial"/>
          <w:iCs/>
          <w:u w:val="single"/>
        </w:rPr>
      </w:pPr>
      <w:r>
        <w:rPr>
          <w:rFonts w:ascii="Arial" w:hAnsi="Arial" w:cs="Arial"/>
          <w:iCs/>
        </w:rPr>
        <w:t>The Project Director—provide his/her name and title.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rPr>
          <w:rFonts w:ascii="Arial" w:hAnsi="Arial" w:cs="Arial"/>
          <w:i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iCs/>
        </w:rPr>
      </w:pPr>
      <w:r>
        <w:rPr>
          <w:rFonts w:ascii="Arial" w:hAnsi="Arial" w:cs="Arial"/>
          <w:iCs/>
        </w:rPr>
        <w:lastRenderedPageBreak/>
        <w:t xml:space="preserve">Applicants should reference the project director’s qualifications and provide the project director’s qualifications, relevant training and experience in a short (1-page) résumé that appears in the Appendix.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360"/>
        <w:rPr>
          <w:rFonts w:ascii="Arial" w:hAnsi="Arial" w:cs="Arial"/>
          <w:i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iCs/>
        </w:rPr>
      </w:pPr>
      <w:r>
        <w:rPr>
          <w:rFonts w:ascii="Arial" w:hAnsi="Arial" w:cs="Arial"/>
          <w:iCs/>
        </w:rPr>
        <w:t>Other Key Personnel, Consultants or Contractors—provide names and titles.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360"/>
        <w:rPr>
          <w:rFonts w:ascii="Arial" w:hAnsi="Arial" w:cs="Arial"/>
          <w:i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iCs/>
        </w:rPr>
      </w:pPr>
      <w:r>
        <w:rPr>
          <w:rFonts w:ascii="Arial" w:hAnsi="Arial" w:cs="Arial"/>
          <w:iCs/>
        </w:rPr>
        <w:t>Applicants should reference the other key personnel involved in the project, and provide résumés for employees and contractors who will implement the project.  Applicants may attach short (1-page) résumés.  If the project has not yet identified key personnel or contractors, applicants may attach job descriptions for proposed hires and statements of work for consultants and contractors.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90"/>
        <w:rPr>
          <w:rFonts w:ascii="Arial" w:hAnsi="Arial" w:cs="Arial"/>
          <w:i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iCs/>
        </w:rPr>
      </w:pPr>
      <w:r>
        <w:rPr>
          <w:rFonts w:ascii="Arial" w:hAnsi="Arial" w:cs="Arial"/>
          <w:iCs/>
        </w:rPr>
        <w:t>The Applicant’s Hiring Practices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360"/>
        <w:rPr>
          <w:rFonts w:ascii="Arial" w:hAnsi="Arial" w:cs="Arial"/>
          <w:i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rPr>
      </w:pPr>
      <w:r>
        <w:rPr>
          <w:rFonts w:ascii="Arial" w:hAnsi="Arial" w:cs="Arial"/>
          <w:iCs/>
        </w:rPr>
        <w:t xml:space="preserve">The applicant should provide evidence of the extent to which the applicant encourages applications for employment from persons who are members of groups that have traditionally been underrepresented based on race, color, national origin, gender, age, or </w:t>
      </w:r>
      <w:r>
        <w:rPr>
          <w:rFonts w:ascii="Arial" w:hAnsi="Arial" w:cs="Arial"/>
        </w:rPr>
        <w:t xml:space="preserve">disability.  In order to address this evaluation criterion, the applicant should provide a summary or a copy of its hiring policies.  No point value will be given, but this is nevertheless a required portion of the grant application.  </w:t>
      </w:r>
    </w:p>
    <w:p>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ascii="Arial" w:hAnsi="Arial" w:cs="Arial"/>
          <w:b/>
          <w:u w:val="single"/>
        </w:rPr>
        <w:t xml:space="preserve">4. Quality of Project Evaluation (20 Points) </w:t>
      </w:r>
      <w:r>
        <w:rPr>
          <w:rFonts w:ascii="Arial" w:hAnsi="Arial" w:cs="Arial"/>
          <w:b/>
        </w:rPr>
        <w:t xml:space="preserve"> </w:t>
      </w:r>
    </w:p>
    <w:p>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25"/>
        <w:rPr>
          <w:rFonts w:ascii="Arial" w:hAnsi="Arial" w:cs="Arial"/>
          <w:i/>
        </w:rPr>
      </w:pPr>
    </w:p>
    <w:p>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rPr>
      </w:pPr>
      <w:r>
        <w:rPr>
          <w:rFonts w:ascii="Arial" w:hAnsi="Arial" w:cs="Arial"/>
        </w:rPr>
        <w:t xml:space="preserve">Applicants must demonstrate how they will meet the standards established in EDGAR 34 CFR § 75. 210(h)(iii, vi).  </w:t>
      </w:r>
    </w:p>
    <w:p>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rPr>
      </w:pPr>
    </w:p>
    <w:p>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b/>
        </w:rPr>
      </w:pPr>
      <w:r>
        <w:rPr>
          <w:rFonts w:ascii="Arial" w:hAnsi="Arial" w:cs="Arial"/>
        </w:rPr>
        <w:t>The quality of the project evaluation will be determined by the following factors (20 points):</w:t>
      </w:r>
    </w:p>
    <w:p>
      <w:pPr>
        <w:pStyle w:val="BodyText"/>
        <w:tabs>
          <w:tab w:val="left" w:pos="7767"/>
        </w:tabs>
        <w:rPr>
          <w:rFonts w:ascii="Arial" w:hAnsi="Arial" w:cs="Arial"/>
          <w:b/>
        </w:rPr>
      </w:pPr>
    </w:p>
    <w:p>
      <w:pPr>
        <w:pStyle w:val="BodyText"/>
        <w:numPr>
          <w:ilvl w:val="0"/>
          <w:numId w:val="4"/>
        </w:numPr>
        <w:tabs>
          <w:tab w:val="left" w:pos="7767"/>
          <w:tab w:val="right" w:leader="dot" w:pos="8640"/>
        </w:tabs>
        <w:rPr>
          <w:rFonts w:ascii="Arial" w:hAnsi="Arial" w:cs="Arial"/>
        </w:rPr>
      </w:pPr>
      <w:r>
        <w:rPr>
          <w:rFonts w:ascii="Arial" w:hAnsi="Arial" w:cs="Arial"/>
        </w:rPr>
        <w:t>the extent to which the methods of evaluation are thorough, feasible, and appropriate to the goals, objectives, and outcomes of the proposed project;</w:t>
      </w:r>
    </w:p>
    <w:p>
      <w:pPr>
        <w:pStyle w:val="BodyText"/>
        <w:tabs>
          <w:tab w:val="left" w:pos="7767"/>
        </w:tabs>
        <w:ind w:left="360"/>
        <w:rPr>
          <w:rFonts w:ascii="Arial" w:hAnsi="Arial" w:cs="Arial"/>
        </w:rPr>
      </w:pPr>
    </w:p>
    <w:p>
      <w:pPr>
        <w:pStyle w:val="BodyText"/>
        <w:numPr>
          <w:ilvl w:val="0"/>
          <w:numId w:val="4"/>
        </w:numPr>
        <w:tabs>
          <w:tab w:val="left" w:pos="7767"/>
          <w:tab w:val="right" w:leader="dot" w:pos="8640"/>
        </w:tabs>
        <w:rPr>
          <w:rFonts w:ascii="Arial" w:hAnsi="Arial" w:cs="Arial"/>
        </w:rPr>
      </w:pPr>
      <w:r>
        <w:rPr>
          <w:rFonts w:ascii="Arial" w:hAnsi="Arial" w:cs="Arial"/>
        </w:rPr>
        <w:t>the extent to which the methods of evaluation include the use of objective performance measures that are clearly related to the intended outcomes of the project and will produce quantitative and qualitative data to the extent possible; and</w:t>
      </w:r>
    </w:p>
    <w:p>
      <w:pPr>
        <w:pStyle w:val="BodyText"/>
        <w:tabs>
          <w:tab w:val="left" w:pos="7767"/>
        </w:tabs>
        <w:ind w:left="360"/>
        <w:rPr>
          <w:rFonts w:ascii="Arial" w:hAnsi="Arial" w:cs="Arial"/>
        </w:rPr>
      </w:pPr>
    </w:p>
    <w:p>
      <w:pPr>
        <w:pStyle w:val="BodyText"/>
        <w:numPr>
          <w:ilvl w:val="0"/>
          <w:numId w:val="4"/>
        </w:numPr>
        <w:tabs>
          <w:tab w:val="left" w:pos="7767"/>
          <w:tab w:val="right" w:leader="dot" w:pos="8640"/>
        </w:tabs>
        <w:rPr>
          <w:rFonts w:ascii="Arial" w:hAnsi="Arial" w:cs="Arial"/>
        </w:rPr>
      </w:pPr>
      <w:r>
        <w:rPr>
          <w:rFonts w:ascii="Arial" w:hAnsi="Arial" w:cs="Arial"/>
        </w:rPr>
        <w:t xml:space="preserve">the extent to which the evaluation will provide guidance about effective strategies suitable for replication in other settings relevant to the Center for Best Practices to Support Single Parent Students Program. </w:t>
      </w:r>
    </w:p>
    <w:p>
      <w:pPr>
        <w:tabs>
          <w:tab w:val="left" w:pos="7767"/>
        </w:tabs>
        <w:rPr>
          <w:rFonts w:ascii="Arial" w:hAnsi="Arial" w:cs="Arial"/>
        </w:rPr>
      </w:pPr>
    </w:p>
    <w:p>
      <w:pPr>
        <w:tabs>
          <w:tab w:val="left" w:pos="7767"/>
        </w:tabs>
        <w:rPr>
          <w:rFonts w:ascii="Arial" w:hAnsi="Arial" w:cs="Arial"/>
        </w:rPr>
      </w:pPr>
      <w:r>
        <w:rPr>
          <w:rFonts w:ascii="Arial" w:hAnsi="Arial" w:cs="Arial"/>
          <w:color w:val="000000"/>
        </w:rPr>
        <w:t>Evaluation should be an important part of your project planning.  Include in your proposal a description of how you intend to document the activities and results of your project.  Formative evaluation can help you manage your project more effectively, and a strong summative evaluation,</w:t>
      </w:r>
      <w:r>
        <w:rPr>
          <w:rFonts w:ascii="Arial" w:hAnsi="Arial" w:cs="Arial"/>
        </w:rPr>
        <w:t xml:space="preserve"> especially if it documents the project's effects on the </w:t>
      </w:r>
      <w:r>
        <w:rPr>
          <w:rFonts w:ascii="Arial" w:hAnsi="Arial" w:cs="Arial"/>
        </w:rPr>
        <w:lastRenderedPageBreak/>
        <w:t xml:space="preserve">learner, can turn a successful project into a national model for improvement in postsecondary education.  </w:t>
      </w:r>
    </w:p>
    <w:p>
      <w:pPr>
        <w:pStyle w:val="Footer"/>
        <w:tabs>
          <w:tab w:val="clear" w:pos="4320"/>
          <w:tab w:val="left" w:pos="7767"/>
        </w:tabs>
        <w:rPr>
          <w:rFonts w:ascii="Arial" w:hAnsi="Arial" w:cs="Arial"/>
          <w:sz w:val="24"/>
        </w:rPr>
      </w:pPr>
    </w:p>
    <w:p>
      <w:pPr>
        <w:pStyle w:val="BodyText"/>
        <w:tabs>
          <w:tab w:val="left" w:pos="7767"/>
        </w:tabs>
        <w:rPr>
          <w:rFonts w:ascii="Arial" w:hAnsi="Arial" w:cs="Arial"/>
        </w:rPr>
      </w:pPr>
      <w:r>
        <w:rPr>
          <w:rFonts w:ascii="Arial" w:hAnsi="Arial" w:cs="Arial"/>
        </w:rPr>
        <w:t xml:space="preserve">Before a project can become a model, its proponents must be able to prove that it has achieved its aims in its original setting.  That is why a solid evaluation plan, one that focuses as much as possible on precisely how the project has improved educational outcomes, is an essential component of FIPSE projects.  </w:t>
      </w:r>
      <w:r>
        <w:rPr>
          <w:rFonts w:ascii="Arial" w:hAnsi="Arial" w:cs="Arial"/>
          <w:b/>
          <w:bCs/>
        </w:rPr>
        <w:t xml:space="preserve">Include in the narrative a listing the major goals and objectives for the project, and a description of the evaluation measures that will be used to show attainment of these goals or objectives. </w:t>
      </w:r>
      <w:r>
        <w:rPr>
          <w:rFonts w:ascii="Arial" w:hAnsi="Arial" w:cs="Arial"/>
        </w:rPr>
        <w:t xml:space="preserve"> This information can be provided in narrative format or as a chart.</w:t>
      </w:r>
    </w:p>
    <w:p>
      <w:pPr>
        <w:pStyle w:val="BodyText"/>
        <w:tabs>
          <w:tab w:val="left" w:pos="7767"/>
        </w:tabs>
        <w:rPr>
          <w:rFonts w:ascii="Arial" w:hAnsi="Arial" w:cs="Arial"/>
          <w:color w:val="000000"/>
        </w:rPr>
      </w:pPr>
    </w:p>
    <w:p>
      <w:pPr>
        <w:tabs>
          <w:tab w:val="left" w:pos="7767"/>
        </w:tabs>
        <w:rPr>
          <w:rFonts w:ascii="Arial" w:hAnsi="Arial" w:cs="Arial"/>
          <w:color w:val="000000"/>
        </w:rPr>
      </w:pPr>
      <w:r>
        <w:rPr>
          <w:rFonts w:ascii="Arial" w:hAnsi="Arial" w:cs="Arial"/>
          <w:color w:val="000000"/>
        </w:rPr>
        <w:t>Directly or indirectly, learners should be the principal beneficiaries of your project.  Our focus on the learner means that FIPSE is especially interested in evaluation plans that assess projects in terms of their consequences for student learning and success.  FIPSE does not support basic research; rather, its focus is on implementation of projects that demonstrate, test, and take to larger scale effective approaches to postsecondary education.</w:t>
      </w:r>
    </w:p>
    <w:p>
      <w:pPr>
        <w:tabs>
          <w:tab w:val="left" w:pos="7767"/>
        </w:tabs>
        <w:rPr>
          <w:rFonts w:ascii="Arial" w:hAnsi="Arial" w:cs="Arial"/>
          <w:color w:val="FF0000"/>
        </w:rPr>
      </w:pPr>
    </w:p>
    <w:p>
      <w:pPr>
        <w:tabs>
          <w:tab w:val="left" w:pos="7767"/>
        </w:tabs>
        <w:rPr>
          <w:rFonts w:ascii="Arial" w:hAnsi="Arial" w:cs="Arial"/>
          <w:color w:val="000000"/>
        </w:rPr>
      </w:pPr>
      <w:r>
        <w:rPr>
          <w:rFonts w:ascii="Arial" w:hAnsi="Arial" w:cs="Arial"/>
          <w:color w:val="000000"/>
        </w:rPr>
        <w:t xml:space="preserve">In addition to project-specific objectives, the evaluation plan must include as objectives the two FIPSE performance indicators discussed in the section on the Government Performance and Results Act (GPRA).  The plans must also include </w:t>
      </w:r>
      <w:r>
        <w:rPr>
          <w:rFonts w:ascii="Arial" w:hAnsi="Arial" w:cs="Arial"/>
          <w:i/>
          <w:iCs/>
          <w:color w:val="000000"/>
        </w:rPr>
        <w:t>measures</w:t>
      </w:r>
      <w:r>
        <w:rPr>
          <w:rFonts w:ascii="Arial" w:hAnsi="Arial" w:cs="Arial"/>
          <w:color w:val="000000"/>
        </w:rPr>
        <w:t xml:space="preserve"> of the two indicators:  1) replication (the extent to which a project is being adopted in full or in part by others, or its materials are being used by other institutions) and 2) sustainability (the likelihood that a project will be continued and institutionalized beyond federal funding). </w:t>
      </w:r>
    </w:p>
    <w:p>
      <w:pPr>
        <w:tabs>
          <w:tab w:val="left" w:pos="7767"/>
        </w:tabs>
        <w:rPr>
          <w:rFonts w:ascii="Arial" w:hAnsi="Arial" w:cs="Arial"/>
          <w:color w:val="000000"/>
        </w:rPr>
      </w:pPr>
    </w:p>
    <w:p>
      <w:pPr>
        <w:tabs>
          <w:tab w:val="left" w:pos="7767"/>
        </w:tabs>
        <w:jc w:val="center"/>
        <w:rPr>
          <w:rFonts w:ascii="Arial" w:hAnsi="Arial" w:cs="Arial"/>
          <w:b/>
          <w:color w:val="000000"/>
        </w:rPr>
      </w:pPr>
      <w:r>
        <w:rPr>
          <w:rFonts w:ascii="Arial" w:hAnsi="Arial" w:cs="Arial"/>
          <w:b/>
          <w:color w:val="000000"/>
        </w:rPr>
        <w:t>Competitive Preference Priority</w:t>
      </w:r>
    </w:p>
    <w:p>
      <w:pPr>
        <w:tabs>
          <w:tab w:val="left" w:pos="7767"/>
        </w:tabs>
        <w:jc w:val="center"/>
        <w:rPr>
          <w:rFonts w:ascii="Arial" w:hAnsi="Arial" w:cs="Arial"/>
          <w:b/>
          <w:color w:val="000000"/>
        </w:rPr>
      </w:pPr>
    </w:p>
    <w:p>
      <w:pPr>
        <w:autoSpaceDE w:val="0"/>
        <w:autoSpaceDN w:val="0"/>
        <w:adjustRightInd w:val="0"/>
        <w:rPr>
          <w:rFonts w:ascii="Arial" w:hAnsi="Arial" w:cs="Arial"/>
        </w:rPr>
      </w:pPr>
      <w:r>
        <w:rPr>
          <w:rFonts w:ascii="Arial" w:hAnsi="Arial" w:cs="Arial"/>
        </w:rPr>
        <w:t xml:space="preserve">The competitive preference priority is in accordance with the Secretary’s </w:t>
      </w:r>
      <w:r>
        <w:rPr>
          <w:rFonts w:ascii="Arial" w:eastAsia="Calibri" w:hAnsi="Arial" w:cs="Arial"/>
          <w:bCs/>
        </w:rPr>
        <w:t>Supplemental Priorities for Discretionary Grant Programs</w:t>
      </w:r>
      <w:r>
        <w:rPr>
          <w:rFonts w:ascii="Arial" w:hAnsi="Arial" w:cs="Arial"/>
        </w:rPr>
        <w:t xml:space="preserve">, as published in the </w:t>
      </w:r>
      <w:r>
        <w:rPr>
          <w:rFonts w:ascii="Arial" w:hAnsi="Arial" w:cs="Arial"/>
          <w:u w:val="single"/>
        </w:rPr>
        <w:t>Federal Register</w:t>
      </w:r>
      <w:r>
        <w:rPr>
          <w:rFonts w:ascii="Arial" w:hAnsi="Arial" w:cs="Arial"/>
        </w:rPr>
        <w:t xml:space="preserve"> on December 15, 2010 and corrected on May 12, 2011.  An applicant can receive up to two additional points depending on the extent to which the application meets this priority. </w:t>
      </w:r>
      <w:r>
        <w:rPr>
          <w:rFonts w:ascii="Arial" w:hAnsi="Arial" w:cs="Arial"/>
          <w:color w:val="000000"/>
        </w:rPr>
        <w:t xml:space="preserve"> </w:t>
      </w:r>
    </w:p>
    <w:p>
      <w:pPr>
        <w:rPr>
          <w:rFonts w:ascii="Arial" w:hAnsi="Arial" w:cs="Arial"/>
        </w:rPr>
      </w:pPr>
    </w:p>
    <w:p>
      <w:pPr>
        <w:rPr>
          <w:rFonts w:ascii="Arial" w:hAnsi="Arial" w:cs="Arial"/>
          <w:color w:val="000000"/>
        </w:rPr>
      </w:pPr>
      <w:r>
        <w:rPr>
          <w:rFonts w:ascii="Arial" w:hAnsi="Arial" w:cs="Arial"/>
          <w:b/>
        </w:rPr>
        <w:t xml:space="preserve">Note:  </w:t>
      </w:r>
      <w:r>
        <w:rPr>
          <w:rFonts w:ascii="Arial" w:hAnsi="Arial" w:cs="Arial"/>
          <w:color w:val="000000"/>
        </w:rPr>
        <w:t>Applicants must include their discussion on the competitive preference priority within the 35 page narrative limitation.</w:t>
      </w:r>
    </w:p>
    <w:p>
      <w:pPr>
        <w:tabs>
          <w:tab w:val="left" w:pos="7767"/>
        </w:tabs>
        <w:rPr>
          <w:rFonts w:ascii="Arial" w:hAnsi="Arial" w:cs="Arial"/>
          <w:b/>
          <w:color w:val="000000"/>
        </w:rPr>
      </w:pPr>
    </w:p>
    <w:p>
      <w:pPr>
        <w:jc w:val="center"/>
        <w:rPr>
          <w:rFonts w:ascii="Arial" w:eastAsia="Arial Unicode MS" w:hAnsi="Arial" w:cs="Arial"/>
        </w:rPr>
      </w:pPr>
    </w:p>
    <w:p>
      <w:pPr>
        <w:rPr>
          <w:rFonts w:ascii="Arial" w:hAnsi="Arial" w:cs="Arial"/>
          <w:color w:val="000000"/>
        </w:rPr>
      </w:pPr>
    </w:p>
    <w:p>
      <w:pPr>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keepNext/>
        <w:pageBreakBefore/>
        <w:pBdr>
          <w:top w:val="single" w:sz="4" w:space="1" w:color="auto"/>
          <w:bottom w:val="single" w:sz="4" w:space="1" w:color="auto"/>
        </w:pBdr>
        <w:shd w:val="clear" w:color="auto" w:fill="E0E0E0"/>
        <w:jc w:val="center"/>
        <w:outlineLvl w:val="0"/>
        <w:rPr>
          <w:rFonts w:ascii="Arial" w:hAnsi="Arial"/>
          <w:b/>
          <w:color w:val="000000"/>
          <w:sz w:val="28"/>
        </w:rPr>
      </w:pPr>
      <w:r>
        <w:rPr>
          <w:rFonts w:ascii="Arial" w:hAnsi="Arial"/>
          <w:b/>
          <w:color w:val="000000"/>
          <w:sz w:val="28"/>
        </w:rPr>
        <w:lastRenderedPageBreak/>
        <w:t>COMPETITIVE PREFERENCE PRIORITY FOR FY 2014</w:t>
      </w:r>
    </w:p>
    <w:p>
      <w:pPr>
        <w:rPr>
          <w:b/>
        </w:rPr>
      </w:pPr>
    </w:p>
    <w:p>
      <w:pPr>
        <w:rPr>
          <w:rFonts w:ascii="Arial" w:hAnsi="Arial" w:cs="Arial"/>
        </w:rPr>
      </w:pPr>
      <w:r>
        <w:rPr>
          <w:rFonts w:ascii="Arial" w:hAnsi="Arial" w:cs="Arial"/>
        </w:rPr>
        <w:t xml:space="preserve">The President has set clear goals for our educational system.  In order to more strategically align the Center for Best Practices to Support Single Parent Students Program with overarching reform strategies for postsecondary success, the Department is announcing one competitive preference priority for this competition.  This priority is from the Department’s notice of final supplemental priorities and definitions for discretionary grant programs, published in the </w:t>
      </w:r>
      <w:r>
        <w:rPr>
          <w:rFonts w:ascii="Arial" w:hAnsi="Arial" w:cs="Arial"/>
          <w:u w:val="single"/>
        </w:rPr>
        <w:t>Federal Register</w:t>
      </w:r>
      <w:r>
        <w:rPr>
          <w:rFonts w:ascii="Arial" w:hAnsi="Arial" w:cs="Arial"/>
        </w:rPr>
        <w:t xml:space="preserve"> on December 15, 2010 and corrected on May 12, 2011 (75 FR 78486).  </w:t>
      </w:r>
    </w:p>
    <w:p>
      <w:pPr>
        <w:ind w:firstLine="720"/>
        <w:rPr>
          <w:rFonts w:ascii="Arial" w:hAnsi="Arial" w:cs="Arial"/>
        </w:rPr>
      </w:pPr>
    </w:p>
    <w:p>
      <w:pPr>
        <w:rPr>
          <w:rFonts w:ascii="Arial" w:hAnsi="Arial" w:cs="Arial"/>
        </w:rPr>
      </w:pPr>
      <w:r>
        <w:rPr>
          <w:rFonts w:ascii="Arial" w:hAnsi="Arial" w:cs="Arial"/>
          <w:b/>
          <w:bCs/>
          <w:u w:val="single"/>
        </w:rPr>
        <w:t>Competitive Preference Priority</w:t>
      </w:r>
      <w:r>
        <w:rPr>
          <w:rFonts w:ascii="Arial" w:hAnsi="Arial" w:cs="Arial"/>
          <w:bCs/>
          <w:u w:val="single"/>
        </w:rPr>
        <w:t>:</w:t>
      </w:r>
      <w:r>
        <w:rPr>
          <w:rFonts w:ascii="Arial" w:hAnsi="Arial" w:cs="Arial"/>
          <w:bCs/>
        </w:rPr>
        <w:t xml:space="preserve">  </w:t>
      </w:r>
      <w:r>
        <w:rPr>
          <w:rFonts w:ascii="Arial" w:hAnsi="Arial" w:cs="Arial"/>
        </w:rPr>
        <w:t>Projects at institutions of higher education that can demonstrate expertise in the development of programs to assist single parents who are students at institutions of higher education, as shown by the institution’s development of a variety of targeted services to such students, including on-campus housing, child care, counseling, advising, internship opportunities, financial aid, and financial aid counseling and assistance.</w:t>
      </w:r>
    </w:p>
    <w:p>
      <w:pPr>
        <w:ind w:firstLine="720"/>
        <w:rPr>
          <w:rFonts w:ascii="Arial" w:hAnsi="Arial" w:cs="Arial"/>
          <w:bCs/>
        </w:rPr>
      </w:pPr>
      <w:r>
        <w:rPr>
          <w:rFonts w:ascii="Arial" w:hAnsi="Arial" w:cs="Arial"/>
          <w:bCs/>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b/>
        </w:rPr>
        <w:t xml:space="preserve">Note:  Applicants </w:t>
      </w:r>
      <w:r>
        <w:rPr>
          <w:rFonts w:ascii="Arial" w:hAnsi="Arial" w:cs="Arial"/>
          <w:b/>
          <w:color w:val="000000"/>
        </w:rPr>
        <w:t xml:space="preserve">addressing the priority may earn up to two competitive preference points for this competition.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bookmarkStart w:id="10" w:name="_Toc262126942"/>
      <w:r>
        <w:rPr>
          <w:caps/>
          <w:sz w:val="28"/>
          <w:szCs w:val="28"/>
        </w:rPr>
        <w:lastRenderedPageBreak/>
        <w:t>Instructions for standard forms</w:t>
      </w:r>
      <w:bookmarkEnd w:id="10"/>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2"/>
          <w:szCs w:val="22"/>
        </w:rPr>
      </w:pPr>
    </w:p>
    <w:p>
      <w:bookmarkStart w:id="11" w:name="_Toc175639968"/>
    </w:p>
    <w:p>
      <w:pPr>
        <w:rPr>
          <w:rFonts w:ascii="Arial" w:hAnsi="Arial"/>
          <w:sz w:val="28"/>
          <w:szCs w:val="28"/>
        </w:rPr>
      </w:pPr>
      <w:r>
        <w:rPr>
          <w:rFonts w:ascii="Arial" w:hAnsi="Arial"/>
          <w:sz w:val="28"/>
          <w:szCs w:val="28"/>
        </w:rPr>
        <w:t>● Application for Federal Assistance (SF 424)</w:t>
      </w:r>
    </w:p>
    <w:p>
      <w:pPr>
        <w:rPr>
          <w:rFonts w:ascii="Arial" w:hAnsi="Arial" w:cs="Arial"/>
          <w:sz w:val="28"/>
          <w:szCs w:val="28"/>
        </w:rPr>
      </w:pPr>
    </w:p>
    <w:p>
      <w:pPr>
        <w:spacing w:line="480" w:lineRule="auto"/>
        <w:rPr>
          <w:rFonts w:ascii="Arial" w:hAnsi="Arial" w:cs="Arial"/>
          <w:bCs/>
          <w:sz w:val="28"/>
          <w:szCs w:val="28"/>
        </w:rPr>
      </w:pPr>
      <w:r>
        <w:rPr>
          <w:rFonts w:ascii="Arial" w:hAnsi="Arial" w:cs="Arial"/>
          <w:b/>
          <w:bCs/>
          <w:sz w:val="28"/>
          <w:szCs w:val="28"/>
        </w:rPr>
        <w:t xml:space="preserve">● </w:t>
      </w:r>
      <w:r>
        <w:rPr>
          <w:rFonts w:ascii="Arial" w:hAnsi="Arial" w:cs="Arial"/>
          <w:sz w:val="28"/>
          <w:szCs w:val="28"/>
        </w:rPr>
        <w:t xml:space="preserve">Department of Education </w:t>
      </w:r>
      <w:r>
        <w:rPr>
          <w:rFonts w:ascii="Arial" w:hAnsi="Arial" w:cs="Arial"/>
          <w:bCs/>
          <w:sz w:val="28"/>
          <w:szCs w:val="28"/>
        </w:rPr>
        <w:t xml:space="preserve">Supplemental Form for the SF 424 </w:t>
      </w:r>
    </w:p>
    <w:p>
      <w:pPr>
        <w:rPr>
          <w:rFonts w:ascii="Arial" w:hAnsi="Arial"/>
          <w:sz w:val="28"/>
          <w:szCs w:val="28"/>
        </w:rPr>
      </w:pPr>
      <w:r>
        <w:rPr>
          <w:rFonts w:ascii="Arial" w:hAnsi="Arial"/>
          <w:sz w:val="28"/>
          <w:szCs w:val="28"/>
        </w:rPr>
        <w:t>● Department of Education Budget Summary Form (ED 524)</w:t>
      </w:r>
    </w:p>
    <w:p>
      <w:pPr>
        <w:rPr>
          <w:rFonts w:ascii="Arial" w:hAnsi="Arial"/>
          <w:sz w:val="28"/>
          <w:szCs w:val="28"/>
        </w:rPr>
      </w:pPr>
    </w:p>
    <w:p>
      <w:pPr>
        <w:ind w:left="180" w:hanging="180"/>
        <w:rPr>
          <w:rFonts w:ascii="Arial" w:hAnsi="Arial"/>
          <w:b/>
          <w:bCs/>
          <w:sz w:val="28"/>
          <w:szCs w:val="28"/>
        </w:rPr>
      </w:pPr>
      <w:r>
        <w:rPr>
          <w:rFonts w:ascii="Arial" w:hAnsi="Arial"/>
          <w:sz w:val="28"/>
          <w:szCs w:val="28"/>
        </w:rPr>
        <w:t>● Disclosure of Lobbying Activities (SF-LLL)</w:t>
      </w:r>
      <w:r>
        <w:rPr>
          <w:rFonts w:ascii="Arial" w:hAnsi="Arial"/>
          <w:b/>
          <w:bCs/>
          <w:sz w:val="28"/>
          <w:szCs w:val="28"/>
        </w:rPr>
        <w:t xml:space="preserve"> </w:t>
      </w:r>
    </w:p>
    <w:p>
      <w:pPr>
        <w:ind w:left="180" w:hanging="180"/>
        <w:rPr>
          <w:rFonts w:ascii="Arial" w:hAnsi="Arial"/>
          <w:b/>
          <w:bCs/>
          <w:sz w:val="28"/>
          <w:szCs w:val="28"/>
        </w:rPr>
      </w:pPr>
    </w:p>
    <w:p>
      <w:pPr>
        <w:ind w:left="180" w:hanging="180"/>
        <w:rPr>
          <w:rFonts w:ascii="Arial" w:hAnsi="Arial"/>
          <w:sz w:val="28"/>
          <w:szCs w:val="28"/>
        </w:rPr>
      </w:pPr>
      <w:r>
        <w:rPr>
          <w:rFonts w:ascii="Arial" w:hAnsi="Arial"/>
          <w:b/>
          <w:bCs/>
          <w:sz w:val="28"/>
          <w:szCs w:val="28"/>
        </w:rPr>
        <w:t xml:space="preserve">● </w:t>
      </w:r>
      <w:r>
        <w:rPr>
          <w:rFonts w:ascii="Arial" w:hAnsi="Arial"/>
          <w:sz w:val="28"/>
          <w:szCs w:val="28"/>
        </w:rPr>
        <w:t>Survey Instructions on Ensuring Equal Opportunity for Applicants</w:t>
      </w:r>
    </w:p>
    <w:p/>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p>
    <w:p>
      <w:pPr>
        <w:adjustRightInd w:val="0"/>
        <w:jc w:val="center"/>
        <w:rPr>
          <w:rFonts w:ascii="Helvetica-Bold" w:hAnsi="Helvetica-Bold" w:cs="Helvetica-Bold"/>
          <w:b/>
          <w:bCs/>
          <w:sz w:val="20"/>
        </w:rPr>
      </w:pPr>
      <w:r>
        <w:rPr>
          <w:rFonts w:ascii="Helvetica-Bold" w:hAnsi="Helvetica-Bold" w:cs="Helvetica-Bold"/>
          <w:b/>
          <w:bCs/>
          <w:sz w:val="20"/>
        </w:rPr>
        <w:lastRenderedPageBreak/>
        <w:t>INSTRUCTIONS FOR THE SF 424</w:t>
      </w:r>
    </w:p>
    <w:p/>
    <w:p>
      <w:pPr>
        <w:adjustRightInd w:val="0"/>
        <w:rPr>
          <w:rFonts w:ascii="Helvetica" w:hAnsi="Helvetica" w:cs="Times-Roman"/>
          <w:sz w:val="18"/>
          <w:szCs w:val="18"/>
        </w:rPr>
      </w:pPr>
      <w:r>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tc>
          <w:tcPr>
            <w:tcW w:w="264"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Entry:</w:t>
            </w:r>
          </w:p>
        </w:tc>
      </w:tr>
      <w:tr>
        <w:trPr>
          <w:trHeight w:val="735"/>
        </w:trPr>
        <w:tc>
          <w:tcPr>
            <w:tcW w:w="264"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tcPr>
          <w:p>
            <w:pPr>
              <w:adjustRightInd w:val="0"/>
              <w:rPr>
                <w:rFonts w:ascii="Helvetica" w:hAnsi="Helvetica" w:cs="Helvetica"/>
                <w:sz w:val="18"/>
                <w:szCs w:val="18"/>
              </w:rPr>
            </w:pPr>
            <w:r>
              <w:rPr>
                <w:rFonts w:ascii="Helvetica-Bold" w:hAnsi="Helvetica-Bold" w:cs="Helvetica-Bold"/>
                <w:b/>
                <w:bCs/>
                <w:sz w:val="18"/>
                <w:szCs w:val="18"/>
              </w:rPr>
              <w:t xml:space="preserve">Type of Submission: </w:t>
            </w:r>
            <w:r>
              <w:rPr>
                <w:rFonts w:ascii="Helvetica" w:hAnsi="Helvetica" w:cs="Helvetica"/>
                <w:sz w:val="18"/>
                <w:szCs w:val="18"/>
              </w:rPr>
              <w:t>(Required) Select one type of submission in accordance with agency instructions.</w:t>
            </w:r>
          </w:p>
          <w:p>
            <w:pPr>
              <w:adjustRightInd w:val="0"/>
              <w:rPr>
                <w:rFonts w:ascii="Helvetica" w:hAnsi="Helvetica" w:cs="Helvetica"/>
                <w:sz w:val="18"/>
                <w:szCs w:val="18"/>
              </w:rPr>
            </w:pPr>
            <w:r>
              <w:rPr>
                <w:rFonts w:ascii="Helvetica" w:hAnsi="Helvetica" w:cs="Helvetica"/>
                <w:sz w:val="18"/>
                <w:szCs w:val="18"/>
              </w:rPr>
              <w:t>• Pre-application</w:t>
            </w:r>
          </w:p>
          <w:p>
            <w:pPr>
              <w:adjustRightInd w:val="0"/>
              <w:rPr>
                <w:rFonts w:ascii="Helvetica" w:hAnsi="Helvetica" w:cs="Helvetica"/>
                <w:sz w:val="18"/>
                <w:szCs w:val="18"/>
              </w:rPr>
            </w:pPr>
            <w:r>
              <w:rPr>
                <w:rFonts w:ascii="Helvetica" w:hAnsi="Helvetica" w:cs="Helvetica"/>
                <w:sz w:val="18"/>
                <w:szCs w:val="18"/>
              </w:rPr>
              <w:t>• Application</w:t>
            </w:r>
          </w:p>
          <w:p>
            <w:pPr>
              <w:rPr>
                <w:rFonts w:ascii="Helvetica" w:hAnsi="Helvetica"/>
                <w:sz w:val="18"/>
                <w:szCs w:val="18"/>
              </w:rPr>
            </w:pPr>
            <w:r>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Name Of Federal Agency</w:t>
            </w:r>
            <w:r>
              <w:rPr>
                <w:rFonts w:ascii="Helvetica" w:hAnsi="Helvetica" w:cs="Helvetica"/>
                <w:sz w:val="18"/>
                <w:szCs w:val="18"/>
              </w:rPr>
              <w:t>: (Required) Enter the name of the federal agency from which assistance is being requested with this application.</w:t>
            </w:r>
          </w:p>
        </w:tc>
      </w:tr>
      <w:tr>
        <w:trPr>
          <w:trHeight w:val="735"/>
        </w:trPr>
        <w:tc>
          <w:tcPr>
            <w:tcW w:w="264"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tcPr>
          <w:p>
            <w:pPr>
              <w:adjustRightInd w:val="0"/>
              <w:rPr>
                <w:rFonts w:ascii="Helvetica-Bold" w:hAnsi="Helvetica-Bold" w:cs="Helvetica-Bold"/>
                <w:b/>
                <w:bCs/>
                <w:sz w:val="18"/>
                <w:szCs w:val="18"/>
              </w:rPr>
            </w:pPr>
            <w:r>
              <w:rPr>
                <w:rFonts w:ascii="Helvetica-Bold" w:hAnsi="Helvetica-Bold" w:cs="Helvetica-Bold"/>
                <w:b/>
                <w:bCs/>
                <w:sz w:val="18"/>
                <w:szCs w:val="18"/>
              </w:rPr>
              <w:t>Catalog Of Federal Domestic Assistance Number/Title:</w:t>
            </w:r>
          </w:p>
          <w:p>
            <w:pPr>
              <w:adjustRightInd w:val="0"/>
              <w:rPr>
                <w:rFonts w:ascii="Helvetica-Bold" w:hAnsi="Helvetica-Bold" w:cs="Helvetica-Bold"/>
                <w:sz w:val="18"/>
                <w:szCs w:val="18"/>
              </w:rPr>
            </w:pPr>
            <w:r>
              <w:rPr>
                <w:rFonts w:ascii="Helvetica" w:hAnsi="Helvetica" w:cs="Helvetica"/>
                <w:sz w:val="18"/>
                <w:szCs w:val="18"/>
              </w:rPr>
              <w:t>Enter the Catalog of Federal Domestic Assistance number and title of the program under which assistance is requested, as found in the program announcement, if applicable.</w:t>
            </w:r>
          </w:p>
        </w:tc>
      </w:tr>
      <w:tr>
        <w:trPr>
          <w:trHeight w:val="1045"/>
        </w:trPr>
        <w:tc>
          <w:tcPr>
            <w:tcW w:w="264"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pPr>
              <w:adjustRightInd w:val="0"/>
              <w:rPr>
                <w:rFonts w:ascii="Helvetica" w:hAnsi="Helvetica" w:cs="Helvetica"/>
                <w:sz w:val="18"/>
                <w:szCs w:val="18"/>
              </w:rPr>
            </w:pPr>
            <w:r>
              <w:rPr>
                <w:rFonts w:ascii="Helvetica-Bold" w:hAnsi="Helvetica-Bold" w:cs="Helvetica-Bold"/>
                <w:b/>
                <w:bCs/>
                <w:sz w:val="18"/>
                <w:szCs w:val="18"/>
              </w:rPr>
              <w:t>Type of Application</w:t>
            </w:r>
            <w:r>
              <w:rPr>
                <w:rFonts w:ascii="Helvetica" w:hAnsi="Helvetica" w:cs="Helvetica"/>
                <w:sz w:val="18"/>
                <w:szCs w:val="18"/>
              </w:rPr>
              <w:t>: (Required) Select one type of application in accordance with agency instructions.</w:t>
            </w:r>
          </w:p>
          <w:p>
            <w:pPr>
              <w:adjustRightInd w:val="0"/>
              <w:rPr>
                <w:rFonts w:ascii="Helvetica" w:hAnsi="Helvetica" w:cs="Helvetica"/>
                <w:sz w:val="18"/>
                <w:szCs w:val="18"/>
              </w:rPr>
            </w:pPr>
          </w:p>
          <w:p>
            <w:pPr>
              <w:adjustRightInd w:val="0"/>
              <w:rPr>
                <w:rFonts w:ascii="Helvetica" w:hAnsi="Helvetica" w:cs="Helvetica"/>
                <w:sz w:val="18"/>
                <w:szCs w:val="18"/>
              </w:rPr>
            </w:pPr>
            <w:r>
              <w:rPr>
                <w:rFonts w:ascii="Helvetica" w:hAnsi="Helvetica" w:cs="Helvetica"/>
                <w:sz w:val="18"/>
                <w:szCs w:val="18"/>
              </w:rPr>
              <w:t>• New – An application that is being submitted to an agency for the first time.</w:t>
            </w:r>
          </w:p>
          <w:p>
            <w:pPr>
              <w:adjustRightInd w:val="0"/>
              <w:rPr>
                <w:rFonts w:ascii="Helvetica" w:hAnsi="Helvetica" w:cs="Helvetica"/>
                <w:sz w:val="18"/>
                <w:szCs w:val="18"/>
              </w:rPr>
            </w:pPr>
            <w:r>
              <w:rPr>
                <w:rFonts w:ascii="Helvetica" w:hAnsi="Helvetica" w:cs="Helvetica"/>
                <w:sz w:val="18"/>
                <w:szCs w:val="18"/>
              </w:rPr>
              <w:t>• Continuation - An extension for an additional funding/budget period for a project with a projected completion date. This can include renewals.</w:t>
            </w:r>
          </w:p>
          <w:p>
            <w:pPr>
              <w:adjustRightInd w:val="0"/>
              <w:rPr>
                <w:rFonts w:ascii="Helvetica" w:hAnsi="Helvetica" w:cs="Helvetica"/>
                <w:sz w:val="18"/>
                <w:szCs w:val="18"/>
              </w:rPr>
            </w:pPr>
            <w:r>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pPr>
              <w:adjustRightInd w:val="0"/>
              <w:rPr>
                <w:rFonts w:ascii="Helvetica" w:hAnsi="Helvetica" w:cs="Helvetica"/>
                <w:sz w:val="18"/>
                <w:szCs w:val="18"/>
              </w:rPr>
            </w:pPr>
          </w:p>
          <w:p>
            <w:pPr>
              <w:adjustRightInd w:val="0"/>
              <w:rPr>
                <w:rFonts w:ascii="Helvetica" w:hAnsi="Helvetica" w:cs="Helvetica"/>
                <w:sz w:val="18"/>
                <w:szCs w:val="18"/>
              </w:rPr>
            </w:pPr>
            <w:r>
              <w:rPr>
                <w:rFonts w:ascii="Helvetica" w:hAnsi="Helvetica" w:cs="Helvetica"/>
                <w:sz w:val="18"/>
                <w:szCs w:val="18"/>
              </w:rPr>
              <w:t>A. Increase Award                      D. Decrease Duration</w:t>
            </w:r>
          </w:p>
          <w:p>
            <w:pPr>
              <w:adjustRightInd w:val="0"/>
              <w:rPr>
                <w:rFonts w:ascii="Helvetica" w:hAnsi="Helvetica" w:cs="Helvetica"/>
                <w:sz w:val="18"/>
                <w:szCs w:val="18"/>
              </w:rPr>
            </w:pPr>
            <w:r>
              <w:rPr>
                <w:rFonts w:ascii="Helvetica" w:hAnsi="Helvetica" w:cs="Helvetica"/>
                <w:sz w:val="18"/>
                <w:szCs w:val="18"/>
              </w:rPr>
              <w:t>B. Decrease Award                     E. Other (specify)</w:t>
            </w:r>
          </w:p>
          <w:p>
            <w:pPr>
              <w:rPr>
                <w:rFonts w:ascii="Helvetica" w:hAnsi="Helvetica"/>
                <w:sz w:val="18"/>
                <w:szCs w:val="18"/>
              </w:rPr>
            </w:pPr>
            <w:r>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Funding Opportunity Number/Title: </w:t>
            </w:r>
            <w:r>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trPr>
          <w:trHeight w:val="1045"/>
        </w:trPr>
        <w:tc>
          <w:tcPr>
            <w:tcW w:w="264"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Competition Identification Number/Title: </w:t>
            </w:r>
            <w:r>
              <w:rPr>
                <w:rFonts w:ascii="Helvetica" w:hAnsi="Helvetica" w:cs="Helvetica"/>
                <w:sz w:val="18"/>
                <w:szCs w:val="18"/>
              </w:rPr>
              <w:t>Enter the competition identification number and title of the competition under which assistance is requested, if applicable.</w:t>
            </w:r>
          </w:p>
        </w:tc>
      </w:tr>
      <w:tr>
        <w:trPr>
          <w:trHeight w:val="1045"/>
        </w:trPr>
        <w:tc>
          <w:tcPr>
            <w:tcW w:w="264"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Areas Affected By Project: </w:t>
            </w:r>
            <w:r>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trPr>
          <w:trHeight w:val="458"/>
        </w:trPr>
        <w:tc>
          <w:tcPr>
            <w:tcW w:w="264"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Date Received: </w:t>
            </w:r>
            <w:r>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Descriptive Title of Applicant’s Project: </w:t>
            </w:r>
            <w:r>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trPr>
          <w:trHeight w:val="458"/>
        </w:trPr>
        <w:tc>
          <w:tcPr>
            <w:tcW w:w="264"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Bold" w:hAnsi="Helvetica-Bold" w:cs="Helvetica-Bold"/>
                <w:bCs/>
                <w:sz w:val="18"/>
                <w:szCs w:val="18"/>
              </w:rPr>
            </w:pPr>
            <w:r>
              <w:rPr>
                <w:rFonts w:ascii="Helvetica-Bold" w:hAnsi="Helvetica-Bold" w:cs="Helvetica-Bold"/>
                <w:b/>
                <w:bCs/>
                <w:sz w:val="18"/>
                <w:szCs w:val="18"/>
              </w:rPr>
              <w:t xml:space="preserve">Applicant Identifier: </w:t>
            </w:r>
            <w:r>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pPr>
              <w:rPr>
                <w:rFonts w:ascii="Helvetica-Bold" w:hAnsi="Helvetica-Bold" w:cs="Helvetica-Bold"/>
                <w:b/>
                <w:bCs/>
                <w:sz w:val="18"/>
                <w:szCs w:val="18"/>
              </w:rPr>
            </w:pPr>
          </w:p>
        </w:tc>
      </w:tr>
      <w:tr>
        <w:trPr>
          <w:trHeight w:val="405"/>
        </w:trPr>
        <w:tc>
          <w:tcPr>
            <w:tcW w:w="264"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Federal Entity Identifier</w:t>
            </w:r>
            <w:r>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Congressional Districts Of</w:t>
            </w:r>
            <w:r>
              <w:rPr>
                <w:rFonts w:ascii="Helvetica" w:hAnsi="Helvetica"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w:t>
            </w:r>
            <w:r>
              <w:rPr>
                <w:rFonts w:ascii="Helvetica" w:hAnsi="Helvetica" w:cs="Helvetica"/>
                <w:sz w:val="18"/>
                <w:szCs w:val="18"/>
              </w:rPr>
              <w:lastRenderedPageBreak/>
              <w:t>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trPr>
          <w:trHeight w:val="405"/>
        </w:trPr>
        <w:tc>
          <w:tcPr>
            <w:tcW w:w="264"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Federal Award Identifier</w:t>
            </w:r>
            <w:r>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r>
      <w:tr>
        <w:trPr>
          <w:trHeight w:val="405"/>
        </w:trPr>
        <w:tc>
          <w:tcPr>
            <w:tcW w:w="264"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Date Received by State: </w:t>
            </w:r>
            <w:r>
              <w:rPr>
                <w:rFonts w:ascii="Helvetica" w:hAnsi="Helvetica" w:cs="Helvetica"/>
                <w:sz w:val="18"/>
                <w:szCs w:val="18"/>
              </w:rPr>
              <w:t xml:space="preserve">Leave this field blank. This date will be assigned by the state, if </w:t>
            </w:r>
            <w:r>
              <w:rPr>
                <w:rFonts w:ascii="Helvetica" w:hAnsi="Helvetica" w:cs="Helvetica"/>
                <w:sz w:val="18"/>
                <w:szCs w:val="18"/>
              </w:rPr>
              <w:lastRenderedPageBreak/>
              <w:t xml:space="preserve">applicable. </w:t>
            </w:r>
          </w:p>
        </w:tc>
        <w:tc>
          <w:tcPr>
            <w:tcW w:w="269"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r>
      <w:tr>
        <w:trPr>
          <w:trHeight w:val="405"/>
        </w:trPr>
        <w:tc>
          <w:tcPr>
            <w:tcW w:w="264"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lastRenderedPageBreak/>
              <w:t>7.</w:t>
            </w: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State Application Identifier: </w:t>
            </w:r>
            <w:r>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r>
      <w:tr>
        <w:trPr>
          <w:trHeight w:val="405"/>
        </w:trPr>
        <w:tc>
          <w:tcPr>
            <w:tcW w:w="264"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Applicant Information</w:t>
            </w:r>
            <w:r>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r>
      <w:tr>
        <w:tc>
          <w:tcPr>
            <w:tcW w:w="264"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a. Legal Name</w:t>
            </w:r>
            <w:r>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Proposed Project Start and End Dates</w:t>
            </w:r>
            <w:r>
              <w:rPr>
                <w:rFonts w:ascii="Helvetica" w:hAnsi="Helvetica" w:cs="Helvetica"/>
                <w:sz w:val="18"/>
                <w:szCs w:val="18"/>
              </w:rPr>
              <w:t>: (Required) Enter the proposed start date and end date of the project.</w:t>
            </w:r>
          </w:p>
        </w:tc>
      </w:tr>
      <w:tr>
        <w:trPr>
          <w:trHeight w:val="809"/>
        </w:trPr>
        <w:tc>
          <w:tcPr>
            <w:tcW w:w="264"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b. Employer/Taxpayer Number (EIN/TIN): </w:t>
            </w:r>
            <w:r>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Estimated Funding: </w:t>
            </w:r>
            <w:r>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trPr>
          <w:cantSplit/>
        </w:trPr>
        <w:tc>
          <w:tcPr>
            <w:tcW w:w="264"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c. Organizational DUNS</w:t>
            </w:r>
            <w:r>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Is Application Subject to Review by State Under Executive Order 12372 Process? </w:t>
            </w:r>
            <w:r>
              <w:rPr>
                <w:rFonts w:ascii="Helvetica-Bold" w:hAnsi="Helvetica-Bold" w:cs="Helvetica-Bold"/>
                <w:bCs/>
                <w:sz w:val="18"/>
                <w:szCs w:val="18"/>
              </w:rPr>
              <w:t>(Required</w:t>
            </w:r>
            <w:r>
              <w:rPr>
                <w:rFonts w:ascii="Helvetica-Bold" w:hAnsi="Helvetica-Bold" w:cs="Helvetica-Bold"/>
                <w:b/>
                <w:bCs/>
                <w:sz w:val="18"/>
                <w:szCs w:val="18"/>
              </w:rPr>
              <w:t xml:space="preserve">) </w:t>
            </w:r>
            <w:r>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tc>
          <w:tcPr>
            <w:tcW w:w="264"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d. Address</w:t>
            </w:r>
            <w:r>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tcPr>
          <w:p>
            <w:pPr>
              <w:adjustRightInd w:val="0"/>
              <w:rPr>
                <w:rFonts w:ascii="Helvetica-Bold" w:hAnsi="Helvetica-Bold" w:cs="Helvetica-Bold"/>
                <w:b/>
                <w:bCs/>
                <w:sz w:val="18"/>
                <w:szCs w:val="18"/>
              </w:rPr>
            </w:pPr>
            <w:r>
              <w:rPr>
                <w:rFonts w:ascii="Helvetica-Bold" w:hAnsi="Helvetica-Bold" w:cs="Helvetica-Bold"/>
                <w:b/>
                <w:bCs/>
                <w:sz w:val="18"/>
                <w:szCs w:val="18"/>
              </w:rPr>
              <w:t>Is the Applicant Delinquent on any Federal Debt?</w:t>
            </w:r>
          </w:p>
          <w:p>
            <w:pPr>
              <w:rPr>
                <w:rFonts w:ascii="Helvetica" w:hAnsi="Helvetica"/>
                <w:sz w:val="18"/>
                <w:szCs w:val="18"/>
              </w:rPr>
            </w:pPr>
            <w:r>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trPr>
          <w:trHeight w:val="825"/>
        </w:trPr>
        <w:tc>
          <w:tcPr>
            <w:tcW w:w="264"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 xml:space="preserve">e. Organizational Unit: </w:t>
            </w:r>
            <w:r>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Bold" w:hAnsi="Helvetica-Bold" w:cs="Helvetica-Bold"/>
                <w:b/>
                <w:bCs/>
                <w:sz w:val="18"/>
                <w:szCs w:val="18"/>
              </w:rPr>
              <w:t>Authorized Representative</w:t>
            </w:r>
            <w:r>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trPr>
          <w:trHeight w:val="825"/>
        </w:trPr>
        <w:tc>
          <w:tcPr>
            <w:tcW w:w="264"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Bold" w:hAnsi="Helvetica-Bold" w:cs="Helvetica-Bold"/>
                <w:b/>
                <w:bCs/>
                <w:sz w:val="18"/>
                <w:szCs w:val="18"/>
              </w:rPr>
            </w:pPr>
            <w:r>
              <w:rPr>
                <w:rFonts w:ascii="Helvetica-Bold" w:hAnsi="Helvetica-Bold" w:cs="Helvetica-Bold"/>
                <w:b/>
                <w:bCs/>
                <w:sz w:val="18"/>
                <w:szCs w:val="18"/>
              </w:rPr>
              <w:t xml:space="preserve">f. Name and contact information of person to be contacted on matters involving this application: </w:t>
            </w:r>
            <w:r>
              <w:rPr>
                <w:rFonts w:ascii="Helvetica-Bold" w:hAnsi="Helvetica-Bold" w:cs="Helvetica-Bold"/>
                <w:bCs/>
                <w:sz w:val="18"/>
                <w:szCs w:val="18"/>
              </w:rPr>
              <w:t xml:space="preserve">Enter the first and last name (Required); prefix, middle name, suffix, title.  Enter </w:t>
            </w:r>
            <w:r>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r>
      <w:tr>
        <w:tc>
          <w:tcPr>
            <w:tcW w:w="264"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r>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p>
        </w:tc>
      </w:tr>
      <w:tr>
        <w:tc>
          <w:tcPr>
            <w:tcW w:w="264"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tcPr>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t>A.</w:t>
            </w:r>
            <w:r>
              <w:rPr>
                <w:rFonts w:eastAsia="Helvetica"/>
                <w:sz w:val="18"/>
                <w:szCs w:val="18"/>
              </w:rPr>
              <w:t xml:space="preserve">     </w:t>
            </w:r>
            <w:r>
              <w:rPr>
                <w:rFonts w:ascii="Helvetica" w:hAnsi="Helvetica" w:cs="Helvetica"/>
                <w:sz w:val="18"/>
                <w:szCs w:val="18"/>
              </w:rPr>
              <w:t>State Government</w:t>
            </w:r>
          </w:p>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t>B.</w:t>
            </w:r>
            <w:r>
              <w:rPr>
                <w:rFonts w:eastAsia="Helvetica"/>
                <w:sz w:val="18"/>
                <w:szCs w:val="18"/>
              </w:rPr>
              <w:t xml:space="preserve">     </w:t>
            </w:r>
            <w:r>
              <w:rPr>
                <w:rFonts w:ascii="Helvetica" w:hAnsi="Helvetica" w:cs="Helvetica"/>
                <w:sz w:val="18"/>
                <w:szCs w:val="18"/>
              </w:rPr>
              <w:t>County Government</w:t>
            </w:r>
          </w:p>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t>C.</w:t>
            </w:r>
            <w:r>
              <w:rPr>
                <w:rFonts w:eastAsia="Helvetica"/>
                <w:sz w:val="18"/>
                <w:szCs w:val="18"/>
              </w:rPr>
              <w:t xml:space="preserve">     </w:t>
            </w:r>
            <w:r>
              <w:rPr>
                <w:rFonts w:ascii="Helvetica" w:hAnsi="Helvetica" w:cs="Helvetica"/>
                <w:sz w:val="18"/>
                <w:szCs w:val="18"/>
              </w:rPr>
              <w:t>City or Township Government</w:t>
            </w:r>
          </w:p>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t>D.</w:t>
            </w:r>
            <w:r>
              <w:rPr>
                <w:rFonts w:eastAsia="Helvetica"/>
                <w:sz w:val="18"/>
                <w:szCs w:val="18"/>
              </w:rPr>
              <w:t xml:space="preserve">     </w:t>
            </w:r>
            <w:r>
              <w:rPr>
                <w:rFonts w:ascii="Helvetica" w:hAnsi="Helvetica" w:cs="Helvetica"/>
                <w:sz w:val="18"/>
                <w:szCs w:val="18"/>
              </w:rPr>
              <w:t>Special District Government</w:t>
            </w:r>
          </w:p>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lastRenderedPageBreak/>
              <w:t>E.</w:t>
            </w:r>
            <w:r>
              <w:rPr>
                <w:rFonts w:eastAsia="Helvetica"/>
                <w:sz w:val="18"/>
                <w:szCs w:val="18"/>
              </w:rPr>
              <w:t xml:space="preserve">     </w:t>
            </w:r>
            <w:r>
              <w:rPr>
                <w:rFonts w:ascii="Helvetica" w:hAnsi="Helvetica" w:cs="Helvetica"/>
                <w:sz w:val="18"/>
                <w:szCs w:val="18"/>
              </w:rPr>
              <w:t>Regional Organization</w:t>
            </w:r>
          </w:p>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t>F.</w:t>
            </w:r>
            <w:r>
              <w:rPr>
                <w:rFonts w:eastAsia="Helvetica"/>
                <w:sz w:val="18"/>
                <w:szCs w:val="18"/>
              </w:rPr>
              <w:t xml:space="preserve">     </w:t>
            </w:r>
            <w:r>
              <w:rPr>
                <w:rFonts w:ascii="Helvetica" w:hAnsi="Helvetica" w:cs="Helvetica"/>
                <w:sz w:val="18"/>
                <w:szCs w:val="18"/>
              </w:rPr>
              <w:t>U.S. Territory or Possession</w:t>
            </w:r>
          </w:p>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t>G.</w:t>
            </w:r>
            <w:r>
              <w:rPr>
                <w:rFonts w:eastAsia="Helvetica"/>
                <w:sz w:val="18"/>
                <w:szCs w:val="18"/>
              </w:rPr>
              <w:t xml:space="preserve">    </w:t>
            </w:r>
            <w:r>
              <w:rPr>
                <w:rFonts w:ascii="Helvetica" w:hAnsi="Helvetica" w:cs="Helvetica"/>
                <w:sz w:val="18"/>
                <w:szCs w:val="18"/>
              </w:rPr>
              <w:t>Independent School District</w:t>
            </w:r>
          </w:p>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t>H.</w:t>
            </w:r>
            <w:r>
              <w:rPr>
                <w:rFonts w:eastAsia="Helvetica"/>
                <w:sz w:val="18"/>
                <w:szCs w:val="18"/>
              </w:rPr>
              <w:t xml:space="preserve">     </w:t>
            </w:r>
            <w:r>
              <w:rPr>
                <w:rFonts w:ascii="Helvetica" w:hAnsi="Helvetica" w:cs="Helvetica"/>
                <w:sz w:val="18"/>
                <w:szCs w:val="18"/>
              </w:rPr>
              <w:t>Public/State Controlled Institution of Higher Education</w:t>
            </w:r>
          </w:p>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t>I.</w:t>
            </w:r>
            <w:r>
              <w:rPr>
                <w:rFonts w:eastAsia="Helvetica"/>
                <w:sz w:val="18"/>
                <w:szCs w:val="18"/>
              </w:rPr>
              <w:t xml:space="preserve">      </w:t>
            </w:r>
            <w:r>
              <w:rPr>
                <w:rFonts w:ascii="Helvetica" w:hAnsi="Helvetica" w:cs="Helvetica"/>
                <w:sz w:val="18"/>
                <w:szCs w:val="18"/>
              </w:rPr>
              <w:t>Indian/Native American Tribal Government (Federally Recognized)</w:t>
            </w:r>
          </w:p>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t>J.</w:t>
            </w:r>
            <w:r>
              <w:rPr>
                <w:rFonts w:eastAsia="Helvetica"/>
                <w:sz w:val="18"/>
                <w:szCs w:val="18"/>
              </w:rPr>
              <w:t xml:space="preserve">     </w:t>
            </w:r>
            <w:r>
              <w:rPr>
                <w:rFonts w:ascii="Helvetica" w:hAnsi="Helvetica" w:cs="Helvetica"/>
                <w:sz w:val="18"/>
                <w:szCs w:val="18"/>
              </w:rPr>
              <w:t>Indian/Native American Tribal Government (Other than Federally Recognized)</w:t>
            </w:r>
          </w:p>
          <w:p>
            <w:pPr>
              <w:tabs>
                <w:tab w:val="num" w:pos="492"/>
              </w:tabs>
              <w:adjustRightInd w:val="0"/>
              <w:ind w:left="492" w:hanging="360"/>
              <w:rPr>
                <w:rFonts w:ascii="Helvetica" w:hAnsi="Helvetica" w:cs="Helvetica"/>
                <w:sz w:val="18"/>
                <w:szCs w:val="18"/>
              </w:rPr>
            </w:pPr>
            <w:r>
              <w:rPr>
                <w:rFonts w:ascii="Helvetica" w:eastAsia="Helvetica" w:hAnsi="Helvetica" w:cs="Helvetica"/>
                <w:sz w:val="18"/>
                <w:szCs w:val="18"/>
              </w:rPr>
              <w:t>K.</w:t>
            </w:r>
            <w:r>
              <w:rPr>
                <w:rFonts w:eastAsia="Helvetica"/>
                <w:sz w:val="18"/>
                <w:szCs w:val="18"/>
              </w:rPr>
              <w:t xml:space="preserve">     </w:t>
            </w:r>
            <w:r>
              <w:rPr>
                <w:rFonts w:ascii="Helvetica" w:hAnsi="Helvetica" w:cs="Helvetica"/>
                <w:sz w:val="18"/>
                <w:szCs w:val="18"/>
              </w:rPr>
              <w:t>Indian/Native American Tribally Designated Organization</w:t>
            </w:r>
          </w:p>
          <w:p>
            <w:pPr>
              <w:tabs>
                <w:tab w:val="num" w:pos="492"/>
              </w:tabs>
              <w:ind w:left="492" w:hanging="360"/>
              <w:rPr>
                <w:rFonts w:ascii="Helvetica" w:hAnsi="Helvetica"/>
                <w:sz w:val="18"/>
                <w:szCs w:val="18"/>
              </w:rPr>
            </w:pPr>
            <w:r>
              <w:rPr>
                <w:rFonts w:ascii="Helvetica" w:eastAsia="Helvetica" w:hAnsi="Helvetica" w:cs="Helvetica"/>
                <w:sz w:val="18"/>
                <w:szCs w:val="18"/>
              </w:rPr>
              <w:t>L.</w:t>
            </w:r>
            <w:r>
              <w:rPr>
                <w:rFonts w:eastAsia="Helvetica"/>
                <w:sz w:val="18"/>
                <w:szCs w:val="18"/>
              </w:rPr>
              <w:t xml:space="preserve">     </w:t>
            </w:r>
            <w:r>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tcPr>
          <w:p>
            <w:pPr>
              <w:tabs>
                <w:tab w:val="num" w:pos="552"/>
              </w:tabs>
              <w:adjustRightInd w:val="0"/>
              <w:ind w:left="552" w:hanging="360"/>
              <w:rPr>
                <w:rFonts w:ascii="Helvetica" w:hAnsi="Helvetica" w:cs="Helvetica"/>
                <w:sz w:val="18"/>
                <w:szCs w:val="18"/>
              </w:rPr>
            </w:pPr>
            <w:r>
              <w:rPr>
                <w:rFonts w:ascii="Helvetica" w:eastAsia="Helvetica" w:hAnsi="Helvetica" w:cs="Helvetica"/>
                <w:sz w:val="18"/>
                <w:szCs w:val="18"/>
              </w:rPr>
              <w:lastRenderedPageBreak/>
              <w:t>M.</w:t>
            </w:r>
            <w:r>
              <w:rPr>
                <w:rFonts w:eastAsia="Helvetica"/>
                <w:sz w:val="18"/>
                <w:szCs w:val="18"/>
              </w:rPr>
              <w:t xml:space="preserve">    </w:t>
            </w:r>
            <w:r>
              <w:rPr>
                <w:rFonts w:ascii="Helvetica" w:hAnsi="Helvetica" w:cs="Helvetica"/>
                <w:sz w:val="18"/>
                <w:szCs w:val="18"/>
              </w:rPr>
              <w:t>Nonprofit</w:t>
            </w:r>
          </w:p>
          <w:p>
            <w:pPr>
              <w:tabs>
                <w:tab w:val="num" w:pos="552"/>
              </w:tabs>
              <w:adjustRightInd w:val="0"/>
              <w:ind w:left="552" w:hanging="360"/>
              <w:rPr>
                <w:rFonts w:ascii="Helvetica" w:hAnsi="Helvetica" w:cs="Helvetica"/>
                <w:sz w:val="18"/>
                <w:szCs w:val="18"/>
              </w:rPr>
            </w:pPr>
            <w:r>
              <w:rPr>
                <w:rFonts w:ascii="Helvetica" w:eastAsia="Helvetica" w:hAnsi="Helvetica" w:cs="Helvetica"/>
                <w:sz w:val="18"/>
                <w:szCs w:val="18"/>
              </w:rPr>
              <w:t>N.</w:t>
            </w:r>
            <w:r>
              <w:rPr>
                <w:rFonts w:eastAsia="Helvetica"/>
                <w:sz w:val="18"/>
                <w:szCs w:val="18"/>
              </w:rPr>
              <w:t xml:space="preserve">     </w:t>
            </w:r>
            <w:r>
              <w:rPr>
                <w:rFonts w:ascii="Helvetica" w:hAnsi="Helvetica" w:cs="Helvetica"/>
                <w:sz w:val="18"/>
                <w:szCs w:val="18"/>
              </w:rPr>
              <w:t>Private Institution of Higher Education</w:t>
            </w:r>
          </w:p>
          <w:p>
            <w:pPr>
              <w:tabs>
                <w:tab w:val="num" w:pos="552"/>
              </w:tabs>
              <w:adjustRightInd w:val="0"/>
              <w:ind w:left="552" w:hanging="360"/>
              <w:rPr>
                <w:rFonts w:ascii="Helvetica" w:hAnsi="Helvetica" w:cs="Helvetica"/>
                <w:sz w:val="18"/>
                <w:szCs w:val="18"/>
              </w:rPr>
            </w:pPr>
            <w:r>
              <w:rPr>
                <w:rFonts w:ascii="Helvetica" w:eastAsia="Helvetica" w:hAnsi="Helvetica" w:cs="Helvetica"/>
                <w:sz w:val="18"/>
                <w:szCs w:val="18"/>
              </w:rPr>
              <w:t>O.</w:t>
            </w:r>
            <w:r>
              <w:rPr>
                <w:rFonts w:eastAsia="Helvetica"/>
                <w:sz w:val="18"/>
                <w:szCs w:val="18"/>
              </w:rPr>
              <w:t xml:space="preserve">    </w:t>
            </w:r>
            <w:r>
              <w:rPr>
                <w:rFonts w:ascii="Helvetica" w:hAnsi="Helvetica" w:cs="Helvetica"/>
                <w:sz w:val="18"/>
                <w:szCs w:val="18"/>
              </w:rPr>
              <w:t>Individual</w:t>
            </w:r>
          </w:p>
          <w:p>
            <w:pPr>
              <w:tabs>
                <w:tab w:val="num" w:pos="552"/>
              </w:tabs>
              <w:adjustRightInd w:val="0"/>
              <w:ind w:left="552" w:hanging="360"/>
              <w:rPr>
                <w:rFonts w:ascii="Helvetica" w:hAnsi="Helvetica" w:cs="Helvetica"/>
                <w:sz w:val="18"/>
                <w:szCs w:val="18"/>
              </w:rPr>
            </w:pPr>
            <w:r>
              <w:rPr>
                <w:rFonts w:ascii="Helvetica" w:eastAsia="Helvetica" w:hAnsi="Helvetica" w:cs="Helvetica"/>
                <w:sz w:val="18"/>
                <w:szCs w:val="18"/>
              </w:rPr>
              <w:t>P.</w:t>
            </w:r>
            <w:r>
              <w:rPr>
                <w:rFonts w:eastAsia="Helvetica"/>
                <w:sz w:val="18"/>
                <w:szCs w:val="18"/>
              </w:rPr>
              <w:t xml:space="preserve">     </w:t>
            </w:r>
            <w:r>
              <w:rPr>
                <w:rFonts w:ascii="Helvetica" w:hAnsi="Helvetica" w:cs="Helvetica"/>
                <w:sz w:val="18"/>
                <w:szCs w:val="18"/>
              </w:rPr>
              <w:t xml:space="preserve">For-Profit Organization (Other than </w:t>
            </w:r>
            <w:r>
              <w:rPr>
                <w:rFonts w:ascii="Helvetica" w:hAnsi="Helvetica" w:cs="Helvetica"/>
                <w:sz w:val="18"/>
                <w:szCs w:val="18"/>
              </w:rPr>
              <w:lastRenderedPageBreak/>
              <w:t>Small Business)</w:t>
            </w:r>
          </w:p>
          <w:p>
            <w:pPr>
              <w:tabs>
                <w:tab w:val="num" w:pos="552"/>
              </w:tabs>
              <w:adjustRightInd w:val="0"/>
              <w:ind w:left="552" w:hanging="360"/>
              <w:rPr>
                <w:rFonts w:ascii="Helvetica" w:hAnsi="Helvetica" w:cs="Helvetica"/>
                <w:sz w:val="18"/>
                <w:szCs w:val="18"/>
              </w:rPr>
            </w:pPr>
            <w:r>
              <w:rPr>
                <w:rFonts w:ascii="Helvetica" w:eastAsia="Helvetica" w:hAnsi="Helvetica" w:cs="Helvetica"/>
                <w:sz w:val="18"/>
                <w:szCs w:val="18"/>
              </w:rPr>
              <w:t>Q.</w:t>
            </w:r>
            <w:r>
              <w:rPr>
                <w:rFonts w:eastAsia="Helvetica"/>
                <w:sz w:val="18"/>
                <w:szCs w:val="18"/>
              </w:rPr>
              <w:t xml:space="preserve">    </w:t>
            </w:r>
            <w:r>
              <w:rPr>
                <w:rFonts w:ascii="Helvetica" w:hAnsi="Helvetica" w:cs="Helvetica"/>
                <w:sz w:val="18"/>
                <w:szCs w:val="18"/>
              </w:rPr>
              <w:t>Small Business</w:t>
            </w:r>
          </w:p>
          <w:p>
            <w:pPr>
              <w:tabs>
                <w:tab w:val="num" w:pos="552"/>
              </w:tabs>
              <w:adjustRightInd w:val="0"/>
              <w:ind w:left="552" w:hanging="360"/>
              <w:rPr>
                <w:rFonts w:ascii="Helvetica" w:hAnsi="Helvetica" w:cs="Helvetica"/>
                <w:sz w:val="18"/>
                <w:szCs w:val="18"/>
              </w:rPr>
            </w:pPr>
            <w:r>
              <w:rPr>
                <w:rFonts w:ascii="Helvetica" w:eastAsia="Helvetica" w:hAnsi="Helvetica" w:cs="Helvetica"/>
                <w:sz w:val="18"/>
                <w:szCs w:val="18"/>
              </w:rPr>
              <w:t>R.</w:t>
            </w:r>
            <w:r>
              <w:rPr>
                <w:rFonts w:eastAsia="Helvetica"/>
                <w:sz w:val="18"/>
                <w:szCs w:val="18"/>
              </w:rPr>
              <w:t xml:space="preserve">     </w:t>
            </w:r>
            <w:r>
              <w:rPr>
                <w:rFonts w:ascii="Helvetica" w:hAnsi="Helvetica" w:cs="Helvetica"/>
                <w:sz w:val="18"/>
                <w:szCs w:val="18"/>
              </w:rPr>
              <w:t>Hispanic-serving Institution</w:t>
            </w:r>
          </w:p>
          <w:p>
            <w:pPr>
              <w:tabs>
                <w:tab w:val="num" w:pos="552"/>
              </w:tabs>
              <w:adjustRightInd w:val="0"/>
              <w:ind w:left="552" w:hanging="360"/>
              <w:rPr>
                <w:rFonts w:ascii="Helvetica" w:hAnsi="Helvetica" w:cs="Helvetica"/>
                <w:sz w:val="18"/>
                <w:szCs w:val="18"/>
              </w:rPr>
            </w:pPr>
            <w:r>
              <w:rPr>
                <w:rFonts w:ascii="Helvetica" w:eastAsia="Helvetica" w:hAnsi="Helvetica" w:cs="Helvetica"/>
                <w:sz w:val="18"/>
                <w:szCs w:val="18"/>
              </w:rPr>
              <w:t>S.</w:t>
            </w:r>
            <w:r>
              <w:rPr>
                <w:rFonts w:eastAsia="Helvetica"/>
                <w:sz w:val="18"/>
                <w:szCs w:val="18"/>
              </w:rPr>
              <w:t xml:space="preserve">     </w:t>
            </w:r>
            <w:r>
              <w:rPr>
                <w:rFonts w:ascii="Helvetica" w:hAnsi="Helvetica" w:cs="Helvetica"/>
                <w:sz w:val="18"/>
                <w:szCs w:val="18"/>
              </w:rPr>
              <w:t>Historically Black Colleges and Universities (HBCUs)</w:t>
            </w:r>
          </w:p>
          <w:p>
            <w:pPr>
              <w:tabs>
                <w:tab w:val="num" w:pos="552"/>
              </w:tabs>
              <w:adjustRightInd w:val="0"/>
              <w:ind w:left="552" w:hanging="360"/>
              <w:rPr>
                <w:rFonts w:ascii="Helvetica" w:hAnsi="Helvetica" w:cs="Helvetica"/>
                <w:sz w:val="18"/>
                <w:szCs w:val="18"/>
              </w:rPr>
            </w:pPr>
            <w:r>
              <w:rPr>
                <w:rFonts w:ascii="Helvetica" w:eastAsia="Helvetica" w:hAnsi="Helvetica" w:cs="Helvetica"/>
                <w:sz w:val="18"/>
                <w:szCs w:val="18"/>
              </w:rPr>
              <w:t>T.</w:t>
            </w:r>
            <w:r>
              <w:rPr>
                <w:rFonts w:eastAsia="Helvetica"/>
                <w:sz w:val="18"/>
                <w:szCs w:val="18"/>
              </w:rPr>
              <w:t xml:space="preserve">     </w:t>
            </w:r>
            <w:r>
              <w:rPr>
                <w:rFonts w:ascii="Helvetica" w:hAnsi="Helvetica" w:cs="Helvetica"/>
                <w:sz w:val="18"/>
                <w:szCs w:val="18"/>
              </w:rPr>
              <w:t>Tribally Controlled Colleges and Universities (TCCUs)</w:t>
            </w:r>
          </w:p>
          <w:p>
            <w:pPr>
              <w:tabs>
                <w:tab w:val="num" w:pos="552"/>
              </w:tabs>
              <w:adjustRightInd w:val="0"/>
              <w:ind w:left="552" w:hanging="360"/>
              <w:rPr>
                <w:rFonts w:ascii="Helvetica" w:hAnsi="Helvetica" w:cs="Helvetica"/>
                <w:sz w:val="18"/>
                <w:szCs w:val="18"/>
              </w:rPr>
            </w:pPr>
            <w:r>
              <w:rPr>
                <w:rFonts w:ascii="Helvetica" w:eastAsia="Helvetica" w:hAnsi="Helvetica" w:cs="Helvetica"/>
                <w:sz w:val="18"/>
                <w:szCs w:val="18"/>
              </w:rPr>
              <w:t>U.</w:t>
            </w:r>
            <w:r>
              <w:rPr>
                <w:rFonts w:eastAsia="Helvetica"/>
                <w:sz w:val="18"/>
                <w:szCs w:val="18"/>
              </w:rPr>
              <w:t xml:space="preserve">     </w:t>
            </w:r>
            <w:r>
              <w:rPr>
                <w:rFonts w:ascii="Helvetica" w:hAnsi="Helvetica" w:cs="Helvetica"/>
                <w:sz w:val="18"/>
                <w:szCs w:val="18"/>
              </w:rPr>
              <w:t>Alaska Native and Native Hawaiian Serving Institutions</w:t>
            </w:r>
          </w:p>
          <w:p>
            <w:pPr>
              <w:tabs>
                <w:tab w:val="num" w:pos="552"/>
              </w:tabs>
              <w:adjustRightInd w:val="0"/>
              <w:ind w:left="552" w:hanging="360"/>
              <w:rPr>
                <w:rFonts w:ascii="Helvetica" w:hAnsi="Helvetica" w:cs="Helvetica"/>
                <w:sz w:val="18"/>
                <w:szCs w:val="18"/>
              </w:rPr>
            </w:pPr>
            <w:r>
              <w:rPr>
                <w:rFonts w:ascii="Helvetica" w:eastAsia="Helvetica" w:hAnsi="Helvetica" w:cs="Helvetica"/>
                <w:sz w:val="18"/>
                <w:szCs w:val="18"/>
              </w:rPr>
              <w:t>V.</w:t>
            </w:r>
            <w:r>
              <w:rPr>
                <w:rFonts w:eastAsia="Helvetica"/>
                <w:sz w:val="18"/>
                <w:szCs w:val="18"/>
              </w:rPr>
              <w:t xml:space="preserve">     </w:t>
            </w:r>
            <w:r>
              <w:rPr>
                <w:rFonts w:ascii="Helvetica" w:hAnsi="Helvetica" w:cs="Helvetica"/>
                <w:sz w:val="18"/>
                <w:szCs w:val="18"/>
              </w:rPr>
              <w:t>Non-US Entity</w:t>
            </w:r>
          </w:p>
          <w:p>
            <w:pPr>
              <w:tabs>
                <w:tab w:val="num" w:pos="552"/>
              </w:tabs>
              <w:ind w:left="552" w:hanging="360"/>
              <w:rPr>
                <w:rFonts w:ascii="Helvetica" w:hAnsi="Helvetica"/>
                <w:sz w:val="18"/>
                <w:szCs w:val="18"/>
              </w:rPr>
            </w:pPr>
            <w:r>
              <w:rPr>
                <w:rFonts w:ascii="Helvetica" w:eastAsia="Helvetica" w:hAnsi="Helvetica" w:cs="Helvetica"/>
                <w:sz w:val="18"/>
                <w:szCs w:val="18"/>
              </w:rPr>
              <w:t>W.</w:t>
            </w:r>
            <w:r>
              <w:rPr>
                <w:rFonts w:eastAsia="Helvetica"/>
                <w:sz w:val="18"/>
                <w:szCs w:val="18"/>
              </w:rPr>
              <w:t xml:space="preserve">    </w:t>
            </w:r>
            <w:r>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tcPr>
          <w:p>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pPr>
              <w:rPr>
                <w:rFonts w:ascii="Helvetica" w:hAnsi="Helvetica"/>
                <w:sz w:val="18"/>
                <w:szCs w:val="18"/>
              </w:rPr>
            </w:pPr>
          </w:p>
        </w:tc>
      </w:tr>
    </w:tbl>
    <w:p>
      <w:pPr>
        <w:rPr>
          <w:rFonts w:ascii="Helvetica" w:hAnsi="Helvetica" w:cs="Helvetica"/>
          <w:b/>
          <w:sz w:val="18"/>
          <w:szCs w:val="18"/>
          <w:u w:val="single"/>
        </w:rPr>
      </w:pPr>
    </w:p>
    <w:p>
      <w:pPr>
        <w:ind w:left="720"/>
        <w:rPr>
          <w:rFonts w:ascii="Helvetica" w:hAnsi="Helvetica" w:cs="Helvetica"/>
          <w:sz w:val="18"/>
          <w:szCs w:val="18"/>
        </w:rPr>
      </w:pPr>
      <w:r>
        <w:rPr>
          <w:rFonts w:ascii="Helvetica" w:hAnsi="Helvetica" w:cs="Helvetica"/>
          <w:sz w:val="18"/>
          <w:szCs w:val="18"/>
          <w:u w:val="single"/>
        </w:rPr>
        <w:t>[</w:t>
      </w:r>
      <w:r>
        <w:rPr>
          <w:rFonts w:ascii="Helvetica" w:hAnsi="Helvetica" w:cs="Helvetica"/>
          <w:b/>
          <w:sz w:val="18"/>
          <w:szCs w:val="18"/>
          <w:u w:val="single"/>
        </w:rPr>
        <w:t>U.S Department of Education note</w:t>
      </w:r>
      <w:r>
        <w:rPr>
          <w:rFonts w:ascii="Helvetica" w:hAnsi="Helvetica" w:cs="Helvetica"/>
          <w:sz w:val="18"/>
          <w:szCs w:val="18"/>
        </w:rPr>
        <w:t xml:space="preserve">: As of spring, 2010, the FON discussed in Block 12 of the instructions can be found via the following URL:  </w:t>
      </w:r>
      <w:hyperlink r:id="rId44" w:history="1">
        <w:r>
          <w:rPr>
            <w:rFonts w:ascii="Helvetica" w:hAnsi="Helvetica" w:cs="Helvetica"/>
            <w:sz w:val="18"/>
            <w:szCs w:val="18"/>
          </w:rPr>
          <w:t>http://www.grants.gov/applicants/find_grant_opportunities.jsp</w:t>
        </w:r>
      </w:hyperlink>
      <w:r>
        <w:rPr>
          <w:rFonts w:ascii="Helvetica" w:hAnsi="Helvetica" w:cs="Helvetica"/>
          <w:sz w:val="18"/>
          <w:szCs w:val="18"/>
        </w:rPr>
        <w:t>.]</w:t>
      </w: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ind w:left="720"/>
      </w:pPr>
    </w:p>
    <w:p>
      <w:pPr>
        <w:keepNext/>
        <w:pBdr>
          <w:top w:val="single" w:sz="4" w:space="1" w:color="auto"/>
          <w:bottom w:val="single" w:sz="4" w:space="1" w:color="auto"/>
        </w:pBdr>
        <w:shd w:val="clear" w:color="auto" w:fill="E0E0E0"/>
        <w:jc w:val="center"/>
        <w:outlineLvl w:val="0"/>
        <w:rPr>
          <w:b/>
          <w:color w:val="000000"/>
          <w:sz w:val="22"/>
        </w:rPr>
      </w:pPr>
      <w:r>
        <w:rPr>
          <w:b/>
          <w:color w:val="000000"/>
          <w:sz w:val="22"/>
        </w:rPr>
        <w:lastRenderedPageBreak/>
        <w:t>INSTRUCTIONS FOR</w:t>
      </w:r>
    </w:p>
    <w:p>
      <w:pPr>
        <w:keepNext/>
        <w:pBdr>
          <w:top w:val="single" w:sz="4" w:space="1" w:color="auto"/>
          <w:bottom w:val="single" w:sz="4" w:space="1" w:color="auto"/>
        </w:pBdr>
        <w:shd w:val="clear" w:color="auto" w:fill="E0E0E0"/>
        <w:jc w:val="center"/>
        <w:outlineLvl w:val="0"/>
        <w:rPr>
          <w:b/>
          <w:color w:val="000000"/>
          <w:sz w:val="22"/>
        </w:rPr>
      </w:pPr>
      <w:r>
        <w:rPr>
          <w:b/>
          <w:color w:val="000000"/>
          <w:sz w:val="22"/>
        </w:rPr>
        <w:t>DEPARTMENT OF EDUCATION SUPPLEMENTAL INFORMATION FOR SF 424</w:t>
      </w:r>
    </w:p>
    <w:p>
      <w:pPr>
        <w:tabs>
          <w:tab w:val="left" w:pos="315"/>
          <w:tab w:val="left" w:pos="450"/>
          <w:tab w:val="left" w:pos="1890"/>
          <w:tab w:val="left" w:pos="3960"/>
        </w:tabs>
        <w:ind w:left="-180"/>
        <w:rPr>
          <w:b/>
          <w:color w:val="000000"/>
          <w:sz w:val="20"/>
        </w:rPr>
      </w:pPr>
    </w:p>
    <w:p>
      <w:pPr>
        <w:tabs>
          <w:tab w:val="left" w:pos="315"/>
          <w:tab w:val="left" w:pos="450"/>
          <w:tab w:val="left" w:pos="1890"/>
          <w:tab w:val="left" w:pos="3960"/>
        </w:tabs>
        <w:ind w:left="-180"/>
        <w:rPr>
          <w:b/>
          <w:color w:val="000000"/>
          <w:sz w:val="20"/>
        </w:rPr>
      </w:pPr>
    </w:p>
    <w:p>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pPr>
        <w:tabs>
          <w:tab w:val="num" w:pos="270"/>
          <w:tab w:val="left" w:pos="315"/>
          <w:tab w:val="left" w:pos="450"/>
          <w:tab w:val="left" w:pos="1890"/>
          <w:tab w:val="left" w:pos="3960"/>
        </w:tabs>
        <w:ind w:left="-180"/>
        <w:rPr>
          <w:sz w:val="20"/>
        </w:rPr>
      </w:pPr>
    </w:p>
    <w:p>
      <w:pPr>
        <w:tabs>
          <w:tab w:val="left" w:pos="315"/>
          <w:tab w:val="left" w:pos="450"/>
          <w:tab w:val="left" w:pos="1890"/>
          <w:tab w:val="num" w:pos="2160"/>
          <w:tab w:val="left" w:pos="3960"/>
        </w:tabs>
        <w:ind w:left="-180"/>
        <w:rPr>
          <w:sz w:val="20"/>
          <w:szCs w:val="20"/>
        </w:rPr>
      </w:pPr>
      <w:r>
        <w:rPr>
          <w:b/>
          <w:sz w:val="20"/>
        </w:rPr>
        <w:t>2</w:t>
      </w:r>
      <w:r>
        <w:rPr>
          <w:sz w:val="20"/>
          <w:szCs w:val="20"/>
        </w:rPr>
        <w:t>.</w:t>
      </w:r>
      <w:r>
        <w:rPr>
          <w:b/>
          <w:sz w:val="20"/>
        </w:rPr>
        <w:t xml:space="preserve">  Novice Applicant.</w:t>
      </w:r>
      <w:r>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Pr>
          <w:b/>
          <w:sz w:val="20"/>
        </w:rPr>
        <w:t>.</w:t>
      </w:r>
    </w:p>
    <w:p>
      <w:pPr>
        <w:tabs>
          <w:tab w:val="left" w:pos="315"/>
          <w:tab w:val="left" w:pos="450"/>
          <w:tab w:val="left" w:pos="1890"/>
          <w:tab w:val="num" w:pos="2160"/>
          <w:tab w:val="left" w:pos="3960"/>
        </w:tabs>
        <w:ind w:left="-180"/>
        <w:rPr>
          <w:sz w:val="20"/>
        </w:rPr>
      </w:pPr>
    </w:p>
    <w:p>
      <w:pPr>
        <w:tabs>
          <w:tab w:val="left" w:pos="315"/>
          <w:tab w:val="left" w:pos="450"/>
          <w:tab w:val="left" w:pos="1890"/>
          <w:tab w:val="num" w:pos="2160"/>
          <w:tab w:val="left" w:pos="3960"/>
        </w:tabs>
        <w:ind w:left="-180"/>
        <w:rPr>
          <w:i/>
          <w:sz w:val="20"/>
          <w:szCs w:val="20"/>
        </w:rPr>
      </w:pPr>
      <w:r>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Pr>
          <w:sz w:val="20"/>
          <w:szCs w:val="20"/>
          <w:u w:val="single"/>
        </w:rPr>
        <w:t>Federal Register</w:t>
      </w:r>
      <w:r>
        <w:rPr>
          <w:sz w:val="20"/>
          <w:szCs w:val="20"/>
        </w:rPr>
        <w:t xml:space="preserve"> will specify this information</w:t>
      </w:r>
    </w:p>
    <w:p>
      <w:pPr>
        <w:tabs>
          <w:tab w:val="num" w:pos="270"/>
          <w:tab w:val="left" w:pos="315"/>
          <w:tab w:val="left" w:pos="450"/>
        </w:tabs>
        <w:ind w:left="-180"/>
        <w:rPr>
          <w:b/>
          <w:sz w:val="20"/>
        </w:rPr>
      </w:pPr>
    </w:p>
    <w:p>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pPr>
        <w:tabs>
          <w:tab w:val="left" w:pos="315"/>
          <w:tab w:val="left" w:pos="1890"/>
          <w:tab w:val="left" w:pos="3960"/>
        </w:tabs>
        <w:ind w:left="-180"/>
        <w:rPr>
          <w:sz w:val="20"/>
        </w:rPr>
      </w:pPr>
    </w:p>
    <w:p>
      <w:pPr>
        <w:tabs>
          <w:tab w:val="left" w:pos="315"/>
          <w:tab w:val="left" w:pos="1890"/>
          <w:tab w:val="left" w:pos="3960"/>
        </w:tabs>
        <w:ind w:left="-180"/>
        <w:rPr>
          <w:sz w:val="20"/>
        </w:rPr>
      </w:pPr>
      <w:r>
        <w:rPr>
          <w:b/>
          <w:bCs/>
          <w:sz w:val="20"/>
        </w:rPr>
        <w:t>3a.  If Not Human Subjects Research.</w:t>
      </w:r>
      <w:r>
        <w:rPr>
          <w:sz w:val="20"/>
        </w:rPr>
        <w:t xml:space="preserve">  Check “</w:t>
      </w:r>
      <w:r>
        <w:rPr>
          <w:b/>
          <w:bCs/>
          <w:sz w:val="20"/>
        </w:rPr>
        <w:t>No</w:t>
      </w:r>
      <w:r>
        <w:rPr>
          <w:sz w:val="20"/>
        </w:rPr>
        <w:t xml:space="preserve">” if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pPr>
        <w:tabs>
          <w:tab w:val="left" w:pos="315"/>
          <w:tab w:val="left" w:pos="1890"/>
          <w:tab w:val="left" w:pos="3960"/>
        </w:tabs>
        <w:ind w:left="-180"/>
        <w:rPr>
          <w:sz w:val="20"/>
        </w:rPr>
      </w:pPr>
    </w:p>
    <w:p>
      <w:pPr>
        <w:tabs>
          <w:tab w:val="left" w:pos="315"/>
          <w:tab w:val="left" w:pos="1890"/>
          <w:tab w:val="left" w:pos="3960"/>
        </w:tabs>
        <w:ind w:left="-180"/>
        <w:rPr>
          <w:sz w:val="20"/>
        </w:rPr>
      </w:pPr>
      <w:r>
        <w:rPr>
          <w:b/>
          <w:bCs/>
          <w:sz w:val="20"/>
        </w:rPr>
        <w:t>3a.  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xml:space="preserve">” even if the research is exempt from the regulations for the protection of human subjects. (See I. B. “Exemptions” in attached page entitled “Definitions for U.S. Department of Education Supplemental Information for SF-424.”) </w:t>
      </w:r>
    </w:p>
    <w:p>
      <w:pPr>
        <w:tabs>
          <w:tab w:val="left" w:pos="315"/>
          <w:tab w:val="left" w:pos="1890"/>
          <w:tab w:val="left" w:pos="3960"/>
        </w:tabs>
        <w:spacing w:line="80" w:lineRule="atLeast"/>
        <w:ind w:left="-180"/>
        <w:rPr>
          <w:sz w:val="20"/>
        </w:rPr>
      </w:pPr>
    </w:p>
    <w:p>
      <w:pPr>
        <w:tabs>
          <w:tab w:val="left" w:pos="315"/>
          <w:tab w:val="left" w:pos="630"/>
          <w:tab w:val="left" w:pos="3960"/>
        </w:tabs>
        <w:spacing w:line="80" w:lineRule="atLeast"/>
        <w:ind w:left="-180"/>
        <w:rPr>
          <w:sz w:val="20"/>
        </w:rPr>
      </w:pPr>
      <w:r>
        <w:rPr>
          <w:b/>
          <w:bCs/>
          <w:sz w:val="20"/>
        </w:rPr>
        <w:t>3b.  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pPr>
        <w:tabs>
          <w:tab w:val="left" w:pos="315"/>
          <w:tab w:val="left" w:pos="630"/>
          <w:tab w:val="left" w:pos="3960"/>
        </w:tabs>
        <w:spacing w:line="80" w:lineRule="atLeast"/>
        <w:ind w:left="-180"/>
        <w:rPr>
          <w:sz w:val="20"/>
        </w:rPr>
      </w:pPr>
    </w:p>
    <w:p>
      <w:pPr>
        <w:tabs>
          <w:tab w:val="left" w:pos="315"/>
          <w:tab w:val="left" w:pos="630"/>
          <w:tab w:val="left" w:pos="3960"/>
        </w:tabs>
        <w:spacing w:line="80" w:lineRule="atLeast"/>
        <w:ind w:left="-180"/>
        <w:rPr>
          <w:sz w:val="20"/>
        </w:rPr>
      </w:pPr>
      <w:r>
        <w:rPr>
          <w:b/>
          <w:bCs/>
          <w:sz w:val="20"/>
        </w:rPr>
        <w:t>3b.  If Human Subjects Research is Not Exempt from Human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pPr>
        <w:tabs>
          <w:tab w:val="left" w:pos="315"/>
          <w:tab w:val="left" w:pos="630"/>
          <w:tab w:val="left" w:pos="3960"/>
        </w:tabs>
        <w:spacing w:line="80" w:lineRule="atLeast"/>
        <w:ind w:left="-180"/>
        <w:rPr>
          <w:color w:val="FF0000"/>
          <w:sz w:val="20"/>
        </w:rPr>
      </w:pPr>
    </w:p>
    <w:p>
      <w:pPr>
        <w:tabs>
          <w:tab w:val="left" w:pos="315"/>
          <w:tab w:val="left" w:pos="630"/>
          <w:tab w:val="left" w:pos="3960"/>
        </w:tabs>
        <w:spacing w:line="80" w:lineRule="atLeast"/>
        <w:ind w:left="-180"/>
        <w:rPr>
          <w:sz w:val="20"/>
        </w:rPr>
      </w:pPr>
      <w:r>
        <w:rPr>
          <w:b/>
          <w:bCs/>
          <w:sz w:val="20"/>
        </w:rPr>
        <w:t>3b.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Pr>
          <w:b/>
          <w:sz w:val="20"/>
        </w:rPr>
        <w:t xml:space="preserve">(A list of current FWAs is available at: </w:t>
      </w:r>
      <w:r>
        <w:rPr>
          <w:rFonts w:ascii="Arial" w:hAnsi="Arial" w:cs="Arial"/>
          <w:b/>
          <w:sz w:val="20"/>
          <w:szCs w:val="20"/>
        </w:rPr>
        <w:t> </w:t>
      </w:r>
      <w:hyperlink r:id="rId45" w:anchor="ASUR" w:history="1">
        <w:r>
          <w:rPr>
            <w:rFonts w:ascii="Arial" w:hAnsi="Arial" w:cs="Arial"/>
            <w:b/>
            <w:sz w:val="20"/>
            <w:szCs w:val="20"/>
          </w:rPr>
          <w:t>http://ohrp.cit.nih.gov/search/asearch.asp#ASUR</w:t>
        </w:r>
      </w:hyperlink>
      <w:r>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pPr>
        <w:tabs>
          <w:tab w:val="left" w:pos="315"/>
          <w:tab w:val="left" w:pos="630"/>
          <w:tab w:val="left" w:pos="3960"/>
        </w:tabs>
        <w:spacing w:line="80" w:lineRule="atLeast"/>
        <w:ind w:left="-180"/>
        <w:rPr>
          <w:sz w:val="20"/>
        </w:rPr>
      </w:pPr>
    </w:p>
    <w:p>
      <w:pPr>
        <w:tabs>
          <w:tab w:val="left" w:pos="315"/>
          <w:tab w:val="left" w:pos="630"/>
          <w:tab w:val="left" w:pos="3960"/>
        </w:tabs>
        <w:spacing w:line="80" w:lineRule="atLeast"/>
        <w:ind w:left="-180"/>
        <w:rPr>
          <w:sz w:val="20"/>
        </w:rPr>
      </w:pPr>
      <w:r>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 xml:space="preserve">“Instructions for </w:t>
      </w:r>
      <w:r>
        <w:rPr>
          <w:bCs/>
          <w:sz w:val="20"/>
        </w:rPr>
        <w:lastRenderedPageBreak/>
        <w:t xml:space="preserve">Exempt and Nonexempt Human Subjects Research Narratives” in the attached </w:t>
      </w:r>
      <w:r>
        <w:rPr>
          <w:sz w:val="20"/>
        </w:rPr>
        <w:t xml:space="preserve">page entitled “Definitions for U.S. Department of Education Supplemental Information for the SF-424.” </w:t>
      </w:r>
    </w:p>
    <w:p>
      <w:pPr>
        <w:tabs>
          <w:tab w:val="left" w:pos="315"/>
          <w:tab w:val="left" w:pos="630"/>
          <w:tab w:val="left" w:pos="3960"/>
        </w:tabs>
        <w:spacing w:line="80" w:lineRule="atLeast"/>
        <w:rPr>
          <w:b/>
          <w:bCs/>
          <w:sz w:val="20"/>
        </w:rPr>
      </w:pPr>
    </w:p>
    <w:p>
      <w:pPr>
        <w:tabs>
          <w:tab w:val="left" w:pos="315"/>
          <w:tab w:val="left" w:pos="630"/>
          <w:tab w:val="left" w:pos="3960"/>
        </w:tabs>
        <w:spacing w:line="80" w:lineRule="atLeast"/>
        <w:ind w:left="-180"/>
        <w:rPr>
          <w:b/>
          <w:bCs/>
          <w:color w:val="000000"/>
          <w:sz w:val="22"/>
          <w:szCs w:val="22"/>
        </w:rPr>
      </w:pPr>
      <w:r>
        <w:rPr>
          <w:b/>
          <w:bCs/>
          <w:color w:val="000000"/>
          <w:sz w:val="20"/>
        </w:rPr>
        <w:t>Note about Institutional Review Board Approval.</w:t>
      </w:r>
      <w:r>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Pr>
          <w:color w:val="000000"/>
          <w:sz w:val="22"/>
          <w:szCs w:val="22"/>
        </w:rPr>
        <w:t>.</w:t>
      </w:r>
    </w:p>
    <w:p>
      <w:pPr>
        <w:tabs>
          <w:tab w:val="left" w:pos="315"/>
          <w:tab w:val="left" w:pos="630"/>
          <w:tab w:val="left" w:pos="3960"/>
        </w:tabs>
        <w:spacing w:line="80" w:lineRule="atLeast"/>
        <w:ind w:left="-180"/>
        <w:rPr>
          <w:color w:val="000000"/>
          <w:sz w:val="22"/>
          <w:szCs w:val="22"/>
        </w:rPr>
      </w:pPr>
      <w:r>
        <w:rPr>
          <w:rFonts w:ascii="Arial" w:hAnsi="Arial" w:cs="Arial"/>
          <w:b/>
          <w:bCs/>
          <w:color w:val="000000"/>
          <w:sz w:val="20"/>
          <w:szCs w:val="20"/>
          <w:u w:val="single"/>
        </w:rPr>
        <w:t>No covered human subjects research can be conducted until the study has ED clearance for protection of human subjects in research</w:t>
      </w:r>
      <w:r>
        <w:rPr>
          <w:b/>
          <w:bCs/>
          <w:color w:val="000000"/>
          <w:sz w:val="22"/>
          <w:szCs w:val="22"/>
        </w:rPr>
        <w:t>.</w:t>
      </w:r>
    </w:p>
    <w:p>
      <w:pPr>
        <w:tabs>
          <w:tab w:val="left" w:pos="315"/>
          <w:tab w:val="left" w:pos="630"/>
          <w:tab w:val="left" w:pos="3960"/>
        </w:tabs>
        <w:spacing w:line="80" w:lineRule="atLeast"/>
        <w:ind w:left="-180"/>
        <w:rPr>
          <w:sz w:val="22"/>
          <w:szCs w:val="22"/>
        </w:rPr>
      </w:pPr>
    </w:p>
    <w:p>
      <w:pPr>
        <w:tabs>
          <w:tab w:val="left" w:pos="315"/>
          <w:tab w:val="left" w:pos="630"/>
          <w:tab w:val="left" w:pos="3960"/>
        </w:tabs>
        <w:spacing w:line="80" w:lineRule="atLeast"/>
        <w:ind w:left="-180"/>
        <w:rPr>
          <w:i/>
          <w:sz w:val="20"/>
          <w:szCs w:val="20"/>
        </w:rPr>
      </w:pPr>
      <w:r>
        <w:rPr>
          <w:b/>
          <w:bCs/>
          <w:i/>
          <w:iCs/>
          <w:sz w:val="20"/>
        </w:rPr>
        <w:t>Paperwork Burden Statement</w:t>
      </w:r>
      <w:r>
        <w:rPr>
          <w:b/>
          <w:bCs/>
          <w:sz w:val="20"/>
        </w:rPr>
        <w:t>.</w:t>
      </w:r>
      <w:r>
        <w:rPr>
          <w:sz w:val="20"/>
        </w:rPr>
        <w:t xml:space="preserve">  </w:t>
      </w:r>
      <w:r>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Pr>
          <w:i/>
          <w:iCs/>
          <w:sz w:val="20"/>
          <w:szCs w:val="20"/>
        </w:rPr>
        <w:t xml:space="preserve">:  </w:t>
      </w:r>
      <w:r>
        <w:rPr>
          <w:i/>
          <w:sz w:val="20"/>
          <w:szCs w:val="20"/>
        </w:rPr>
        <w:t>(insert program office), U.S. Department of Education, 400 Maryland Avenue, S.W., Washington, D.C. 20202.</w:t>
      </w:r>
    </w:p>
    <w:p>
      <w:pPr>
        <w:ind w:left="-180"/>
        <w:jc w:val="center"/>
        <w:rPr>
          <w:sz w:val="20"/>
        </w:rPr>
        <w:sectPr>
          <w:footerReference w:type="default" r:id="rId46"/>
          <w:pgSz w:w="12240" w:h="15840"/>
          <w:pgMar w:top="1440" w:right="1440" w:bottom="1440" w:left="1440" w:header="720" w:footer="720" w:gutter="0"/>
          <w:cols w:space="720"/>
          <w:docGrid w:linePitch="360"/>
        </w:sectPr>
      </w:pPr>
    </w:p>
    <w:p>
      <w:pPr>
        <w:keepNext/>
        <w:pBdr>
          <w:top w:val="single" w:sz="4" w:space="1" w:color="auto"/>
          <w:bottom w:val="single" w:sz="4" w:space="1" w:color="auto"/>
        </w:pBdr>
        <w:shd w:val="clear" w:color="auto" w:fill="E0E0E0"/>
        <w:jc w:val="center"/>
        <w:outlineLvl w:val="0"/>
        <w:rPr>
          <w:b/>
          <w:color w:val="000000"/>
          <w:sz w:val="20"/>
        </w:rPr>
      </w:pPr>
      <w:r>
        <w:rPr>
          <w:b/>
          <w:color w:val="000000"/>
          <w:sz w:val="22"/>
        </w:rPr>
        <w:lastRenderedPageBreak/>
        <w:t>DEFINITIONS FOR DEPARTMENT OF EDUCATION SUPPLEMENTAL INFORMATION FOR SF 424</w:t>
      </w:r>
    </w:p>
    <w:p>
      <w:pPr>
        <w:keepNext/>
        <w:pBdr>
          <w:top w:val="single" w:sz="4" w:space="1" w:color="auto"/>
          <w:bottom w:val="single" w:sz="4" w:space="1" w:color="auto"/>
        </w:pBdr>
        <w:shd w:val="clear" w:color="auto" w:fill="E0E0E0"/>
        <w:jc w:val="center"/>
        <w:outlineLvl w:val="0"/>
        <w:rPr>
          <w:b/>
          <w:color w:val="000000"/>
          <w:sz w:val="20"/>
        </w:rPr>
      </w:pPr>
      <w:r>
        <w:rPr>
          <w:b/>
          <w:color w:val="000000"/>
          <w:sz w:val="20"/>
        </w:rPr>
        <w:t>(Attachment to Instructions for Supplemental Information for SF 424)</w:t>
      </w:r>
    </w:p>
    <w:p/>
    <w:p>
      <w:pPr>
        <w:rPr>
          <w:b/>
          <w:bCs/>
          <w:sz w:val="20"/>
        </w:rPr>
        <w:sectPr>
          <w:pgSz w:w="12240" w:h="15840"/>
          <w:pgMar w:top="1008" w:right="720" w:bottom="720" w:left="720" w:header="720" w:footer="720" w:gutter="0"/>
          <w:cols w:space="720"/>
          <w:docGrid w:linePitch="360"/>
        </w:sectPr>
      </w:pPr>
    </w:p>
    <w:p>
      <w:pPr>
        <w:rPr>
          <w:b/>
          <w:bCs/>
          <w:sz w:val="20"/>
        </w:rPr>
      </w:pPr>
      <w:r>
        <w:rPr>
          <w:b/>
          <w:bCs/>
          <w:sz w:val="20"/>
        </w:rPr>
        <w:lastRenderedPageBreak/>
        <w:t>Definitions:</w:t>
      </w:r>
    </w:p>
    <w:p>
      <w:pPr>
        <w:rPr>
          <w:b/>
          <w:sz w:val="20"/>
        </w:rPr>
      </w:pPr>
    </w:p>
    <w:p>
      <w:pPr>
        <w:rPr>
          <w:bCs/>
          <w:sz w:val="20"/>
        </w:rPr>
      </w:pPr>
      <w:r>
        <w:rPr>
          <w:b/>
          <w:sz w:val="20"/>
        </w:rPr>
        <w:t>Novice Applicant (See 34 CFR 75.225</w:t>
      </w:r>
      <w:r>
        <w:rPr>
          <w:bCs/>
          <w:sz w:val="20"/>
        </w:rPr>
        <w:t>).  For discretionary grant programs under which the Secretary gives special consideration to novice applications, a novice applicant means any applicant for a grant from ED that—</w:t>
      </w:r>
    </w:p>
    <w:p>
      <w:pPr>
        <w:rPr>
          <w:bCs/>
          <w:sz w:val="20"/>
        </w:rPr>
      </w:pPr>
    </w:p>
    <w:p>
      <w:pPr>
        <w:numPr>
          <w:ilvl w:val="0"/>
          <w:numId w:val="15"/>
        </w:numPr>
        <w:rPr>
          <w:bCs/>
          <w:sz w:val="20"/>
        </w:rPr>
      </w:pPr>
      <w:r>
        <w:rPr>
          <w:bCs/>
          <w:sz w:val="20"/>
        </w:rPr>
        <w:t>Has never received a grant or subgrant under the program from which it seeks funding;</w:t>
      </w:r>
    </w:p>
    <w:p>
      <w:pPr>
        <w:ind w:left="360"/>
        <w:rPr>
          <w:bCs/>
          <w:sz w:val="20"/>
        </w:rPr>
      </w:pPr>
    </w:p>
    <w:p>
      <w:pPr>
        <w:numPr>
          <w:ilvl w:val="0"/>
          <w:numId w:val="15"/>
        </w:numPr>
        <w:rPr>
          <w:bCs/>
          <w:sz w:val="20"/>
        </w:rPr>
      </w:pPr>
      <w:r>
        <w:rPr>
          <w:bCs/>
          <w:sz w:val="20"/>
        </w:rPr>
        <w:t>Has never been a member of a group application, submitted in accordance with 34 CFR 75.127-75.129, that received a grant under the program from which it seeks funding; and</w:t>
      </w:r>
    </w:p>
    <w:p>
      <w:pPr>
        <w:rPr>
          <w:bCs/>
          <w:sz w:val="20"/>
        </w:rPr>
      </w:pPr>
    </w:p>
    <w:p>
      <w:pPr>
        <w:numPr>
          <w:ilvl w:val="0"/>
          <w:numId w:val="15"/>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pPr>
        <w:rPr>
          <w:bCs/>
          <w:sz w:val="20"/>
        </w:rPr>
      </w:pPr>
    </w:p>
    <w:p>
      <w:pPr>
        <w:rPr>
          <w:bCs/>
          <w:sz w:val="20"/>
        </w:rPr>
      </w:pPr>
      <w:r>
        <w:rPr>
          <w:bCs/>
          <w:sz w:val="20"/>
        </w:rPr>
        <w:t>In the case of a group application submitted in accordance with 34 CFR 75.127-75.129, a group includes only parties that meet the requirements listed above.</w:t>
      </w:r>
    </w:p>
    <w:p>
      <w:pPr>
        <w:rPr>
          <w:sz w:val="20"/>
        </w:rPr>
      </w:pPr>
    </w:p>
    <w:p>
      <w:pPr>
        <w:keepNext/>
        <w:spacing w:before="240" w:after="60"/>
        <w:outlineLvl w:val="3"/>
        <w:rPr>
          <w:b/>
          <w:bCs/>
          <w:sz w:val="20"/>
          <w:szCs w:val="28"/>
        </w:rPr>
      </w:pPr>
      <w:r>
        <w:rPr>
          <w:b/>
          <w:bCs/>
          <w:sz w:val="20"/>
          <w:szCs w:val="28"/>
        </w:rPr>
        <w:t>PROTECTION OF HUMAN SUBJECTS IN RESEARCH</w:t>
      </w:r>
    </w:p>
    <w:p>
      <w:pPr>
        <w:rPr>
          <w:b/>
          <w:bCs/>
          <w:sz w:val="20"/>
        </w:rPr>
      </w:pPr>
    </w:p>
    <w:p>
      <w:pPr>
        <w:rPr>
          <w:sz w:val="20"/>
        </w:rPr>
      </w:pPr>
      <w:r>
        <w:rPr>
          <w:b/>
          <w:bCs/>
          <w:sz w:val="20"/>
        </w:rPr>
        <w:t>I.  Definitions and Exemptions</w:t>
      </w:r>
    </w:p>
    <w:p>
      <w:pPr>
        <w:rPr>
          <w:b/>
          <w:sz w:val="20"/>
        </w:rPr>
      </w:pPr>
    </w:p>
    <w:p>
      <w:pPr>
        <w:rPr>
          <w:b/>
          <w:sz w:val="20"/>
        </w:rPr>
      </w:pPr>
      <w:r>
        <w:rPr>
          <w:b/>
          <w:sz w:val="20"/>
        </w:rPr>
        <w:t>A.  Definitions.</w:t>
      </w:r>
    </w:p>
    <w:p>
      <w:pPr>
        <w:rPr>
          <w:b/>
          <w:sz w:val="20"/>
        </w:rPr>
      </w:pPr>
    </w:p>
    <w:p>
      <w:pPr>
        <w:tabs>
          <w:tab w:val="left" w:pos="720"/>
          <w:tab w:val="right" w:leader="dot" w:pos="8640"/>
        </w:tabs>
        <w:spacing w:after="120"/>
        <w:rPr>
          <w:sz w:val="20"/>
          <w:szCs w:val="20"/>
        </w:rPr>
      </w:pPr>
      <w:r>
        <w:rPr>
          <w:sz w:val="20"/>
          <w:szCs w:val="20"/>
        </w:rPr>
        <w:t>A research activity involves human subjects if the activity is research, as defined in the Department’s regulations, and the research activity will involve use of human subjects, as defined in the regulations.</w:t>
      </w:r>
    </w:p>
    <w:p>
      <w:pPr>
        <w:rPr>
          <w:bCs/>
          <w:sz w:val="20"/>
        </w:rPr>
      </w:pPr>
    </w:p>
    <w:p>
      <w:pPr>
        <w:rPr>
          <w:bCs/>
          <w:sz w:val="20"/>
        </w:rPr>
      </w:pPr>
      <w:r>
        <w:rPr>
          <w:bCs/>
          <w:sz w:val="20"/>
        </w:rPr>
        <w:t>—</w:t>
      </w:r>
      <w:r>
        <w:rPr>
          <w:b/>
          <w:sz w:val="20"/>
        </w:rPr>
        <w:t>Research</w:t>
      </w:r>
    </w:p>
    <w:p>
      <w:pPr>
        <w:rPr>
          <w:bCs/>
          <w:sz w:val="20"/>
        </w:rPr>
      </w:pPr>
    </w:p>
    <w:p>
      <w:pPr>
        <w:rPr>
          <w:bCs/>
          <w:sz w:val="20"/>
        </w:rPr>
      </w:pPr>
      <w:r>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bCs/>
          <w:i/>
          <w:iCs/>
          <w:sz w:val="20"/>
        </w:rPr>
        <w:t>If an activity follows a deliberate plan whose purpose is to develop or contribute to generalizable knowledge it is research.</w:t>
      </w:r>
      <w:r>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pPr>
        <w:rPr>
          <w:bCs/>
          <w:sz w:val="20"/>
        </w:rPr>
      </w:pPr>
    </w:p>
    <w:p>
      <w:pPr>
        <w:rPr>
          <w:b/>
          <w:bCs/>
          <w:sz w:val="20"/>
        </w:rPr>
      </w:pPr>
      <w:r>
        <w:rPr>
          <w:b/>
          <w:bCs/>
          <w:sz w:val="20"/>
        </w:rPr>
        <w:t>—Human Subject</w:t>
      </w:r>
    </w:p>
    <w:p>
      <w:pPr>
        <w:rPr>
          <w:sz w:val="20"/>
        </w:rPr>
      </w:pPr>
    </w:p>
    <w:p>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pPr>
        <w:rPr>
          <w:sz w:val="20"/>
        </w:rPr>
      </w:pPr>
    </w:p>
    <w:p>
      <w:pPr>
        <w:outlineLvl w:val="0"/>
        <w:rPr>
          <w:sz w:val="20"/>
        </w:rPr>
      </w:pPr>
      <w:r>
        <w:rPr>
          <w:b/>
          <w:sz w:val="20"/>
        </w:rPr>
        <w:t>B.  Exemptions.</w:t>
      </w:r>
    </w:p>
    <w:p>
      <w:pPr>
        <w:spacing w:line="200" w:lineRule="atLeast"/>
        <w:rPr>
          <w:sz w:val="20"/>
        </w:rPr>
      </w:pPr>
    </w:p>
    <w:p>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pPr>
        <w:spacing w:line="200" w:lineRule="atLeast"/>
        <w:rPr>
          <w:sz w:val="20"/>
        </w:rPr>
      </w:pPr>
    </w:p>
    <w:p>
      <w:pPr>
        <w:rPr>
          <w:sz w:val="20"/>
        </w:rPr>
      </w:pPr>
      <w:r>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pPr>
        <w:spacing w:line="200" w:lineRule="atLeast"/>
        <w:rPr>
          <w:sz w:val="20"/>
        </w:rPr>
      </w:pPr>
    </w:p>
    <w:p>
      <w:pPr>
        <w:rPr>
          <w:b/>
          <w:i/>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behavior when the investigator(s) do not participate in the activities being observed.  </w:t>
      </w:r>
    </w:p>
    <w:p>
      <w:pPr>
        <w:rPr>
          <w:b/>
          <w:i/>
          <w:sz w:val="20"/>
        </w:rPr>
      </w:pPr>
    </w:p>
    <w:p>
      <w:pPr>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Pr>
          <w:sz w:val="20"/>
        </w:rPr>
        <w:t xml:space="preserve">[Children are defined as persons who have not attained the legal age for consent to treatments or procedures </w:t>
      </w:r>
      <w:r>
        <w:rPr>
          <w:sz w:val="20"/>
        </w:rPr>
        <w:lastRenderedPageBreak/>
        <w:t>involved in the research, under the applicable law or jurisdiction in which the research will be conducted.]</w:t>
      </w:r>
    </w:p>
    <w:p>
      <w:pPr>
        <w:spacing w:line="200" w:lineRule="atLeast"/>
        <w:rPr>
          <w:sz w:val="20"/>
        </w:rPr>
      </w:pPr>
    </w:p>
    <w:p>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pPr>
        <w:spacing w:line="200" w:lineRule="atLeast"/>
        <w:rPr>
          <w:sz w:val="20"/>
        </w:rPr>
      </w:pPr>
    </w:p>
    <w:p>
      <w:pPr>
        <w:rPr>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pPr>
        <w:spacing w:line="200" w:lineRule="atLeast"/>
        <w:rPr>
          <w:sz w:val="20"/>
        </w:rPr>
      </w:pPr>
    </w:p>
    <w:p>
      <w:pPr>
        <w:rPr>
          <w:sz w:val="20"/>
        </w:rPr>
      </w:pPr>
      <w:r>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pPr>
        <w:spacing w:line="200" w:lineRule="atLeast"/>
        <w:rPr>
          <w:sz w:val="20"/>
        </w:rPr>
      </w:pPr>
    </w:p>
    <w:p>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pPr>
        <w:rPr>
          <w:sz w:val="20"/>
        </w:rPr>
      </w:pPr>
    </w:p>
    <w:p>
      <w:pPr>
        <w:rPr>
          <w:b/>
          <w:bCs/>
          <w:sz w:val="20"/>
        </w:rPr>
      </w:pPr>
      <w:r>
        <w:rPr>
          <w:b/>
          <w:bCs/>
          <w:sz w:val="20"/>
        </w:rPr>
        <w:t>II.  Instructions for Exempt and Nonexempt Human Subjects Research Narratives</w:t>
      </w:r>
    </w:p>
    <w:p>
      <w:pPr>
        <w:rPr>
          <w:iCs/>
          <w:sz w:val="20"/>
        </w:rPr>
      </w:pPr>
    </w:p>
    <w:p>
      <w:pPr>
        <w:rPr>
          <w:iCs/>
          <w:sz w:val="20"/>
        </w:rPr>
      </w:pPr>
      <w:r>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pPr>
        <w:rPr>
          <w:b/>
          <w:bCs/>
          <w:sz w:val="20"/>
        </w:rPr>
      </w:pPr>
    </w:p>
    <w:p>
      <w:pPr>
        <w:rPr>
          <w:b/>
          <w:bCs/>
          <w:sz w:val="20"/>
        </w:rPr>
      </w:pPr>
      <w:r>
        <w:rPr>
          <w:b/>
          <w:bCs/>
          <w:sz w:val="20"/>
        </w:rPr>
        <w:t>A.  Exempt Research Narrative.</w:t>
      </w:r>
    </w:p>
    <w:p>
      <w:pPr>
        <w:rPr>
          <w:iCs/>
          <w:sz w:val="20"/>
        </w:rPr>
      </w:pPr>
      <w:r>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pPr>
        <w:rPr>
          <w:b/>
          <w:bCs/>
          <w:sz w:val="20"/>
        </w:rPr>
      </w:pPr>
    </w:p>
    <w:p>
      <w:pPr>
        <w:rPr>
          <w:b/>
          <w:bCs/>
          <w:sz w:val="20"/>
        </w:rPr>
      </w:pPr>
      <w:r>
        <w:rPr>
          <w:b/>
          <w:bCs/>
          <w:sz w:val="20"/>
        </w:rPr>
        <w:t>B.  Nonexempt Research Narrative.</w:t>
      </w:r>
    </w:p>
    <w:p>
      <w:pPr>
        <w:rPr>
          <w:iCs/>
          <w:sz w:val="20"/>
        </w:rPr>
      </w:pPr>
    </w:p>
    <w:p>
      <w:pPr>
        <w:rPr>
          <w:b/>
          <w:bCs/>
          <w:iCs/>
          <w:sz w:val="20"/>
        </w:rPr>
      </w:pPr>
      <w:r>
        <w:rPr>
          <w:iCs/>
          <w:sz w:val="20"/>
        </w:rPr>
        <w:lastRenderedPageBreak/>
        <w:t>If you marked “No” for item 3 a. you must provide the “nonexempt research” narrative.  The narrative must address the following seven points.  Although no specific page limitation applies to this section of the application, be succinct.</w:t>
      </w:r>
    </w:p>
    <w:p>
      <w:pPr>
        <w:rPr>
          <w:iCs/>
          <w:sz w:val="20"/>
        </w:rPr>
      </w:pPr>
    </w:p>
    <w:p>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pPr>
        <w:rPr>
          <w:iCs/>
          <w:sz w:val="20"/>
        </w:rPr>
      </w:pPr>
    </w:p>
    <w:p>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pPr>
        <w:rPr>
          <w:sz w:val="20"/>
        </w:rPr>
      </w:pPr>
    </w:p>
    <w:p>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pPr>
        <w:rPr>
          <w:sz w:val="20"/>
        </w:rPr>
      </w:pPr>
    </w:p>
    <w:p>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pPr>
        <w:rPr>
          <w:sz w:val="20"/>
        </w:rPr>
      </w:pPr>
    </w:p>
    <w:p>
      <w:pPr>
        <w:rPr>
          <w:sz w:val="20"/>
        </w:rPr>
      </w:pPr>
      <w:r>
        <w:rPr>
          <w:sz w:val="20"/>
        </w:rPr>
        <w:t xml:space="preserve">(5) </w:t>
      </w:r>
      <w:r>
        <w:rPr>
          <w:b/>
          <w:bCs/>
          <w:sz w:val="20"/>
        </w:rPr>
        <w:t>Protection Against Risk</w:t>
      </w:r>
      <w:r>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pPr>
        <w:rPr>
          <w:sz w:val="20"/>
        </w:rPr>
      </w:pPr>
    </w:p>
    <w:p>
      <w:pPr>
        <w:rPr>
          <w:sz w:val="20"/>
        </w:rPr>
      </w:pPr>
      <w:r>
        <w:rPr>
          <w:sz w:val="20"/>
        </w:rPr>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pPr>
        <w:rPr>
          <w:sz w:val="20"/>
        </w:rPr>
      </w:pPr>
    </w:p>
    <w:p>
      <w:pPr>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pPr>
        <w:spacing w:line="200" w:lineRule="atLeast"/>
        <w:rPr>
          <w:bCs/>
          <w:iCs/>
          <w:sz w:val="20"/>
        </w:rPr>
      </w:pPr>
    </w:p>
    <w:p>
      <w:pPr>
        <w:rPr>
          <w:color w:val="000000"/>
          <w:sz w:val="20"/>
        </w:rPr>
      </w:pPr>
      <w:r>
        <w:rPr>
          <w:b/>
          <w:i/>
          <w:sz w:val="20"/>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http://www.ed.gov/about/offices/list/ocfo/humansub.html</w:t>
      </w:r>
      <w:r>
        <w:rPr>
          <w:color w:val="000000"/>
          <w:sz w:val="20"/>
        </w:rPr>
        <w:tab/>
      </w:r>
    </w:p>
    <w:p>
      <w:pPr>
        <w:rPr>
          <w:bCs/>
          <w:iCs/>
          <w:sz w:val="20"/>
        </w:rPr>
      </w:pPr>
    </w:p>
    <w:p>
      <w:pPr>
        <w:rPr>
          <w:sz w:val="20"/>
        </w:rPr>
        <w:sectPr>
          <w:type w:val="continuous"/>
          <w:pgSz w:w="12240" w:h="15840"/>
          <w:pgMar w:top="1008" w:right="720" w:bottom="720" w:left="720" w:header="720" w:footer="720" w:gutter="0"/>
          <w:cols w:num="2" w:space="432"/>
          <w:docGrid w:linePitch="360"/>
        </w:sectPr>
      </w:pPr>
      <w:r>
        <w:rPr>
          <w:bCs/>
          <w:iCs/>
          <w:sz w:val="20"/>
        </w:rPr>
        <w:t xml:space="preserve">NOTE:  The </w:t>
      </w:r>
      <w:r>
        <w:rPr>
          <w:b/>
          <w:bCs/>
          <w:sz w:val="20"/>
        </w:rPr>
        <w:t>State Applicant Identifier</w:t>
      </w:r>
      <w:r>
        <w:rPr>
          <w:bCs/>
          <w:iCs/>
          <w:sz w:val="20"/>
        </w:rPr>
        <w:t xml:space="preserve"> on the SF 424 is for State Use only.  Please complete it on the OMB Standard 424 in the upper right corner of the form (if applicable).</w:t>
      </w:r>
    </w:p>
    <w:p>
      <w:pPr>
        <w:keepNext/>
        <w:pBdr>
          <w:top w:val="single" w:sz="4" w:space="1" w:color="auto"/>
          <w:bottom w:val="single" w:sz="4" w:space="1" w:color="auto"/>
        </w:pBdr>
        <w:shd w:val="clear" w:color="auto" w:fill="E0E0E0"/>
        <w:jc w:val="center"/>
        <w:outlineLvl w:val="0"/>
        <w:rPr>
          <w:b/>
          <w:color w:val="000000"/>
          <w:sz w:val="32"/>
          <w:szCs w:val="32"/>
        </w:rPr>
      </w:pPr>
      <w:r>
        <w:rPr>
          <w:b/>
          <w:color w:val="000000"/>
          <w:sz w:val="32"/>
          <w:szCs w:val="32"/>
        </w:rPr>
        <w:lastRenderedPageBreak/>
        <w:t>INSTRUCTIONS FOR ED 524</w:t>
      </w:r>
    </w:p>
    <w:p>
      <w:pPr>
        <w:ind w:left="-1267" w:firstLine="1267"/>
        <w:jc w:val="center"/>
        <w:rPr>
          <w:b/>
          <w:bCs/>
          <w:sz w:val="32"/>
        </w:rPr>
      </w:pPr>
    </w:p>
    <w:p>
      <w:pPr>
        <w:tabs>
          <w:tab w:val="center" w:pos="2160"/>
        </w:tabs>
        <w:rPr>
          <w:rFonts w:ascii="Helvetica" w:hAnsi="Helvetica"/>
          <w:sz w:val="20"/>
          <w:szCs w:val="20"/>
          <w:u w:val="single"/>
        </w:rPr>
      </w:pPr>
      <w:r>
        <w:rPr>
          <w:rFonts w:ascii="Helvetica" w:hAnsi="Helvetica"/>
          <w:sz w:val="20"/>
          <w:szCs w:val="20"/>
          <w:u w:val="single"/>
        </w:rPr>
        <w:t>General Instructions</w:t>
      </w:r>
    </w:p>
    <w:p>
      <w:pPr>
        <w:tabs>
          <w:tab w:val="left" w:pos="720"/>
          <w:tab w:val="right" w:leader="dot" w:pos="8640"/>
        </w:tabs>
        <w:spacing w:after="120"/>
        <w:rPr>
          <w:rFonts w:ascii="Helvetica" w:hAnsi="Helvetica"/>
          <w:color w:val="000000"/>
          <w:sz w:val="20"/>
          <w:szCs w:val="20"/>
        </w:rPr>
      </w:pPr>
      <w:r>
        <w:rPr>
          <w:rFonts w:ascii="Helvetica" w:hAnsi="Helvetica"/>
          <w:sz w:val="20"/>
          <w:szCs w:val="20"/>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Pr>
          <w:rFonts w:ascii="Helvetica" w:hAnsi="Helvetica"/>
          <w:color w:val="000000"/>
          <w:sz w:val="20"/>
          <w:szCs w:val="20"/>
        </w:rPr>
        <w:t>attached.  You may access the Education Department General Administrative Regulations, 34 CFR 74 – 86 and 97-99, on ED’s website at:</w:t>
      </w:r>
    </w:p>
    <w:p>
      <w:pPr>
        <w:tabs>
          <w:tab w:val="left" w:pos="720"/>
          <w:tab w:val="right" w:leader="dot" w:pos="8640"/>
        </w:tabs>
        <w:spacing w:after="120"/>
        <w:rPr>
          <w:rFonts w:ascii="Helvetica" w:hAnsi="Helvetica"/>
          <w:color w:val="000000"/>
          <w:sz w:val="20"/>
          <w:szCs w:val="20"/>
        </w:rPr>
      </w:pPr>
      <w:hyperlink r:id="rId47" w:history="1">
        <w:r>
          <w:rPr>
            <w:rFonts w:ascii="Helvetica" w:hAnsi="Helvetica"/>
            <w:sz w:val="20"/>
            <w:szCs w:val="20"/>
          </w:rPr>
          <w:t>http://www.ed.gov/policy/fund/reg/edgarReg/edgar.html</w:t>
        </w:r>
      </w:hyperlink>
    </w:p>
    <w:p>
      <w:pPr>
        <w:tabs>
          <w:tab w:val="left" w:pos="720"/>
          <w:tab w:val="right" w:leader="dot" w:pos="8640"/>
        </w:tabs>
        <w:spacing w:after="120"/>
        <w:rPr>
          <w:rFonts w:ascii="Helvetica" w:hAnsi="Helvetica"/>
          <w:color w:val="000000"/>
          <w:sz w:val="20"/>
          <w:szCs w:val="20"/>
        </w:rPr>
      </w:pPr>
    </w:p>
    <w:p>
      <w:pPr>
        <w:tabs>
          <w:tab w:val="left" w:pos="720"/>
          <w:tab w:val="right" w:leader="dot" w:pos="8640"/>
        </w:tabs>
        <w:spacing w:after="120"/>
        <w:rPr>
          <w:rFonts w:ascii="Helvetica" w:hAnsi="Helvetica"/>
          <w:sz w:val="20"/>
          <w:szCs w:val="20"/>
          <w:u w:val="single"/>
        </w:rPr>
      </w:pPr>
      <w:r>
        <w:rPr>
          <w:rFonts w:ascii="Helvetica" w:hAnsi="Helvetica"/>
          <w:b/>
          <w:bCs/>
          <w:sz w:val="20"/>
          <w:szCs w:val="20"/>
        </w:rPr>
        <w:t>You must consult with your Business Office prior to submitting this form.</w:t>
      </w:r>
      <w:r>
        <w:rPr>
          <w:rFonts w:ascii="Helvetica" w:hAnsi="Helvetica"/>
          <w:color w:val="FF0000"/>
          <w:sz w:val="20"/>
          <w:szCs w:val="20"/>
        </w:rPr>
        <w:br/>
      </w:r>
    </w:p>
    <w:p>
      <w:pPr>
        <w:tabs>
          <w:tab w:val="left" w:pos="720"/>
          <w:tab w:val="right" w:leader="dot" w:pos="8640"/>
        </w:tabs>
        <w:spacing w:after="120"/>
        <w:jc w:val="center"/>
        <w:rPr>
          <w:rFonts w:ascii="Helvetica" w:hAnsi="Helvetica"/>
          <w:sz w:val="20"/>
          <w:szCs w:val="20"/>
        </w:rPr>
      </w:pPr>
      <w:r>
        <w:rPr>
          <w:rFonts w:ascii="Helvetica" w:hAnsi="Helvetica"/>
          <w:sz w:val="20"/>
          <w:szCs w:val="20"/>
          <w:u w:val="single"/>
        </w:rPr>
        <w:t>Section A - Budget Summary</w:t>
      </w:r>
    </w:p>
    <w:p>
      <w:pPr>
        <w:tabs>
          <w:tab w:val="center" w:pos="2160"/>
        </w:tabs>
        <w:jc w:val="center"/>
        <w:rPr>
          <w:rFonts w:ascii="Helvetica" w:hAnsi="Helvetica"/>
          <w:sz w:val="20"/>
          <w:szCs w:val="20"/>
          <w:u w:val="single"/>
        </w:rPr>
      </w:pPr>
      <w:r>
        <w:rPr>
          <w:rFonts w:ascii="Helvetica" w:hAnsi="Helvetica"/>
          <w:sz w:val="20"/>
          <w:szCs w:val="20"/>
          <w:u w:val="single"/>
        </w:rPr>
        <w:t>U.S. Department of Education Funds</w:t>
      </w:r>
    </w:p>
    <w:p>
      <w:pPr>
        <w:tabs>
          <w:tab w:val="center" w:pos="2160"/>
        </w:tabs>
        <w:jc w:val="center"/>
        <w:rPr>
          <w:rFonts w:ascii="Helvetica" w:hAnsi="Helvetica"/>
          <w:sz w:val="20"/>
          <w:szCs w:val="20"/>
          <w:u w:val="single"/>
        </w:rPr>
      </w:pPr>
    </w:p>
    <w:p>
      <w:pPr>
        <w:tabs>
          <w:tab w:val="left" w:pos="720"/>
          <w:tab w:val="right" w:leader="dot" w:pos="8640"/>
        </w:tabs>
        <w:spacing w:after="120"/>
        <w:rPr>
          <w:rFonts w:ascii="Helvetica" w:hAnsi="Helvetica"/>
          <w:sz w:val="20"/>
          <w:szCs w:val="20"/>
        </w:rPr>
      </w:pPr>
      <w:r>
        <w:rPr>
          <w:rFonts w:ascii="Helvetica" w:hAnsi="Helvetica"/>
          <w:sz w:val="20"/>
          <w:szCs w:val="20"/>
        </w:rPr>
        <w:t>All applicants must complete Section A and provide a break-down by the applicable budget categories shown in lines 1-11.</w:t>
      </w:r>
    </w:p>
    <w:p>
      <w:pPr>
        <w:tabs>
          <w:tab w:val="left" w:pos="720"/>
          <w:tab w:val="right" w:leader="dot" w:pos="8640"/>
        </w:tabs>
        <w:spacing w:after="120"/>
        <w:rPr>
          <w:rFonts w:ascii="Helvetica" w:hAnsi="Helvetica"/>
          <w:sz w:val="20"/>
          <w:szCs w:val="20"/>
        </w:rPr>
      </w:pPr>
      <w:r>
        <w:rPr>
          <w:rFonts w:ascii="Helvetica" w:hAnsi="Helvetica"/>
          <w:sz w:val="20"/>
          <w:szCs w:val="20"/>
        </w:rPr>
        <w:t>Lines 1-11, columns (a)-(e):  For each project year for which funding is requested, show the total amount requested for each applicable budget category.</w:t>
      </w:r>
    </w:p>
    <w:p>
      <w:pPr>
        <w:tabs>
          <w:tab w:val="left" w:pos="720"/>
          <w:tab w:val="right" w:leader="dot" w:pos="8640"/>
        </w:tabs>
        <w:spacing w:after="120"/>
        <w:rPr>
          <w:rFonts w:ascii="Helvetica" w:hAnsi="Helvetica"/>
          <w:sz w:val="20"/>
          <w:szCs w:val="20"/>
        </w:rPr>
      </w:pPr>
      <w:r>
        <w:rPr>
          <w:rFonts w:ascii="Helvetica" w:hAnsi="Helvetica"/>
          <w:sz w:val="20"/>
          <w:szCs w:val="20"/>
        </w:rPr>
        <w:t>Lines 1-11, column (f):  Show the multi-year total for each budget category.  If funding is requested for only one project year, leave this column blank.</w:t>
      </w:r>
    </w:p>
    <w:p>
      <w:pPr>
        <w:tabs>
          <w:tab w:val="left" w:pos="720"/>
          <w:tab w:val="right" w:leader="dot" w:pos="8640"/>
        </w:tabs>
        <w:spacing w:after="120"/>
        <w:rPr>
          <w:rFonts w:ascii="Helvetica" w:hAnsi="Helvetica"/>
          <w:sz w:val="20"/>
          <w:szCs w:val="20"/>
        </w:rPr>
      </w:pPr>
      <w:r>
        <w:rPr>
          <w:rFonts w:ascii="Helvetica" w:hAnsi="Helvetica"/>
          <w:sz w:val="20"/>
          <w:szCs w:val="20"/>
        </w:rPr>
        <w:t>Line 12, columns (a)-(e):  Show the total budget request for each project year for which funding is requested.</w:t>
      </w:r>
    </w:p>
    <w:p>
      <w:pPr>
        <w:tabs>
          <w:tab w:val="left" w:pos="720"/>
          <w:tab w:val="right" w:leader="dot" w:pos="8640"/>
        </w:tabs>
        <w:spacing w:after="120"/>
        <w:rPr>
          <w:rFonts w:ascii="Helvetica" w:hAnsi="Helvetica"/>
          <w:sz w:val="20"/>
          <w:szCs w:val="20"/>
        </w:rPr>
      </w:pPr>
      <w:r>
        <w:rPr>
          <w:rFonts w:ascii="Helvetica" w:hAnsi="Helvetica"/>
          <w:sz w:val="20"/>
          <w:szCs w:val="20"/>
        </w:rPr>
        <w:t>Line 12, column (f):  Show the total amount requested for all project years.  If funding is requested for only one year, leave this space blank.</w:t>
      </w:r>
    </w:p>
    <w:p>
      <w:pPr>
        <w:numPr>
          <w:ilvl w:val="0"/>
          <w:numId w:val="18"/>
        </w:numPr>
        <w:rPr>
          <w:rFonts w:ascii="Helvetica" w:hAnsi="Helvetica"/>
          <w:sz w:val="20"/>
          <w:szCs w:val="20"/>
        </w:rPr>
      </w:pPr>
      <w:r>
        <w:rPr>
          <w:rFonts w:ascii="Helvetica" w:hAnsi="Helvetica"/>
          <w:sz w:val="20"/>
          <w:szCs w:val="20"/>
          <w:u w:val="single"/>
        </w:rPr>
        <w:t>Indirect Cost Information</w:t>
      </w:r>
      <w:r>
        <w:rPr>
          <w:rFonts w:ascii="Helvetica" w:hAnsi="Helvetica"/>
          <w:sz w:val="20"/>
          <w:szCs w:val="20"/>
        </w:rPr>
        <w:t xml:space="preserve">: On line 10 (ED Form 524), provide the amount of indirect costs that you propose to charge against the grant. </w:t>
      </w:r>
    </w:p>
    <w:p>
      <w:pPr>
        <w:rPr>
          <w:rFonts w:ascii="Helvetica" w:hAnsi="Helvetica"/>
          <w:sz w:val="20"/>
          <w:szCs w:val="20"/>
        </w:rPr>
      </w:pPr>
    </w:p>
    <w:p>
      <w:pPr>
        <w:rPr>
          <w:rFonts w:ascii="Helvetica" w:hAnsi="Helvetica"/>
          <w:sz w:val="20"/>
          <w:szCs w:val="20"/>
        </w:rPr>
      </w:pPr>
      <w:r>
        <w:rPr>
          <w:rFonts w:ascii="Helvetica" w:hAnsi="Helvetica"/>
          <w:sz w:val="20"/>
          <w:szCs w:val="20"/>
        </w:rPr>
        <w:t xml:space="preserve">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Pr>
          <w:rFonts w:ascii="Helvetica" w:hAnsi="Helvetica"/>
          <w:b/>
          <w:sz w:val="20"/>
          <w:szCs w:val="20"/>
        </w:rPr>
        <w:t>whichever is less</w:t>
      </w:r>
      <w:r>
        <w:rPr>
          <w:rFonts w:ascii="Helvetica" w:hAnsi="Helvetica"/>
          <w:sz w:val="20"/>
          <w:szCs w:val="20"/>
        </w:rPr>
        <w:t>. (NOTE:</w:t>
      </w:r>
      <w:r>
        <w:rPr>
          <w:rFonts w:ascii="Helvetica" w:hAnsi="Helvetica"/>
          <w:b/>
          <w:bCs/>
          <w:sz w:val="20"/>
          <w:szCs w:val="20"/>
        </w:rPr>
        <w:t xml:space="preserve">  </w:t>
      </w:r>
      <w:r>
        <w:rPr>
          <w:rFonts w:ascii="Helvetica" w:hAnsi="Helvetica"/>
          <w:sz w:val="20"/>
          <w:szCs w:val="20"/>
        </w:rPr>
        <w:t>This limitation does not apply to State agencies, or local governments, or federally recognized Indian tribal governments. [§75.562(c) (2)])(3):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pPr>
        <w:tabs>
          <w:tab w:val="left" w:pos="720"/>
          <w:tab w:val="right" w:leader="dot" w:pos="8640"/>
        </w:tabs>
        <w:spacing w:after="120"/>
        <w:rPr>
          <w:rFonts w:ascii="Helvetica" w:hAnsi="Helvetica"/>
          <w:sz w:val="20"/>
          <w:szCs w:val="20"/>
        </w:rPr>
      </w:pPr>
    </w:p>
    <w:p>
      <w:pPr>
        <w:tabs>
          <w:tab w:val="center" w:pos="2160"/>
        </w:tabs>
        <w:jc w:val="center"/>
        <w:rPr>
          <w:rFonts w:ascii="Helvetica" w:hAnsi="Helvetica"/>
          <w:sz w:val="20"/>
          <w:szCs w:val="20"/>
          <w:u w:val="single"/>
        </w:rPr>
      </w:pPr>
    </w:p>
    <w:p>
      <w:pPr>
        <w:tabs>
          <w:tab w:val="center" w:pos="2160"/>
        </w:tabs>
        <w:jc w:val="center"/>
        <w:rPr>
          <w:rFonts w:ascii="Helvetica" w:hAnsi="Helvetica"/>
          <w:sz w:val="20"/>
          <w:szCs w:val="20"/>
          <w:u w:val="single"/>
        </w:rPr>
      </w:pPr>
    </w:p>
    <w:p>
      <w:pPr>
        <w:tabs>
          <w:tab w:val="center" w:pos="2160"/>
        </w:tabs>
        <w:jc w:val="center"/>
        <w:rPr>
          <w:rFonts w:ascii="Helvetica" w:hAnsi="Helvetica"/>
          <w:sz w:val="20"/>
          <w:szCs w:val="20"/>
          <w:u w:val="single"/>
        </w:rPr>
      </w:pPr>
    </w:p>
    <w:p>
      <w:pPr>
        <w:tabs>
          <w:tab w:val="center" w:pos="2160"/>
        </w:tabs>
        <w:jc w:val="center"/>
        <w:rPr>
          <w:rFonts w:ascii="Helvetica" w:hAnsi="Helvetica"/>
          <w:sz w:val="20"/>
          <w:szCs w:val="20"/>
          <w:u w:val="single"/>
        </w:rPr>
      </w:pPr>
    </w:p>
    <w:p>
      <w:pPr>
        <w:tabs>
          <w:tab w:val="center" w:pos="2160"/>
        </w:tabs>
        <w:jc w:val="center"/>
        <w:rPr>
          <w:rFonts w:ascii="Helvetica" w:hAnsi="Helvetica"/>
          <w:sz w:val="20"/>
          <w:szCs w:val="20"/>
          <w:u w:val="single"/>
        </w:rPr>
      </w:pPr>
    </w:p>
    <w:p>
      <w:pPr>
        <w:tabs>
          <w:tab w:val="center" w:pos="2160"/>
        </w:tabs>
        <w:jc w:val="center"/>
        <w:rPr>
          <w:rFonts w:ascii="Helvetica" w:hAnsi="Helvetica"/>
          <w:sz w:val="20"/>
          <w:szCs w:val="20"/>
          <w:u w:val="single"/>
        </w:rPr>
      </w:pPr>
    </w:p>
    <w:p>
      <w:pPr>
        <w:tabs>
          <w:tab w:val="center" w:pos="2160"/>
        </w:tabs>
        <w:jc w:val="center"/>
        <w:rPr>
          <w:rFonts w:ascii="Helvetica" w:hAnsi="Helvetica"/>
          <w:sz w:val="20"/>
          <w:szCs w:val="20"/>
          <w:u w:val="single"/>
        </w:rPr>
      </w:pPr>
    </w:p>
    <w:p>
      <w:pPr>
        <w:tabs>
          <w:tab w:val="center" w:pos="2160"/>
        </w:tabs>
        <w:jc w:val="center"/>
        <w:rPr>
          <w:rFonts w:ascii="Helvetica" w:hAnsi="Helvetica"/>
          <w:sz w:val="20"/>
          <w:szCs w:val="20"/>
          <w:u w:val="single"/>
        </w:rPr>
      </w:pPr>
    </w:p>
    <w:p>
      <w:pPr>
        <w:tabs>
          <w:tab w:val="center" w:pos="2160"/>
        </w:tabs>
        <w:jc w:val="center"/>
        <w:rPr>
          <w:rFonts w:ascii="Helvetica" w:hAnsi="Helvetica"/>
          <w:sz w:val="20"/>
          <w:szCs w:val="20"/>
          <w:u w:val="single"/>
        </w:rPr>
      </w:pPr>
    </w:p>
    <w:p>
      <w:pPr>
        <w:tabs>
          <w:tab w:val="center" w:pos="2160"/>
        </w:tabs>
        <w:jc w:val="center"/>
        <w:rPr>
          <w:rFonts w:ascii="Helvetica" w:hAnsi="Helvetica"/>
          <w:sz w:val="20"/>
          <w:szCs w:val="20"/>
          <w:u w:val="single"/>
        </w:rPr>
      </w:pPr>
      <w:r>
        <w:rPr>
          <w:rFonts w:ascii="Helvetica" w:hAnsi="Helvetica"/>
          <w:sz w:val="20"/>
          <w:szCs w:val="20"/>
          <w:u w:val="single"/>
        </w:rPr>
        <w:lastRenderedPageBreak/>
        <w:t>Section B - Budget Summary</w:t>
      </w:r>
    </w:p>
    <w:p>
      <w:pPr>
        <w:tabs>
          <w:tab w:val="center" w:pos="2160"/>
        </w:tabs>
        <w:jc w:val="center"/>
        <w:rPr>
          <w:rFonts w:ascii="Helvetica" w:hAnsi="Helvetica"/>
          <w:sz w:val="20"/>
          <w:szCs w:val="20"/>
          <w:u w:val="single"/>
        </w:rPr>
      </w:pPr>
      <w:r>
        <w:rPr>
          <w:rFonts w:ascii="Helvetica" w:hAnsi="Helvetica"/>
          <w:sz w:val="20"/>
          <w:szCs w:val="20"/>
          <w:u w:val="single"/>
        </w:rPr>
        <w:t>Non-Federal Funds</w:t>
      </w:r>
    </w:p>
    <w:p>
      <w:pPr>
        <w:tabs>
          <w:tab w:val="left" w:pos="720"/>
          <w:tab w:val="right" w:leader="dot" w:pos="8640"/>
        </w:tabs>
        <w:spacing w:after="120"/>
        <w:rPr>
          <w:rFonts w:ascii="Helvetica" w:hAnsi="Helvetica"/>
          <w:sz w:val="20"/>
          <w:szCs w:val="20"/>
        </w:rPr>
      </w:pPr>
    </w:p>
    <w:p>
      <w:pPr>
        <w:tabs>
          <w:tab w:val="left" w:pos="720"/>
          <w:tab w:val="right" w:leader="dot" w:pos="8640"/>
        </w:tabs>
        <w:spacing w:after="120"/>
        <w:rPr>
          <w:rFonts w:ascii="Helvetica" w:hAnsi="Helvetica"/>
          <w:sz w:val="20"/>
          <w:szCs w:val="20"/>
        </w:rPr>
      </w:pPr>
      <w:r>
        <w:rPr>
          <w:rFonts w:ascii="Helvetica" w:hAnsi="Helvetica"/>
          <w:sz w:val="20"/>
          <w:szCs w:val="20"/>
        </w:rPr>
        <w:t>If you are required to provide or volunteer to provide cost-sharing or matching funds or other non-Federal resources to the project, these should be shown for each applicable budget category on lines 1</w:t>
      </w:r>
      <w:r>
        <w:rPr>
          <w:rFonts w:ascii="Helvetica" w:hAnsi="Helvetica"/>
          <w:sz w:val="20"/>
          <w:szCs w:val="20"/>
        </w:rPr>
        <w:noBreakHyphen/>
        <w:t>11 of Section B.</w:t>
      </w:r>
    </w:p>
    <w:p>
      <w:pPr>
        <w:tabs>
          <w:tab w:val="left" w:pos="720"/>
          <w:tab w:val="right" w:leader="dot" w:pos="8640"/>
        </w:tabs>
        <w:spacing w:after="120"/>
        <w:rPr>
          <w:rFonts w:ascii="Helvetica" w:hAnsi="Helvetica"/>
          <w:sz w:val="20"/>
          <w:szCs w:val="20"/>
        </w:rPr>
      </w:pPr>
      <w:r>
        <w:rPr>
          <w:rFonts w:ascii="Helvetica" w:hAnsi="Helvetica"/>
          <w:sz w:val="20"/>
          <w:szCs w:val="20"/>
        </w:rPr>
        <w:t>Lines 1-11, columns (a)-(e):  For each project year, for which matching funds or other contributions are provided, show the total contribution for each applicable budget category.</w:t>
      </w:r>
    </w:p>
    <w:p>
      <w:pPr>
        <w:tabs>
          <w:tab w:val="left" w:pos="720"/>
          <w:tab w:val="right" w:leader="dot" w:pos="8640"/>
        </w:tabs>
        <w:spacing w:after="120"/>
        <w:rPr>
          <w:rFonts w:ascii="Helvetica" w:hAnsi="Helvetica"/>
          <w:sz w:val="20"/>
          <w:szCs w:val="20"/>
        </w:rPr>
      </w:pPr>
      <w:r>
        <w:rPr>
          <w:rFonts w:ascii="Helvetica" w:hAnsi="Helvetica"/>
          <w:sz w:val="20"/>
          <w:szCs w:val="20"/>
        </w:rPr>
        <w:t>Lines 1-11, column (f):  Show the multi-year total for each budget category.  If non-Federal contributions are provided for only one year, leave this column blank.</w:t>
      </w:r>
    </w:p>
    <w:p>
      <w:pPr>
        <w:tabs>
          <w:tab w:val="left" w:pos="720"/>
          <w:tab w:val="right" w:leader="dot" w:pos="8640"/>
        </w:tabs>
        <w:spacing w:after="120"/>
        <w:rPr>
          <w:rFonts w:ascii="Helvetica" w:hAnsi="Helvetica"/>
          <w:sz w:val="20"/>
          <w:szCs w:val="20"/>
        </w:rPr>
      </w:pPr>
      <w:r>
        <w:rPr>
          <w:rFonts w:ascii="Helvetica" w:hAnsi="Helvetica"/>
          <w:sz w:val="20"/>
          <w:szCs w:val="20"/>
        </w:rPr>
        <w:t>Line 12, columns (a)-(e):  Show the total matching or other contribution for each project year.</w:t>
      </w:r>
    </w:p>
    <w:p>
      <w:pPr>
        <w:tabs>
          <w:tab w:val="left" w:pos="720"/>
          <w:tab w:val="right" w:leader="dot" w:pos="8640"/>
        </w:tabs>
        <w:spacing w:after="120"/>
        <w:rPr>
          <w:rFonts w:ascii="Helvetica" w:hAnsi="Helvetica"/>
          <w:sz w:val="20"/>
          <w:szCs w:val="20"/>
        </w:rPr>
      </w:pPr>
      <w:r>
        <w:rPr>
          <w:rFonts w:ascii="Helvetica" w:hAnsi="Helvetica"/>
          <w:sz w:val="20"/>
          <w:szCs w:val="20"/>
        </w:rPr>
        <w:t>Line 12, column (f):  Show the total amount to be contributed for all years of the multi-year project.  If non-Federal contributions are provided for only one year, leave this space blank.</w:t>
      </w:r>
    </w:p>
    <w:p>
      <w:pPr>
        <w:rPr>
          <w:rFonts w:ascii="Helvetica" w:hAnsi="Helvetica"/>
          <w:sz w:val="20"/>
          <w:szCs w:val="20"/>
        </w:rPr>
      </w:pPr>
    </w:p>
    <w:p>
      <w:pPr>
        <w:tabs>
          <w:tab w:val="center" w:pos="2160"/>
        </w:tabs>
        <w:jc w:val="center"/>
        <w:rPr>
          <w:rFonts w:ascii="Helvetica" w:hAnsi="Helvetica"/>
          <w:sz w:val="20"/>
          <w:szCs w:val="20"/>
        </w:rPr>
      </w:pPr>
      <w:r>
        <w:rPr>
          <w:rFonts w:ascii="Helvetica" w:hAnsi="Helvetica"/>
          <w:sz w:val="20"/>
          <w:szCs w:val="20"/>
          <w:u w:val="single"/>
        </w:rPr>
        <w:t>Section C - Budget Narrative [Attach separate sheet(s)]</w:t>
      </w:r>
    </w:p>
    <w:p>
      <w:pPr>
        <w:tabs>
          <w:tab w:val="center" w:pos="2160"/>
        </w:tabs>
        <w:jc w:val="center"/>
        <w:rPr>
          <w:rFonts w:ascii="Helvetica" w:hAnsi="Helvetica"/>
          <w:sz w:val="20"/>
          <w:szCs w:val="20"/>
          <w:u w:val="single"/>
        </w:rPr>
      </w:pPr>
      <w:r>
        <w:rPr>
          <w:rFonts w:ascii="Helvetica" w:hAnsi="Helvetica"/>
          <w:sz w:val="20"/>
          <w:szCs w:val="20"/>
          <w:u w:val="single"/>
        </w:rPr>
        <w:t xml:space="preserve">Pay attention to applicable program specific instructions, </w:t>
      </w:r>
      <w:r>
        <w:rPr>
          <w:rFonts w:ascii="Helvetica" w:hAnsi="Helvetica"/>
          <w:sz w:val="20"/>
          <w:szCs w:val="20"/>
          <w:u w:val="single"/>
        </w:rPr>
        <w:br/>
        <w:t>if attached.</w:t>
      </w:r>
    </w:p>
    <w:p>
      <w:pPr>
        <w:rPr>
          <w:rFonts w:ascii="Helvetica" w:hAnsi="Helvetica"/>
          <w:sz w:val="20"/>
          <w:szCs w:val="20"/>
        </w:rPr>
      </w:pPr>
    </w:p>
    <w:p>
      <w:pPr>
        <w:numPr>
          <w:ilvl w:val="0"/>
          <w:numId w:val="16"/>
        </w:numPr>
        <w:tabs>
          <w:tab w:val="left" w:pos="-1440"/>
          <w:tab w:val="left" w:pos="-720"/>
        </w:tabs>
        <w:ind w:left="360"/>
        <w:rPr>
          <w:rFonts w:ascii="Helvetica" w:hAnsi="Helvetica"/>
          <w:color w:val="000000"/>
          <w:sz w:val="20"/>
          <w:szCs w:val="20"/>
        </w:rPr>
      </w:pPr>
      <w:r>
        <w:rPr>
          <w:rFonts w:ascii="Helvetica" w:hAnsi="Helvetica"/>
          <w:sz w:val="20"/>
          <w:szCs w:val="20"/>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Pr>
          <w:rFonts w:ascii="Helvetica" w:hAnsi="Helvetica"/>
          <w:color w:val="000000"/>
          <w:sz w:val="20"/>
          <w:szCs w:val="20"/>
        </w:rPr>
        <w:t>to each sub-project or activity.</w:t>
      </w:r>
    </w:p>
    <w:p>
      <w:pPr>
        <w:spacing w:after="120"/>
        <w:rPr>
          <w:rFonts w:ascii="Helvetica" w:hAnsi="Helvetica"/>
          <w:color w:val="000000"/>
          <w:sz w:val="20"/>
          <w:szCs w:val="20"/>
        </w:rPr>
      </w:pPr>
    </w:p>
    <w:p>
      <w:pPr>
        <w:numPr>
          <w:ilvl w:val="0"/>
          <w:numId w:val="16"/>
        </w:numPr>
        <w:tabs>
          <w:tab w:val="left" w:pos="-1440"/>
          <w:tab w:val="left" w:pos="-720"/>
        </w:tabs>
        <w:ind w:left="360"/>
        <w:rPr>
          <w:rFonts w:ascii="Helvetica" w:hAnsi="Helvetica"/>
          <w:color w:val="000000"/>
          <w:sz w:val="20"/>
          <w:szCs w:val="20"/>
        </w:rPr>
      </w:pPr>
      <w:r>
        <w:rPr>
          <w:rFonts w:ascii="Helvetica" w:hAnsi="Helvetica"/>
          <w:color w:val="000000"/>
          <w:sz w:val="20"/>
          <w:szCs w:val="20"/>
        </w:rPr>
        <w:t xml:space="preserve">For non-Federal funds or resources listed in Section B that are used to meet a cost-sharing or matching requirement or provided as a voluntary cost-sharing or matching commitment, you must include:  </w:t>
      </w:r>
    </w:p>
    <w:p>
      <w:pPr>
        <w:spacing w:after="120"/>
        <w:rPr>
          <w:rFonts w:ascii="Helvetica" w:hAnsi="Helvetica"/>
          <w:color w:val="000000"/>
          <w:sz w:val="20"/>
          <w:szCs w:val="20"/>
        </w:rPr>
      </w:pPr>
    </w:p>
    <w:p>
      <w:pPr>
        <w:spacing w:after="120"/>
        <w:ind w:left="360"/>
        <w:rPr>
          <w:rFonts w:ascii="Helvetica" w:hAnsi="Helvetica"/>
          <w:color w:val="000000"/>
          <w:sz w:val="20"/>
          <w:szCs w:val="20"/>
        </w:rPr>
      </w:pPr>
      <w:r>
        <w:rPr>
          <w:rFonts w:ascii="Helvetica" w:hAnsi="Helvetica"/>
          <w:color w:val="000000"/>
          <w:sz w:val="20"/>
          <w:szCs w:val="20"/>
        </w:rPr>
        <w:t xml:space="preserve">a. The specific costs or contributions by budget category;  </w:t>
      </w:r>
    </w:p>
    <w:p>
      <w:pPr>
        <w:spacing w:after="120"/>
        <w:ind w:left="360"/>
        <w:rPr>
          <w:rFonts w:ascii="Helvetica" w:hAnsi="Helvetica"/>
          <w:color w:val="000000"/>
          <w:sz w:val="20"/>
          <w:szCs w:val="20"/>
        </w:rPr>
      </w:pPr>
      <w:r>
        <w:rPr>
          <w:rFonts w:ascii="Helvetica" w:hAnsi="Helvetica"/>
          <w:color w:val="000000"/>
          <w:sz w:val="20"/>
          <w:szCs w:val="20"/>
        </w:rPr>
        <w:t>b. The source of the costs or contributions; and</w:t>
      </w:r>
    </w:p>
    <w:p>
      <w:pPr>
        <w:spacing w:after="120"/>
        <w:ind w:left="360"/>
        <w:rPr>
          <w:rFonts w:ascii="Helvetica" w:hAnsi="Helvetica"/>
          <w:color w:val="000000"/>
          <w:sz w:val="20"/>
          <w:szCs w:val="20"/>
        </w:rPr>
      </w:pPr>
      <w:r>
        <w:rPr>
          <w:rFonts w:ascii="Helvetica" w:hAnsi="Helvetica"/>
          <w:color w:val="000000"/>
          <w:sz w:val="20"/>
          <w:szCs w:val="20"/>
        </w:rPr>
        <w:t>c.  In the case of third-party in-kind contributions, a description of how the value was determined for the donated or contributed goods or services.</w:t>
      </w:r>
    </w:p>
    <w:p>
      <w:pPr>
        <w:spacing w:after="120"/>
        <w:ind w:left="360"/>
        <w:rPr>
          <w:rFonts w:ascii="Helvetica" w:hAnsi="Helvetica"/>
          <w:color w:val="FF0000"/>
          <w:sz w:val="20"/>
          <w:szCs w:val="20"/>
        </w:rPr>
      </w:pPr>
      <w:r>
        <w:rPr>
          <w:rFonts w:ascii="Helvetica" w:hAnsi="Helvetica"/>
          <w:color w:val="000000"/>
          <w:sz w:val="20"/>
          <w:szCs w:val="20"/>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Pr>
          <w:rFonts w:ascii="Helvetica" w:hAnsi="Helvetica"/>
          <w:color w:val="FF0000"/>
          <w:sz w:val="20"/>
          <w:szCs w:val="20"/>
        </w:rPr>
        <w:t xml:space="preserve"> </w:t>
      </w:r>
      <w:r>
        <w:rPr>
          <w:rFonts w:ascii="Helvetica" w:hAnsi="Helvetica"/>
          <w:color w:val="0000FF"/>
          <w:sz w:val="20"/>
          <w:szCs w:val="20"/>
          <w:u w:val="single"/>
        </w:rPr>
        <w:t>http://www.whitehouse.gov/omb/circulars/index.html</w:t>
      </w:r>
      <w:r>
        <w:rPr>
          <w:rFonts w:ascii="Helvetica" w:hAnsi="Helvetica"/>
          <w:color w:val="000000"/>
          <w:sz w:val="20"/>
          <w:szCs w:val="20"/>
        </w:rPr>
        <w:t>]</w:t>
      </w:r>
    </w:p>
    <w:p>
      <w:pPr>
        <w:numPr>
          <w:ilvl w:val="0"/>
          <w:numId w:val="16"/>
        </w:numPr>
        <w:tabs>
          <w:tab w:val="left" w:pos="-1440"/>
          <w:tab w:val="left" w:pos="-720"/>
        </w:tabs>
        <w:ind w:left="360"/>
        <w:rPr>
          <w:rFonts w:ascii="Helvetica" w:hAnsi="Helvetica"/>
          <w:sz w:val="20"/>
          <w:szCs w:val="20"/>
        </w:rPr>
      </w:pPr>
      <w:r>
        <w:rPr>
          <w:rFonts w:ascii="Helvetica" w:hAnsi="Helvetica"/>
          <w:sz w:val="20"/>
          <w:szCs w:val="20"/>
        </w:rPr>
        <w:t>If applicable to this program, provide the rate and base on which fringe benefits are calculated.</w:t>
      </w:r>
    </w:p>
    <w:p>
      <w:pPr>
        <w:spacing w:after="120"/>
        <w:rPr>
          <w:rFonts w:ascii="Helvetica" w:hAnsi="Helvetica"/>
          <w:sz w:val="20"/>
          <w:szCs w:val="20"/>
        </w:rPr>
      </w:pPr>
    </w:p>
    <w:p>
      <w:pPr>
        <w:numPr>
          <w:ilvl w:val="0"/>
          <w:numId w:val="16"/>
        </w:numPr>
        <w:tabs>
          <w:tab w:val="left" w:pos="-1440"/>
          <w:tab w:val="left" w:pos="-720"/>
        </w:tabs>
        <w:ind w:left="360"/>
        <w:rPr>
          <w:rFonts w:ascii="Helvetica" w:hAnsi="Helvetica"/>
          <w:sz w:val="20"/>
          <w:szCs w:val="20"/>
        </w:rPr>
      </w:pPr>
      <w:r>
        <w:rPr>
          <w:rFonts w:ascii="Helvetica" w:hAnsi="Helvetica"/>
          <w:color w:val="000000"/>
          <w:sz w:val="20"/>
          <w:szCs w:val="20"/>
        </w:rPr>
        <w:t xml:space="preserve">If you are requesting </w:t>
      </w:r>
      <w:r>
        <w:rPr>
          <w:rFonts w:ascii="Helvetica" w:hAnsi="Helvetica"/>
          <w:sz w:val="20"/>
          <w:szCs w:val="20"/>
        </w:rPr>
        <w:t>reimbursement</w:t>
      </w:r>
      <w:r>
        <w:rPr>
          <w:rFonts w:ascii="Helvetica" w:hAnsi="Helvetica"/>
          <w:color w:val="000000"/>
          <w:sz w:val="20"/>
          <w:szCs w:val="20"/>
        </w:rPr>
        <w:t xml:space="preserve"> for indirect costs on line 10, this information is to be completed by your Business Office.  S</w:t>
      </w:r>
      <w:r>
        <w:rPr>
          <w:rFonts w:ascii="Helvetica" w:hAnsi="Helvetica"/>
          <w:sz w:val="20"/>
          <w:szCs w:val="20"/>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pPr>
        <w:autoSpaceDE w:val="0"/>
        <w:autoSpaceDN w:val="0"/>
        <w:adjustRightInd w:val="0"/>
        <w:ind w:left="360"/>
        <w:rPr>
          <w:rFonts w:ascii="Helvetica" w:hAnsi="Helvetica"/>
          <w:sz w:val="20"/>
          <w:szCs w:val="20"/>
        </w:rPr>
      </w:pPr>
    </w:p>
    <w:p>
      <w:pPr>
        <w:autoSpaceDE w:val="0"/>
        <w:autoSpaceDN w:val="0"/>
        <w:adjustRightInd w:val="0"/>
        <w:ind w:left="360"/>
        <w:rPr>
          <w:rFonts w:ascii="Helvetica" w:hAnsi="Helvetica"/>
          <w:color w:val="0000FF"/>
          <w:sz w:val="20"/>
          <w:szCs w:val="20"/>
        </w:rPr>
      </w:pPr>
      <w:r>
        <w:rPr>
          <w:rFonts w:ascii="Helvetica" w:hAnsi="Helvetica"/>
          <w:sz w:val="20"/>
          <w:szCs w:val="20"/>
        </w:rPr>
        <w:lastRenderedPageBreak/>
        <w:t xml:space="preserve">When calculating indirect costs (line 10) for "Training grants" or grants under "Restricted Rate" programs, you must refer to the information and examples on ED’s website at: </w:t>
      </w:r>
      <w:r>
        <w:rPr>
          <w:rFonts w:ascii="Helvetica" w:hAnsi="Helvetica"/>
          <w:color w:val="0000FF"/>
          <w:sz w:val="20"/>
          <w:szCs w:val="20"/>
          <w:u w:val="single"/>
        </w:rPr>
        <w:t>http://www.ed.gov/fund/grant/apply/appforms/appforms.html</w:t>
      </w:r>
      <w:r>
        <w:rPr>
          <w:rFonts w:ascii="Helvetica" w:hAnsi="Helvetica"/>
          <w:color w:val="0000FF"/>
          <w:sz w:val="20"/>
          <w:szCs w:val="20"/>
        </w:rPr>
        <w:t xml:space="preserve">.    </w:t>
      </w:r>
    </w:p>
    <w:p>
      <w:pPr>
        <w:autoSpaceDE w:val="0"/>
        <w:autoSpaceDN w:val="0"/>
        <w:adjustRightInd w:val="0"/>
        <w:ind w:left="360"/>
        <w:rPr>
          <w:rFonts w:ascii="Helvetica" w:hAnsi="Helvetica"/>
          <w:color w:val="0000FF"/>
          <w:sz w:val="20"/>
          <w:szCs w:val="20"/>
        </w:rPr>
      </w:pPr>
    </w:p>
    <w:p>
      <w:pPr>
        <w:autoSpaceDE w:val="0"/>
        <w:autoSpaceDN w:val="0"/>
        <w:adjustRightInd w:val="0"/>
        <w:ind w:left="360"/>
        <w:rPr>
          <w:rFonts w:ascii="Helvetica" w:hAnsi="Helvetica"/>
          <w:sz w:val="20"/>
          <w:szCs w:val="20"/>
        </w:rPr>
      </w:pPr>
      <w:r>
        <w:rPr>
          <w:rFonts w:ascii="Helvetica" w:hAnsi="Helvetica"/>
          <w:color w:val="000000"/>
          <w:sz w:val="20"/>
          <w:szCs w:val="20"/>
        </w:rPr>
        <w:t>Yo</w:t>
      </w:r>
      <w:r>
        <w:rPr>
          <w:rFonts w:ascii="Helvetica" w:hAnsi="Helvetica"/>
          <w:sz w:val="20"/>
          <w:szCs w:val="20"/>
        </w:rPr>
        <w:t>u may also contact (202) 377-3838 for additional information regarding calculating indirect cost rates or general indirect cost rate information.</w:t>
      </w:r>
    </w:p>
    <w:p>
      <w:pPr>
        <w:autoSpaceDE w:val="0"/>
        <w:autoSpaceDN w:val="0"/>
        <w:adjustRightInd w:val="0"/>
        <w:ind w:left="360"/>
        <w:rPr>
          <w:rFonts w:ascii="Helvetica" w:hAnsi="Helvetica"/>
          <w:sz w:val="20"/>
          <w:szCs w:val="20"/>
        </w:rPr>
      </w:pPr>
    </w:p>
    <w:p>
      <w:pPr>
        <w:numPr>
          <w:ilvl w:val="0"/>
          <w:numId w:val="16"/>
        </w:numPr>
        <w:tabs>
          <w:tab w:val="left" w:pos="-1440"/>
          <w:tab w:val="left" w:pos="-720"/>
        </w:tabs>
        <w:ind w:left="360"/>
        <w:rPr>
          <w:rFonts w:ascii="Helvetica" w:hAnsi="Helvetica"/>
          <w:sz w:val="20"/>
          <w:szCs w:val="20"/>
        </w:rPr>
      </w:pPr>
      <w:r>
        <w:rPr>
          <w:rFonts w:ascii="Helvetica" w:hAnsi="Helvetica"/>
          <w:sz w:val="20"/>
          <w:szCs w:val="20"/>
        </w:rPr>
        <w:t>Provide other explanations or comments you deem necessary.</w:t>
      </w:r>
    </w:p>
    <w:p>
      <w:pPr>
        <w:spacing w:after="120"/>
        <w:rPr>
          <w:rFonts w:ascii="Helvetica" w:hAnsi="Helvetica"/>
          <w:b/>
          <w:sz w:val="20"/>
          <w:szCs w:val="20"/>
        </w:rPr>
      </w:pPr>
    </w:p>
    <w:p>
      <w:pPr>
        <w:spacing w:after="120"/>
        <w:rPr>
          <w:rFonts w:ascii="Helvetica" w:hAnsi="Helvetica"/>
          <w:b/>
          <w:sz w:val="20"/>
          <w:szCs w:val="20"/>
        </w:rPr>
      </w:pPr>
      <w:r>
        <w:rPr>
          <w:rFonts w:ascii="Helvetica" w:hAnsi="Helvetica"/>
          <w:b/>
          <w:sz w:val="20"/>
          <w:szCs w:val="20"/>
        </w:rPr>
        <w:t>Paperwork Burden Statement</w:t>
      </w:r>
    </w:p>
    <w:p>
      <w:pPr>
        <w:rPr>
          <w:rFonts w:ascii="Helvetica" w:hAnsi="Helvetica"/>
          <w:sz w:val="20"/>
          <w:szCs w:val="20"/>
        </w:rPr>
      </w:pPr>
    </w:p>
    <w:p>
      <w:pPr>
        <w:tabs>
          <w:tab w:val="left" w:pos="720"/>
          <w:tab w:val="right" w:leader="dot" w:pos="8640"/>
        </w:tabs>
        <w:spacing w:after="120"/>
        <w:rPr>
          <w:rFonts w:ascii="Helvetica" w:hAnsi="Helvetica"/>
          <w:b/>
          <w:bCs/>
          <w:sz w:val="20"/>
          <w:szCs w:val="20"/>
        </w:rPr>
      </w:pPr>
      <w:r>
        <w:rPr>
          <w:rFonts w:ascii="Helvetica" w:hAnsi="Helvetica"/>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Helvetica" w:hAnsi="Helvetica"/>
          <w:b/>
          <w:bCs/>
          <w:sz w:val="20"/>
          <w:szCs w:val="20"/>
        </w:rPr>
        <w:t>1894-0006</w:t>
      </w:r>
      <w:r>
        <w:rPr>
          <w:rFonts w:ascii="Helvetica" w:hAnsi="Helvetica"/>
          <w:sz w:val="20"/>
          <w:szCs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Pr>
          <w:rFonts w:ascii="Helvetica" w:hAnsi="Helvetica"/>
          <w:color w:val="000000"/>
          <w:sz w:val="20"/>
          <w:szCs w:val="20"/>
        </w:rPr>
        <w:t>4537.</w:t>
      </w:r>
      <w:r>
        <w:rPr>
          <w:rFonts w:ascii="Helvetica" w:hAnsi="Helvetica"/>
          <w:sz w:val="20"/>
          <w:szCs w:val="20"/>
        </w:rPr>
        <w:t xml:space="preserve">  If you have comments or concerns regarding the status of your individual submission of this form, write directly to (insert program office), U.S. Department of Education, 400 Maryland Avenue, S.W., Washington, D.C. 20202. </w:t>
      </w:r>
    </w:p>
    <w:p>
      <w:pPr>
        <w:rPr>
          <w:sz w:val="32"/>
        </w:rPr>
        <w:sectPr>
          <w:pgSz w:w="12240" w:h="15840" w:code="1"/>
          <w:pgMar w:top="1440" w:right="1440" w:bottom="1440" w:left="1440" w:header="720" w:footer="720" w:gutter="0"/>
          <w:cols w:space="720"/>
          <w:docGrid w:linePitch="326"/>
        </w:sectPr>
      </w:pPr>
    </w:p>
    <w:p>
      <w:pPr>
        <w:keepNext/>
        <w:pageBreakBefore/>
        <w:pBdr>
          <w:top w:val="single" w:sz="4" w:space="1" w:color="auto"/>
          <w:bottom w:val="single" w:sz="4" w:space="1" w:color="auto"/>
        </w:pBdr>
        <w:shd w:val="clear" w:color="auto" w:fill="E0E0E0"/>
        <w:jc w:val="center"/>
        <w:outlineLvl w:val="0"/>
        <w:rPr>
          <w:rFonts w:ascii="Arial" w:hAnsi="Arial"/>
          <w:b/>
          <w:color w:val="000000"/>
          <w:sz w:val="28"/>
        </w:rPr>
      </w:pPr>
      <w:r>
        <w:rPr>
          <w:rFonts w:ascii="Arial" w:hAnsi="Arial"/>
          <w:b/>
          <w:color w:val="000000"/>
          <w:sz w:val="28"/>
        </w:rPr>
        <w:lastRenderedPageBreak/>
        <w:t xml:space="preserve">INSTRUCTIONS FOR THE BUDGET SUMMARY </w:t>
      </w:r>
    </w:p>
    <w:p>
      <w:pPr>
        <w:keepNext/>
        <w:pBdr>
          <w:top w:val="single" w:sz="4" w:space="1" w:color="auto"/>
          <w:bottom w:val="single" w:sz="4" w:space="1" w:color="auto"/>
        </w:pBdr>
        <w:shd w:val="clear" w:color="auto" w:fill="E0E0E0"/>
        <w:jc w:val="center"/>
        <w:outlineLvl w:val="0"/>
        <w:rPr>
          <w:rFonts w:ascii="Arial" w:hAnsi="Arial"/>
          <w:b/>
          <w:color w:val="000000"/>
          <w:sz w:val="28"/>
        </w:rPr>
      </w:pPr>
      <w:r>
        <w:rPr>
          <w:rFonts w:ascii="Arial" w:hAnsi="Arial"/>
          <w:b/>
          <w:color w:val="000000"/>
          <w:sz w:val="28"/>
        </w:rPr>
        <w:t>AND ITEMIZED LINE ITEM BUDGET</w:t>
      </w:r>
    </w:p>
    <w:p/>
    <w:p>
      <w:pPr>
        <w:rPr>
          <w:rFonts w:ascii="Arial" w:hAnsi="Arial" w:cs="Arial"/>
        </w:rPr>
      </w:pPr>
      <w:r>
        <w:rPr>
          <w:rFonts w:ascii="Arial" w:hAnsi="Arial" w:cs="Arial"/>
          <w:b/>
          <w:bCs/>
          <w:u w:val="single"/>
        </w:rPr>
        <w:t>NOTE</w:t>
      </w:r>
      <w:r>
        <w:rPr>
          <w:rFonts w:ascii="Arial" w:hAnsi="Arial" w:cs="Arial"/>
          <w:b/>
          <w:bCs/>
        </w:rPr>
        <w:t xml:space="preserve">:  </w:t>
      </w:r>
      <w:r>
        <w:rPr>
          <w:rFonts w:ascii="Arial" w:hAnsi="Arial" w:cs="Arial"/>
        </w:rPr>
        <w:t xml:space="preserve">Applicants must submit:  (1) budget information that categorizes the requested funds (ED Form 524), </w:t>
      </w:r>
      <w:r>
        <w:rPr>
          <w:rFonts w:ascii="Arial" w:hAnsi="Arial" w:cs="Arial"/>
          <w:b/>
          <w:bCs/>
          <w:u w:val="single"/>
        </w:rPr>
        <w:t>AND</w:t>
      </w:r>
      <w:r>
        <w:rPr>
          <w:rFonts w:ascii="Arial" w:hAnsi="Arial" w:cs="Arial"/>
        </w:rPr>
        <w:t xml:space="preserve"> (2) a detailed budget narrative for the 48-month budget period.  </w:t>
      </w:r>
    </w:p>
    <w:p>
      <w:pPr>
        <w:rPr>
          <w:rFonts w:ascii="Arial" w:hAnsi="Arial" w:cs="Arial"/>
          <w:b/>
          <w:bCs/>
          <w:u w:val="single"/>
        </w:rPr>
      </w:pPr>
    </w:p>
    <w:p>
      <w:pPr>
        <w:rPr>
          <w:rFonts w:ascii="Arial" w:hAnsi="Arial" w:cs="Arial"/>
        </w:rPr>
      </w:pPr>
      <w:r>
        <w:rPr>
          <w:rFonts w:ascii="Arial" w:hAnsi="Arial" w:cs="Arial"/>
          <w:b/>
          <w:bCs/>
          <w:u w:val="single"/>
        </w:rPr>
        <w:t>The budget summary</w:t>
      </w:r>
      <w:r>
        <w:rPr>
          <w:rFonts w:ascii="Arial" w:hAnsi="Arial" w:cs="Arial"/>
          <w:b/>
          <w:bCs/>
        </w:rPr>
        <w:t xml:space="preserve"> </w:t>
      </w:r>
      <w:r>
        <w:rPr>
          <w:rFonts w:ascii="Arial" w:hAnsi="Arial" w:cs="Arial"/>
        </w:rPr>
        <w:t xml:space="preserve">is to be included on the </w:t>
      </w:r>
      <w:r>
        <w:rPr>
          <w:rFonts w:ascii="Arial" w:hAnsi="Arial" w:cs="Arial"/>
          <w:u w:val="single"/>
        </w:rPr>
        <w:t xml:space="preserve">Budget Information – Non-Construction Programs </w:t>
      </w:r>
      <w:r>
        <w:rPr>
          <w:rFonts w:ascii="Arial" w:hAnsi="Arial" w:cs="Arial"/>
        </w:rPr>
        <w:t xml:space="preserve">(ED Form 524). </w:t>
      </w:r>
    </w:p>
    <w:p>
      <w:pPr>
        <w:rPr>
          <w:rFonts w:ascii="Arial" w:hAnsi="Arial" w:cs="Arial"/>
        </w:rPr>
      </w:pPr>
    </w:p>
    <w:p>
      <w:pPr>
        <w:rPr>
          <w:rFonts w:ascii="Arial" w:hAnsi="Arial" w:cs="Arial"/>
        </w:rPr>
      </w:pPr>
      <w:r>
        <w:rPr>
          <w:rFonts w:ascii="Arial" w:hAnsi="Arial" w:cs="Arial"/>
          <w:b/>
          <w:bCs/>
          <w:u w:val="single"/>
        </w:rPr>
        <w:t>The budget narrative</w:t>
      </w:r>
      <w:r>
        <w:rPr>
          <w:rFonts w:ascii="Arial" w:hAnsi="Arial" w:cs="Arial"/>
          <w:b/>
          <w:bCs/>
        </w:rPr>
        <w:t xml:space="preserve"> </w:t>
      </w:r>
      <w:r>
        <w:rPr>
          <w:rFonts w:ascii="Arial" w:hAnsi="Arial" w:cs="Arial"/>
        </w:rPr>
        <w:t xml:space="preserve">is to be included in the </w:t>
      </w:r>
      <w:r>
        <w:rPr>
          <w:rFonts w:ascii="Arial" w:hAnsi="Arial" w:cs="Arial"/>
          <w:i/>
          <w:iCs/>
        </w:rPr>
        <w:t>Project Narrative</w:t>
      </w:r>
      <w:r>
        <w:rPr>
          <w:rFonts w:ascii="Arial" w:hAnsi="Arial" w:cs="Arial"/>
        </w:rPr>
        <w:t xml:space="preserve"> (although it does not count toward the 35-page limit for the narrative) and attached to the </w:t>
      </w:r>
      <w:r>
        <w:rPr>
          <w:rFonts w:ascii="Arial" w:hAnsi="Arial" w:cs="Arial"/>
          <w:u w:val="single"/>
        </w:rPr>
        <w:t>Project Narrative Attachment Form</w:t>
      </w:r>
      <w:r>
        <w:rPr>
          <w:rFonts w:ascii="Arial" w:hAnsi="Arial" w:cs="Arial"/>
        </w:rPr>
        <w:t>) as part of the Budget selection criterion.</w:t>
      </w:r>
    </w:p>
    <w:p>
      <w:pPr>
        <w:rPr>
          <w:rFonts w:ascii="Arial" w:hAnsi="Arial" w:cs="Arial"/>
        </w:rPr>
      </w:pPr>
    </w:p>
    <w:p>
      <w:pPr>
        <w:rPr>
          <w:rFonts w:ascii="Arial" w:hAnsi="Arial" w:cs="Arial"/>
        </w:rPr>
      </w:pPr>
      <w:r>
        <w:rPr>
          <w:rFonts w:ascii="Arial" w:hAnsi="Arial" w:cs="Arial"/>
        </w:rPr>
        <w:t xml:space="preserve">This section requests information on the applicant’s financial plan for carrying out the project.  </w:t>
      </w:r>
    </w:p>
    <w:p>
      <w:pPr>
        <w:rPr>
          <w:rFonts w:ascii="Arial" w:hAnsi="Arial" w:cs="Arial"/>
        </w:rPr>
      </w:pPr>
    </w:p>
    <w:p>
      <w:pPr>
        <w:rPr>
          <w:rFonts w:ascii="Arial" w:hAnsi="Arial" w:cs="Arial"/>
        </w:rPr>
      </w:pPr>
      <w:r>
        <w:rPr>
          <w:rFonts w:ascii="Arial" w:hAnsi="Arial" w:cs="Arial"/>
        </w:rPr>
        <w:t xml:space="preserve">The federal and any non-federal shares are to be included on the </w:t>
      </w:r>
      <w:r>
        <w:rPr>
          <w:rFonts w:ascii="Arial" w:hAnsi="Arial" w:cs="Arial"/>
          <w:u w:val="single"/>
        </w:rPr>
        <w:t xml:space="preserve">Budget Information – Non-Construction Programs </w:t>
      </w:r>
      <w:r>
        <w:rPr>
          <w:rFonts w:ascii="Arial" w:hAnsi="Arial" w:cs="Arial"/>
        </w:rPr>
        <w:t xml:space="preserve">(ED Form 524), and in the Budget selection criterion discussion in the </w:t>
      </w:r>
      <w:r>
        <w:rPr>
          <w:rFonts w:ascii="Arial" w:hAnsi="Arial" w:cs="Arial"/>
          <w:i/>
          <w:iCs/>
        </w:rPr>
        <w:t>Project Narrative</w:t>
      </w:r>
      <w:r>
        <w:rPr>
          <w:rFonts w:ascii="Arial" w:hAnsi="Arial" w:cs="Arial"/>
        </w:rPr>
        <w:t>.</w:t>
      </w:r>
    </w:p>
    <w:p>
      <w:pPr>
        <w:rPr>
          <w:rFonts w:ascii="Arial" w:hAnsi="Arial" w:cs="Arial"/>
        </w:rPr>
      </w:pPr>
    </w:p>
    <w:p>
      <w:pPr>
        <w:tabs>
          <w:tab w:val="left" w:pos="720"/>
          <w:tab w:val="right" w:leader="dot" w:pos="8640"/>
        </w:tabs>
        <w:spacing w:after="120"/>
        <w:rPr>
          <w:rFonts w:ascii="Arial" w:hAnsi="Arial" w:cs="Arial"/>
        </w:rPr>
      </w:pPr>
      <w:r>
        <w:rPr>
          <w:rFonts w:ascii="Arial" w:hAnsi="Arial" w:cs="Arial"/>
        </w:rPr>
        <w:t xml:space="preserve">The </w:t>
      </w:r>
      <w:r>
        <w:rPr>
          <w:rFonts w:ascii="Arial" w:hAnsi="Arial" w:cs="Arial"/>
          <w:u w:val="single"/>
        </w:rPr>
        <w:t xml:space="preserve">Budget Information-Section A – Budget Summary – Non-Construction Programs </w:t>
      </w:r>
      <w:r>
        <w:rPr>
          <w:rFonts w:ascii="Arial" w:hAnsi="Arial" w:cs="Arial"/>
        </w:rPr>
        <w:t xml:space="preserve">(ED Form 524) and the </w:t>
      </w:r>
      <w:r>
        <w:rPr>
          <w:rFonts w:ascii="Arial" w:hAnsi="Arial" w:cs="Arial"/>
          <w:u w:val="single"/>
        </w:rPr>
        <w:t>Budget Narrative</w:t>
      </w:r>
      <w:r>
        <w:rPr>
          <w:rFonts w:ascii="Arial" w:hAnsi="Arial" w:cs="Arial"/>
        </w:rPr>
        <w:t xml:space="preserve"> must include all costs that are allowable, reasonable and necessary for carrying out the objectives of the TRTW Program.  Among the costs that may be supported with grant funds are:</w:t>
      </w:r>
    </w:p>
    <w:p>
      <w:pPr>
        <w:rPr>
          <w:rFonts w:ascii="Arial" w:hAnsi="Arial" w:cs="Arial"/>
          <w:b/>
        </w:rPr>
      </w:pPr>
    </w:p>
    <w:p>
      <w:pPr>
        <w:numPr>
          <w:ilvl w:val="0"/>
          <w:numId w:val="17"/>
        </w:numPr>
        <w:rPr>
          <w:rFonts w:ascii="Arial" w:hAnsi="Arial" w:cs="Arial"/>
        </w:rPr>
      </w:pPr>
      <w:r>
        <w:rPr>
          <w:rFonts w:ascii="Arial" w:hAnsi="Arial" w:cs="Arial"/>
          <w:u w:val="single"/>
        </w:rPr>
        <w:t>Personnel</w:t>
      </w:r>
      <w:r>
        <w:rPr>
          <w:rFonts w:ascii="Arial" w:hAnsi="Arial" w:cs="Arial"/>
        </w:rPr>
        <w:t xml:space="preserve">:  On line 1 (ED Form 524), enter only the project personnel salaries and wages.  [Fees and expenses for consultants should be included on line </w:t>
      </w:r>
      <w:r>
        <w:rPr>
          <w:rFonts w:ascii="Arial" w:hAnsi="Arial" w:cs="Arial"/>
          <w:bCs/>
        </w:rPr>
        <w:t>8</w:t>
      </w:r>
      <w:r>
        <w:rPr>
          <w:rFonts w:ascii="Arial" w:hAnsi="Arial" w:cs="Arial"/>
        </w:rPr>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pPr>
        <w:ind w:left="360"/>
        <w:rPr>
          <w:rFonts w:ascii="Arial" w:hAnsi="Arial" w:cs="Arial"/>
        </w:rPr>
      </w:pPr>
    </w:p>
    <w:p>
      <w:pPr>
        <w:numPr>
          <w:ilvl w:val="0"/>
          <w:numId w:val="17"/>
        </w:numPr>
        <w:rPr>
          <w:rFonts w:ascii="Arial" w:hAnsi="Arial" w:cs="Arial"/>
        </w:rPr>
      </w:pPr>
      <w:r>
        <w:rPr>
          <w:rFonts w:ascii="Arial" w:hAnsi="Arial" w:cs="Arial"/>
          <w:u w:val="single"/>
        </w:rPr>
        <w:t>Fringe Benefits</w:t>
      </w:r>
      <w:r>
        <w:rPr>
          <w:rFonts w:ascii="Arial" w:hAnsi="Arial" w:cs="Arial"/>
        </w:rPr>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pPr>
        <w:rPr>
          <w:rFonts w:ascii="Arial" w:hAnsi="Arial" w:cs="Arial"/>
        </w:rPr>
      </w:pPr>
    </w:p>
    <w:p>
      <w:pPr>
        <w:keepNext/>
        <w:numPr>
          <w:ilvl w:val="0"/>
          <w:numId w:val="17"/>
        </w:numPr>
        <w:outlineLvl w:val="4"/>
        <w:rPr>
          <w:rFonts w:ascii="Arial" w:hAnsi="Arial" w:cs="Arial"/>
        </w:rPr>
      </w:pPr>
      <w:r>
        <w:rPr>
          <w:rFonts w:ascii="Arial" w:hAnsi="Arial" w:cs="Arial"/>
          <w:u w:val="single"/>
        </w:rPr>
        <w:t>Travel</w:t>
      </w:r>
      <w:r>
        <w:rPr>
          <w:rFonts w:ascii="Arial" w:hAnsi="Arial" w:cs="Arial"/>
        </w:rPr>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In addition to the project travel, </w:t>
      </w:r>
      <w:r>
        <w:rPr>
          <w:rFonts w:ascii="Arial" w:hAnsi="Arial" w:cs="Arial"/>
        </w:rPr>
        <w:lastRenderedPageBreak/>
        <w:t>include in the budget not more than $2,000 for travel by the project director and one other participant to a project directors’ meeting in Washington, D.C.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OMB Circular A-21, J.48.c - Commercial Air Travel).  No foreign travel will be authorized under the grant.</w:t>
      </w:r>
    </w:p>
    <w:p>
      <w:pPr>
        <w:ind w:left="360"/>
        <w:rPr>
          <w:rFonts w:ascii="Arial" w:hAnsi="Arial" w:cs="Arial"/>
        </w:rPr>
      </w:pPr>
    </w:p>
    <w:p>
      <w:pPr>
        <w:ind w:left="360"/>
        <w:rPr>
          <w:rFonts w:ascii="Arial" w:hAnsi="Arial" w:cs="Arial"/>
        </w:rPr>
      </w:pPr>
      <w:r>
        <w:rPr>
          <w:rFonts w:ascii="Arial" w:hAnsi="Arial" w:cs="Arial"/>
        </w:rPr>
        <w:t>All travel must be related to the project’s overall purpose and proposed activities.</w:t>
      </w:r>
    </w:p>
    <w:p>
      <w:pPr>
        <w:ind w:left="720" w:hanging="360"/>
        <w:rPr>
          <w:rFonts w:ascii="Arial" w:hAnsi="Arial" w:cs="Arial"/>
        </w:rPr>
      </w:pPr>
    </w:p>
    <w:p>
      <w:pPr>
        <w:ind w:left="360" w:hanging="360"/>
        <w:rPr>
          <w:rFonts w:ascii="Arial" w:hAnsi="Arial" w:cs="Arial"/>
        </w:rPr>
      </w:pPr>
      <w:r>
        <w:rPr>
          <w:rFonts w:ascii="Arial" w:hAnsi="Arial" w:cs="Arial"/>
        </w:rPr>
        <w:t>4.</w:t>
      </w:r>
      <w:r>
        <w:rPr>
          <w:rFonts w:ascii="Arial" w:hAnsi="Arial" w:cs="Arial"/>
        </w:rPr>
        <w:tab/>
      </w:r>
      <w:r>
        <w:rPr>
          <w:rFonts w:ascii="Arial" w:hAnsi="Arial" w:cs="Arial"/>
          <w:u w:val="single"/>
        </w:rPr>
        <w:t>Equipment</w:t>
      </w:r>
      <w:r>
        <w:rPr>
          <w:rFonts w:ascii="Arial" w:hAnsi="Arial" w:cs="Arial"/>
        </w:rPr>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pPr>
        <w:ind w:left="360" w:hanging="360"/>
        <w:rPr>
          <w:rFonts w:ascii="Arial" w:hAnsi="Arial" w:cs="Arial"/>
        </w:rPr>
      </w:pPr>
    </w:p>
    <w:p>
      <w:pPr>
        <w:ind w:left="360" w:hanging="360"/>
        <w:rPr>
          <w:rFonts w:ascii="Arial" w:hAnsi="Arial" w:cs="Arial"/>
        </w:rPr>
      </w:pPr>
      <w:r>
        <w:rPr>
          <w:rFonts w:ascii="Arial" w:hAnsi="Arial" w:cs="Arial"/>
        </w:rPr>
        <w:t>5.</w:t>
      </w:r>
      <w:r>
        <w:rPr>
          <w:rFonts w:ascii="Arial" w:hAnsi="Arial" w:cs="Arial"/>
        </w:rPr>
        <w:tab/>
      </w:r>
      <w:r>
        <w:rPr>
          <w:rFonts w:ascii="Arial" w:hAnsi="Arial" w:cs="Arial"/>
          <w:u w:val="single"/>
        </w:rPr>
        <w:t>Supplies</w:t>
      </w:r>
      <w:r>
        <w:rPr>
          <w:rFonts w:ascii="Arial" w:hAnsi="Arial" w:cs="Arial"/>
        </w:rPr>
        <w:t>:  On line 5 (ED Form 524), include the costs of all tangible personal property that was not included as “equipment” on line 4.   In the budget, provide an itemized list of the supplies.</w:t>
      </w:r>
    </w:p>
    <w:p>
      <w:pPr>
        <w:ind w:left="360" w:hanging="360"/>
        <w:rPr>
          <w:rFonts w:ascii="Arial" w:hAnsi="Arial" w:cs="Arial"/>
          <w:u w:val="single"/>
        </w:rPr>
      </w:pPr>
    </w:p>
    <w:p>
      <w:pPr>
        <w:ind w:left="360" w:hanging="360"/>
        <w:rPr>
          <w:rFonts w:ascii="Arial" w:hAnsi="Arial" w:cs="Arial"/>
        </w:rPr>
      </w:pPr>
      <w:r>
        <w:rPr>
          <w:rFonts w:ascii="Arial" w:hAnsi="Arial" w:cs="Arial"/>
        </w:rPr>
        <w:t>6.</w:t>
      </w:r>
      <w:r>
        <w:rPr>
          <w:rFonts w:ascii="Arial" w:hAnsi="Arial" w:cs="Arial"/>
        </w:rPr>
        <w:tab/>
      </w:r>
      <w:r>
        <w:rPr>
          <w:rFonts w:ascii="Arial" w:hAnsi="Arial" w:cs="Arial"/>
          <w:u w:val="single"/>
        </w:rPr>
        <w:t>Contractual</w:t>
      </w:r>
      <w:r>
        <w:rPr>
          <w:rFonts w:ascii="Arial" w:hAnsi="Arial" w:cs="Arial"/>
        </w:rPr>
        <w:t>:  Not applicable.  Leave blank.</w:t>
      </w:r>
    </w:p>
    <w:p>
      <w:pPr>
        <w:ind w:left="360" w:hanging="360"/>
        <w:rPr>
          <w:rFonts w:ascii="Arial" w:hAnsi="Arial" w:cs="Arial"/>
        </w:rPr>
      </w:pPr>
    </w:p>
    <w:p>
      <w:pPr>
        <w:ind w:left="360" w:hanging="360"/>
        <w:rPr>
          <w:rFonts w:ascii="Arial" w:hAnsi="Arial" w:cs="Arial"/>
        </w:rPr>
      </w:pPr>
      <w:r>
        <w:rPr>
          <w:rFonts w:ascii="Arial" w:hAnsi="Arial" w:cs="Arial"/>
        </w:rPr>
        <w:t>7.</w:t>
      </w:r>
      <w:r>
        <w:rPr>
          <w:rFonts w:ascii="Arial" w:hAnsi="Arial" w:cs="Arial"/>
        </w:rPr>
        <w:tab/>
      </w:r>
      <w:r>
        <w:rPr>
          <w:rFonts w:ascii="Arial" w:hAnsi="Arial" w:cs="Arial"/>
          <w:u w:val="single"/>
        </w:rPr>
        <w:t>Construction</w:t>
      </w:r>
      <w:r>
        <w:rPr>
          <w:rFonts w:ascii="Arial" w:hAnsi="Arial" w:cs="Arial"/>
        </w:rPr>
        <w:t>:  Not applicable.  Leave blank.</w:t>
      </w:r>
    </w:p>
    <w:p>
      <w:pPr>
        <w:ind w:left="360" w:hanging="360"/>
        <w:rPr>
          <w:rFonts w:ascii="Arial" w:hAnsi="Arial" w:cs="Arial"/>
        </w:rPr>
      </w:pPr>
    </w:p>
    <w:p>
      <w:pPr>
        <w:ind w:left="360" w:hanging="360"/>
        <w:rPr>
          <w:rFonts w:ascii="Arial" w:hAnsi="Arial" w:cs="Arial"/>
        </w:rPr>
      </w:pPr>
      <w:r>
        <w:rPr>
          <w:rFonts w:ascii="Arial" w:hAnsi="Arial" w:cs="Arial"/>
        </w:rPr>
        <w:t>8.</w:t>
      </w:r>
      <w:r>
        <w:rPr>
          <w:rFonts w:ascii="Arial" w:hAnsi="Arial" w:cs="Arial"/>
        </w:rPr>
        <w:tab/>
      </w:r>
      <w:r>
        <w:rPr>
          <w:rFonts w:ascii="Arial" w:hAnsi="Arial" w:cs="Arial"/>
          <w:u w:val="single"/>
        </w:rPr>
        <w:t>Other</w:t>
      </w:r>
      <w:r>
        <w:rPr>
          <w:rFonts w:ascii="Arial" w:hAnsi="Arial" w:cs="Arial"/>
        </w:rPr>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pPr>
        <w:ind w:left="360" w:hanging="360"/>
        <w:rPr>
          <w:rFonts w:ascii="Arial" w:hAnsi="Arial" w:cs="Arial"/>
        </w:rPr>
      </w:pPr>
    </w:p>
    <w:p>
      <w:pPr>
        <w:ind w:left="360"/>
        <w:rPr>
          <w:rFonts w:ascii="Arial" w:hAnsi="Arial" w:cs="Arial"/>
        </w:rPr>
      </w:pPr>
      <w:r>
        <w:rPr>
          <w:rFonts w:ascii="Arial" w:hAnsi="Arial" w:cs="Arial"/>
        </w:rPr>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pPr>
        <w:ind w:left="360" w:hanging="360"/>
        <w:rPr>
          <w:rFonts w:ascii="Arial" w:hAnsi="Arial" w:cs="Arial"/>
        </w:rPr>
      </w:pPr>
    </w:p>
    <w:p>
      <w:pPr>
        <w:ind w:left="360" w:hanging="360"/>
        <w:rPr>
          <w:rFonts w:ascii="Arial" w:hAnsi="Arial" w:cs="Arial"/>
        </w:rPr>
      </w:pPr>
      <w:r>
        <w:rPr>
          <w:rFonts w:ascii="Arial" w:hAnsi="Arial" w:cs="Arial"/>
        </w:rPr>
        <w:t>9.</w:t>
      </w:r>
      <w:r>
        <w:rPr>
          <w:rFonts w:ascii="Arial" w:hAnsi="Arial" w:cs="Arial"/>
        </w:rPr>
        <w:tab/>
      </w:r>
      <w:r>
        <w:rPr>
          <w:rFonts w:ascii="Arial" w:hAnsi="Arial" w:cs="Arial"/>
          <w:u w:val="single"/>
        </w:rPr>
        <w:t>Total Direct Costs</w:t>
      </w:r>
      <w:r>
        <w:rPr>
          <w:rFonts w:ascii="Arial" w:hAnsi="Arial" w:cs="Arial"/>
        </w:rPr>
        <w:t>:  On line 9 (ED Form 524), provide the total direct costs requested – the sum of lines 1 through 8.</w:t>
      </w:r>
    </w:p>
    <w:p>
      <w:pPr>
        <w:rPr>
          <w:rFonts w:ascii="Arial" w:hAnsi="Arial" w:cs="Arial"/>
        </w:rPr>
      </w:pPr>
    </w:p>
    <w:p>
      <w:pPr>
        <w:pStyle w:val="ListNumber2"/>
        <w:tabs>
          <w:tab w:val="clear" w:pos="720"/>
        </w:tabs>
        <w:ind w:left="360"/>
        <w:rPr>
          <w:rFonts w:ascii="Arial" w:hAnsi="Arial" w:cs="Arial"/>
        </w:rPr>
      </w:pPr>
      <w:r>
        <w:rPr>
          <w:rFonts w:ascii="Arial" w:hAnsi="Arial" w:cs="Arial"/>
          <w:u w:val="single"/>
        </w:rPr>
        <w:lastRenderedPageBreak/>
        <w:t>Indirect Costs</w:t>
      </w:r>
      <w:r>
        <w:rPr>
          <w:rFonts w:ascii="Arial" w:hAnsi="Arial" w:cs="Arial"/>
        </w:rPr>
        <w:t xml:space="preserve">:  On line 10 (ED Form 524), provide the amount of indirect costs that you propose to charge against the grant. </w:t>
      </w:r>
    </w:p>
    <w:p>
      <w:pPr>
        <w:tabs>
          <w:tab w:val="left" w:pos="-1440"/>
          <w:tab w:val="left" w:pos="-720"/>
        </w:tabs>
        <w:ind w:left="360" w:hanging="360"/>
        <w:rPr>
          <w:rFonts w:ascii="Arial" w:hAnsi="Arial" w:cs="Arial"/>
        </w:rPr>
      </w:pPr>
    </w:p>
    <w:p>
      <w:pPr>
        <w:ind w:left="360"/>
        <w:rPr>
          <w:rFonts w:ascii="Arial" w:hAnsi="Arial" w:cs="Arial"/>
        </w:rPr>
      </w:pPr>
      <w:r>
        <w:rPr>
          <w:rFonts w:ascii="Arial" w:hAnsi="Arial" w:cs="Arial"/>
        </w:rPr>
        <w:t xml:space="preserve">All grants awarded under the Center for Best Practices to Support Single Parent Students Program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Pr>
          <w:rFonts w:ascii="Arial" w:hAnsi="Arial" w:cs="Arial"/>
          <w:b/>
        </w:rPr>
        <w:t>whichever is less</w:t>
      </w:r>
      <w:r>
        <w:rPr>
          <w:rFonts w:ascii="Arial" w:hAnsi="Arial" w:cs="Arial"/>
        </w:rPr>
        <w:t>. (NOTE:</w:t>
      </w:r>
      <w:r>
        <w:rPr>
          <w:rFonts w:ascii="Arial" w:hAnsi="Arial" w:cs="Arial"/>
          <w:b/>
          <w:bCs/>
        </w:rPr>
        <w:t xml:space="preserve">  </w:t>
      </w:r>
      <w:r>
        <w:rPr>
          <w:rFonts w:ascii="Arial" w:hAnsi="Arial" w:cs="Arial"/>
        </w:rPr>
        <w:t>This limitation does not apply to State agencies, or local governments, or federally recognized Indian tribal governments. [§75.562(c) (2)])</w:t>
      </w:r>
    </w:p>
    <w:p>
      <w:pPr>
        <w:tabs>
          <w:tab w:val="left" w:pos="-1440"/>
          <w:tab w:val="left" w:pos="-720"/>
        </w:tabs>
        <w:ind w:left="360"/>
        <w:rPr>
          <w:rFonts w:ascii="Arial" w:hAnsi="Arial" w:cs="Arial"/>
        </w:rPr>
      </w:pPr>
    </w:p>
    <w:p>
      <w:pPr>
        <w:tabs>
          <w:tab w:val="left" w:pos="-1440"/>
          <w:tab w:val="left" w:pos="-720"/>
        </w:tabs>
        <w:ind w:left="360"/>
        <w:rPr>
          <w:rFonts w:ascii="Arial" w:hAnsi="Arial" w:cs="Arial"/>
        </w:rPr>
      </w:pPr>
      <w:r>
        <w:rPr>
          <w:rFonts w:ascii="Arial" w:hAnsi="Arial" w:cs="Arial"/>
        </w:rPr>
        <w:t xml:space="preserve">A </w:t>
      </w:r>
      <w:r>
        <w:rPr>
          <w:rFonts w:ascii="Arial" w:hAnsi="Arial" w:cs="Arial"/>
          <w:b/>
        </w:rPr>
        <w:t>modified total direct cost base</w:t>
      </w:r>
      <w:r>
        <w:rPr>
          <w:rFonts w:ascii="Arial" w:hAnsi="Arial" w:cs="Arial"/>
        </w:rPr>
        <w:t xml:space="preserve"> is defined as total direct costs, less stipends, tuition and related fees, and capital expenditures of $5,000 or more per unit.  Therefore, calculations of indirect costs may not include cost of equipment, stipends, tuition and related fees, room and board and summer non-residential meals associated with the Center for Best Practices to Support Single Parent Students Program. </w:t>
      </w:r>
    </w:p>
    <w:p>
      <w:pPr>
        <w:tabs>
          <w:tab w:val="left" w:pos="-1440"/>
          <w:tab w:val="left" w:pos="-720"/>
        </w:tabs>
        <w:ind w:left="360"/>
        <w:rPr>
          <w:rFonts w:ascii="Arial" w:hAnsi="Arial" w:cs="Arial"/>
        </w:rPr>
      </w:pPr>
    </w:p>
    <w:p>
      <w:pPr>
        <w:tabs>
          <w:tab w:val="left" w:pos="-1440"/>
          <w:tab w:val="left" w:pos="-720"/>
        </w:tabs>
        <w:ind w:left="360"/>
        <w:rPr>
          <w:rFonts w:ascii="Arial" w:hAnsi="Arial" w:cs="Arial"/>
        </w:rPr>
      </w:pPr>
      <w:r>
        <w:rPr>
          <w:rFonts w:ascii="Arial" w:hAnsi="Arial" w:cs="Arial"/>
        </w:rPr>
        <w:t xml:space="preserve">Grantees charging indirect costs to a Department grant are required to have a negotiated rate with their </w:t>
      </w:r>
      <w:r>
        <w:rPr>
          <w:rFonts w:ascii="Arial" w:hAnsi="Arial" w:cs="Arial"/>
          <w:i/>
          <w:iCs/>
        </w:rPr>
        <w:t>cognizant agency</w:t>
      </w:r>
      <w:r>
        <w:rPr>
          <w:rFonts w:ascii="Arial" w:hAnsi="Arial" w:cs="Arial"/>
        </w:rPr>
        <w:t xml:space="preserve">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pPr>
        <w:tabs>
          <w:tab w:val="left" w:pos="-1440"/>
          <w:tab w:val="left" w:pos="-720"/>
        </w:tabs>
        <w:ind w:left="360"/>
        <w:rPr>
          <w:rFonts w:ascii="Arial" w:hAnsi="Arial" w:cs="Arial"/>
        </w:rPr>
      </w:pPr>
    </w:p>
    <w:p>
      <w:pPr>
        <w:tabs>
          <w:tab w:val="left" w:pos="-1440"/>
          <w:tab w:val="left" w:pos="-720"/>
        </w:tabs>
        <w:ind w:left="360"/>
        <w:rPr>
          <w:rFonts w:ascii="Arial" w:hAnsi="Arial" w:cs="Arial"/>
        </w:rPr>
      </w:pPr>
      <w:r>
        <w:rPr>
          <w:rFonts w:ascii="Arial" w:hAnsi="Arial" w:cs="Arial"/>
        </w:rPr>
        <w:t xml:space="preserve">Applicants should be aware that amounts representing the difference between the 8 percent rate and a greater indirect cost rate negotiated with a cognizant agency may </w:t>
      </w:r>
      <w:r>
        <w:rPr>
          <w:rFonts w:ascii="Arial" w:hAnsi="Arial" w:cs="Arial"/>
          <w:b/>
          <w:bCs/>
        </w:rPr>
        <w:t>not</w:t>
      </w:r>
      <w:r>
        <w:rPr>
          <w:rFonts w:ascii="Arial" w:hAnsi="Arial" w:cs="Arial"/>
        </w:rPr>
        <w:t xml:space="preserve"> be charged to direct cost categories, used to satisfy matching or cost-sharing requirements, or charged to another Federal award. [§75.563(c) (3)]</w:t>
      </w:r>
    </w:p>
    <w:p>
      <w:pPr>
        <w:tabs>
          <w:tab w:val="left" w:pos="-1440"/>
          <w:tab w:val="left" w:pos="-720"/>
        </w:tabs>
        <w:ind w:left="360" w:hanging="360"/>
        <w:rPr>
          <w:rFonts w:ascii="Arial" w:hAnsi="Arial" w:cs="Arial"/>
        </w:rPr>
      </w:pPr>
    </w:p>
    <w:p>
      <w:pPr>
        <w:pStyle w:val="ListNumber2"/>
        <w:tabs>
          <w:tab w:val="clear" w:pos="720"/>
        </w:tabs>
        <w:ind w:left="360"/>
        <w:rPr>
          <w:rFonts w:ascii="Arial" w:hAnsi="Arial" w:cs="Arial"/>
        </w:rPr>
      </w:pPr>
      <w:r>
        <w:rPr>
          <w:rFonts w:ascii="Arial" w:hAnsi="Arial" w:cs="Arial"/>
          <w:u w:val="single"/>
        </w:rPr>
        <w:t>Training Stipends</w:t>
      </w:r>
      <w:r>
        <w:rPr>
          <w:rFonts w:ascii="Arial" w:hAnsi="Arial" w:cs="Arial"/>
        </w:rPr>
        <w:t>:  Not applicable.  Leave blank.</w:t>
      </w:r>
    </w:p>
    <w:p>
      <w:pPr>
        <w:ind w:left="360" w:hanging="360"/>
        <w:rPr>
          <w:rFonts w:ascii="Arial" w:hAnsi="Arial" w:cs="Arial"/>
        </w:rPr>
      </w:pPr>
    </w:p>
    <w:p>
      <w:pPr>
        <w:ind w:left="360" w:hanging="360"/>
        <w:rPr>
          <w:rFonts w:ascii="Arial" w:hAnsi="Arial" w:cs="Arial"/>
        </w:rPr>
      </w:pPr>
      <w:r>
        <w:rPr>
          <w:rFonts w:ascii="Arial" w:hAnsi="Arial" w:cs="Arial"/>
        </w:rPr>
        <w:t>12.</w:t>
      </w:r>
      <w:r>
        <w:rPr>
          <w:rFonts w:ascii="Arial" w:hAnsi="Arial" w:cs="Arial"/>
        </w:rPr>
        <w:tab/>
      </w:r>
      <w:r>
        <w:rPr>
          <w:rFonts w:ascii="Arial" w:hAnsi="Arial" w:cs="Arial"/>
          <w:u w:val="single"/>
        </w:rPr>
        <w:t>Total Costs</w:t>
      </w:r>
      <w:r>
        <w:rPr>
          <w:rFonts w:ascii="Arial" w:hAnsi="Arial" w:cs="Arial"/>
        </w:rPr>
        <w:t>:  On line 12 (ED Form 524), provide the total amount that you are      requesting – the sum of lines 9 and 10.   Note:  This amount should also be the       same as that shown in 18g on the application face sheet (SF 424) and on the detailed budget narrative in Part III.</w:t>
      </w:r>
      <w:r>
        <w:rPr>
          <w:rFonts w:ascii="Arial" w:hAnsi="Arial" w:cs="Arial"/>
        </w:rPr>
        <w:tab/>
      </w:r>
    </w:p>
    <w:p>
      <w:pPr>
        <w:rPr>
          <w:rFonts w:ascii="Arial" w:hAnsi="Arial" w:cs="Arial"/>
          <w:sz w:val="22"/>
          <w:szCs w:val="22"/>
        </w:rPr>
      </w:pPr>
      <w:r>
        <w:rPr>
          <w:rFonts w:ascii="Arial" w:hAnsi="Arial" w:cs="Arial"/>
          <w:sz w:val="22"/>
          <w:szCs w:val="22"/>
        </w:rPr>
        <w:t xml:space="preserve"> </w:t>
      </w:r>
    </w:p>
    <w:p>
      <w:pPr>
        <w:rPr>
          <w:b/>
          <w:color w:val="000000"/>
          <w:sz w:val="32"/>
          <w:szCs w:val="32"/>
        </w:rPr>
      </w:pPr>
      <w:r>
        <w:rPr>
          <w:b/>
          <w:color w:val="000000"/>
          <w:sz w:val="32"/>
          <w:szCs w:val="32"/>
        </w:rPr>
        <w:br w:type="page"/>
      </w:r>
    </w:p>
    <w:p>
      <w:pPr>
        <w:keepNext/>
        <w:pBdr>
          <w:top w:val="single" w:sz="4" w:space="1" w:color="auto"/>
          <w:bottom w:val="single" w:sz="4" w:space="1" w:color="auto"/>
        </w:pBdr>
        <w:shd w:val="clear" w:color="auto" w:fill="E0E0E0"/>
        <w:jc w:val="center"/>
        <w:outlineLvl w:val="0"/>
        <w:rPr>
          <w:b/>
          <w:color w:val="000000"/>
          <w:sz w:val="32"/>
          <w:szCs w:val="32"/>
        </w:rPr>
      </w:pPr>
      <w:r>
        <w:rPr>
          <w:b/>
          <w:color w:val="000000"/>
          <w:sz w:val="32"/>
          <w:szCs w:val="32"/>
        </w:rPr>
        <w:lastRenderedPageBreak/>
        <w:t xml:space="preserve">INSTRUCTIONS FOR </w:t>
      </w:r>
      <w:r>
        <w:rPr>
          <w:b/>
          <w:sz w:val="32"/>
          <w:szCs w:val="32"/>
        </w:rPr>
        <w:t>COMPLETION OF SF-LLL, DISCLOSURE OF LOBBYING ACTIVITIES</w:t>
      </w:r>
    </w:p>
    <w:p>
      <w:pPr>
        <w:rPr>
          <w:rFonts w:ascii="Univers" w:hAnsi="Univers"/>
          <w:sz w:val="16"/>
        </w:rPr>
      </w:pPr>
    </w:p>
    <w:p>
      <w:pPr>
        <w:rPr>
          <w:rFonts w:ascii="Univers" w:hAnsi="Univers"/>
          <w:sz w:val="16"/>
        </w:rPr>
      </w:pPr>
    </w:p>
    <w:p>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pPr>
        <w:tabs>
          <w:tab w:val="left" w:pos="720"/>
        </w:tabs>
      </w:pPr>
    </w:p>
    <w:p>
      <w:pPr>
        <w:spacing w:after="120"/>
        <w:ind w:left="360"/>
      </w:pPr>
      <w:r>
        <w:t>1.</w:t>
      </w:r>
      <w:r>
        <w:tab/>
        <w:t>Identify the type of covered Federal action for which lobbying activity is and/or has been secured to influence the outcome of a covered Federal action.</w:t>
      </w:r>
    </w:p>
    <w:p>
      <w:pPr>
        <w:tabs>
          <w:tab w:val="left" w:pos="720"/>
        </w:tabs>
      </w:pPr>
    </w:p>
    <w:p>
      <w:pPr>
        <w:spacing w:after="120"/>
        <w:ind w:left="360"/>
      </w:pPr>
      <w:r>
        <w:t>2.</w:t>
      </w:r>
      <w:r>
        <w:tab/>
        <w:t>Identify the status of the covered Federal action.</w:t>
      </w:r>
    </w:p>
    <w:p>
      <w:pPr>
        <w:spacing w:after="120"/>
        <w:ind w:left="360"/>
      </w:pPr>
    </w:p>
    <w:p>
      <w:pPr>
        <w:spacing w:after="120"/>
        <w:ind w:left="360"/>
      </w:pPr>
      <w:r>
        <w:t>3.</w:t>
      </w:r>
      <w: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pPr>
        <w:spacing w:after="120"/>
        <w:ind w:left="360"/>
      </w:pPr>
    </w:p>
    <w:p>
      <w:pPr>
        <w:spacing w:after="120"/>
        <w:ind w:left="360"/>
      </w:pPr>
      <w:r>
        <w:t>4.</w:t>
      </w:r>
      <w: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pPr>
        <w:spacing w:after="120"/>
        <w:ind w:left="360"/>
      </w:pPr>
    </w:p>
    <w:p>
      <w:pPr>
        <w:spacing w:after="120"/>
        <w:ind w:left="360"/>
      </w:pPr>
      <w:r>
        <w:t>5.</w:t>
      </w:r>
      <w:r>
        <w:tab/>
        <w:t>If the organization filing the report in item 4 checks “Subawardee,” then enter the full name, address, city, State and zip code of the prime Federal recipient.  Include Congressional District, if known.</w:t>
      </w:r>
    </w:p>
    <w:p>
      <w:pPr>
        <w:spacing w:after="120"/>
        <w:ind w:left="360"/>
      </w:pPr>
    </w:p>
    <w:p>
      <w:pPr>
        <w:spacing w:after="120"/>
        <w:ind w:left="360"/>
      </w:pPr>
      <w:r>
        <w:t>6.</w:t>
      </w:r>
      <w:r>
        <w:tab/>
        <w:t>Enter the name of the federal agency making the award or loan commitment.  Include at least one organizational level below agency name, if known.  For example, Department of Transportation, United States Coast Guard.</w:t>
      </w:r>
    </w:p>
    <w:p>
      <w:pPr>
        <w:spacing w:after="120"/>
        <w:ind w:left="360"/>
      </w:pPr>
    </w:p>
    <w:p>
      <w:pPr>
        <w:spacing w:after="120"/>
        <w:ind w:left="360"/>
      </w:pPr>
      <w:r>
        <w:t>7.</w:t>
      </w:r>
      <w:r>
        <w:tab/>
        <w:t>Enter the Federal program name or description for the covered Federal action (item 1).  If known, enter the full Catalog of Federal Domestic Assistance (CFDA) number for grants, cooperative agreements, loans, and loan commitments.</w:t>
      </w:r>
    </w:p>
    <w:p>
      <w:pPr>
        <w:spacing w:after="120"/>
        <w:ind w:left="360"/>
      </w:pPr>
    </w:p>
    <w:p>
      <w:pPr>
        <w:spacing w:after="120"/>
        <w:ind w:left="360"/>
      </w:pPr>
      <w:r>
        <w:t>8.</w:t>
      </w:r>
      <w: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pPr>
        <w:spacing w:after="120"/>
        <w:ind w:left="360"/>
      </w:pPr>
    </w:p>
    <w:p>
      <w:pPr>
        <w:spacing w:after="120"/>
        <w:ind w:left="360"/>
      </w:pPr>
      <w:r>
        <w:t>9.</w:t>
      </w:r>
      <w:r>
        <w:tab/>
        <w:t>For a covered Federal action where there has been an award or loan commitment by the Federal agency, enter the Federal amount of the award/loan commitment for the prime entity identified in item 4 or 5.</w:t>
      </w:r>
    </w:p>
    <w:p>
      <w:pPr>
        <w:spacing w:after="120"/>
        <w:ind w:left="360"/>
      </w:pPr>
    </w:p>
    <w:p>
      <w:pPr>
        <w:spacing w:after="120"/>
        <w:ind w:left="360"/>
      </w:pPr>
      <w:r>
        <w:t>10.</w:t>
      </w:r>
      <w:r>
        <w:tab/>
        <w:t>(a) Enter the full name, address, city, State and zip code of the lobbying registrant under the Lobbying Disclosure Act of 1995 engaged by the reporting entity identified in item 4 to influence the covered Federal action.</w:t>
      </w:r>
    </w:p>
    <w:p>
      <w:pPr>
        <w:tabs>
          <w:tab w:val="left" w:pos="720"/>
        </w:tabs>
      </w:pPr>
    </w:p>
    <w:p>
      <w:pPr>
        <w:tabs>
          <w:tab w:val="left" w:pos="720"/>
        </w:tabs>
        <w:ind w:left="720"/>
      </w:pPr>
      <w:r>
        <w:t>(b) Enter the full names of the individual(s) performing services, and include full address if different from 10(a).  Enter Last Name, First Name, and Middle Initial (MI).</w:t>
      </w:r>
    </w:p>
    <w:p>
      <w:pPr>
        <w:spacing w:after="120"/>
        <w:ind w:left="360"/>
      </w:pPr>
    </w:p>
    <w:p>
      <w:pPr>
        <w:spacing w:after="120"/>
        <w:ind w:left="360"/>
      </w:pPr>
      <w:r>
        <w:t>11.</w:t>
      </w:r>
      <w:r>
        <w:tab/>
        <w:t>The certifying official shall sign and date the form, print his/her name, title, and telephone number.</w:t>
      </w:r>
    </w:p>
    <w:p>
      <w:pPr>
        <w:tabs>
          <w:tab w:val="left" w:pos="720"/>
        </w:tabs>
      </w:pPr>
    </w:p>
    <w:p>
      <w:pPr>
        <w:rPr>
          <w:sz w:val="18"/>
        </w:rPr>
      </w:pPr>
      <w:r>
        <w:rPr>
          <w:noProof/>
          <w:sz w:val="1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105410</wp:posOffset>
                </wp:positionV>
                <wp:extent cx="5981700" cy="0"/>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47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2s7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eLef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" o:allowincell="f"/>
            </w:pict>
          </mc:Fallback>
        </mc:AlternateContent>
      </w:r>
    </w:p>
    <w:p>
      <w:r>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p/>
    <w:p/>
    <w:p/>
    <w:p/>
    <w:p/>
    <w:p/>
    <w:p/>
    <w:p>
      <w:r>
        <w:t xml:space="preserve">         </w:t>
      </w:r>
    </w:p>
    <w:p/>
    <w:p/>
    <w:p/>
    <w:p>
      <w:pPr>
        <w:jc w:val="center"/>
        <w:rPr>
          <w:b/>
        </w:rPr>
      </w:pPr>
    </w:p>
    <w:p>
      <w:pPr>
        <w:keepNext/>
        <w:pBdr>
          <w:top w:val="single" w:sz="4" w:space="1" w:color="auto"/>
          <w:bottom w:val="single" w:sz="4" w:space="1" w:color="auto"/>
        </w:pBdr>
        <w:shd w:val="clear" w:color="auto" w:fill="E0E0E0"/>
        <w:jc w:val="center"/>
        <w:outlineLvl w:val="0"/>
        <w:rPr>
          <w:b/>
          <w:color w:val="000000"/>
          <w:sz w:val="32"/>
          <w:szCs w:val="32"/>
        </w:rPr>
      </w:pPr>
      <w:r>
        <w:rPr>
          <w:b/>
          <w:color w:val="000000"/>
          <w:sz w:val="32"/>
          <w:szCs w:val="32"/>
        </w:rPr>
        <w:lastRenderedPageBreak/>
        <w:t xml:space="preserve">SURVEY INSTRUCTIONS </w:t>
      </w:r>
      <w:r>
        <w:rPr>
          <w:b/>
          <w:sz w:val="32"/>
          <w:szCs w:val="32"/>
        </w:rPr>
        <w:t>ON ENSURING EQUAL OPPORTUNITY FOR APPLICANTS</w:t>
      </w:r>
    </w:p>
    <w:p>
      <w:pPr>
        <w:jc w:val="center"/>
        <w:rPr>
          <w:b/>
        </w:rPr>
      </w:pPr>
    </w:p>
    <w:p/>
    <w:p>
      <w:r>
        <w:t xml:space="preserve">Provide the applicant’s (organization) name and DUNS number and the grant name and CFDA number. </w:t>
      </w:r>
    </w:p>
    <w:p/>
    <w:p>
      <w:r>
        <w:t>1.</w:t>
      </w:r>
      <w:r>
        <w:tab/>
        <w:t>Self-explanatory.</w:t>
      </w:r>
    </w:p>
    <w:p/>
    <w:p>
      <w:r>
        <w:t>2.</w:t>
      </w:r>
      <w:r>
        <w:tab/>
        <w:t>Self-identify.</w:t>
      </w:r>
    </w:p>
    <w:p/>
    <w:p>
      <w:r>
        <w:t>3.</w:t>
      </w:r>
      <w:r>
        <w:tab/>
        <w:t>Self-identify.</w:t>
      </w:r>
    </w:p>
    <w:p/>
    <w:p>
      <w:r>
        <w:t>4.</w:t>
      </w:r>
      <w:r>
        <w:tab/>
        <w:t>501(c)(3) status is a legal designation provided on application to the Internal Revenue Service by eligible organizations.  Some grant programs may require nonprofit applicants to have 501(c)(3) status. Other grant programs do not.</w:t>
      </w:r>
    </w:p>
    <w:p/>
    <w:p>
      <w:r>
        <w:t>5.</w:t>
      </w:r>
      <w:r>
        <w:tab/>
        <w:t>Self-explanatory.</w:t>
      </w:r>
    </w:p>
    <w:p/>
    <w:p>
      <w:r>
        <w:t>6.</w:t>
      </w:r>
      <w: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p>
      <w:r>
        <w:t>7.</w:t>
      </w:r>
      <w:r>
        <w:tab/>
        <w:t>Annual budget means the amount of money your organization spends each year on all of its activities.</w:t>
      </w:r>
    </w:p>
    <w:p/>
    <w:p/>
    <w:p>
      <w:pPr>
        <w:rPr>
          <w:b/>
        </w:rPr>
      </w:pPr>
      <w:r>
        <w:rPr>
          <w:b/>
        </w:rPr>
        <w:t>Paperwork Burden Statement</w:t>
      </w:r>
    </w:p>
    <w:p/>
    <w:p>
      <w:r>
        <w:t xml:space="preserve">According to the Paperwork Reduction Act of 1995, no persons are required to respond to a collection of information unless such collection displays a valid OMB control number.  The valid OMB control number for this information collection is </w:t>
      </w:r>
      <w:r>
        <w:rPr>
          <w:color w:val="000000" w:themeColor="text1"/>
        </w:rPr>
        <w:t>1894-0006</w:t>
      </w:r>
      <w:r>
        <w:t>.  The time required to complete this information collection is estimated to average five (5)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The Agency Contact listed in this grant application package.</w:t>
      </w:r>
    </w:p>
    <w:p/>
    <w:p>
      <w:r>
        <w:t>OMB No. 1894-0010  Exp. 05/31/12</w:t>
      </w:r>
    </w:p>
    <w:p>
      <w:r>
        <w:tab/>
      </w:r>
    </w:p>
    <w:p>
      <w:pP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r>
        <w:rPr>
          <w:b/>
        </w:rPr>
        <w:lastRenderedPageBreak/>
        <w:t>NOTICE TO ALL APPLICANTS</w:t>
      </w:r>
    </w:p>
    <w:p/>
    <w:p>
      <w: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p>
      <w:r>
        <w:t>To Whom Does This Provision Apply?</w:t>
      </w:r>
    </w:p>
    <w:p/>
    <w:p>
      <w:r>
        <w:t>Section 427 of GEPA affects applicants for new grant awards under this program.  ALL APPLICANTS FOR NEW AWARDS MUST INCLUDE INFORMATION IN THEIR APPLICATIONS TO ADDRESS THIS NEW PROVISION IN ORDER TO RECEIVE FUNDING UNDER THIS PROGRAM.</w:t>
      </w:r>
    </w:p>
    <w:p/>
    <w:p>
      <w: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p>
      <w:r>
        <w:t>What Does This Provision Require?</w:t>
      </w:r>
    </w:p>
    <w:p/>
    <w:p>
      <w: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p>
      <w: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p>
      <w:r>
        <w:t>What are Examples of How an Applicant Might Satisfy the Requirement of This Provision?</w:t>
      </w:r>
    </w:p>
    <w:p/>
    <w:p>
      <w:r>
        <w:t>The following examples may help illustrate how an applicant may comply with Section 427.</w:t>
      </w:r>
    </w:p>
    <w:p/>
    <w:p>
      <w: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p>
      <w:r>
        <w:t>(2) An applicant that proposes to develop instructional materials for classroom use might describe how it will make the materials available on audio tape or in braille for students who are blind.</w:t>
      </w:r>
    </w:p>
    <w:p/>
    <w:p>
      <w: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p>
      <w:r>
        <w:t>We recognize that many applicants may already be implementing effective steps to ensure equity of access and participation in their grant programs, and we appreciate your cooperation in responding to the requirements of this provision.</w:t>
      </w:r>
    </w:p>
    <w:p>
      <w:r>
        <w:t xml:space="preserve"> </w:t>
      </w:r>
    </w:p>
    <w:p>
      <w:pPr>
        <w:rPr>
          <w:b/>
        </w:rPr>
      </w:pPr>
      <w:r>
        <w:rPr>
          <w:b/>
        </w:rPr>
        <w:t>Estimated Burden Statement for GEPA Requirements</w:t>
      </w:r>
    </w:p>
    <w:p>
      <w:r>
        <w:t xml:space="preserve">According to the Paperwork Reduction Act of 1995, no persons are required to respond to a collection of information unless such collection displays a valid OMB control number. The valid OMB control number for this information collection is </w:t>
      </w:r>
      <w:r>
        <w:rPr>
          <w:color w:val="000000" w:themeColor="text1"/>
        </w:rPr>
        <w:t>1894-0006</w:t>
      </w:r>
      <w:r>
        <w:t>. The time required to complete this information collection is estimated to average 1.5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400 Maryland Avenue, S.W., Washington, D.C. 20202-4537.</w:t>
      </w:r>
    </w:p>
    <w:p/>
    <w:p/>
    <w:p>
      <w:pPr>
        <w:rPr>
          <w:b/>
        </w:rPr>
      </w:pPr>
    </w:p>
    <w:p>
      <w:pPr>
        <w:rPr>
          <w:b/>
        </w:rPr>
      </w:pPr>
    </w:p>
    <w:p>
      <w:pPr>
        <w:rPr>
          <w:b/>
        </w:rPr>
      </w:pPr>
    </w:p>
    <w:p>
      <w:pPr>
        <w:rPr>
          <w:b/>
        </w:rPr>
      </w:pPr>
    </w:p>
    <w:p>
      <w:pPr>
        <w:rPr>
          <w:b/>
        </w:rPr>
      </w:pPr>
    </w:p>
    <w:p>
      <w:pPr>
        <w:adjustRightInd w:val="0"/>
        <w:rPr>
          <w:rFonts w:ascii="Helvetica-Bold" w:hAnsi="Helvetica-Bold" w:cs="Helvetica-Bold"/>
          <w:b/>
          <w:bCs/>
          <w:sz w:val="20"/>
        </w:rPr>
      </w:pPr>
    </w:p>
    <w:bookmarkEnd w:id="11"/>
    <w:p>
      <w:pPr>
        <w:keepNext/>
        <w:pageBreakBefore/>
        <w:pBdr>
          <w:top w:val="single" w:sz="4" w:space="1" w:color="auto"/>
          <w:bottom w:val="single" w:sz="4" w:space="1" w:color="auto"/>
        </w:pBdr>
        <w:shd w:val="clear" w:color="auto" w:fill="D9D9D9" w:themeFill="background1" w:themeFillShade="D9"/>
        <w:jc w:val="center"/>
        <w:outlineLvl w:val="0"/>
        <w:rPr>
          <w:rFonts w:ascii="Arial" w:hAnsi="Arial"/>
          <w:b/>
          <w:color w:val="000000"/>
          <w:sz w:val="28"/>
        </w:rPr>
      </w:pPr>
      <w:r>
        <w:rPr>
          <w:rFonts w:ascii="Arial" w:hAnsi="Arial"/>
          <w:b/>
          <w:color w:val="000000"/>
          <w:sz w:val="28"/>
        </w:rPr>
        <w:lastRenderedPageBreak/>
        <w:t>GOVERNMENT PERFORMANCE AND RESULTS ACT (GPRA)</w:t>
      </w:r>
    </w:p>
    <w:p>
      <w:pPr>
        <w:jc w:val="center"/>
        <w:rPr>
          <w:sz w:val="20"/>
        </w:rPr>
      </w:pPr>
    </w:p>
    <w:p>
      <w:pPr>
        <w:rPr>
          <w:rFonts w:ascii="Arial" w:hAnsi="Arial"/>
          <w:b/>
          <w:sz w:val="22"/>
          <w:szCs w:val="21"/>
        </w:rPr>
      </w:pPr>
      <w:r>
        <w:rPr>
          <w:rFonts w:ascii="Arial" w:hAnsi="Arial"/>
          <w:b/>
          <w:sz w:val="22"/>
          <w:szCs w:val="21"/>
        </w:rPr>
        <w:t>What is GPRA?</w:t>
      </w:r>
    </w:p>
    <w:p>
      <w:pPr>
        <w:rPr>
          <w:rFonts w:ascii="Arial" w:hAnsi="Arial"/>
          <w:sz w:val="22"/>
          <w:szCs w:val="15"/>
        </w:rPr>
      </w:pPr>
    </w:p>
    <w:p>
      <w:pPr>
        <w:tabs>
          <w:tab w:val="left" w:pos="720"/>
          <w:tab w:val="right" w:leader="dot" w:pos="8640"/>
        </w:tabs>
        <w:spacing w:after="120"/>
        <w:rPr>
          <w:rFonts w:ascii="Arial" w:hAnsi="Arial"/>
          <w:sz w:val="22"/>
          <w:szCs w:val="21"/>
        </w:rPr>
      </w:pPr>
      <w:r>
        <w:rPr>
          <w:rFonts w:ascii="Arial" w:hAnsi="Arial"/>
          <w:sz w:val="22"/>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pPr>
        <w:rPr>
          <w:rFonts w:ascii="Arial" w:hAnsi="Arial"/>
          <w:b/>
          <w:sz w:val="22"/>
          <w:szCs w:val="21"/>
        </w:rPr>
      </w:pPr>
    </w:p>
    <w:p>
      <w:pPr>
        <w:rPr>
          <w:rFonts w:ascii="Arial" w:hAnsi="Arial"/>
          <w:b/>
          <w:sz w:val="22"/>
          <w:szCs w:val="21"/>
        </w:rPr>
      </w:pPr>
      <w:r>
        <w:rPr>
          <w:rFonts w:ascii="Arial" w:hAnsi="Arial"/>
          <w:b/>
          <w:sz w:val="22"/>
          <w:szCs w:val="21"/>
        </w:rPr>
        <w:t>How has the Department of Education Responded to the GPRA Requirements?</w:t>
      </w:r>
    </w:p>
    <w:p>
      <w:pPr>
        <w:ind w:left="240" w:hanging="240"/>
        <w:rPr>
          <w:rFonts w:ascii="Arial" w:hAnsi="Arial"/>
          <w:sz w:val="22"/>
        </w:rPr>
      </w:pPr>
    </w:p>
    <w:p>
      <w:pPr>
        <w:spacing w:after="120"/>
        <w:rPr>
          <w:rFonts w:ascii="Arial" w:hAnsi="Arial" w:cs="Arial"/>
          <w:iCs/>
          <w:sz w:val="22"/>
        </w:rPr>
      </w:pPr>
      <w:r>
        <w:rPr>
          <w:rFonts w:ascii="Arial" w:hAnsi="Arial" w:cs="Arial"/>
          <w:iCs/>
          <w:sz w:val="22"/>
        </w:rPr>
        <w:t>As required by GPRA, the Department of Education has prepared a strategic plan for 2007-2012.  This plan reflects the Department’s priorities and integrates them with its mission and program authorities and describes how the Department will work to improve education for all children and adults in the U.S.  The Department’s goals, as listed in the plan, are:</w:t>
      </w:r>
    </w:p>
    <w:p>
      <w:pPr>
        <w:rPr>
          <w:rFonts w:ascii="Arial" w:hAnsi="Arial"/>
          <w:sz w:val="22"/>
        </w:rPr>
      </w:pPr>
    </w:p>
    <w:p>
      <w:pPr>
        <w:rPr>
          <w:rFonts w:ascii="Arial" w:hAnsi="Arial"/>
          <w:i/>
          <w:iCs/>
          <w:sz w:val="22"/>
        </w:rPr>
      </w:pPr>
      <w:r>
        <w:rPr>
          <w:rFonts w:ascii="Arial" w:hAnsi="Arial"/>
          <w:i/>
          <w:iCs/>
          <w:sz w:val="22"/>
        </w:rPr>
        <w:t>Goal 1: Improve student achievement with a focus on bringing all students to grade level in reading and mathematics by 2014, as called for by the No Child Left Behind Act.</w:t>
      </w:r>
    </w:p>
    <w:p>
      <w:pPr>
        <w:rPr>
          <w:rFonts w:ascii="Arial" w:hAnsi="Arial"/>
          <w:i/>
          <w:iCs/>
          <w:sz w:val="22"/>
        </w:rPr>
      </w:pPr>
      <w:r>
        <w:rPr>
          <w:rFonts w:ascii="Arial" w:hAnsi="Arial"/>
          <w:i/>
          <w:iCs/>
          <w:sz w:val="22"/>
        </w:rPr>
        <w:t xml:space="preserve">Goal 2: Increase the academic achievement of all high school students. </w:t>
      </w:r>
    </w:p>
    <w:p>
      <w:pPr>
        <w:rPr>
          <w:rFonts w:ascii="Arial" w:hAnsi="Arial"/>
          <w:b/>
          <w:sz w:val="22"/>
        </w:rPr>
      </w:pPr>
      <w:r>
        <w:rPr>
          <w:rFonts w:ascii="Arial" w:hAnsi="Arial"/>
          <w:i/>
          <w:iCs/>
          <w:sz w:val="22"/>
        </w:rPr>
        <w:t xml:space="preserve">Goal 3: Ensure the accessibility, affordability, and accountability of higher education, and better prepare students and adults for employment and future learning. </w:t>
      </w:r>
    </w:p>
    <w:p>
      <w:pPr>
        <w:ind w:left="1354" w:hanging="1354"/>
        <w:jc w:val="both"/>
        <w:rPr>
          <w:rFonts w:ascii="Arial" w:hAnsi="Arial"/>
          <w:i/>
          <w:sz w:val="22"/>
        </w:rPr>
      </w:pPr>
    </w:p>
    <w:p>
      <w:pPr>
        <w:jc w:val="both"/>
        <w:rPr>
          <w:rFonts w:ascii="Arial" w:hAnsi="Arial"/>
          <w:b/>
          <w:bCs/>
          <w:sz w:val="22"/>
        </w:rPr>
      </w:pPr>
      <w:r>
        <w:rPr>
          <w:rFonts w:ascii="Arial" w:hAnsi="Arial"/>
          <w:b/>
          <w:bCs/>
          <w:sz w:val="22"/>
        </w:rPr>
        <w:t>What is the performance indicator for the Center for Best Practices to Support Single Parent Students Program?</w:t>
      </w:r>
    </w:p>
    <w:p>
      <w:pPr>
        <w:jc w:val="both"/>
        <w:rPr>
          <w:rFonts w:ascii="Arial" w:hAnsi="Arial"/>
          <w:b/>
          <w:bCs/>
          <w:sz w:val="22"/>
        </w:rPr>
      </w:pPr>
    </w:p>
    <w:p>
      <w:pPr>
        <w:tabs>
          <w:tab w:val="left" w:pos="720"/>
          <w:tab w:val="right" w:leader="dot" w:pos="8640"/>
        </w:tabs>
        <w:rPr>
          <w:rFonts w:ascii="Arial" w:hAnsi="Arial" w:cs="Arial"/>
          <w:color w:val="000000"/>
          <w:sz w:val="22"/>
          <w:szCs w:val="22"/>
        </w:rPr>
      </w:pPr>
      <w:r>
        <w:rPr>
          <w:rFonts w:ascii="Arial" w:hAnsi="Arial"/>
          <w:sz w:val="22"/>
        </w:rPr>
        <w:t>The performance indicator for the Center Best Practices to Support Single Parent Students Program is part of the Department’s plan for meeting Goal 3. The goal of the Center for Best Practices to Support Single Parent Students Program is to promote replication of programs that have proved effective at providing postsecondary degree completion opportunities to low-income single parents. The Center will study and develop best practices, and assist other institutions in implementing innovative programs that support this target population.</w:t>
      </w:r>
    </w:p>
    <w:p>
      <w:pPr>
        <w:ind w:left="720"/>
        <w:rPr>
          <w:rFonts w:ascii="Arial" w:hAnsi="Arial" w:cs="Arial"/>
          <w:color w:val="000000"/>
          <w:sz w:val="22"/>
          <w:szCs w:val="22"/>
        </w:rPr>
      </w:pPr>
    </w:p>
    <w:p>
      <w:pPr>
        <w:rPr>
          <w:rFonts w:ascii="Arial" w:hAnsi="Arial" w:cs="Arial"/>
          <w:sz w:val="22"/>
          <w:szCs w:val="22"/>
        </w:rPr>
      </w:pPr>
      <w:r>
        <w:rPr>
          <w:rFonts w:ascii="Arial" w:hAnsi="Arial" w:cs="Arial"/>
          <w:sz w:val="22"/>
          <w:szCs w:val="22"/>
        </w:rPr>
        <w:t>Applicant receiving a Center for Best Practices to Support Single Parent Students Program grant will be required to collect data on:</w:t>
      </w:r>
    </w:p>
    <w:p>
      <w:pPr>
        <w:pStyle w:val="ListParagraph"/>
        <w:numPr>
          <w:ilvl w:val="0"/>
          <w:numId w:val="19"/>
        </w:numPr>
        <w:rPr>
          <w:rFonts w:ascii="Arial" w:hAnsi="Arial" w:cs="Arial"/>
          <w:sz w:val="22"/>
          <w:szCs w:val="22"/>
        </w:rPr>
      </w:pPr>
      <w:r>
        <w:rPr>
          <w:rFonts w:ascii="Arial" w:hAnsi="Arial" w:cs="Arial"/>
          <w:sz w:val="22"/>
          <w:szCs w:val="22"/>
        </w:rPr>
        <w:t>Program completion and employment of students who have enrolled in and completed supported programs for the Center for Best Practices to Support Single Parent Students.</w:t>
      </w:r>
    </w:p>
    <w:p>
      <w:pPr>
        <w:rPr>
          <w:rFonts w:ascii="Arial" w:hAnsi="Arial" w:cs="Arial"/>
          <w:color w:val="000000"/>
          <w:sz w:val="22"/>
          <w:szCs w:val="22"/>
        </w:rPr>
      </w:pPr>
      <w:r>
        <w:rPr>
          <w:rFonts w:ascii="Arial" w:hAnsi="Arial" w:cs="Arial"/>
          <w:color w:val="000000"/>
          <w:sz w:val="22"/>
          <w:szCs w:val="22"/>
        </w:rPr>
        <w:tab/>
      </w:r>
    </w:p>
    <w:p>
      <w:pPr>
        <w:jc w:val="both"/>
        <w:rPr>
          <w:rFonts w:ascii="Arial" w:hAnsi="Arial"/>
          <w:b/>
          <w:bCs/>
          <w:sz w:val="22"/>
        </w:rPr>
      </w:pPr>
      <w:r>
        <w:rPr>
          <w:rFonts w:ascii="Arial" w:hAnsi="Arial" w:cs="Arial"/>
          <w:b/>
          <w:bCs/>
        </w:rPr>
        <w:t xml:space="preserve">How does the Department of Education determine whether performance goals have been </w:t>
      </w:r>
      <w:r>
        <w:rPr>
          <w:rFonts w:ascii="Arial" w:hAnsi="Arial"/>
          <w:b/>
          <w:bCs/>
          <w:sz w:val="22"/>
        </w:rPr>
        <w:t>met?</w:t>
      </w:r>
    </w:p>
    <w:p>
      <w:pPr>
        <w:ind w:left="180"/>
        <w:jc w:val="both"/>
        <w:rPr>
          <w:rFonts w:ascii="Arial" w:hAnsi="Arial"/>
          <w:b/>
          <w:bCs/>
          <w:sz w:val="22"/>
        </w:rPr>
      </w:pPr>
    </w:p>
    <w:p>
      <w:pPr>
        <w:tabs>
          <w:tab w:val="left" w:pos="720"/>
          <w:tab w:val="right" w:leader="dot" w:pos="8640"/>
        </w:tabs>
        <w:rPr>
          <w:rFonts w:ascii="Arial" w:hAnsi="Arial"/>
          <w:sz w:val="22"/>
        </w:rPr>
      </w:pPr>
      <w:r>
        <w:rPr>
          <w:rFonts w:ascii="Arial" w:hAnsi="Arial"/>
          <w:sz w:val="22"/>
        </w:rPr>
        <w:t xml:space="preserve">An applicant that receives a grant award will be required to submit annual performance reports as a condition of the award.  The reports will document the extent to which project goals and objectives are met.  The reports will be submitted using the FIPSE Grant Database.  This online system collects narratives and data about funded projects to help program officers determine if </w:t>
      </w:r>
      <w:r>
        <w:rPr>
          <w:rFonts w:ascii="Arial" w:hAnsi="Arial"/>
          <w:sz w:val="22"/>
        </w:rPr>
        <w:lastRenderedPageBreak/>
        <w:t xml:space="preserve">a grantee is making substantial progress toward meeting approved project objectives.  The database is accessible at: </w:t>
      </w:r>
      <w:hyperlink r:id="rId48" w:history="1">
        <w:r>
          <w:rPr>
            <w:rStyle w:val="Hyperlink"/>
            <w:rFonts w:ascii="Arial" w:hAnsi="Arial"/>
            <w:sz w:val="22"/>
          </w:rPr>
          <w:t>https://fipsedatabase.ed.gov/fipse/index.cfm</w:t>
        </w:r>
      </w:hyperlink>
      <w:r>
        <w:rPr>
          <w:rFonts w:ascii="Arial" w:hAnsi="Arial"/>
          <w:sz w:val="22"/>
        </w:rPr>
        <w:t xml:space="preserve">.  </w:t>
      </w:r>
    </w:p>
    <w:p>
      <w:pPr>
        <w:rPr>
          <w:rFonts w:ascii="Arial" w:hAnsi="Arial"/>
          <w:sz w:val="22"/>
        </w:rPr>
      </w:pPr>
    </w:p>
    <w:p>
      <w:pPr>
        <w:rPr>
          <w:rFonts w:ascii="Arial" w:hAnsi="Arial" w:cs="Arial"/>
          <w:sz w:val="22"/>
        </w:rPr>
      </w:pPr>
      <w:r>
        <w:rPr>
          <w:rFonts w:ascii="Arial" w:hAnsi="Arial" w:cs="Arial"/>
          <w:sz w:val="22"/>
        </w:rPr>
        <w:t xml:space="preserve">The most recent version of this program’s annual performance report (APR) can be viewed at </w:t>
      </w:r>
      <w:hyperlink r:id="rId49" w:history="1">
        <w:r>
          <w:rPr>
            <w:rFonts w:eastAsia="Arial Unicode MS" w:cs="Arial"/>
            <w:sz w:val="22"/>
          </w:rPr>
          <w:t>http://</w:t>
        </w:r>
      </w:hyperlink>
      <w:hyperlink r:id="rId50" w:history="1">
        <w:r>
          <w:rPr>
            <w:rStyle w:val="Hyperlink"/>
            <w:rFonts w:ascii="Arial" w:eastAsia="Arial Unicode MS" w:hAnsi="Arial" w:cs="Arial"/>
            <w:sz w:val="22"/>
          </w:rPr>
          <w:t>www.ed.gov/programs/fipsecomp/performance.html</w:t>
        </w:r>
      </w:hyperlink>
      <w:r>
        <w:rPr>
          <w:rFonts w:ascii="Arial" w:eastAsia="Arial Unicode MS" w:hAnsi="Arial" w:cs="Arial"/>
          <w:sz w:val="22"/>
        </w:rPr>
        <w:t>.</w:t>
      </w:r>
      <w:r>
        <w:rPr>
          <w:rFonts w:ascii="Arial" w:hAnsi="Arial" w:cs="Arial"/>
          <w:sz w:val="22"/>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pgSz w:w="12240" w:h="15840"/>
          <w:pgMar w:top="1440" w:right="1440" w:bottom="1440" w:left="1440" w:header="0" w:footer="432" w:gutter="0"/>
          <w:cols w:space="720"/>
        </w:sectPr>
      </w:pPr>
    </w:p>
    <w:p>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bookmarkStart w:id="12" w:name="_Toc262126943"/>
      <w:r>
        <w:rPr>
          <w:caps/>
          <w:sz w:val="28"/>
          <w:szCs w:val="28"/>
        </w:rPr>
        <w:lastRenderedPageBreak/>
        <w:t>Application checklist</w:t>
      </w:r>
      <w:bookmarkEnd w:id="12"/>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2"/>
          <w:szCs w:val="2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pStyle w:val="Steps"/>
        <w:rPr>
          <w:rFonts w:ascii="Arial" w:hAnsi="Arial" w:cs="Arial"/>
        </w:rPr>
      </w:pPr>
      <w:r>
        <w:rPr>
          <w:rFonts w:ascii="Arial" w:hAnsi="Arial" w:cs="Arial"/>
        </w:rPr>
        <w:t xml:space="preserve">Before you submit the application package, please review the following list to ensure that you have attached all required materials/files in the prescribed format. </w:t>
      </w:r>
    </w:p>
    <w:p>
      <w:pPr>
        <w:pStyle w:val="Step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ascii="Arial" w:hAnsi="Arial" w:cs="Arial"/>
          <w:b/>
        </w:rPr>
        <w:t>Part I:</w:t>
      </w:r>
      <w:r>
        <w:rPr>
          <w:rFonts w:ascii="Arial" w:hAnsi="Arial" w:cs="Arial"/>
        </w:rPr>
        <w:tab/>
      </w:r>
      <w:r>
        <w:rPr>
          <w:rFonts w:ascii="Arial" w:hAnsi="Arial" w:cs="Arial"/>
          <w:b/>
        </w:rPr>
        <w:t>Application for Federal Assistance – SF 424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rPr>
      </w:pPr>
      <w:r>
        <w:rPr>
          <w:rFonts w:ascii="Arial" w:hAnsi="Arial" w:cs="Arial"/>
          <w:b/>
        </w:rPr>
        <w:t xml:space="preserve">Department of Education Supplemental Information Form for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rPr>
      </w:pPr>
      <w:r>
        <w:rPr>
          <w:rFonts w:ascii="Arial" w:hAnsi="Arial" w:cs="Arial"/>
          <w:b/>
        </w:rPr>
        <w:t>SF 424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rPr>
      </w:pPr>
      <w:r>
        <w:rPr>
          <w:rFonts w:ascii="Arial" w:hAnsi="Arial" w:cs="Arial"/>
          <w:bCs/>
        </w:rPr>
        <w:t>NOTE</w:t>
      </w:r>
      <w:r>
        <w:rPr>
          <w:rFonts w:ascii="Arial" w:hAnsi="Arial" w:cs="Arial"/>
        </w:rPr>
        <w:t xml:space="preserve">:  </w:t>
      </w:r>
      <w:r>
        <w:rPr>
          <w:rFonts w:ascii="Arial" w:hAnsi="Arial" w:cs="Arial"/>
          <w:bCs/>
        </w:rPr>
        <w:t>Please do not attach any narratives, supporting files, or application components to the Standard Form 424.  Although this form accepts attachments, the Department of Education will review only materials/files attached to the attachment forms listed above.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r>
        <w:rPr>
          <w:rFonts w:ascii="Arial" w:hAnsi="Arial" w:cs="Arial"/>
          <w:b/>
        </w:rPr>
        <w:t>Part II:</w:t>
      </w:r>
      <w:r>
        <w:rPr>
          <w:rFonts w:ascii="Arial" w:hAnsi="Arial" w:cs="Arial"/>
        </w:rPr>
        <w:tab/>
      </w:r>
      <w:r>
        <w:rPr>
          <w:rFonts w:ascii="Arial" w:hAnsi="Arial" w:cs="Arial"/>
          <w:b/>
        </w:rPr>
        <w:t xml:space="preserve">Department of Education Budget Summary Form – ED 524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rPr>
      </w:pPr>
      <w:r>
        <w:rPr>
          <w:rFonts w:ascii="Arial" w:hAnsi="Arial" w:cs="Arial"/>
          <w:b/>
        </w:rPr>
        <w:t>Sections A &amp; B</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r>
        <w:rPr>
          <w:rFonts w:ascii="Arial" w:hAnsi="Arial" w:cs="Arial"/>
        </w:rPr>
        <w:tab/>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r>
        <w:rPr>
          <w:rFonts w:ascii="Arial" w:hAnsi="Arial" w:cs="Arial"/>
          <w:b/>
        </w:rPr>
        <w:t>Part III:</w:t>
      </w:r>
      <w:r>
        <w:rPr>
          <w:rFonts w:ascii="Arial" w:hAnsi="Arial" w:cs="Arial"/>
        </w:rPr>
        <w:tab/>
      </w:r>
      <w:r>
        <w:rPr>
          <w:rFonts w:ascii="Arial" w:hAnsi="Arial" w:cs="Arial"/>
          <w:b/>
        </w:rPr>
        <w:t xml:space="preserve">Department of Education Abstract Form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rPr>
      </w:pPr>
      <w:r>
        <w:rPr>
          <w:rFonts w:ascii="Arial" w:hAnsi="Arial" w:cs="Arial"/>
        </w:rPr>
        <w:t xml:space="preserve">Upload a one-page Abstract as a .PDF file.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r>
        <w:rPr>
          <w:rFonts w:ascii="Arial" w:hAnsi="Arial" w:cs="Arial"/>
          <w:b/>
        </w:rPr>
        <w:tab/>
        <w:t>Project Narrative Attachment Form</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rPr>
      </w:pPr>
      <w:r>
        <w:rPr>
          <w:rFonts w:ascii="Arial" w:hAnsi="Arial" w:cs="Arial"/>
        </w:rPr>
        <w:t>Please note that the Project Narrative must not exceed 35 double-spaced pages.  However, this does not include the Abstract, the Table of Contents, the Budget Narrative, or Other Attachments.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r>
        <w:rPr>
          <w:rFonts w:ascii="Arial" w:hAnsi="Arial" w:cs="Arial"/>
        </w:rPr>
        <w:tab/>
      </w:r>
      <w:r>
        <w:rPr>
          <w:rFonts w:ascii="Arial" w:hAnsi="Arial" w:cs="Arial"/>
          <w:b/>
        </w:rPr>
        <w:t xml:space="preserve">Budget Narrative Attachment Form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rPr>
      </w:pPr>
      <w:r>
        <w:rPr>
          <w:rFonts w:ascii="Arial" w:hAnsi="Arial" w:cs="Arial"/>
        </w:rPr>
        <w:t>The Budget Narrative is not included in the 35-page Project Narrative limit.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ascii="Arial" w:hAnsi="Arial" w:cs="Arial"/>
          <w:b/>
        </w:rPr>
        <w:tab/>
        <w:t>Other Attachments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rPr>
      </w:pPr>
      <w:r>
        <w:rPr>
          <w:rFonts w:ascii="Arial" w:hAnsi="Arial" w:cs="Arial"/>
        </w:rPr>
        <w:t>Other Attachments include documents like:</w:t>
      </w:r>
    </w:p>
    <w:p>
      <w:pPr>
        <w:ind w:left="2520"/>
        <w:rPr>
          <w:rFonts w:ascii="Arial" w:hAnsi="Arial" w:cs="Arial"/>
        </w:rPr>
      </w:pPr>
    </w:p>
    <w:p>
      <w:pPr>
        <w:numPr>
          <w:ilvl w:val="0"/>
          <w:numId w:val="5"/>
        </w:numPr>
        <w:tabs>
          <w:tab w:val="clear" w:pos="2160"/>
          <w:tab w:val="num" w:pos="2520"/>
        </w:tabs>
        <w:ind w:left="2520"/>
        <w:rPr>
          <w:rFonts w:ascii="Arial" w:hAnsi="Arial" w:cs="Arial"/>
        </w:rPr>
      </w:pPr>
      <w:r>
        <w:rPr>
          <w:rFonts w:ascii="Arial" w:hAnsi="Arial" w:cs="Arial"/>
        </w:rPr>
        <w:t xml:space="preserve">Key personnel one-page resumes </w:t>
      </w:r>
    </w:p>
    <w:p>
      <w:pPr>
        <w:numPr>
          <w:ilvl w:val="0"/>
          <w:numId w:val="5"/>
        </w:numPr>
        <w:tabs>
          <w:tab w:val="clear" w:pos="2160"/>
          <w:tab w:val="num" w:pos="2520"/>
        </w:tabs>
        <w:ind w:left="2520"/>
        <w:rPr>
          <w:rFonts w:ascii="Arial" w:hAnsi="Arial" w:cs="Arial"/>
        </w:rPr>
      </w:pPr>
      <w:r>
        <w:rPr>
          <w:rFonts w:ascii="Arial" w:hAnsi="Arial" w:cs="Arial"/>
        </w:rPr>
        <w:t>Short position descriptions</w:t>
      </w:r>
    </w:p>
    <w:p>
      <w:pPr>
        <w:numPr>
          <w:ilvl w:val="0"/>
          <w:numId w:val="5"/>
        </w:numPr>
        <w:tabs>
          <w:tab w:val="clear" w:pos="2160"/>
          <w:tab w:val="num" w:pos="2520"/>
        </w:tabs>
        <w:ind w:left="2520"/>
        <w:rPr>
          <w:rFonts w:ascii="Arial" w:hAnsi="Arial" w:cs="Arial"/>
        </w:rPr>
      </w:pPr>
      <w:r>
        <w:rPr>
          <w:rFonts w:ascii="Arial" w:hAnsi="Arial" w:cs="Arial"/>
        </w:rPr>
        <w:t>References cited in the Project Narrative (if applicable)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 </w:t>
      </w:r>
    </w:p>
    <w:p>
      <w:pPr>
        <w:pStyle w:val="Steps"/>
        <w:ind w:left="1080"/>
        <w:rPr>
          <w:rFonts w:ascii="Arial" w:hAnsi="Arial" w:cs="Arial"/>
          <w:b/>
          <w:bCs/>
        </w:rPr>
      </w:pPr>
      <w:r>
        <w:rPr>
          <w:rFonts w:ascii="Arial" w:hAnsi="Arial" w:cs="Arial"/>
          <w:b/>
          <w:bCs/>
        </w:rPr>
        <w:t>Other Attachments must be submitted in .PDF format.  All "Other Attachments" must be uploaded as a single merged file.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b/>
          <w:b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ascii="Arial" w:hAnsi="Arial" w:cs="Arial"/>
          <w:b/>
        </w:rPr>
        <w:t>Part IV:</w:t>
      </w:r>
      <w:r>
        <w:rPr>
          <w:rFonts w:ascii="Arial" w:hAnsi="Arial" w:cs="Arial"/>
          <w:b/>
        </w:rPr>
        <w:tab/>
        <w:t>Assurances, Certifications, and Survey Forms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numPr>
          <w:ilvl w:val="0"/>
          <w:numId w:val="6"/>
        </w:numPr>
        <w:rPr>
          <w:rFonts w:ascii="Arial" w:hAnsi="Arial" w:cs="Arial"/>
          <w:b/>
        </w:rPr>
      </w:pPr>
      <w:r>
        <w:rPr>
          <w:rFonts w:ascii="Arial" w:hAnsi="Arial" w:cs="Arial"/>
          <w:b/>
        </w:rPr>
        <w:t>GEPA Section 427</w:t>
      </w:r>
    </w:p>
    <w:p>
      <w:pPr>
        <w:numPr>
          <w:ilvl w:val="0"/>
          <w:numId w:val="6"/>
        </w:numPr>
        <w:rPr>
          <w:rFonts w:ascii="Arial" w:hAnsi="Arial" w:cs="Arial"/>
          <w:b/>
        </w:rPr>
      </w:pPr>
      <w:r>
        <w:rPr>
          <w:rFonts w:ascii="Arial" w:hAnsi="Arial" w:cs="Arial"/>
          <w:b/>
        </w:rPr>
        <w:t>Assurances – Non-Construction Programs (SF 424B)</w:t>
      </w:r>
    </w:p>
    <w:p>
      <w:pPr>
        <w:numPr>
          <w:ilvl w:val="0"/>
          <w:numId w:val="6"/>
        </w:numPr>
        <w:rPr>
          <w:rFonts w:ascii="Arial" w:hAnsi="Arial" w:cs="Arial"/>
          <w:b/>
        </w:rPr>
      </w:pPr>
      <w:r>
        <w:rPr>
          <w:rFonts w:ascii="Arial" w:hAnsi="Arial" w:cs="Arial"/>
          <w:b/>
        </w:rPr>
        <w:t>Certification Regarding Lobbying (ED 80-0013)</w:t>
      </w:r>
    </w:p>
    <w:p>
      <w:pPr>
        <w:numPr>
          <w:ilvl w:val="0"/>
          <w:numId w:val="6"/>
        </w:numPr>
        <w:rPr>
          <w:rFonts w:ascii="Arial" w:hAnsi="Arial" w:cs="Arial"/>
          <w:b/>
        </w:rPr>
      </w:pPr>
      <w:r>
        <w:rPr>
          <w:rFonts w:ascii="Arial" w:hAnsi="Arial" w:cs="Arial"/>
          <w:b/>
        </w:rPr>
        <w:t>Survey of Ensuring Equal Opportunity for Applicants</w:t>
      </w:r>
    </w:p>
    <w:p>
      <w:pPr>
        <w:numPr>
          <w:ilvl w:val="0"/>
          <w:numId w:val="6"/>
        </w:numPr>
        <w:rPr>
          <w:rFonts w:ascii="Arial" w:hAnsi="Arial" w:cs="Arial"/>
          <w:b/>
        </w:rPr>
      </w:pPr>
      <w:r>
        <w:rPr>
          <w:rFonts w:ascii="Arial" w:hAnsi="Arial" w:cs="Arial"/>
          <w:b/>
        </w:rPr>
        <w:t>Disclosure of Lobbying Activities (SF-LLL)</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pStyle w:val="Heading3"/>
        <w:tabs>
          <w:tab w:val="left" w:pos="7767"/>
        </w:tabs>
      </w:pPr>
      <w:bookmarkStart w:id="13" w:name="_Toc135124902"/>
      <w:bookmarkStart w:id="14" w:name="_Toc83097240"/>
      <w:bookmarkStart w:id="15" w:name="_Toc40608598"/>
      <w:bookmarkStart w:id="16" w:name="_Toc40593334"/>
      <w:bookmarkStart w:id="17" w:name="_Toc40525917"/>
      <w:bookmarkStart w:id="18" w:name="_Toc40525198"/>
    </w:p>
    <w:bookmarkEnd w:id="13"/>
    <w:bookmarkEnd w:id="14"/>
    <w:bookmarkEnd w:id="15"/>
    <w:bookmarkEnd w:id="16"/>
    <w:bookmarkEnd w:id="17"/>
    <w:bookmarkEnd w:id="18"/>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8"/>
          <w:szCs w:val="20"/>
        </w:rPr>
      </w:pPr>
    </w:p>
    <w:p>
      <w:pPr>
        <w:rPr>
          <w:rFonts w:ascii="Arial" w:hAnsi="Arial" w:cs="Arial"/>
          <w:b/>
          <w:bCs/>
          <w:caps/>
          <w:sz w:val="28"/>
          <w:szCs w:val="28"/>
        </w:rPr>
      </w:pPr>
      <w:bookmarkStart w:id="19" w:name="_Toc262126941"/>
      <w:r>
        <w:rPr>
          <w:caps/>
          <w:sz w:val="28"/>
          <w:szCs w:val="28"/>
        </w:rPr>
        <w:br w:type="page"/>
      </w:r>
    </w:p>
    <w:p>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r>
        <w:rPr>
          <w:caps/>
          <w:sz w:val="28"/>
          <w:szCs w:val="28"/>
        </w:rPr>
        <w:lastRenderedPageBreak/>
        <w:t>Paperwork burden statement</w:t>
      </w:r>
      <w:bookmarkEnd w:id="19"/>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2"/>
          <w:szCs w:val="2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rPr>
      </w:pPr>
      <w:r>
        <w:rPr>
          <w:rFonts w:ascii="Arial" w:hAnsi="Arial" w:cs="Arial"/>
          <w:color w:val="0000FF"/>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20/hours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1138(c)).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p>
    <w:p>
      <w:pPr>
        <w:ind w:firstLine="720"/>
        <w:rPr>
          <w:rFonts w:ascii="Arial" w:hAnsi="Arial" w:cs="Arial"/>
        </w:rPr>
      </w:pPr>
    </w:p>
    <w:p>
      <w:pPr>
        <w:ind w:firstLine="720"/>
        <w:rPr>
          <w:rFonts w:ascii="Arial" w:hAnsi="Arial" w:cs="Arial"/>
        </w:rPr>
      </w:pPr>
      <w:r>
        <w:rPr>
          <w:rFonts w:ascii="Arial" w:hAnsi="Arial" w:cs="Arial"/>
        </w:rPr>
        <w:t>Kelly Harris</w:t>
      </w:r>
    </w:p>
    <w:p>
      <w:pPr>
        <w:ind w:left="720"/>
        <w:rPr>
          <w:rFonts w:ascii="Arial" w:hAnsi="Arial" w:cs="Arial"/>
        </w:rPr>
      </w:pPr>
      <w:r>
        <w:rPr>
          <w:rFonts w:ascii="Arial" w:hAnsi="Arial" w:cs="Arial"/>
        </w:rPr>
        <w:t>U.S. Department of Education (FIPSE)</w:t>
      </w:r>
    </w:p>
    <w:p>
      <w:pPr>
        <w:ind w:firstLine="720"/>
        <w:rPr>
          <w:rFonts w:ascii="Arial" w:hAnsi="Arial" w:cs="Arial"/>
        </w:rPr>
      </w:pPr>
      <w:r>
        <w:rPr>
          <w:rFonts w:ascii="Arial" w:hAnsi="Arial" w:cs="Arial"/>
        </w:rPr>
        <w:t>1990 K Street, N.W., Room 6161</w:t>
      </w:r>
    </w:p>
    <w:p>
      <w:pPr>
        <w:ind w:firstLine="720"/>
        <w:rPr>
          <w:rFonts w:ascii="Arial" w:hAnsi="Arial" w:cs="Arial"/>
        </w:rPr>
      </w:pPr>
      <w:r>
        <w:rPr>
          <w:rFonts w:ascii="Arial" w:hAnsi="Arial" w:cs="Arial"/>
        </w:rPr>
        <w:t>Washington, DC 20006-8544</w:t>
      </w:r>
    </w:p>
    <w:p>
      <w:pPr>
        <w:ind w:firstLine="720"/>
        <w:rPr>
          <w:rFonts w:ascii="Arial" w:hAnsi="Arial" w:cs="Arial"/>
        </w:rPr>
      </w:pPr>
      <w:r>
        <w:rPr>
          <w:rFonts w:ascii="Arial" w:hAnsi="Arial" w:cs="Arial"/>
        </w:rPr>
        <w:t>Tel: 202-219-7083</w:t>
      </w:r>
    </w:p>
    <w:p>
      <w:pPr>
        <w:ind w:firstLine="720"/>
        <w:rPr>
          <w:rFonts w:ascii="Arial" w:hAnsi="Arial" w:cs="Arial"/>
        </w:rPr>
      </w:pPr>
      <w:r>
        <w:rPr>
          <w:rFonts w:ascii="Arial" w:hAnsi="Arial" w:cs="Arial"/>
        </w:rPr>
        <w:t>Fax: 202-502-7877</w:t>
      </w:r>
    </w:p>
    <w:p>
      <w:pPr>
        <w:ind w:firstLine="720"/>
        <w:rPr>
          <w:rFonts w:ascii="Arial" w:hAnsi="Arial" w:cs="Arial"/>
        </w:rPr>
      </w:pPr>
      <w:r>
        <w:rPr>
          <w:rFonts w:ascii="Arial" w:hAnsi="Arial" w:cs="Arial"/>
        </w:rPr>
        <w:t xml:space="preserve">E-mail: </w:t>
      </w:r>
      <w:hyperlink r:id="rId51" w:history="1">
        <w:r>
          <w:rPr>
            <w:rStyle w:val="Hyperlink"/>
            <w:rFonts w:ascii="Arial" w:hAnsi="Arial" w:cs="Arial"/>
          </w:rPr>
          <w:t>kelly.harris@ed.gov</w:t>
        </w:r>
      </w:hyperlink>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sect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Bol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43808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77</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61667C"/>
    <w:multiLevelType w:val="hybridMultilevel"/>
    <w:tmpl w:val="8D4AEDAE"/>
    <w:lvl w:ilvl="0" w:tplc="0409000F">
      <w:start w:val="10"/>
      <w:numFmt w:val="decimal"/>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AE48C5"/>
    <w:multiLevelType w:val="hybridMultilevel"/>
    <w:tmpl w:val="0BC4BF6C"/>
    <w:lvl w:ilvl="0" w:tplc="3BCA23D4">
      <w:start w:val="7"/>
      <w:numFmt w:val="decimal"/>
      <w:pStyle w:val="ListNumber2"/>
      <w:lvlText w:val="%1."/>
      <w:lvlJc w:val="left"/>
      <w:pPr>
        <w:tabs>
          <w:tab w:val="num" w:pos="540"/>
        </w:tabs>
        <w:ind w:left="540" w:hanging="540"/>
      </w:pPr>
      <w:rPr>
        <w:rFonts w:ascii="Arial" w:hAnsi="Arial" w:cs="Arial" w:hint="default"/>
        <w:b w:val="0"/>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9D78E1"/>
    <w:multiLevelType w:val="hybridMultilevel"/>
    <w:tmpl w:val="46CC598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466633"/>
    <w:multiLevelType w:val="hybridMultilevel"/>
    <w:tmpl w:val="7ED05C20"/>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9">
    <w:nsid w:val="51894D17"/>
    <w:multiLevelType w:val="hybridMultilevel"/>
    <w:tmpl w:val="0DB09AB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3582F7D"/>
    <w:multiLevelType w:val="hybridMultilevel"/>
    <w:tmpl w:val="EB18B6C8"/>
    <w:lvl w:ilvl="0" w:tplc="3AD0B098">
      <w:start w:val="1"/>
      <w:numFmt w:val="decimal"/>
      <w:lvlText w:val="%1."/>
      <w:lvlJc w:val="left"/>
      <w:pPr>
        <w:tabs>
          <w:tab w:val="num" w:pos="1080"/>
        </w:tabs>
        <w:ind w:left="1080" w:hanging="360"/>
      </w:pPr>
      <w:rPr>
        <w:rFonts w:cs="Times New Roman" w:hint="default"/>
      </w:rPr>
    </w:lvl>
    <w:lvl w:ilvl="1" w:tplc="CD50194C">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D1876"/>
    <w:multiLevelType w:val="hybridMultilevel"/>
    <w:tmpl w:val="1A84A880"/>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7C01C26"/>
    <w:multiLevelType w:val="hybridMultilevel"/>
    <w:tmpl w:val="C3262BD8"/>
    <w:lvl w:ilvl="0" w:tplc="F4AE7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AF3B97"/>
    <w:multiLevelType w:val="hybridMultilevel"/>
    <w:tmpl w:val="87148CD2"/>
    <w:lvl w:ilvl="0" w:tplc="04090001">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C4208CB"/>
    <w:multiLevelType w:val="hybridMultilevel"/>
    <w:tmpl w:val="35BA6A80"/>
    <w:lvl w:ilvl="0" w:tplc="91584E5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C105BC"/>
    <w:multiLevelType w:val="hybridMultilevel"/>
    <w:tmpl w:val="628E5652"/>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603F25F4"/>
    <w:multiLevelType w:val="hybridMultilevel"/>
    <w:tmpl w:val="E170401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4112D89"/>
    <w:multiLevelType w:val="hybridMultilevel"/>
    <w:tmpl w:val="995A7DAE"/>
    <w:lvl w:ilvl="0" w:tplc="04090001">
      <w:start w:val="1"/>
      <w:numFmt w:val="decimal"/>
      <w:lvlText w:val="%1."/>
      <w:lvlJc w:val="left"/>
      <w:pPr>
        <w:tabs>
          <w:tab w:val="num" w:pos="1080"/>
        </w:tabs>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61F6F8E"/>
    <w:multiLevelType w:val="hybridMultilevel"/>
    <w:tmpl w:val="B54C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7A70797F"/>
    <w:multiLevelType w:val="hybridMultilevel"/>
    <w:tmpl w:val="B88E94A8"/>
    <w:lvl w:ilvl="0" w:tplc="51268A14">
      <w:start w:val="1"/>
      <w:numFmt w:val="decimal"/>
      <w:lvlText w:val="%1."/>
      <w:lvlJc w:val="left"/>
      <w:pPr>
        <w:tabs>
          <w:tab w:val="num" w:pos="720"/>
        </w:tabs>
        <w:ind w:left="720" w:hanging="540"/>
      </w:p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lvl>
    <w:lvl w:ilvl="3" w:tplc="0409000F">
      <w:start w:val="1"/>
      <w:numFmt w:val="decimal"/>
      <w:lvlText w:val="%4."/>
      <w:lvlJc w:val="left"/>
      <w:pPr>
        <w:tabs>
          <w:tab w:val="num" w:pos="2700"/>
        </w:tabs>
        <w:ind w:left="2700" w:hanging="360"/>
      </w:pPr>
    </w:lvl>
    <w:lvl w:ilvl="4" w:tplc="04090019">
      <w:start w:val="1"/>
      <w:numFmt w:val="upperRoman"/>
      <w:lvlText w:val="%5."/>
      <w:lvlJc w:val="left"/>
      <w:pPr>
        <w:ind w:left="378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8"/>
  </w:num>
  <w:num w:numId="9">
    <w:abstractNumId w:val="7"/>
  </w:num>
  <w:num w:numId="10">
    <w:abstractNumId w:val="4"/>
  </w:num>
  <w:num w:numId="11">
    <w:abstractNumId w:val="21"/>
  </w:num>
  <w:num w:numId="12">
    <w:abstractNumId w:val="3"/>
  </w:num>
  <w:num w:numId="13">
    <w:abstractNumId w:val="10"/>
  </w:num>
  <w:num w:numId="14">
    <w:abstractNumId w:val="0"/>
  </w:num>
  <w:num w:numId="15">
    <w:abstractNumId w:val="11"/>
  </w:num>
  <w:num w:numId="16">
    <w:abstractNumId w:val="20"/>
  </w:num>
  <w:num w:numId="17">
    <w:abstractNumId w:val="8"/>
  </w:num>
  <w:num w:numId="18">
    <w:abstractNumId w:val="2"/>
  </w:num>
  <w:num w:numId="19">
    <w:abstractNumId w:val="19"/>
  </w:num>
  <w:num w:numId="20">
    <w:abstractNumId w:val="1"/>
  </w:num>
  <w:num w:numId="21">
    <w:abstractNumId w:val="13"/>
  </w:num>
  <w:num w:numId="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qFormat="1"/>
    <w:lsdException w:name="footnote reference" w:uiPriority="0"/>
    <w:lsdException w:name="page number" w:uiPriority="0"/>
    <w:lsdException w:name="List Bullet 2" w:uiPriority="0"/>
    <w:lsdException w:name="Title" w:semiHidden="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52"/>
    </w:rPr>
  </w:style>
  <w:style w:type="paragraph" w:styleId="Heading2">
    <w:name w:val="heading 2"/>
    <w:basedOn w:val="Normal"/>
    <w:next w:val="Normal"/>
    <w:link w:val="Heading2Char"/>
    <w:uiPriority w:val="99"/>
    <w:qFormat/>
    <w:pPr>
      <w:keepNext/>
      <w:outlineLvl w:val="1"/>
    </w:pPr>
    <w:rPr>
      <w:rFonts w:ascii="Arial" w:hAnsi="Arial" w:cs="Arial"/>
      <w:b/>
      <w:bCs/>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rPr>
      <w:rFonts w:ascii="Calibri" w:hAnsi="Calibri"/>
      <w:b/>
      <w:bCs/>
      <w:i/>
      <w:iCs/>
      <w:sz w:val="26"/>
      <w:szCs w:val="26"/>
    </w:rPr>
  </w:style>
  <w:style w:type="character" w:customStyle="1" w:styleId="Heading6Char">
    <w:name w:val="Heading 6 Char"/>
    <w:basedOn w:val="DefaultParagraphFont"/>
    <w:link w:val="Heading6"/>
    <w:uiPriority w:val="99"/>
    <w:semiHidden/>
    <w:locked/>
    <w:rPr>
      <w:rFonts w:asciiTheme="majorHAnsi" w:eastAsiaTheme="majorEastAsia" w:hAnsiTheme="majorHAnsi" w:cstheme="majorBidi" w:hint="default"/>
      <w:i/>
      <w:iCs/>
      <w:color w:val="243F60" w:themeColor="accent1" w:themeShade="7F"/>
      <w:sz w:val="24"/>
      <w:szCs w:val="24"/>
    </w:rPr>
  </w:style>
  <w:style w:type="character" w:customStyle="1" w:styleId="Heading7Char">
    <w:name w:val="Heading 7 Char"/>
    <w:basedOn w:val="DefaultParagraphFont"/>
    <w:link w:val="Heading7"/>
    <w:uiPriority w:val="99"/>
    <w:rPr>
      <w:rFonts w:ascii="Calibri" w:hAnsi="Calibri"/>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cs="Courier New" w:hint="default"/>
    </w:rPr>
  </w:style>
  <w:style w:type="paragraph" w:styleId="NormalWeb">
    <w:name w:val="Normal (Web)"/>
    <w:basedOn w:val="Normal"/>
    <w:uiPriority w:val="99"/>
    <w:unhideWhenUsed/>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pPr>
      <w:tabs>
        <w:tab w:val="right" w:leader="dot" w:pos="9350"/>
      </w:tabs>
      <w:spacing w:before="240"/>
    </w:pPr>
    <w:rPr>
      <w:rFonts w:ascii="Arial" w:hAnsi="Arial" w:cs="Arial"/>
      <w:b/>
      <w:bCs/>
      <w:caps/>
      <w:noProof/>
      <w:color w:val="000000"/>
      <w:szCs w:val="28"/>
    </w:rPr>
  </w:style>
  <w:style w:type="paragraph" w:styleId="TOC2">
    <w:name w:val="toc 2"/>
    <w:basedOn w:val="Normal"/>
    <w:next w:val="Normal"/>
    <w:autoRedefine/>
    <w:uiPriority w:val="39"/>
    <w:unhideWhenUsed/>
    <w:pPr>
      <w:tabs>
        <w:tab w:val="right" w:leader="dot" w:pos="8630"/>
      </w:tabs>
      <w:spacing w:after="100"/>
    </w:pPr>
  </w:style>
  <w:style w:type="paragraph" w:styleId="TOC3">
    <w:name w:val="toc 3"/>
    <w:basedOn w:val="Normal"/>
    <w:next w:val="Normal"/>
    <w:autoRedefine/>
    <w:uiPriority w:val="39"/>
    <w:unhideWhenUsed/>
    <w:pPr>
      <w:tabs>
        <w:tab w:val="right" w:leader="dot" w:pos="8630"/>
      </w:tabs>
      <w:spacing w:after="100"/>
    </w:pPr>
  </w:style>
  <w:style w:type="paragraph" w:styleId="NormalIndent">
    <w:name w:val="Normal Indent"/>
    <w:basedOn w:val="Normal"/>
    <w:uiPriority w:val="99"/>
    <w:semiHidden/>
    <w:unhideWhenUsed/>
    <w:pPr>
      <w:ind w:left="720"/>
    </w:pPr>
    <w:rPr>
      <w:sz w:val="20"/>
      <w:szCs w:val="20"/>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locked/>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locked/>
  </w:style>
  <w:style w:type="paragraph" w:styleId="Header">
    <w:name w:val="header"/>
    <w:basedOn w:val="Normal"/>
    <w:link w:val="HeaderChar"/>
    <w:unhideWhenUsed/>
    <w:pPr>
      <w:tabs>
        <w:tab w:val="center" w:pos="4320"/>
        <w:tab w:val="right" w:pos="8640"/>
      </w:tabs>
    </w:pPr>
    <w:rPr>
      <w:sz w:val="20"/>
      <w:szCs w:val="20"/>
    </w:rPr>
  </w:style>
  <w:style w:type="character" w:customStyle="1" w:styleId="HeaderChar">
    <w:name w:val="Header Char"/>
    <w:basedOn w:val="DefaultParagraphFont"/>
    <w:link w:val="Header"/>
    <w:locked/>
  </w:style>
  <w:style w:type="paragraph" w:styleId="Footer">
    <w:name w:val="footer"/>
    <w:basedOn w:val="Normal"/>
    <w:link w:val="FooterChar"/>
    <w:uiPriority w:val="99"/>
    <w:unhideWhenUsed/>
    <w:pPr>
      <w:tabs>
        <w:tab w:val="center" w:pos="4320"/>
        <w:tab w:val="right" w:pos="8640"/>
      </w:tabs>
    </w:pPr>
    <w:rPr>
      <w:sz w:val="20"/>
      <w:szCs w:val="20"/>
    </w:rPr>
  </w:style>
  <w:style w:type="character" w:customStyle="1" w:styleId="FooterChar">
    <w:name w:val="Footer Char"/>
    <w:basedOn w:val="DefaultParagraphFont"/>
    <w:link w:val="Footer"/>
    <w:uiPriority w:val="99"/>
    <w:locked/>
  </w:style>
  <w:style w:type="paragraph" w:styleId="Caption">
    <w:name w:val="caption"/>
    <w:basedOn w:val="Normal"/>
    <w:next w:val="Normal"/>
    <w:uiPriority w:val="99"/>
    <w:unhideWhenUsed/>
    <w:qFormat/>
    <w:pPr>
      <w:spacing w:after="120"/>
      <w:jc w:val="center"/>
    </w:pPr>
    <w:rPr>
      <w:rFonts w:ascii="Arial" w:hAnsi="Arial" w:cs="Arial"/>
      <w:bCs/>
      <w:color w:val="000000"/>
      <w:sz w:val="40"/>
    </w:rPr>
  </w:style>
  <w:style w:type="paragraph" w:styleId="Title">
    <w:name w:val="Title"/>
    <w:basedOn w:val="Normal"/>
    <w:link w:val="TitleChar"/>
    <w:uiPriority w:val="99"/>
    <w:qFormat/>
    <w:pPr>
      <w:jc w:val="center"/>
    </w:pPr>
    <w:rPr>
      <w:rFonts w:ascii="Arial" w:hAnsi="Arial"/>
      <w:b/>
      <w:bCs/>
      <w:caps/>
    </w:rPr>
  </w:style>
  <w:style w:type="character" w:customStyle="1" w:styleId="TitleChar">
    <w:name w:val="Title Char"/>
    <w:basedOn w:val="DefaultParagraphFont"/>
    <w:link w:val="Title"/>
    <w:uiPriority w:val="99"/>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nhideWhenUsed/>
    <w:rPr>
      <w:szCs w:val="20"/>
    </w:rPr>
  </w:style>
  <w:style w:type="character" w:customStyle="1" w:styleId="BodyTextChar">
    <w:name w:val="Body Text Char"/>
    <w:basedOn w:val="DefaultParagraphFont"/>
    <w:link w:val="BodyText"/>
    <w:locked/>
    <w:rPr>
      <w:sz w:val="24"/>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locked/>
    <w:rPr>
      <w:sz w:val="24"/>
      <w:szCs w:val="24"/>
    </w:rPr>
  </w:style>
  <w:style w:type="paragraph" w:styleId="ListContinue">
    <w:name w:val="List Continue"/>
    <w:basedOn w:val="Normal"/>
    <w:semiHidden/>
    <w:unhideWhenUsed/>
    <w:pPr>
      <w:tabs>
        <w:tab w:val="left" w:pos="-720"/>
      </w:tabs>
      <w:suppressAutoHyphens/>
    </w:pPr>
    <w:rPr>
      <w:rFonts w:ascii="Courier" w:hAnsi="Courier"/>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locked/>
    <w:rPr>
      <w:sz w:val="24"/>
      <w:szCs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locked/>
    <w:rPr>
      <w:sz w:val="24"/>
      <w:szCs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sz w:val="16"/>
      <w:szCs w:val="16"/>
    </w:rPr>
  </w:style>
  <w:style w:type="paragraph" w:styleId="PlainText">
    <w:name w:val="Plain Text"/>
    <w:basedOn w:val="Normal"/>
    <w:link w:val="PlainTextChar"/>
    <w:uiPriority w:val="99"/>
    <w:unhideWhenUsed/>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StyleVerdana12ptAfter0ptLinespacingsingleChar">
    <w:name w:val="Style Verdana 12 pt After:  0 pt Line spacing:  single Char"/>
    <w:basedOn w:val="DefaultParagraphFont"/>
    <w:link w:val="StyleVerdana12ptAfter0ptLinespacingsingle"/>
    <w:locked/>
    <w:rPr>
      <w:rFonts w:ascii="Verdana" w:hAnsi="Verdana" w:hint="default"/>
      <w:sz w:val="24"/>
      <w:szCs w:val="24"/>
      <w:lang w:bidi="en-US"/>
    </w:rPr>
  </w:style>
  <w:style w:type="paragraph" w:customStyle="1" w:styleId="StyleVerdana12ptAfter0ptLinespacingsingle">
    <w:name w:val="Style Verdana 12 pt After:  0 pt Line spacing:  single"/>
    <w:basedOn w:val="Normal"/>
    <w:link w:val="StyleVerdana12ptAfter0ptLinespacingsingleChar"/>
    <w:semiHidden/>
    <w:rPr>
      <w:rFonts w:ascii="Verdana" w:hAnsi="Verdana"/>
      <w:lang w:bidi="en-US"/>
    </w:rPr>
  </w:style>
  <w:style w:type="character" w:customStyle="1" w:styleId="StyleStyleHeading1LatinVerdana12ptCenteredBefore0p1Char">
    <w:name w:val="Style Style Heading 1 + (Latin) Verdana 12 pt Centered Before:  0 p...1 Char"/>
    <w:basedOn w:val="DefaultParagraphFont"/>
    <w:link w:val="StyleStyleHeading1LatinVerdana12ptCenteredBefore0p1"/>
    <w:locked/>
    <w:rPr>
      <w:rFonts w:ascii="Arial" w:hAnsi="Arial" w:cs="Arial" w:hint="default"/>
      <w:b/>
      <w:bCs/>
      <w:color w:val="000000"/>
      <w:sz w:val="24"/>
      <w:szCs w:val="24"/>
      <w:lang w:bidi="en-US"/>
    </w:rPr>
  </w:style>
  <w:style w:type="paragraph" w:customStyle="1" w:styleId="StyleStyleHeading1LatinVerdana12ptCenteredBefore0p1">
    <w:name w:val="Style Style Heading 1 + (Latin) Verdana 12 pt Centered Before:  0 p...1"/>
    <w:basedOn w:val="Heading1"/>
    <w:next w:val="Heading1"/>
    <w:link w:val="StyleStyleHeading1LatinVerdana12ptCenteredBefore0p1Char"/>
    <w:autoRedefine/>
    <w:semiHidden/>
    <w:pPr>
      <w:keepLines/>
      <w:spacing w:line="276" w:lineRule="auto"/>
    </w:pPr>
    <w:rPr>
      <w:color w:val="000000"/>
      <w:sz w:val="24"/>
      <w:lang w:bidi="en-US"/>
    </w:rPr>
  </w:style>
  <w:style w:type="paragraph" w:customStyle="1" w:styleId="Steps">
    <w:name w:val="Steps"/>
    <w:basedOn w:val="Normal"/>
    <w:uiPriority w:val="99"/>
    <w:pPr>
      <w:widowControl w:val="0"/>
      <w:tabs>
        <w:tab w:val="left" w:pos="1080"/>
      </w:tabs>
      <w:overflowPunct w:val="0"/>
      <w:autoSpaceDE w:val="0"/>
      <w:autoSpaceDN w:val="0"/>
      <w:adjustRightInd w:val="0"/>
    </w:pPr>
    <w:rPr>
      <w:szCs w:val="20"/>
    </w:rPr>
  </w:style>
  <w:style w:type="paragraph" w:customStyle="1" w:styleId="Style">
    <w:name w:val="Style"/>
    <w:basedOn w:val="Normal"/>
    <w:uiPriority w:val="99"/>
    <w:pPr>
      <w:widowControl w:val="0"/>
      <w:overflowPunct w:val="0"/>
      <w:autoSpaceDE w:val="0"/>
      <w:autoSpaceDN w:val="0"/>
      <w:adjustRightInd w:val="0"/>
      <w:ind w:left="720" w:hanging="720"/>
    </w:pPr>
    <w:rPr>
      <w:rFonts w:ascii="Courier" w:hAnsi="Courier"/>
      <w:szCs w:val="20"/>
    </w:rPr>
  </w:style>
  <w:style w:type="paragraph" w:customStyle="1" w:styleId="h3">
    <w:name w:val="h3"/>
    <w:basedOn w:val="Normal"/>
    <w:pPr>
      <w:spacing w:before="100" w:beforeAutospacing="1"/>
    </w:pPr>
    <w:rPr>
      <w:rFonts w:ascii="Arial" w:eastAsia="Arial Unicode MS" w:hAnsi="Arial" w:cs="Arial"/>
      <w:b/>
      <w:bCs/>
    </w:rPr>
  </w:style>
  <w:style w:type="paragraph" w:customStyle="1" w:styleId="Itemmarkedbyl">
    <w:name w:val="Item marked by (l)"/>
    <w:basedOn w:val="Normal"/>
    <w:uiPriority w:val="99"/>
    <w:pPr>
      <w:tabs>
        <w:tab w:val="num" w:pos="360"/>
      </w:tabs>
    </w:pPr>
    <w:rPr>
      <w:szCs w:val="20"/>
    </w:rPr>
  </w:style>
  <w:style w:type="paragraph" w:customStyle="1" w:styleId="toplogo">
    <w:name w:val="toplogo"/>
    <w:basedOn w:val="Normal"/>
    <w:uiPriority w:val="99"/>
    <w:pPr>
      <w:spacing w:before="100" w:beforeAutospacing="1"/>
    </w:pPr>
    <w:rPr>
      <w:rFonts w:ascii="Arial" w:eastAsia="Arial Unicode MS" w:hAnsi="Arial" w:cs="Arial"/>
      <w:b/>
      <w:bCs/>
      <w:sz w:val="28"/>
      <w:szCs w:val="28"/>
    </w:rPr>
  </w:style>
  <w:style w:type="character" w:styleId="FootnoteReference">
    <w:name w:val="footnote reference"/>
    <w:basedOn w:val="DefaultParagraphFont"/>
    <w:semiHidden/>
    <w:unhideWhenUsed/>
    <w:rPr>
      <w:position w:val="6"/>
      <w:sz w:val="16"/>
    </w:rPr>
  </w:style>
  <w:style w:type="character" w:styleId="CommentReference">
    <w:name w:val="annotation reference"/>
    <w:basedOn w:val="DefaultParagraphFont"/>
    <w:uiPriority w:val="99"/>
    <w:semiHidden/>
    <w:unhideWhenUsed/>
    <w:rPr>
      <w:sz w:val="16"/>
      <w:szCs w:val="16"/>
    </w:rPr>
  </w:style>
  <w:style w:type="paragraph" w:customStyle="1" w:styleId="p">
    <w:name w:val="p"/>
    <w:basedOn w:val="Normal"/>
    <w:uiPriority w:val="99"/>
    <w:pPr>
      <w:spacing w:before="100" w:beforeAutospacing="1" w:after="100" w:afterAutospacing="1"/>
      <w:jc w:val="center"/>
    </w:pPr>
    <w:rPr>
      <w:rFonts w:ascii="Arial" w:eastAsia="Arial Unicode MS" w:hAnsi="Arial" w:cs="Arial"/>
    </w:rPr>
  </w:style>
  <w:style w:type="paragraph" w:customStyle="1" w:styleId="DefinitionTerm">
    <w:name w:val="Definition Term"/>
    <w:basedOn w:val="Normal"/>
    <w:next w:val="Normal"/>
    <w:uiPriority w:val="99"/>
    <w:pPr>
      <w:widowControl w:val="0"/>
    </w:pPr>
    <w:rPr>
      <w:szCs w:val="20"/>
    </w:rPr>
  </w:style>
  <w:style w:type="paragraph" w:customStyle="1" w:styleId="Formal2">
    <w:name w:val="Formal2"/>
    <w:basedOn w:val="Normal"/>
    <w:uiPriority w:val="99"/>
    <w:pPr>
      <w:widowControl w:val="0"/>
      <w:spacing w:before="60" w:after="60"/>
    </w:pPr>
    <w:rPr>
      <w:rFonts w:ascii="Arial" w:hAnsi="Arial"/>
      <w:b/>
      <w:noProof/>
      <w:szCs w:val="20"/>
    </w:rPr>
  </w:style>
  <w:style w:type="paragraph" w:styleId="ListNumber2">
    <w:name w:val="List Number 2"/>
    <w:basedOn w:val="Normal"/>
    <w:uiPriority w:val="99"/>
    <w:semiHidden/>
    <w:pPr>
      <w:numPr>
        <w:numId w:val="12"/>
      </w:numPr>
      <w:tabs>
        <w:tab w:val="clear" w:pos="540"/>
        <w:tab w:val="num" w:pos="720"/>
      </w:tabs>
      <w:ind w:left="720" w:hanging="360"/>
      <w:contextualSpacing/>
    </w:pPr>
  </w:style>
  <w:style w:type="character" w:customStyle="1" w:styleId="EmailStyle63">
    <w:name w:val="EmailStyle63"/>
    <w:basedOn w:val="DefaultParagraphFont"/>
    <w:uiPriority w:val="99"/>
    <w:rPr>
      <w:rFonts w:ascii="Arial" w:hAnsi="Arial" w:cs="Arial"/>
      <w:color w:val="993366"/>
      <w:sz w:val="20"/>
    </w:rPr>
  </w:style>
  <w:style w:type="character" w:customStyle="1" w:styleId="BodyText3Char">
    <w:name w:val="Body Text 3 Char"/>
    <w:basedOn w:val="DefaultParagraphFont"/>
    <w:link w:val="BodyText3"/>
    <w:uiPriority w:val="99"/>
    <w:semiHidden/>
    <w:rPr>
      <w:sz w:val="16"/>
      <w:szCs w:val="16"/>
    </w:rPr>
  </w:style>
  <w:style w:type="paragraph" w:styleId="BodyText3">
    <w:name w:val="Body Text 3"/>
    <w:basedOn w:val="Normal"/>
    <w:link w:val="BodyText3Char"/>
    <w:uiPriority w:val="99"/>
    <w:semiHidden/>
    <w:pPr>
      <w:spacing w:after="120"/>
    </w:pPr>
    <w:rPr>
      <w:sz w:val="16"/>
      <w:szCs w:val="16"/>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fontsmall">
    <w:name w:val="fontsmall"/>
    <w:basedOn w:val="Normal"/>
    <w:uiPriority w:val="99"/>
    <w:pPr>
      <w:spacing w:before="100" w:beforeAutospacing="1" w:after="100" w:afterAutospacing="1"/>
    </w:pPr>
    <w:rPr>
      <w:rFonts w:ascii="Arial" w:eastAsia="Arial Unicode MS" w:hAnsi="Arial" w:cs="Arial"/>
      <w:sz w:val="22"/>
      <w:szCs w:val="22"/>
    </w:rPr>
  </w:style>
  <w:style w:type="character" w:customStyle="1" w:styleId="subhead1">
    <w:name w:val="subhead1"/>
    <w:basedOn w:val="DefaultParagraphFont"/>
    <w:uiPriority w:val="99"/>
    <w:rPr>
      <w:rFonts w:cs="Times New Roman"/>
      <w:b/>
      <w:bCs/>
    </w:rPr>
  </w:style>
  <w:style w:type="character" w:customStyle="1" w:styleId="hometextdark1">
    <w:name w:val="hometextdark1"/>
    <w:basedOn w:val="DefaultParagraphFont"/>
    <w:uiPriority w:val="99"/>
    <w:rPr>
      <w:rFonts w:ascii="Arial" w:hAnsi="Arial" w:cs="Arial"/>
      <w:b/>
      <w:bCs/>
      <w:color w:val="333333"/>
      <w:sz w:val="18"/>
      <w:szCs w:val="18"/>
    </w:rPr>
  </w:style>
  <w:style w:type="paragraph" w:styleId="NoSpacing">
    <w:name w:val="No Spacing"/>
    <w:uiPriority w:val="1"/>
    <w:qFormat/>
    <w:rPr>
      <w:rFonts w:ascii="Calibri" w:eastAsia="Calibri" w:hAnsi="Calibri"/>
      <w:sz w:val="22"/>
      <w:szCs w:val="22"/>
    </w:rPr>
  </w:style>
  <w:style w:type="character" w:customStyle="1" w:styleId="CommentSubjectChar">
    <w:name w:val="Comment Subject Char"/>
    <w:basedOn w:val="CommentTextChar"/>
    <w:link w:val="CommentSubject"/>
    <w:uiPriority w:val="99"/>
    <w:semiHidden/>
    <w:rPr>
      <w:b/>
      <w:bCs/>
    </w:rPr>
  </w:style>
  <w:style w:type="paragraph" w:styleId="CommentSubject">
    <w:name w:val="annotation subject"/>
    <w:basedOn w:val="CommentText"/>
    <w:next w:val="CommentText"/>
    <w:link w:val="CommentSubjectChar"/>
    <w:uiPriority w:val="99"/>
    <w:semiHidden/>
    <w:rPr>
      <w:b/>
      <w:bCs/>
    </w:rPr>
  </w:style>
  <w:style w:type="paragraph" w:styleId="ListBullet2">
    <w:name w:val="List Bullet 2"/>
    <w:basedOn w:val="Normal"/>
    <w:autoRedefine/>
    <w:semiHidden/>
    <w:pPr>
      <w:numPr>
        <w:numId w:val="14"/>
      </w:numPr>
    </w:pPr>
    <w:rPr>
      <w:sz w:val="20"/>
      <w:szCs w:val="20"/>
    </w:rPr>
  </w:style>
  <w:style w:type="paragraph" w:customStyle="1" w:styleId="Default">
    <w:name w:val="Default"/>
    <w:pPr>
      <w:autoSpaceDE w:val="0"/>
      <w:autoSpaceDN w:val="0"/>
      <w:adjustRightInd w:val="0"/>
    </w:pPr>
    <w:rPr>
      <w:color w:val="000000"/>
      <w:sz w:val="24"/>
      <w:szCs w:val="24"/>
    </w:rPr>
  </w:style>
  <w:style w:type="character" w:customStyle="1" w:styleId="CharChar7">
    <w:name w:val="Char Char7"/>
    <w:basedOn w:val="DefaultParagraphFont"/>
    <w:locked/>
    <w:rPr>
      <w:rFonts w:cs="Times New Roman"/>
      <w:sz w:val="24"/>
      <w:szCs w:val="24"/>
      <w:lang w:val="en-US" w:eastAsia="en-US" w:bidi="ar-SA"/>
    </w:rPr>
  </w:style>
  <w:style w:type="paragraph" w:customStyle="1" w:styleId="ColorfulList-Accent11">
    <w:name w:val="Colorful List - Accent 11"/>
    <w:basedOn w:val="Normal"/>
    <w:pPr>
      <w:ind w:left="720"/>
    </w:pPr>
  </w:style>
  <w:style w:type="character" w:customStyle="1" w:styleId="CharChar6">
    <w:name w:val="Char Char6"/>
    <w:basedOn w:val="DefaultParagraphFont"/>
    <w:locked/>
    <w:rPr>
      <w:rFonts w:ascii="Arial Unicode MS" w:eastAsia="Arial Unicode MS" w:hAnsi="Arial Unicode MS" w:cs="Arial Unicode MS"/>
      <w:lang w:val="en-US" w:eastAsia="en-US" w:bidi="ar-SA"/>
    </w:rPr>
  </w:style>
  <w:style w:type="character" w:customStyle="1" w:styleId="CharChar4">
    <w:name w:val="Char Char4"/>
    <w:basedOn w:val="DefaultParagraphFont"/>
    <w:locked/>
    <w:rPr>
      <w:rFonts w:cs="Times New Roman"/>
      <w:sz w:val="24"/>
      <w:szCs w:val="24"/>
      <w:lang w:val="en-US" w:eastAsia="en-US" w:bidi="ar-SA"/>
    </w:rPr>
  </w:style>
  <w:style w:type="character" w:customStyle="1" w:styleId="updatebodytest1">
    <w:name w:val="updatebodytest1"/>
    <w:basedOn w:val="DefaultParagraphFont"/>
    <w:rPr>
      <w:rFonts w:ascii="Arial" w:hAnsi="Arial" w:cs="Arial" w:hint="default"/>
      <w:b w:val="0"/>
      <w:bCs w:val="0"/>
      <w:i w:val="0"/>
      <w:iCs w:val="0"/>
      <w:smallCaps w:val="0"/>
      <w:sz w:val="18"/>
      <w:szCs w:val="18"/>
    </w:rPr>
  </w:style>
  <w:style w:type="character" w:styleId="Strong">
    <w:name w:val="Strong"/>
    <w:basedOn w:val="DefaultParagraphFont"/>
    <w:uiPriority w:val="22"/>
    <w:qFormat/>
    <w:rPr>
      <w:b/>
      <w:bCs/>
    </w:rPr>
  </w:style>
  <w:style w:type="character" w:customStyle="1" w:styleId="headerslevel1">
    <w:name w:val="headerslevel1"/>
    <w:basedOn w:val="DefaultParagraphFont"/>
  </w:style>
  <w:style w:type="character" w:customStyle="1" w:styleId="headerslevel11">
    <w:name w:val="headerslevel11"/>
    <w:basedOn w:val="DefaultParagraphFont"/>
    <w:rPr>
      <w:rFonts w:ascii="Verdana" w:hAnsi="Verdana" w:hint="default"/>
      <w:b/>
      <w:bCs/>
      <w:color w:val="232F63"/>
      <w:sz w:val="21"/>
      <w:szCs w:val="21"/>
    </w:rPr>
  </w:style>
  <w:style w:type="paragraph" w:styleId="Revision">
    <w:name w:val="Revision"/>
    <w:hidden/>
    <w:uiPriority w:val="99"/>
    <w:semiHidden/>
    <w:rPr>
      <w:sz w:val="24"/>
      <w:szCs w:val="24"/>
    </w:r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qFormat="1"/>
    <w:lsdException w:name="footnote reference" w:uiPriority="0"/>
    <w:lsdException w:name="page number" w:uiPriority="0"/>
    <w:lsdException w:name="List Bullet 2" w:uiPriority="0"/>
    <w:lsdException w:name="Title" w:semiHidden="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52"/>
    </w:rPr>
  </w:style>
  <w:style w:type="paragraph" w:styleId="Heading2">
    <w:name w:val="heading 2"/>
    <w:basedOn w:val="Normal"/>
    <w:next w:val="Normal"/>
    <w:link w:val="Heading2Char"/>
    <w:uiPriority w:val="99"/>
    <w:qFormat/>
    <w:pPr>
      <w:keepNext/>
      <w:outlineLvl w:val="1"/>
    </w:pPr>
    <w:rPr>
      <w:rFonts w:ascii="Arial" w:hAnsi="Arial" w:cs="Arial"/>
      <w:b/>
      <w:bCs/>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rPr>
      <w:rFonts w:ascii="Calibri" w:hAnsi="Calibri"/>
      <w:b/>
      <w:bCs/>
      <w:i/>
      <w:iCs/>
      <w:sz w:val="26"/>
      <w:szCs w:val="26"/>
    </w:rPr>
  </w:style>
  <w:style w:type="character" w:customStyle="1" w:styleId="Heading6Char">
    <w:name w:val="Heading 6 Char"/>
    <w:basedOn w:val="DefaultParagraphFont"/>
    <w:link w:val="Heading6"/>
    <w:uiPriority w:val="99"/>
    <w:semiHidden/>
    <w:locked/>
    <w:rPr>
      <w:rFonts w:asciiTheme="majorHAnsi" w:eastAsiaTheme="majorEastAsia" w:hAnsiTheme="majorHAnsi" w:cstheme="majorBidi" w:hint="default"/>
      <w:i/>
      <w:iCs/>
      <w:color w:val="243F60" w:themeColor="accent1" w:themeShade="7F"/>
      <w:sz w:val="24"/>
      <w:szCs w:val="24"/>
    </w:rPr>
  </w:style>
  <w:style w:type="character" w:customStyle="1" w:styleId="Heading7Char">
    <w:name w:val="Heading 7 Char"/>
    <w:basedOn w:val="DefaultParagraphFont"/>
    <w:link w:val="Heading7"/>
    <w:uiPriority w:val="99"/>
    <w:rPr>
      <w:rFonts w:ascii="Calibri" w:hAnsi="Calibri"/>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cs="Courier New" w:hint="default"/>
    </w:rPr>
  </w:style>
  <w:style w:type="paragraph" w:styleId="NormalWeb">
    <w:name w:val="Normal (Web)"/>
    <w:basedOn w:val="Normal"/>
    <w:uiPriority w:val="99"/>
    <w:unhideWhenUsed/>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pPr>
      <w:tabs>
        <w:tab w:val="right" w:leader="dot" w:pos="9350"/>
      </w:tabs>
      <w:spacing w:before="240"/>
    </w:pPr>
    <w:rPr>
      <w:rFonts w:ascii="Arial" w:hAnsi="Arial" w:cs="Arial"/>
      <w:b/>
      <w:bCs/>
      <w:caps/>
      <w:noProof/>
      <w:color w:val="000000"/>
      <w:szCs w:val="28"/>
    </w:rPr>
  </w:style>
  <w:style w:type="paragraph" w:styleId="TOC2">
    <w:name w:val="toc 2"/>
    <w:basedOn w:val="Normal"/>
    <w:next w:val="Normal"/>
    <w:autoRedefine/>
    <w:uiPriority w:val="39"/>
    <w:unhideWhenUsed/>
    <w:pPr>
      <w:tabs>
        <w:tab w:val="right" w:leader="dot" w:pos="8630"/>
      </w:tabs>
      <w:spacing w:after="100"/>
    </w:pPr>
  </w:style>
  <w:style w:type="paragraph" w:styleId="TOC3">
    <w:name w:val="toc 3"/>
    <w:basedOn w:val="Normal"/>
    <w:next w:val="Normal"/>
    <w:autoRedefine/>
    <w:uiPriority w:val="39"/>
    <w:unhideWhenUsed/>
    <w:pPr>
      <w:tabs>
        <w:tab w:val="right" w:leader="dot" w:pos="8630"/>
      </w:tabs>
      <w:spacing w:after="100"/>
    </w:pPr>
  </w:style>
  <w:style w:type="paragraph" w:styleId="NormalIndent">
    <w:name w:val="Normal Indent"/>
    <w:basedOn w:val="Normal"/>
    <w:uiPriority w:val="99"/>
    <w:semiHidden/>
    <w:unhideWhenUsed/>
    <w:pPr>
      <w:ind w:left="720"/>
    </w:pPr>
    <w:rPr>
      <w:sz w:val="20"/>
      <w:szCs w:val="20"/>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locked/>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locked/>
  </w:style>
  <w:style w:type="paragraph" w:styleId="Header">
    <w:name w:val="header"/>
    <w:basedOn w:val="Normal"/>
    <w:link w:val="HeaderChar"/>
    <w:unhideWhenUsed/>
    <w:pPr>
      <w:tabs>
        <w:tab w:val="center" w:pos="4320"/>
        <w:tab w:val="right" w:pos="8640"/>
      </w:tabs>
    </w:pPr>
    <w:rPr>
      <w:sz w:val="20"/>
      <w:szCs w:val="20"/>
    </w:rPr>
  </w:style>
  <w:style w:type="character" w:customStyle="1" w:styleId="HeaderChar">
    <w:name w:val="Header Char"/>
    <w:basedOn w:val="DefaultParagraphFont"/>
    <w:link w:val="Header"/>
    <w:locked/>
  </w:style>
  <w:style w:type="paragraph" w:styleId="Footer">
    <w:name w:val="footer"/>
    <w:basedOn w:val="Normal"/>
    <w:link w:val="FooterChar"/>
    <w:uiPriority w:val="99"/>
    <w:unhideWhenUsed/>
    <w:pPr>
      <w:tabs>
        <w:tab w:val="center" w:pos="4320"/>
        <w:tab w:val="right" w:pos="8640"/>
      </w:tabs>
    </w:pPr>
    <w:rPr>
      <w:sz w:val="20"/>
      <w:szCs w:val="20"/>
    </w:rPr>
  </w:style>
  <w:style w:type="character" w:customStyle="1" w:styleId="FooterChar">
    <w:name w:val="Footer Char"/>
    <w:basedOn w:val="DefaultParagraphFont"/>
    <w:link w:val="Footer"/>
    <w:uiPriority w:val="99"/>
    <w:locked/>
  </w:style>
  <w:style w:type="paragraph" w:styleId="Caption">
    <w:name w:val="caption"/>
    <w:basedOn w:val="Normal"/>
    <w:next w:val="Normal"/>
    <w:uiPriority w:val="99"/>
    <w:unhideWhenUsed/>
    <w:qFormat/>
    <w:pPr>
      <w:spacing w:after="120"/>
      <w:jc w:val="center"/>
    </w:pPr>
    <w:rPr>
      <w:rFonts w:ascii="Arial" w:hAnsi="Arial" w:cs="Arial"/>
      <w:bCs/>
      <w:color w:val="000000"/>
      <w:sz w:val="40"/>
    </w:rPr>
  </w:style>
  <w:style w:type="paragraph" w:styleId="Title">
    <w:name w:val="Title"/>
    <w:basedOn w:val="Normal"/>
    <w:link w:val="TitleChar"/>
    <w:uiPriority w:val="99"/>
    <w:qFormat/>
    <w:pPr>
      <w:jc w:val="center"/>
    </w:pPr>
    <w:rPr>
      <w:rFonts w:ascii="Arial" w:hAnsi="Arial"/>
      <w:b/>
      <w:bCs/>
      <w:caps/>
    </w:rPr>
  </w:style>
  <w:style w:type="character" w:customStyle="1" w:styleId="TitleChar">
    <w:name w:val="Title Char"/>
    <w:basedOn w:val="DefaultParagraphFont"/>
    <w:link w:val="Title"/>
    <w:uiPriority w:val="99"/>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nhideWhenUsed/>
    <w:rPr>
      <w:szCs w:val="20"/>
    </w:rPr>
  </w:style>
  <w:style w:type="character" w:customStyle="1" w:styleId="BodyTextChar">
    <w:name w:val="Body Text Char"/>
    <w:basedOn w:val="DefaultParagraphFont"/>
    <w:link w:val="BodyText"/>
    <w:locked/>
    <w:rPr>
      <w:sz w:val="24"/>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locked/>
    <w:rPr>
      <w:sz w:val="24"/>
      <w:szCs w:val="24"/>
    </w:rPr>
  </w:style>
  <w:style w:type="paragraph" w:styleId="ListContinue">
    <w:name w:val="List Continue"/>
    <w:basedOn w:val="Normal"/>
    <w:semiHidden/>
    <w:unhideWhenUsed/>
    <w:pPr>
      <w:tabs>
        <w:tab w:val="left" w:pos="-720"/>
      </w:tabs>
      <w:suppressAutoHyphens/>
    </w:pPr>
    <w:rPr>
      <w:rFonts w:ascii="Courier" w:hAnsi="Courier"/>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locked/>
    <w:rPr>
      <w:sz w:val="24"/>
      <w:szCs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locked/>
    <w:rPr>
      <w:sz w:val="24"/>
      <w:szCs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sz w:val="16"/>
      <w:szCs w:val="16"/>
    </w:rPr>
  </w:style>
  <w:style w:type="paragraph" w:styleId="PlainText">
    <w:name w:val="Plain Text"/>
    <w:basedOn w:val="Normal"/>
    <w:link w:val="PlainTextChar"/>
    <w:uiPriority w:val="99"/>
    <w:unhideWhenUsed/>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StyleVerdana12ptAfter0ptLinespacingsingleChar">
    <w:name w:val="Style Verdana 12 pt After:  0 pt Line spacing:  single Char"/>
    <w:basedOn w:val="DefaultParagraphFont"/>
    <w:link w:val="StyleVerdana12ptAfter0ptLinespacingsingle"/>
    <w:locked/>
    <w:rPr>
      <w:rFonts w:ascii="Verdana" w:hAnsi="Verdana" w:hint="default"/>
      <w:sz w:val="24"/>
      <w:szCs w:val="24"/>
      <w:lang w:bidi="en-US"/>
    </w:rPr>
  </w:style>
  <w:style w:type="paragraph" w:customStyle="1" w:styleId="StyleVerdana12ptAfter0ptLinespacingsingle">
    <w:name w:val="Style Verdana 12 pt After:  0 pt Line spacing:  single"/>
    <w:basedOn w:val="Normal"/>
    <w:link w:val="StyleVerdana12ptAfter0ptLinespacingsingleChar"/>
    <w:semiHidden/>
    <w:rPr>
      <w:rFonts w:ascii="Verdana" w:hAnsi="Verdana"/>
      <w:lang w:bidi="en-US"/>
    </w:rPr>
  </w:style>
  <w:style w:type="character" w:customStyle="1" w:styleId="StyleStyleHeading1LatinVerdana12ptCenteredBefore0p1Char">
    <w:name w:val="Style Style Heading 1 + (Latin) Verdana 12 pt Centered Before:  0 p...1 Char"/>
    <w:basedOn w:val="DefaultParagraphFont"/>
    <w:link w:val="StyleStyleHeading1LatinVerdana12ptCenteredBefore0p1"/>
    <w:locked/>
    <w:rPr>
      <w:rFonts w:ascii="Arial" w:hAnsi="Arial" w:cs="Arial" w:hint="default"/>
      <w:b/>
      <w:bCs/>
      <w:color w:val="000000"/>
      <w:sz w:val="24"/>
      <w:szCs w:val="24"/>
      <w:lang w:bidi="en-US"/>
    </w:rPr>
  </w:style>
  <w:style w:type="paragraph" w:customStyle="1" w:styleId="StyleStyleHeading1LatinVerdana12ptCenteredBefore0p1">
    <w:name w:val="Style Style Heading 1 + (Latin) Verdana 12 pt Centered Before:  0 p...1"/>
    <w:basedOn w:val="Heading1"/>
    <w:next w:val="Heading1"/>
    <w:link w:val="StyleStyleHeading1LatinVerdana12ptCenteredBefore0p1Char"/>
    <w:autoRedefine/>
    <w:semiHidden/>
    <w:pPr>
      <w:keepLines/>
      <w:spacing w:line="276" w:lineRule="auto"/>
    </w:pPr>
    <w:rPr>
      <w:color w:val="000000"/>
      <w:sz w:val="24"/>
      <w:lang w:bidi="en-US"/>
    </w:rPr>
  </w:style>
  <w:style w:type="paragraph" w:customStyle="1" w:styleId="Steps">
    <w:name w:val="Steps"/>
    <w:basedOn w:val="Normal"/>
    <w:uiPriority w:val="99"/>
    <w:pPr>
      <w:widowControl w:val="0"/>
      <w:tabs>
        <w:tab w:val="left" w:pos="1080"/>
      </w:tabs>
      <w:overflowPunct w:val="0"/>
      <w:autoSpaceDE w:val="0"/>
      <w:autoSpaceDN w:val="0"/>
      <w:adjustRightInd w:val="0"/>
    </w:pPr>
    <w:rPr>
      <w:szCs w:val="20"/>
    </w:rPr>
  </w:style>
  <w:style w:type="paragraph" w:customStyle="1" w:styleId="Style">
    <w:name w:val="Style"/>
    <w:basedOn w:val="Normal"/>
    <w:uiPriority w:val="99"/>
    <w:pPr>
      <w:widowControl w:val="0"/>
      <w:overflowPunct w:val="0"/>
      <w:autoSpaceDE w:val="0"/>
      <w:autoSpaceDN w:val="0"/>
      <w:adjustRightInd w:val="0"/>
      <w:ind w:left="720" w:hanging="720"/>
    </w:pPr>
    <w:rPr>
      <w:rFonts w:ascii="Courier" w:hAnsi="Courier"/>
      <w:szCs w:val="20"/>
    </w:rPr>
  </w:style>
  <w:style w:type="paragraph" w:customStyle="1" w:styleId="h3">
    <w:name w:val="h3"/>
    <w:basedOn w:val="Normal"/>
    <w:pPr>
      <w:spacing w:before="100" w:beforeAutospacing="1"/>
    </w:pPr>
    <w:rPr>
      <w:rFonts w:ascii="Arial" w:eastAsia="Arial Unicode MS" w:hAnsi="Arial" w:cs="Arial"/>
      <w:b/>
      <w:bCs/>
    </w:rPr>
  </w:style>
  <w:style w:type="paragraph" w:customStyle="1" w:styleId="Itemmarkedbyl">
    <w:name w:val="Item marked by (l)"/>
    <w:basedOn w:val="Normal"/>
    <w:uiPriority w:val="99"/>
    <w:pPr>
      <w:tabs>
        <w:tab w:val="num" w:pos="360"/>
      </w:tabs>
    </w:pPr>
    <w:rPr>
      <w:szCs w:val="20"/>
    </w:rPr>
  </w:style>
  <w:style w:type="paragraph" w:customStyle="1" w:styleId="toplogo">
    <w:name w:val="toplogo"/>
    <w:basedOn w:val="Normal"/>
    <w:uiPriority w:val="99"/>
    <w:pPr>
      <w:spacing w:before="100" w:beforeAutospacing="1"/>
    </w:pPr>
    <w:rPr>
      <w:rFonts w:ascii="Arial" w:eastAsia="Arial Unicode MS" w:hAnsi="Arial" w:cs="Arial"/>
      <w:b/>
      <w:bCs/>
      <w:sz w:val="28"/>
      <w:szCs w:val="28"/>
    </w:rPr>
  </w:style>
  <w:style w:type="character" w:styleId="FootnoteReference">
    <w:name w:val="footnote reference"/>
    <w:basedOn w:val="DefaultParagraphFont"/>
    <w:semiHidden/>
    <w:unhideWhenUsed/>
    <w:rPr>
      <w:position w:val="6"/>
      <w:sz w:val="16"/>
    </w:rPr>
  </w:style>
  <w:style w:type="character" w:styleId="CommentReference">
    <w:name w:val="annotation reference"/>
    <w:basedOn w:val="DefaultParagraphFont"/>
    <w:uiPriority w:val="99"/>
    <w:semiHidden/>
    <w:unhideWhenUsed/>
    <w:rPr>
      <w:sz w:val="16"/>
      <w:szCs w:val="16"/>
    </w:rPr>
  </w:style>
  <w:style w:type="paragraph" w:customStyle="1" w:styleId="p">
    <w:name w:val="p"/>
    <w:basedOn w:val="Normal"/>
    <w:uiPriority w:val="99"/>
    <w:pPr>
      <w:spacing w:before="100" w:beforeAutospacing="1" w:after="100" w:afterAutospacing="1"/>
      <w:jc w:val="center"/>
    </w:pPr>
    <w:rPr>
      <w:rFonts w:ascii="Arial" w:eastAsia="Arial Unicode MS" w:hAnsi="Arial" w:cs="Arial"/>
    </w:rPr>
  </w:style>
  <w:style w:type="paragraph" w:customStyle="1" w:styleId="DefinitionTerm">
    <w:name w:val="Definition Term"/>
    <w:basedOn w:val="Normal"/>
    <w:next w:val="Normal"/>
    <w:uiPriority w:val="99"/>
    <w:pPr>
      <w:widowControl w:val="0"/>
    </w:pPr>
    <w:rPr>
      <w:szCs w:val="20"/>
    </w:rPr>
  </w:style>
  <w:style w:type="paragraph" w:customStyle="1" w:styleId="Formal2">
    <w:name w:val="Formal2"/>
    <w:basedOn w:val="Normal"/>
    <w:uiPriority w:val="99"/>
    <w:pPr>
      <w:widowControl w:val="0"/>
      <w:spacing w:before="60" w:after="60"/>
    </w:pPr>
    <w:rPr>
      <w:rFonts w:ascii="Arial" w:hAnsi="Arial"/>
      <w:b/>
      <w:noProof/>
      <w:szCs w:val="20"/>
    </w:rPr>
  </w:style>
  <w:style w:type="paragraph" w:styleId="ListNumber2">
    <w:name w:val="List Number 2"/>
    <w:basedOn w:val="Normal"/>
    <w:uiPriority w:val="99"/>
    <w:semiHidden/>
    <w:pPr>
      <w:numPr>
        <w:numId w:val="12"/>
      </w:numPr>
      <w:tabs>
        <w:tab w:val="clear" w:pos="540"/>
        <w:tab w:val="num" w:pos="720"/>
      </w:tabs>
      <w:ind w:left="720" w:hanging="360"/>
      <w:contextualSpacing/>
    </w:pPr>
  </w:style>
  <w:style w:type="character" w:customStyle="1" w:styleId="EmailStyle63">
    <w:name w:val="EmailStyle63"/>
    <w:basedOn w:val="DefaultParagraphFont"/>
    <w:uiPriority w:val="99"/>
    <w:rPr>
      <w:rFonts w:ascii="Arial" w:hAnsi="Arial" w:cs="Arial"/>
      <w:color w:val="993366"/>
      <w:sz w:val="20"/>
    </w:rPr>
  </w:style>
  <w:style w:type="character" w:customStyle="1" w:styleId="BodyText3Char">
    <w:name w:val="Body Text 3 Char"/>
    <w:basedOn w:val="DefaultParagraphFont"/>
    <w:link w:val="BodyText3"/>
    <w:uiPriority w:val="99"/>
    <w:semiHidden/>
    <w:rPr>
      <w:sz w:val="16"/>
      <w:szCs w:val="16"/>
    </w:rPr>
  </w:style>
  <w:style w:type="paragraph" w:styleId="BodyText3">
    <w:name w:val="Body Text 3"/>
    <w:basedOn w:val="Normal"/>
    <w:link w:val="BodyText3Char"/>
    <w:uiPriority w:val="99"/>
    <w:semiHidden/>
    <w:pPr>
      <w:spacing w:after="120"/>
    </w:pPr>
    <w:rPr>
      <w:sz w:val="16"/>
      <w:szCs w:val="16"/>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fontsmall">
    <w:name w:val="fontsmall"/>
    <w:basedOn w:val="Normal"/>
    <w:uiPriority w:val="99"/>
    <w:pPr>
      <w:spacing w:before="100" w:beforeAutospacing="1" w:after="100" w:afterAutospacing="1"/>
    </w:pPr>
    <w:rPr>
      <w:rFonts w:ascii="Arial" w:eastAsia="Arial Unicode MS" w:hAnsi="Arial" w:cs="Arial"/>
      <w:sz w:val="22"/>
      <w:szCs w:val="22"/>
    </w:rPr>
  </w:style>
  <w:style w:type="character" w:customStyle="1" w:styleId="subhead1">
    <w:name w:val="subhead1"/>
    <w:basedOn w:val="DefaultParagraphFont"/>
    <w:uiPriority w:val="99"/>
    <w:rPr>
      <w:rFonts w:cs="Times New Roman"/>
      <w:b/>
      <w:bCs/>
    </w:rPr>
  </w:style>
  <w:style w:type="character" w:customStyle="1" w:styleId="hometextdark1">
    <w:name w:val="hometextdark1"/>
    <w:basedOn w:val="DefaultParagraphFont"/>
    <w:uiPriority w:val="99"/>
    <w:rPr>
      <w:rFonts w:ascii="Arial" w:hAnsi="Arial" w:cs="Arial"/>
      <w:b/>
      <w:bCs/>
      <w:color w:val="333333"/>
      <w:sz w:val="18"/>
      <w:szCs w:val="18"/>
    </w:rPr>
  </w:style>
  <w:style w:type="paragraph" w:styleId="NoSpacing">
    <w:name w:val="No Spacing"/>
    <w:uiPriority w:val="1"/>
    <w:qFormat/>
    <w:rPr>
      <w:rFonts w:ascii="Calibri" w:eastAsia="Calibri" w:hAnsi="Calibri"/>
      <w:sz w:val="22"/>
      <w:szCs w:val="22"/>
    </w:rPr>
  </w:style>
  <w:style w:type="character" w:customStyle="1" w:styleId="CommentSubjectChar">
    <w:name w:val="Comment Subject Char"/>
    <w:basedOn w:val="CommentTextChar"/>
    <w:link w:val="CommentSubject"/>
    <w:uiPriority w:val="99"/>
    <w:semiHidden/>
    <w:rPr>
      <w:b/>
      <w:bCs/>
    </w:rPr>
  </w:style>
  <w:style w:type="paragraph" w:styleId="CommentSubject">
    <w:name w:val="annotation subject"/>
    <w:basedOn w:val="CommentText"/>
    <w:next w:val="CommentText"/>
    <w:link w:val="CommentSubjectChar"/>
    <w:uiPriority w:val="99"/>
    <w:semiHidden/>
    <w:rPr>
      <w:b/>
      <w:bCs/>
    </w:rPr>
  </w:style>
  <w:style w:type="paragraph" w:styleId="ListBullet2">
    <w:name w:val="List Bullet 2"/>
    <w:basedOn w:val="Normal"/>
    <w:autoRedefine/>
    <w:semiHidden/>
    <w:pPr>
      <w:numPr>
        <w:numId w:val="14"/>
      </w:numPr>
    </w:pPr>
    <w:rPr>
      <w:sz w:val="20"/>
      <w:szCs w:val="20"/>
    </w:rPr>
  </w:style>
  <w:style w:type="paragraph" w:customStyle="1" w:styleId="Default">
    <w:name w:val="Default"/>
    <w:pPr>
      <w:autoSpaceDE w:val="0"/>
      <w:autoSpaceDN w:val="0"/>
      <w:adjustRightInd w:val="0"/>
    </w:pPr>
    <w:rPr>
      <w:color w:val="000000"/>
      <w:sz w:val="24"/>
      <w:szCs w:val="24"/>
    </w:rPr>
  </w:style>
  <w:style w:type="character" w:customStyle="1" w:styleId="CharChar7">
    <w:name w:val="Char Char7"/>
    <w:basedOn w:val="DefaultParagraphFont"/>
    <w:locked/>
    <w:rPr>
      <w:rFonts w:cs="Times New Roman"/>
      <w:sz w:val="24"/>
      <w:szCs w:val="24"/>
      <w:lang w:val="en-US" w:eastAsia="en-US" w:bidi="ar-SA"/>
    </w:rPr>
  </w:style>
  <w:style w:type="paragraph" w:customStyle="1" w:styleId="ColorfulList-Accent11">
    <w:name w:val="Colorful List - Accent 11"/>
    <w:basedOn w:val="Normal"/>
    <w:pPr>
      <w:ind w:left="720"/>
    </w:pPr>
  </w:style>
  <w:style w:type="character" w:customStyle="1" w:styleId="CharChar6">
    <w:name w:val="Char Char6"/>
    <w:basedOn w:val="DefaultParagraphFont"/>
    <w:locked/>
    <w:rPr>
      <w:rFonts w:ascii="Arial Unicode MS" w:eastAsia="Arial Unicode MS" w:hAnsi="Arial Unicode MS" w:cs="Arial Unicode MS"/>
      <w:lang w:val="en-US" w:eastAsia="en-US" w:bidi="ar-SA"/>
    </w:rPr>
  </w:style>
  <w:style w:type="character" w:customStyle="1" w:styleId="CharChar4">
    <w:name w:val="Char Char4"/>
    <w:basedOn w:val="DefaultParagraphFont"/>
    <w:locked/>
    <w:rPr>
      <w:rFonts w:cs="Times New Roman"/>
      <w:sz w:val="24"/>
      <w:szCs w:val="24"/>
      <w:lang w:val="en-US" w:eastAsia="en-US" w:bidi="ar-SA"/>
    </w:rPr>
  </w:style>
  <w:style w:type="character" w:customStyle="1" w:styleId="updatebodytest1">
    <w:name w:val="updatebodytest1"/>
    <w:basedOn w:val="DefaultParagraphFont"/>
    <w:rPr>
      <w:rFonts w:ascii="Arial" w:hAnsi="Arial" w:cs="Arial" w:hint="default"/>
      <w:b w:val="0"/>
      <w:bCs w:val="0"/>
      <w:i w:val="0"/>
      <w:iCs w:val="0"/>
      <w:smallCaps w:val="0"/>
      <w:sz w:val="18"/>
      <w:szCs w:val="18"/>
    </w:rPr>
  </w:style>
  <w:style w:type="character" w:styleId="Strong">
    <w:name w:val="Strong"/>
    <w:basedOn w:val="DefaultParagraphFont"/>
    <w:uiPriority w:val="22"/>
    <w:qFormat/>
    <w:rPr>
      <w:b/>
      <w:bCs/>
    </w:rPr>
  </w:style>
  <w:style w:type="character" w:customStyle="1" w:styleId="headerslevel1">
    <w:name w:val="headerslevel1"/>
    <w:basedOn w:val="DefaultParagraphFont"/>
  </w:style>
  <w:style w:type="character" w:customStyle="1" w:styleId="headerslevel11">
    <w:name w:val="headerslevel11"/>
    <w:basedOn w:val="DefaultParagraphFont"/>
    <w:rPr>
      <w:rFonts w:ascii="Verdana" w:hAnsi="Verdana" w:hint="default"/>
      <w:b/>
      <w:bCs/>
      <w:color w:val="232F63"/>
      <w:sz w:val="21"/>
      <w:szCs w:val="21"/>
    </w:rPr>
  </w:style>
  <w:style w:type="paragraph" w:styleId="Revision">
    <w:name w:val="Revision"/>
    <w:hidden/>
    <w:uiPriority w:val="99"/>
    <w:semiHidden/>
    <w:rPr>
      <w:sz w:val="24"/>
      <w:szCs w:val="24"/>
    </w:r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2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ed.gov/about/offices/list/ope/fipse/index.html" TargetMode="External"/><Relationship Id="rId18" Type="http://schemas.openxmlformats.org/officeDocument/2006/relationships/hyperlink" Target="http://www.grants.gov/web/grants/register.html" TargetMode="External"/><Relationship Id="rId26" Type="http://schemas.openxmlformats.org/officeDocument/2006/relationships/hyperlink" Target="http://www.grants.gov/web/grants/support/general-support/faqs.html" TargetMode="External"/><Relationship Id="rId39" Type="http://schemas.openxmlformats.org/officeDocument/2006/relationships/hyperlink" Target="http://www.whitehouse.gov/omb/grants/spoc.PDF" TargetMode="External"/><Relationship Id="rId3" Type="http://schemas.openxmlformats.org/officeDocument/2006/relationships/styles" Target="styles.xml"/><Relationship Id="rId21" Type="http://schemas.openxmlformats.org/officeDocument/2006/relationships/hyperlink" Target="http://www.grants.gov/web/grants/applicants/applicant-faqs.html" TargetMode="External"/><Relationship Id="rId34" Type="http://schemas.openxmlformats.org/officeDocument/2006/relationships/hyperlink" Target="http://www.Grants.gov" TargetMode="External"/><Relationship Id="rId42" Type="http://schemas.openxmlformats.org/officeDocument/2006/relationships/hyperlink" Target="mailto:kelly.harris@ed.gov" TargetMode="External"/><Relationship Id="rId47" Type="http://schemas.openxmlformats.org/officeDocument/2006/relationships/hyperlink" Target="http://www.ed.gov/policy/fund/reg/edgarReg/edgar.html" TargetMode="External"/><Relationship Id="rId50" Type="http://schemas.openxmlformats.org/officeDocument/2006/relationships/hyperlink" Target="http://www.ed.gov/programs/fipsecomp/performance.html" TargetMode="External"/><Relationship Id="rId7" Type="http://schemas.openxmlformats.org/officeDocument/2006/relationships/footnotes" Target="footnotes.xml"/><Relationship Id="rId12" Type="http://schemas.openxmlformats.org/officeDocument/2006/relationships/hyperlink" Target="http://Grants.gov" TargetMode="External"/><Relationship Id="rId17" Type="http://schemas.openxmlformats.org/officeDocument/2006/relationships/hyperlink" Target="http://www.sam.gov" TargetMode="External"/><Relationship Id="rId25" Type="http://schemas.openxmlformats.org/officeDocument/2006/relationships/hyperlink" Target="http://www.grants.gov/web/grants/about/contact-us.html" TargetMode="External"/><Relationship Id="rId33" Type="http://schemas.openxmlformats.org/officeDocument/2006/relationships/hyperlink" Target="http://www.SAM.gov" TargetMode="External"/><Relationship Id="rId38" Type="http://schemas.openxmlformats.org/officeDocument/2006/relationships/hyperlink" Target="http://www.federalregister.gov"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2.ed.gov/fund/grant/apply/sam-faqs.html" TargetMode="External"/><Relationship Id="rId29" Type="http://schemas.openxmlformats.org/officeDocument/2006/relationships/hyperlink" Target="http://grants.gov" TargetMode="External"/><Relationship Id="rId41" Type="http://schemas.openxmlformats.org/officeDocument/2006/relationships/hyperlink" Target="http://www.ed.gov/programs/fipsecomp/performanc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nts.gov" TargetMode="External"/><Relationship Id="rId24" Type="http://schemas.openxmlformats.org/officeDocument/2006/relationships/hyperlink" Target="https://grants-portal.psc.gov/Welcome.aspx?pt=Grants" TargetMode="External"/><Relationship Id="rId32" Type="http://schemas.openxmlformats.org/officeDocument/2006/relationships/hyperlink" Target="mailto:edpubs@inet.ed.gov" TargetMode="External"/><Relationship Id="rId37" Type="http://schemas.openxmlformats.org/officeDocument/2006/relationships/hyperlink" Target="file:///C:\Users\tonya.hardin\AppData\Local\Microsoft\Windows\Temporary%20Internet%20Files\Content.Outlook\8DXGK9TN\www.gpo.gov\fdsys" TargetMode="External"/><Relationship Id="rId40" Type="http://schemas.openxmlformats.org/officeDocument/2006/relationships/hyperlink" Target="https://fipsedatabase.ed.gov/fipse/index.cfm" TargetMode="External"/><Relationship Id="rId45" Type="http://schemas.openxmlformats.org/officeDocument/2006/relationships/hyperlink" Target="http://ohrp.cit.nih.gov/search/asearch.asp"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grants.gov/web/grants/about/contact-us.html" TargetMode="External"/><Relationship Id="rId28" Type="http://schemas.openxmlformats.org/officeDocument/2006/relationships/hyperlink" Target="http://www.grants.gov/web/grants/support/technical-support/software/pdf-conversion-software.html" TargetMode="External"/><Relationship Id="rId36" Type="http://schemas.openxmlformats.org/officeDocument/2006/relationships/hyperlink" Target="mailto:FAX" TargetMode="External"/><Relationship Id="rId49" Type="http://schemas.openxmlformats.org/officeDocument/2006/relationships/hyperlink" Target="http://www.ed.gov/about/offices/list/ope/trio/index.html" TargetMode="External"/><Relationship Id="rId10" Type="http://schemas.openxmlformats.org/officeDocument/2006/relationships/footer" Target="footer1.xml"/><Relationship Id="rId19" Type="http://schemas.openxmlformats.org/officeDocument/2006/relationships/hyperlink" Target="http://www.sam.gov" TargetMode="External"/><Relationship Id="rId31" Type="http://schemas.openxmlformats.org/officeDocument/2006/relationships/hyperlink" Target="http://www.EDPubs.gov" TargetMode="External"/><Relationship Id="rId44" Type="http://schemas.openxmlformats.org/officeDocument/2006/relationships/hyperlink" Target="http://www.grants.gov/applicants/find_grant_opportunities.jsp"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grants.gov/web/grants/support/technical-support/software/adobe-reader-compatibility.html" TargetMode="External"/><Relationship Id="rId22" Type="http://schemas.openxmlformats.org/officeDocument/2006/relationships/hyperlink" Target="http://www.grants.gov/web/grants/support/technical-support/troubleshooting/encountering-error-messages.html" TargetMode="External"/><Relationship Id="rId27" Type="http://schemas.openxmlformats.org/officeDocument/2006/relationships/hyperlink" Target="http://www.grants.gov/web/grants/support/technical-support/recommended-software.html" TargetMode="External"/><Relationship Id="rId30" Type="http://schemas.openxmlformats.org/officeDocument/2006/relationships/hyperlink" Target="http://www.grants.gov" TargetMode="External"/><Relationship Id="rId35" Type="http://schemas.openxmlformats.org/officeDocument/2006/relationships/hyperlink" Target="http://www.G5.gov" TargetMode="External"/><Relationship Id="rId43" Type="http://schemas.openxmlformats.org/officeDocument/2006/relationships/hyperlink" Target="mailto:support@grants.gov" TargetMode="External"/><Relationship Id="rId48" Type="http://schemas.openxmlformats.org/officeDocument/2006/relationships/hyperlink" Target="https://fipsedatabase.ed.gov/fipse/index.cfm" TargetMode="External"/><Relationship Id="rId8" Type="http://schemas.openxmlformats.org/officeDocument/2006/relationships/endnotes" Target="endnotes.xml"/><Relationship Id="rId51" Type="http://schemas.openxmlformats.org/officeDocument/2006/relationships/hyperlink" Target="mailto:kelly.harri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E85B-2BA6-4451-990C-F3A65665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22159</Words>
  <Characters>126311</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148174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donna.hoblit</dc:creator>
  <cp:lastModifiedBy>Kate Mullan</cp:lastModifiedBy>
  <cp:revision>2</cp:revision>
  <cp:lastPrinted>2014-05-16T14:16:00Z</cp:lastPrinted>
  <dcterms:created xsi:type="dcterms:W3CDTF">2014-05-19T19:05:00Z</dcterms:created>
  <dcterms:modified xsi:type="dcterms:W3CDTF">2014-05-19T19:05:00Z</dcterms:modified>
</cp:coreProperties>
</file>