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96" w:rsidRPr="00540F8B" w:rsidRDefault="00710996" w:rsidP="00710996">
      <w:pPr>
        <w:autoSpaceDE w:val="0"/>
        <w:autoSpaceDN w:val="0"/>
        <w:adjustRightInd w:val="0"/>
        <w:jc w:val="center"/>
        <w:rPr>
          <w:bCs/>
        </w:rPr>
      </w:pPr>
      <w:r w:rsidRPr="00540F8B">
        <w:rPr>
          <w:bCs/>
        </w:rPr>
        <w:t>SUPPORTING STATEMENT FOR PAPERWORK REDUCTION ACT SUBMISSIONS UNDER 5 CFR PART 1320</w:t>
      </w:r>
    </w:p>
    <w:p w:rsidR="00710996" w:rsidRPr="00540F8B" w:rsidRDefault="00710996" w:rsidP="00710996">
      <w:pPr>
        <w:autoSpaceDE w:val="0"/>
        <w:autoSpaceDN w:val="0"/>
        <w:adjustRightInd w:val="0"/>
        <w:jc w:val="center"/>
        <w:rPr>
          <w:bCs/>
        </w:rPr>
      </w:pPr>
      <w:r w:rsidRPr="00540F8B">
        <w:rPr>
          <w:bCs/>
        </w:rPr>
        <w:t>Information Collection: 2133-00</w:t>
      </w:r>
      <w:r w:rsidR="00796C6C" w:rsidRPr="00540F8B">
        <w:rPr>
          <w:bCs/>
        </w:rPr>
        <w:t>32</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Justification</w:t>
      </w:r>
    </w:p>
    <w:p w:rsidR="00796C6C" w:rsidRPr="00540F8B" w:rsidRDefault="00796C6C" w:rsidP="00710996">
      <w:pPr>
        <w:autoSpaceDE w:val="0"/>
        <w:autoSpaceDN w:val="0"/>
        <w:adjustRightInd w:val="0"/>
      </w:pPr>
    </w:p>
    <w:p w:rsidR="00710996" w:rsidRPr="00540F8B" w:rsidRDefault="00710996" w:rsidP="00710996">
      <w:pPr>
        <w:autoSpaceDE w:val="0"/>
        <w:autoSpaceDN w:val="0"/>
        <w:adjustRightInd w:val="0"/>
        <w:rPr>
          <w:bCs/>
        </w:rPr>
      </w:pPr>
      <w:r w:rsidRPr="00540F8B">
        <w:rPr>
          <w:bCs/>
        </w:rPr>
        <w:t>1. Explain the circumstances that make the collection of information necessary.</w:t>
      </w:r>
      <w:r w:rsidR="008477D6" w:rsidRPr="00540F8B">
        <w:rPr>
          <w:bCs/>
        </w:rPr>
        <w:t xml:space="preserve">  </w:t>
      </w:r>
      <w:r w:rsidRPr="00540F8B">
        <w:rPr>
          <w:bCs/>
        </w:rPr>
        <w:t>Identify any legal or administrative requirements that necessitate the collection</w:t>
      </w:r>
      <w:r w:rsidR="00502125" w:rsidRPr="00540F8B">
        <w:rPr>
          <w:bCs/>
        </w:rPr>
        <w:t xml:space="preserve">.  </w:t>
      </w:r>
      <w:r w:rsidRPr="00540F8B">
        <w:rPr>
          <w:bCs/>
        </w:rPr>
        <w:t>Attach a copy of the appropriate section of each statute and regulation mandating or authorizing the collection of information.</w:t>
      </w:r>
    </w:p>
    <w:p w:rsidR="007D1B9D" w:rsidRPr="00540F8B" w:rsidRDefault="007D1B9D" w:rsidP="00710996">
      <w:pPr>
        <w:autoSpaceDE w:val="0"/>
        <w:autoSpaceDN w:val="0"/>
        <w:adjustRightInd w:val="0"/>
        <w:rPr>
          <w:bCs/>
        </w:rPr>
      </w:pPr>
    </w:p>
    <w:p w:rsidR="00CF2670" w:rsidRDefault="007D1B9D" w:rsidP="00710996">
      <w:pPr>
        <w:autoSpaceDE w:val="0"/>
        <w:autoSpaceDN w:val="0"/>
        <w:adjustRightInd w:val="0"/>
      </w:pPr>
      <w:r w:rsidRPr="00CF2670">
        <w:t xml:space="preserve">The Construction Reserve Fund (CRF), authorized by 46 U.S.C. Chapter 533 (the Act), is a financial assistance program which provides tax deferral benefits to U.S.-flag operators. </w:t>
      </w:r>
      <w:r w:rsidR="00AB2E26" w:rsidRPr="00CF2670">
        <w:t xml:space="preserve"> </w:t>
      </w:r>
      <w:r w:rsidRPr="00CF2670">
        <w:t xml:space="preserve">The CRF is available to all citizens of the United States.  Applications are required only from citizens desiring to obtain benefits under the CRF program.  Annual statements are required from account holders to assure that the requirements of the program are being satisfied.  The primary purpose of the CRF is to promote the construction, reconstruction, reconditioning, or acquisition of merchant </w:t>
      </w:r>
      <w:r w:rsidR="00502125" w:rsidRPr="00CF2670">
        <w:t>vessels, which</w:t>
      </w:r>
      <w:r w:rsidRPr="00CF2670">
        <w:t xml:space="preserve"> are necessary for national defense and to the development of U.S. commerce.</w:t>
      </w:r>
      <w:r w:rsidR="00AB2E26" w:rsidRPr="00CF2670">
        <w:t xml:space="preserve">  </w:t>
      </w:r>
    </w:p>
    <w:p w:rsidR="00CF2670" w:rsidRDefault="00CF2670" w:rsidP="00710996">
      <w:pPr>
        <w:autoSpaceDE w:val="0"/>
        <w:autoSpaceDN w:val="0"/>
        <w:adjustRightInd w:val="0"/>
      </w:pPr>
    </w:p>
    <w:p w:rsidR="00710996" w:rsidRPr="00CF2670" w:rsidRDefault="00710996" w:rsidP="00710996">
      <w:pPr>
        <w:autoSpaceDE w:val="0"/>
        <w:autoSpaceDN w:val="0"/>
        <w:adjustRightInd w:val="0"/>
      </w:pPr>
      <w:r w:rsidRPr="00CF2670">
        <w:t>This information collection supports the Secretary of Transportation's economic growth and trade strategic goal.</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rPr>
          <w:bCs/>
        </w:rPr>
      </w:pPr>
      <w:r w:rsidRPr="00540F8B">
        <w:rPr>
          <w:bCs/>
        </w:rPr>
        <w:t>2. Indicate how, by whom, and for what purpose the information is to be used</w:t>
      </w:r>
      <w:r w:rsidR="00502125" w:rsidRPr="00540F8B">
        <w:rPr>
          <w:bCs/>
        </w:rPr>
        <w:t xml:space="preserve">.  </w:t>
      </w:r>
      <w:r w:rsidRPr="00540F8B">
        <w:rPr>
          <w:bCs/>
        </w:rPr>
        <w:t>Except for a new collection, indicate the actual use the agency has made of the information received from the current collection.</w:t>
      </w:r>
    </w:p>
    <w:p w:rsidR="00540F8B" w:rsidRPr="00CF2670" w:rsidRDefault="00540F8B" w:rsidP="00540F8B">
      <w:pPr>
        <w:pStyle w:val="NormalWeb"/>
      </w:pPr>
      <w:r w:rsidRPr="00CF2670">
        <w:t>A CRF may be established by any citizen of the United States who owns, in whole or in part, a vessel or vessels operating in the foreign or domestic commerce of the United States or in the fisheries.  Additionally, a citizen who is operating such vessel or vessels owned by another individual may establish a CRF.  The benefits available to the non-owner operator, however, are limited.</w:t>
      </w:r>
    </w:p>
    <w:p w:rsidR="008B2A1E" w:rsidRPr="00CF2670" w:rsidRDefault="00796C6C" w:rsidP="00710996">
      <w:pPr>
        <w:autoSpaceDE w:val="0"/>
        <w:autoSpaceDN w:val="0"/>
        <w:adjustRightInd w:val="0"/>
      </w:pPr>
      <w:r w:rsidRPr="00CF2670">
        <w:t>T</w:t>
      </w:r>
      <w:r w:rsidR="00710996" w:rsidRPr="00CF2670">
        <w:t xml:space="preserve">he information provided </w:t>
      </w:r>
      <w:r w:rsidRPr="00CF2670">
        <w:t xml:space="preserve">in the application will be utilized by the </w:t>
      </w:r>
      <w:r w:rsidR="008477D6" w:rsidRPr="00CF2670">
        <w:rPr>
          <w:bCs/>
        </w:rPr>
        <w:t>Maritime Administration</w:t>
      </w:r>
      <w:r w:rsidR="00710996" w:rsidRPr="00CF2670">
        <w:rPr>
          <w:bCs/>
        </w:rPr>
        <w:t xml:space="preserve"> </w:t>
      </w:r>
      <w:r w:rsidRPr="00CF2670">
        <w:rPr>
          <w:bCs/>
        </w:rPr>
        <w:t xml:space="preserve">(MARAD) </w:t>
      </w:r>
      <w:r w:rsidR="00710996" w:rsidRPr="00CF2670">
        <w:t xml:space="preserve">to determine </w:t>
      </w:r>
      <w:r w:rsidRPr="00CF2670">
        <w:t xml:space="preserve">if </w:t>
      </w:r>
      <w:r w:rsidR="00710996" w:rsidRPr="00CF2670">
        <w:t>an applicant</w:t>
      </w:r>
      <w:r w:rsidRPr="00CF2670">
        <w:t xml:space="preserve"> qualified for the benefits.  The annual statement is used by MARAD to assure that accountholders are </w:t>
      </w:r>
      <w:r w:rsidR="008B2A1E" w:rsidRPr="00CF2670">
        <w:t>satisfying the requirements of the program.</w:t>
      </w:r>
    </w:p>
    <w:p w:rsidR="00540F8B" w:rsidRPr="00540F8B" w:rsidRDefault="00540F8B" w:rsidP="00710996">
      <w:pPr>
        <w:autoSpaceDE w:val="0"/>
        <w:autoSpaceDN w:val="0"/>
        <w:adjustRightInd w:val="0"/>
      </w:pPr>
    </w:p>
    <w:p w:rsidR="00710996" w:rsidRPr="00540F8B" w:rsidRDefault="00710996" w:rsidP="00710996">
      <w:pPr>
        <w:autoSpaceDE w:val="0"/>
        <w:autoSpaceDN w:val="0"/>
        <w:adjustRightInd w:val="0"/>
      </w:pPr>
      <w:r w:rsidRPr="00540F8B">
        <w:t>3. Describe whether, and to what extent, the collection of information involves the use of automated, electronic, mechanical, or other technological collection techniques or other forms of information technology</w:t>
      </w:r>
      <w:r w:rsidR="00502125" w:rsidRPr="00540F8B">
        <w:t xml:space="preserve">.  </w:t>
      </w:r>
      <w:r w:rsidRPr="00540F8B">
        <w:t>Also describe any consideration of using information technology to reduce burden.</w:t>
      </w:r>
    </w:p>
    <w:p w:rsidR="00710996" w:rsidRPr="00540F8B" w:rsidRDefault="00710996" w:rsidP="00710996">
      <w:pPr>
        <w:autoSpaceDE w:val="0"/>
        <w:autoSpaceDN w:val="0"/>
        <w:adjustRightInd w:val="0"/>
      </w:pPr>
    </w:p>
    <w:p w:rsidR="003B0FB4" w:rsidRPr="00CF2670" w:rsidRDefault="003B0FB4" w:rsidP="003B0FB4">
      <w:r w:rsidRPr="00CF2670">
        <w:t>MarAd is in communication with fund holders on a regular basis and encourages electric filing</w:t>
      </w:r>
      <w:r w:rsidR="00502125" w:rsidRPr="00CF2670">
        <w:t xml:space="preserve">.  </w:t>
      </w:r>
      <w:r w:rsidRPr="00CF2670">
        <w:t xml:space="preserve">In </w:t>
      </w:r>
      <w:r w:rsidR="00502125" w:rsidRPr="00CF2670">
        <w:t>fact,</w:t>
      </w:r>
      <w:r w:rsidRPr="00CF2670">
        <w:t xml:space="preserve"> </w:t>
      </w:r>
      <w:r w:rsidR="00D04F3B">
        <w:t xml:space="preserve">about </w:t>
      </w:r>
      <w:r w:rsidRPr="00CF2670">
        <w:t xml:space="preserve">90 % of filings </w:t>
      </w:r>
      <w:proofErr w:type="gramStart"/>
      <w:r w:rsidRPr="00CF2670">
        <w:t>are now done</w:t>
      </w:r>
      <w:proofErr w:type="gramEnd"/>
      <w:r w:rsidRPr="00CF2670">
        <w:t xml:space="preserve"> electronically.</w:t>
      </w:r>
    </w:p>
    <w:p w:rsidR="008B2A1E" w:rsidRPr="00540F8B" w:rsidRDefault="008B2A1E" w:rsidP="00710996">
      <w:pPr>
        <w:autoSpaceDE w:val="0"/>
        <w:autoSpaceDN w:val="0"/>
        <w:adjustRightInd w:val="0"/>
      </w:pPr>
    </w:p>
    <w:p w:rsidR="00710996" w:rsidRPr="00540F8B" w:rsidRDefault="00710996" w:rsidP="00710996">
      <w:pPr>
        <w:autoSpaceDE w:val="0"/>
        <w:autoSpaceDN w:val="0"/>
        <w:adjustRightInd w:val="0"/>
      </w:pPr>
      <w:r w:rsidRPr="00540F8B">
        <w:t>4. Describe efforts to identify duplication</w:t>
      </w:r>
      <w:proofErr w:type="gramStart"/>
      <w:r w:rsidRPr="00540F8B">
        <w:t xml:space="preserve">. </w:t>
      </w:r>
      <w:proofErr w:type="gramEnd"/>
      <w:r w:rsidRPr="00540F8B">
        <w:t>Show specifically why any similar information already available cannot be used or modified for use for the purposes described in item 2 above.</w:t>
      </w:r>
    </w:p>
    <w:p w:rsidR="00710996" w:rsidRPr="00540F8B" w:rsidRDefault="00710996" w:rsidP="00710996">
      <w:pPr>
        <w:autoSpaceDE w:val="0"/>
        <w:autoSpaceDN w:val="0"/>
        <w:adjustRightInd w:val="0"/>
      </w:pPr>
    </w:p>
    <w:p w:rsidR="008B2A1E" w:rsidRPr="00540F8B" w:rsidRDefault="008B2A1E" w:rsidP="00710996">
      <w:pPr>
        <w:autoSpaceDE w:val="0"/>
        <w:autoSpaceDN w:val="0"/>
        <w:adjustRightInd w:val="0"/>
      </w:pPr>
      <w:r w:rsidRPr="00540F8B">
        <w:t>The CRF program is unique to MARAD and n</w:t>
      </w:r>
      <w:r w:rsidR="00D04F3B">
        <w:t>o</w:t>
      </w:r>
      <w:r w:rsidRPr="00540F8B">
        <w:t xml:space="preserve"> other agency or organization has a similar or related program.</w:t>
      </w:r>
    </w:p>
    <w:p w:rsidR="008B2A1E" w:rsidRPr="00540F8B" w:rsidRDefault="008B2A1E" w:rsidP="00710996">
      <w:pPr>
        <w:autoSpaceDE w:val="0"/>
        <w:autoSpaceDN w:val="0"/>
        <w:adjustRightInd w:val="0"/>
      </w:pPr>
    </w:p>
    <w:p w:rsidR="00710996" w:rsidRPr="00540F8B" w:rsidRDefault="00710996" w:rsidP="00710996">
      <w:pPr>
        <w:autoSpaceDE w:val="0"/>
        <w:autoSpaceDN w:val="0"/>
        <w:adjustRightInd w:val="0"/>
      </w:pPr>
      <w:r w:rsidRPr="00540F8B">
        <w:t xml:space="preserve">5. If the collection of information </w:t>
      </w:r>
      <w:proofErr w:type="gramStart"/>
      <w:r w:rsidRPr="00540F8B">
        <w:t>impacts</w:t>
      </w:r>
      <w:proofErr w:type="gramEnd"/>
      <w:r w:rsidRPr="00540F8B">
        <w:t xml:space="preserve"> small businesses or other small entities (Item 5 of </w:t>
      </w:r>
      <w:r w:rsidRPr="00540F8B">
        <w:rPr>
          <w:bCs/>
        </w:rPr>
        <w:t>OMB</w:t>
      </w:r>
      <w:r w:rsidR="00A57EBF">
        <w:rPr>
          <w:bCs/>
        </w:rPr>
        <w:t xml:space="preserve"> </w:t>
      </w:r>
      <w:r w:rsidRPr="00540F8B">
        <w:t>Form 83-I), describe any methods used to minimize burden.</w:t>
      </w:r>
    </w:p>
    <w:p w:rsidR="00710996" w:rsidRPr="00540F8B" w:rsidRDefault="00710996" w:rsidP="00710996">
      <w:pPr>
        <w:autoSpaceDE w:val="0"/>
        <w:autoSpaceDN w:val="0"/>
        <w:adjustRightInd w:val="0"/>
      </w:pPr>
    </w:p>
    <w:p w:rsidR="004F1E29" w:rsidRPr="00540F8B" w:rsidRDefault="00710996" w:rsidP="00710996">
      <w:pPr>
        <w:autoSpaceDE w:val="0"/>
        <w:autoSpaceDN w:val="0"/>
        <w:adjustRightInd w:val="0"/>
      </w:pPr>
      <w:r w:rsidRPr="00540F8B">
        <w:t xml:space="preserve">The </w:t>
      </w:r>
      <w:r w:rsidR="008B2A1E" w:rsidRPr="00540F8B">
        <w:t xml:space="preserve">collection of </w:t>
      </w:r>
      <w:r w:rsidRPr="00540F8B">
        <w:t xml:space="preserve">information </w:t>
      </w:r>
      <w:r w:rsidR="008B2A1E" w:rsidRPr="00540F8B">
        <w:t>may be from small shipping companies</w:t>
      </w:r>
      <w:proofErr w:type="gramStart"/>
      <w:r w:rsidR="008B2A1E" w:rsidRPr="00540F8B">
        <w:t xml:space="preserve">. </w:t>
      </w:r>
      <w:proofErr w:type="gramEnd"/>
      <w:r w:rsidR="008B2A1E" w:rsidRPr="00540F8B">
        <w:t xml:space="preserve">Timely information </w:t>
      </w:r>
      <w:proofErr w:type="gramStart"/>
      <w:r w:rsidR="008B2A1E" w:rsidRPr="00540F8B">
        <w:t>is requested</w:t>
      </w:r>
      <w:proofErr w:type="gramEnd"/>
      <w:r w:rsidR="008B2A1E" w:rsidRPr="00540F8B">
        <w:t xml:space="preserve"> when a shipowner or operator desires to obtain benefits of the CRF program.  There is </w:t>
      </w:r>
      <w:r w:rsidR="004F1E29" w:rsidRPr="00540F8B">
        <w:t xml:space="preserve">no requirement for any shipowner or operator to submit any information if they do not desire the CRF benefits.  However, a company that is party to a CRF agreement must submit an annual statement setting forth the detailed analysis of the status of the CRF fund when each income tax return </w:t>
      </w:r>
      <w:proofErr w:type="gramStart"/>
      <w:r w:rsidR="004F1E29" w:rsidRPr="00540F8B">
        <w:t>is filed</w:t>
      </w:r>
      <w:proofErr w:type="gramEnd"/>
      <w:r w:rsidR="004F1E29" w:rsidRPr="00540F8B">
        <w:t xml:space="preserve">.  The only other requirement a party to a CRF agreement has is that when they wish to withdraw monies from the fund, they send a check to the Maritime Administration where it is countersigned and return to them.  This minimizes the burden as much as possible, i.e., submitting the original application, annual statements, and </w:t>
      </w:r>
      <w:r w:rsidR="004208BE" w:rsidRPr="00540F8B">
        <w:t>c</w:t>
      </w:r>
      <w:r w:rsidR="004F1E29" w:rsidRPr="00540F8B">
        <w:t>h</w:t>
      </w:r>
      <w:r w:rsidR="004208BE" w:rsidRPr="00540F8B">
        <w:t>e</w:t>
      </w:r>
      <w:r w:rsidR="004F1E29" w:rsidRPr="00540F8B">
        <w:t>cks only when money is to be withdrawn.</w:t>
      </w:r>
    </w:p>
    <w:p w:rsidR="00710996" w:rsidRPr="00540F8B" w:rsidRDefault="004F1E29" w:rsidP="00710996">
      <w:pPr>
        <w:autoSpaceDE w:val="0"/>
        <w:autoSpaceDN w:val="0"/>
        <w:adjustRightInd w:val="0"/>
      </w:pPr>
      <w:r w:rsidRPr="00540F8B">
        <w:t xml:space="preserve"> </w:t>
      </w:r>
    </w:p>
    <w:p w:rsidR="00710996" w:rsidRPr="00540F8B" w:rsidRDefault="00710996" w:rsidP="00710996">
      <w:pPr>
        <w:autoSpaceDE w:val="0"/>
        <w:autoSpaceDN w:val="0"/>
        <w:adjustRightInd w:val="0"/>
      </w:pPr>
      <w:r w:rsidRPr="00540F8B">
        <w:t>6. Describe the consequence to Federa</w:t>
      </w:r>
      <w:r w:rsidR="003E0A54" w:rsidRPr="00540F8B">
        <w:t>l program or policy activities o</w:t>
      </w:r>
      <w:r w:rsidRPr="00540F8B">
        <w:t>f the collection is not conducted or is conducted less frequently, as well as any technical or legal obstacles to reducing burden.</w:t>
      </w:r>
    </w:p>
    <w:p w:rsidR="00710996" w:rsidRPr="00540F8B" w:rsidRDefault="00710996" w:rsidP="00710996">
      <w:pPr>
        <w:autoSpaceDE w:val="0"/>
        <w:autoSpaceDN w:val="0"/>
        <w:adjustRightInd w:val="0"/>
      </w:pPr>
    </w:p>
    <w:p w:rsidR="00710996" w:rsidRPr="00540F8B" w:rsidRDefault="003C5279" w:rsidP="00710996">
      <w:pPr>
        <w:autoSpaceDE w:val="0"/>
        <w:autoSpaceDN w:val="0"/>
        <w:adjustRightInd w:val="0"/>
      </w:pPr>
      <w:r w:rsidRPr="00540F8B">
        <w:t>Once a shipowner or operator has submitted an application and has been approved for a CRF</w:t>
      </w:r>
    </w:p>
    <w:p w:rsidR="003C5279" w:rsidRPr="00540F8B" w:rsidRDefault="003E0A54" w:rsidP="00710996">
      <w:pPr>
        <w:autoSpaceDE w:val="0"/>
        <w:autoSpaceDN w:val="0"/>
        <w:adjustRightInd w:val="0"/>
      </w:pPr>
      <w:proofErr w:type="gramStart"/>
      <w:r w:rsidRPr="00540F8B">
        <w:t>a</w:t>
      </w:r>
      <w:r w:rsidR="003C5279" w:rsidRPr="00540F8B">
        <w:t>greement</w:t>
      </w:r>
      <w:proofErr w:type="gramEnd"/>
      <w:r w:rsidR="003C5279" w:rsidRPr="00540F8B">
        <w:t>, the only requirement is for the respondent to submit to M</w:t>
      </w:r>
      <w:r w:rsidRPr="00540F8B">
        <w:t xml:space="preserve">ARAD a statement setting forth a detailed analysis of the CRF fund when each income tax return is filed for a taxable year.  Since a CRF account is a joint account between </w:t>
      </w:r>
      <w:proofErr w:type="spellStart"/>
      <w:r w:rsidRPr="00540F8B">
        <w:t>fundholder</w:t>
      </w:r>
      <w:proofErr w:type="spellEnd"/>
      <w:r w:rsidRPr="00540F8B">
        <w:t xml:space="preserve"> and the Maritime Administration, the annual fund statement is required in order for MARAD to properly administer the program and make sure at the time of countersigning a check that there is sufficient funds in the particular CRF account to cover the withdrawal.  The consequence to the Federal program or policy activities if the statements </w:t>
      </w:r>
      <w:proofErr w:type="gramStart"/>
      <w:r w:rsidRPr="00540F8B">
        <w:t>were not collected</w:t>
      </w:r>
      <w:proofErr w:type="gramEnd"/>
      <w:r w:rsidRPr="00540F8B">
        <w:t xml:space="preserve"> annually would be the Maritime Administration’s inability to properly administer the program.</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 xml:space="preserve">7. Explain any special circumstances that would cause an information collection to </w:t>
      </w:r>
      <w:proofErr w:type="gramStart"/>
      <w:r w:rsidRPr="00540F8B">
        <w:t>be conducted</w:t>
      </w:r>
      <w:proofErr w:type="gramEnd"/>
      <w:r w:rsidRPr="00540F8B">
        <w:t xml:space="preserve"> in a manner:</w:t>
      </w:r>
    </w:p>
    <w:p w:rsidR="00710996" w:rsidRPr="00540F8B" w:rsidRDefault="00710996" w:rsidP="00186219">
      <w:pPr>
        <w:numPr>
          <w:ilvl w:val="0"/>
          <w:numId w:val="1"/>
        </w:numPr>
        <w:autoSpaceDE w:val="0"/>
        <w:autoSpaceDN w:val="0"/>
        <w:adjustRightInd w:val="0"/>
      </w:pPr>
      <w:r w:rsidRPr="00540F8B">
        <w:t>requiring respondents to report information to the agency more often than quarterly;</w:t>
      </w:r>
    </w:p>
    <w:p w:rsidR="00710996" w:rsidRPr="00540F8B" w:rsidRDefault="00710996" w:rsidP="00186219">
      <w:pPr>
        <w:numPr>
          <w:ilvl w:val="0"/>
          <w:numId w:val="1"/>
        </w:numPr>
        <w:autoSpaceDE w:val="0"/>
        <w:autoSpaceDN w:val="0"/>
        <w:adjustRightInd w:val="0"/>
      </w:pPr>
      <w:r w:rsidRPr="00540F8B">
        <w:t>requiring respondents to prepare a written response to a collection of information in fewer than 30 days after receipt of it;</w:t>
      </w:r>
    </w:p>
    <w:p w:rsidR="00710996" w:rsidRPr="00540F8B" w:rsidRDefault="00710996" w:rsidP="00186219">
      <w:pPr>
        <w:numPr>
          <w:ilvl w:val="0"/>
          <w:numId w:val="1"/>
        </w:numPr>
        <w:autoSpaceDE w:val="0"/>
        <w:autoSpaceDN w:val="0"/>
        <w:adjustRightInd w:val="0"/>
      </w:pPr>
      <w:r w:rsidRPr="00540F8B">
        <w:t xml:space="preserve">requiring respondents to submit more than an original and two copies of any document; </w:t>
      </w:r>
    </w:p>
    <w:p w:rsidR="00710996" w:rsidRPr="00540F8B" w:rsidRDefault="00710996" w:rsidP="00186219">
      <w:pPr>
        <w:numPr>
          <w:ilvl w:val="0"/>
          <w:numId w:val="1"/>
        </w:numPr>
        <w:autoSpaceDE w:val="0"/>
        <w:autoSpaceDN w:val="0"/>
        <w:adjustRightInd w:val="0"/>
      </w:pPr>
      <w:r w:rsidRPr="00540F8B">
        <w:t>requiring respondents to retain records, other than health, medical, government contract, grant-in-aid, or tax records for more than three years;</w:t>
      </w:r>
    </w:p>
    <w:p w:rsidR="00710996" w:rsidRPr="00540F8B" w:rsidRDefault="00710996" w:rsidP="00186219">
      <w:pPr>
        <w:numPr>
          <w:ilvl w:val="0"/>
          <w:numId w:val="1"/>
        </w:numPr>
        <w:autoSpaceDE w:val="0"/>
        <w:autoSpaceDN w:val="0"/>
        <w:adjustRightInd w:val="0"/>
      </w:pPr>
      <w:r w:rsidRPr="00540F8B">
        <w:t>in connection with a statistical survey, that is not designed to produce valid and reliable results that can be generalized to the universe of study;</w:t>
      </w:r>
    </w:p>
    <w:p w:rsidR="00710996" w:rsidRPr="00540F8B" w:rsidRDefault="00710996" w:rsidP="00186219">
      <w:pPr>
        <w:numPr>
          <w:ilvl w:val="0"/>
          <w:numId w:val="1"/>
        </w:numPr>
        <w:autoSpaceDE w:val="0"/>
        <w:autoSpaceDN w:val="0"/>
        <w:adjustRightInd w:val="0"/>
      </w:pPr>
      <w:r w:rsidRPr="00540F8B">
        <w:t xml:space="preserve">requiring the use of a statistical data classification that has not been reviewed and approved by OMB; </w:t>
      </w:r>
    </w:p>
    <w:p w:rsidR="00E70CF6" w:rsidRPr="00540F8B" w:rsidRDefault="00710996" w:rsidP="00186219">
      <w:pPr>
        <w:numPr>
          <w:ilvl w:val="0"/>
          <w:numId w:val="1"/>
        </w:numPr>
        <w:autoSpaceDE w:val="0"/>
        <w:autoSpaceDN w:val="0"/>
        <w:adjustRightInd w:val="0"/>
      </w:pPr>
      <w:r w:rsidRPr="00540F8B">
        <w:t xml:space="preserve">that includes a pledge of confidentiality that is not supported by authority established in statute or regulation, that is not supported by disclosure and data security policies that are consistent with the pledge, or </w:t>
      </w:r>
    </w:p>
    <w:p w:rsidR="00710996" w:rsidRPr="00540F8B" w:rsidRDefault="00710996" w:rsidP="00186219">
      <w:pPr>
        <w:numPr>
          <w:ilvl w:val="0"/>
          <w:numId w:val="1"/>
        </w:numPr>
        <w:autoSpaceDE w:val="0"/>
        <w:autoSpaceDN w:val="0"/>
        <w:adjustRightInd w:val="0"/>
      </w:pPr>
      <w:r w:rsidRPr="00540F8B">
        <w:lastRenderedPageBreak/>
        <w:t>requiring respondents to submit proprietary trade secret, or other confidential information unless the agency can demonstrate that it has instituted procedures to protect the information's confidentiality to the extent permitted by law.</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 xml:space="preserve">There are no special circumstances that require the collection of information to </w:t>
      </w:r>
      <w:proofErr w:type="gramStart"/>
      <w:r w:rsidRPr="00540F8B">
        <w:t>be conducted</w:t>
      </w:r>
      <w:proofErr w:type="gramEnd"/>
      <w:r w:rsidRPr="00540F8B">
        <w:t xml:space="preserve"> in a manner described above.</w:t>
      </w:r>
    </w:p>
    <w:p w:rsidR="00710996" w:rsidRPr="00540F8B" w:rsidRDefault="00710996" w:rsidP="00710996">
      <w:pPr>
        <w:autoSpaceDE w:val="0"/>
        <w:autoSpaceDN w:val="0"/>
        <w:adjustRightInd w:val="0"/>
      </w:pPr>
    </w:p>
    <w:p w:rsidR="00FC06B3" w:rsidRPr="00540F8B" w:rsidRDefault="00710996" w:rsidP="00710996">
      <w:pPr>
        <w:autoSpaceDE w:val="0"/>
        <w:autoSpaceDN w:val="0"/>
        <w:adjustRightInd w:val="0"/>
      </w:pPr>
      <w:r w:rsidRPr="00540F8B">
        <w:t xml:space="preserve">8. If applicable, provide a copy and identify the date and page number of publication in the </w:t>
      </w:r>
      <w:r w:rsidRPr="00540F8B">
        <w:rPr>
          <w:u w:val="single"/>
        </w:rPr>
        <w:t>Federal</w:t>
      </w:r>
      <w:r w:rsidRPr="00540F8B">
        <w:t xml:space="preserve"> </w:t>
      </w:r>
      <w:r w:rsidRPr="00540F8B">
        <w:rPr>
          <w:u w:val="single"/>
        </w:rPr>
        <w:t>Register</w:t>
      </w:r>
      <w:r w:rsidRPr="00540F8B">
        <w:t xml:space="preserve"> of the agency's notice required by 5 CFR 1320.8(d), soliciting comments on the information collection prior to submission to OMB</w:t>
      </w:r>
      <w:proofErr w:type="gramStart"/>
      <w:r w:rsidRPr="00540F8B">
        <w:t xml:space="preserve">. </w:t>
      </w:r>
      <w:proofErr w:type="gramEnd"/>
      <w:r w:rsidRPr="00540F8B">
        <w:t xml:space="preserve">Summarize public comments received in response to that notice and describe actions taken by the agency in response to these comments.  Specifically address comments received on cost and hour burden. </w:t>
      </w:r>
    </w:p>
    <w:p w:rsidR="00FC06B3" w:rsidRPr="00540F8B" w:rsidRDefault="00FC06B3" w:rsidP="00710996">
      <w:pPr>
        <w:autoSpaceDE w:val="0"/>
        <w:autoSpaceDN w:val="0"/>
        <w:adjustRightInd w:val="0"/>
      </w:pPr>
    </w:p>
    <w:p w:rsidR="00FE6F97" w:rsidRPr="00540F8B" w:rsidRDefault="00710996" w:rsidP="00FC06B3">
      <w:pPr>
        <w:pStyle w:val="ListParagraph"/>
        <w:numPr>
          <w:ilvl w:val="0"/>
          <w:numId w:val="2"/>
        </w:numPr>
        <w:autoSpaceDE w:val="0"/>
        <w:autoSpaceDN w:val="0"/>
        <w:adjustRightInd w:val="0"/>
      </w:pPr>
      <w:r w:rsidRPr="00540F8B">
        <w:t xml:space="preserve">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 </w:t>
      </w:r>
    </w:p>
    <w:p w:rsidR="00FC06B3" w:rsidRPr="00540F8B" w:rsidRDefault="00710996" w:rsidP="00FE6F97">
      <w:pPr>
        <w:autoSpaceDE w:val="0"/>
        <w:autoSpaceDN w:val="0"/>
        <w:adjustRightInd w:val="0"/>
        <w:ind w:left="360"/>
      </w:pPr>
      <w:r w:rsidRPr="00540F8B">
        <w:t xml:space="preserve"> </w:t>
      </w:r>
    </w:p>
    <w:p w:rsidR="00710996" w:rsidRPr="00540F8B" w:rsidRDefault="00710996" w:rsidP="00FC06B3">
      <w:pPr>
        <w:pStyle w:val="ListParagraph"/>
        <w:numPr>
          <w:ilvl w:val="0"/>
          <w:numId w:val="2"/>
        </w:numPr>
        <w:autoSpaceDE w:val="0"/>
        <w:autoSpaceDN w:val="0"/>
        <w:adjustRightInd w:val="0"/>
      </w:pPr>
      <w:r w:rsidRPr="00540F8B">
        <w:t>Consultation with representatives of those from whom information is to be obtained or those who must compile records should occur at least once every three years - even if the collection of information activity is the same as in prior periods</w:t>
      </w:r>
      <w:proofErr w:type="gramStart"/>
      <w:r w:rsidRPr="00540F8B">
        <w:t xml:space="preserve">. </w:t>
      </w:r>
      <w:proofErr w:type="gramEnd"/>
      <w:r w:rsidRPr="00540F8B">
        <w:t>There may be circumstances that may preclude consultation in a specific situation</w:t>
      </w:r>
      <w:proofErr w:type="gramStart"/>
      <w:r w:rsidRPr="00540F8B">
        <w:t xml:space="preserve">. </w:t>
      </w:r>
      <w:proofErr w:type="gramEnd"/>
      <w:r w:rsidRPr="00540F8B">
        <w:t xml:space="preserve">These circumstances </w:t>
      </w:r>
      <w:proofErr w:type="gramStart"/>
      <w:r w:rsidRPr="00540F8B">
        <w:t>should be explained</w:t>
      </w:r>
      <w:proofErr w:type="gramEnd"/>
      <w:r w:rsidRPr="00540F8B">
        <w:t xml:space="preserve">. </w:t>
      </w:r>
    </w:p>
    <w:p w:rsidR="00710996" w:rsidRPr="00540F8B" w:rsidRDefault="00710996" w:rsidP="00710996">
      <w:pPr>
        <w:autoSpaceDE w:val="0"/>
        <w:autoSpaceDN w:val="0"/>
        <w:adjustRightInd w:val="0"/>
      </w:pPr>
    </w:p>
    <w:p w:rsidR="008477D6" w:rsidRPr="00540F8B" w:rsidRDefault="00710996" w:rsidP="00710996">
      <w:pPr>
        <w:autoSpaceDE w:val="0"/>
        <w:autoSpaceDN w:val="0"/>
        <w:adjustRightInd w:val="0"/>
      </w:pPr>
      <w:r w:rsidRPr="00540F8B">
        <w:t>A</w:t>
      </w:r>
      <w:r w:rsidR="008477D6" w:rsidRPr="00540F8B">
        <w:rPr>
          <w:bCs/>
        </w:rPr>
        <w:t xml:space="preserve"> Maritime Administration</w:t>
      </w:r>
      <w:r w:rsidRPr="00540F8B">
        <w:rPr>
          <w:bCs/>
        </w:rPr>
        <w:t xml:space="preserve"> </w:t>
      </w:r>
      <w:r w:rsidR="00FC06B3" w:rsidRPr="00540F8B">
        <w:rPr>
          <w:bCs/>
        </w:rPr>
        <w:t xml:space="preserve">published a 60-day notice and request for comments on this information collection in the </w:t>
      </w:r>
      <w:r w:rsidR="00FC06B3" w:rsidRPr="00540F8B">
        <w:rPr>
          <w:bCs/>
          <w:u w:val="single"/>
        </w:rPr>
        <w:t>Federal Register</w:t>
      </w:r>
      <w:r w:rsidR="00FC06B3" w:rsidRPr="00540F8B">
        <w:rPr>
          <w:bCs/>
        </w:rPr>
        <w:t xml:space="preserve"> </w:t>
      </w:r>
      <w:r w:rsidR="00FC06B3" w:rsidRPr="00540F8B">
        <w:t>(73 FR 15256) on Ma</w:t>
      </w:r>
      <w:r w:rsidR="00FE6F97" w:rsidRPr="00540F8B">
        <w:t xml:space="preserve">y 27, 2011, </w:t>
      </w:r>
      <w:r w:rsidR="00FC06B3" w:rsidRPr="00540F8B">
        <w:t xml:space="preserve">indicating comments </w:t>
      </w:r>
      <w:proofErr w:type="gramStart"/>
      <w:r w:rsidR="00FC06B3" w:rsidRPr="00540F8B">
        <w:t>should be submitted</w:t>
      </w:r>
      <w:proofErr w:type="gramEnd"/>
      <w:r w:rsidR="00FC06B3" w:rsidRPr="00540F8B">
        <w:t xml:space="preserve"> by </w:t>
      </w:r>
      <w:r w:rsidR="00FE6F97" w:rsidRPr="00540F8B">
        <w:t xml:space="preserve">July 26, </w:t>
      </w:r>
      <w:r w:rsidR="00FC06B3" w:rsidRPr="00540F8B">
        <w:t>20</w:t>
      </w:r>
      <w:r w:rsidR="00FE6F97" w:rsidRPr="00540F8B">
        <w:t>11</w:t>
      </w:r>
      <w:r w:rsidR="00FC06B3" w:rsidRPr="00540F8B">
        <w:t xml:space="preserve">.  No comments </w:t>
      </w:r>
      <w:proofErr w:type="gramStart"/>
      <w:r w:rsidR="00FC06B3" w:rsidRPr="00540F8B">
        <w:t>were received</w:t>
      </w:r>
      <w:proofErr w:type="gramEnd"/>
      <w:r w:rsidR="00FC06B3" w:rsidRPr="00540F8B">
        <w:t xml:space="preserve">.  </w:t>
      </w:r>
    </w:p>
    <w:p w:rsidR="008477D6" w:rsidRPr="00540F8B" w:rsidRDefault="008477D6" w:rsidP="00710996">
      <w:pPr>
        <w:autoSpaceDE w:val="0"/>
        <w:autoSpaceDN w:val="0"/>
        <w:adjustRightInd w:val="0"/>
      </w:pPr>
    </w:p>
    <w:p w:rsidR="00710996" w:rsidRPr="00540F8B" w:rsidRDefault="00710996" w:rsidP="00710996">
      <w:pPr>
        <w:autoSpaceDE w:val="0"/>
        <w:autoSpaceDN w:val="0"/>
        <w:adjustRightInd w:val="0"/>
      </w:pPr>
      <w:r w:rsidRPr="00540F8B">
        <w:t xml:space="preserve">In addition, </w:t>
      </w:r>
      <w:r w:rsidR="008477D6" w:rsidRPr="00540F8B">
        <w:rPr>
          <w:bCs/>
        </w:rPr>
        <w:t>the Maritime Administration</w:t>
      </w:r>
      <w:r w:rsidRPr="00540F8B">
        <w:rPr>
          <w:bCs/>
        </w:rPr>
        <w:t xml:space="preserve"> </w:t>
      </w:r>
      <w:r w:rsidR="00FC06B3" w:rsidRPr="00540F8B">
        <w:rPr>
          <w:bCs/>
        </w:rPr>
        <w:t xml:space="preserve">staff member communicates with respondents regarding the basis and reporting consistency of the information submitted.  Since the CRF program is unique to MARAD, no consultation outside the agency other than with respective depositories is required. </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9. Explain any decision to provide any payment or gift to respondents, other than remuneration of contractors or grantees.</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 xml:space="preserve">No payments or gifts </w:t>
      </w:r>
      <w:proofErr w:type="gramStart"/>
      <w:r w:rsidRPr="00540F8B">
        <w:t>are provided</w:t>
      </w:r>
      <w:proofErr w:type="gramEnd"/>
      <w:r w:rsidRPr="00540F8B">
        <w:t xml:space="preserve"> to respondents.</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10. Describe any assurance of confidentiality provided to respondents and the basis for the</w:t>
      </w:r>
      <w:r w:rsidR="008477D6" w:rsidRPr="00540F8B">
        <w:t xml:space="preserve"> </w:t>
      </w:r>
      <w:r w:rsidRPr="00540F8B">
        <w:t>assurance in statute, regulation, or agency policy.</w:t>
      </w:r>
    </w:p>
    <w:p w:rsidR="00710996" w:rsidRPr="00540F8B" w:rsidRDefault="00710996" w:rsidP="00710996">
      <w:pPr>
        <w:autoSpaceDE w:val="0"/>
        <w:autoSpaceDN w:val="0"/>
        <w:adjustRightInd w:val="0"/>
      </w:pPr>
    </w:p>
    <w:p w:rsidR="002E0F25" w:rsidRPr="00540F8B" w:rsidRDefault="002E0F25" w:rsidP="002E0F25">
      <w:pPr>
        <w:autoSpaceDE w:val="0"/>
        <w:autoSpaceDN w:val="0"/>
        <w:adjustRightInd w:val="0"/>
      </w:pPr>
      <w:r w:rsidRPr="00540F8B">
        <w:t xml:space="preserve">The information requested is not a confidential nature and, consequently, no assurance of confidentiality </w:t>
      </w:r>
      <w:proofErr w:type="gramStart"/>
      <w:r w:rsidRPr="00540F8B">
        <w:t>need be given</w:t>
      </w:r>
      <w:proofErr w:type="gramEnd"/>
      <w:r w:rsidRPr="00540F8B">
        <w:t>.</w:t>
      </w:r>
    </w:p>
    <w:p w:rsidR="00710996" w:rsidRPr="00540F8B" w:rsidRDefault="00710996" w:rsidP="00710996">
      <w:pPr>
        <w:autoSpaceDE w:val="0"/>
        <w:autoSpaceDN w:val="0"/>
        <w:adjustRightInd w:val="0"/>
      </w:pPr>
      <w:r w:rsidRPr="00540F8B">
        <w:t>.</w:t>
      </w:r>
    </w:p>
    <w:p w:rsidR="00710996" w:rsidRPr="00540F8B" w:rsidRDefault="00710996" w:rsidP="00710996">
      <w:pPr>
        <w:autoSpaceDE w:val="0"/>
        <w:autoSpaceDN w:val="0"/>
        <w:adjustRightInd w:val="0"/>
      </w:pPr>
      <w:r w:rsidRPr="00540F8B">
        <w:t>11. Provide additional justification for any questions of a sensitive nature, such as sexual behavior</w:t>
      </w:r>
      <w:r w:rsidR="008477D6" w:rsidRPr="00540F8B">
        <w:t xml:space="preserve"> </w:t>
      </w:r>
      <w:r w:rsidRPr="00540F8B">
        <w:t>and attitudes, religious beliefs, and other matters that are commonly considered private</w:t>
      </w:r>
      <w:proofErr w:type="gramStart"/>
      <w:r w:rsidRPr="00540F8B">
        <w:t xml:space="preserve">. </w:t>
      </w:r>
      <w:proofErr w:type="gramEnd"/>
      <w:r w:rsidRPr="00540F8B">
        <w:t>This</w:t>
      </w:r>
      <w:r w:rsidR="008477D6" w:rsidRPr="00540F8B">
        <w:t xml:space="preserve"> </w:t>
      </w:r>
      <w:r w:rsidRPr="00540F8B">
        <w:t xml:space="preserve">justification should include the reasons why the agency considers the questions necessary, </w:t>
      </w:r>
      <w:r w:rsidRPr="00540F8B">
        <w:lastRenderedPageBreak/>
        <w:t>the</w:t>
      </w:r>
      <w:r w:rsidR="008477D6" w:rsidRPr="00540F8B">
        <w:t xml:space="preserve"> </w:t>
      </w:r>
      <w:r w:rsidRPr="00540F8B">
        <w:t xml:space="preserve">specific uses to be made of the information, the explanation to </w:t>
      </w:r>
      <w:proofErr w:type="gramStart"/>
      <w:r w:rsidRPr="00540F8B">
        <w:t>be given</w:t>
      </w:r>
      <w:proofErr w:type="gramEnd"/>
      <w:r w:rsidRPr="00540F8B">
        <w:t xml:space="preserve"> to persons from whom the</w:t>
      </w:r>
      <w:r w:rsidR="008477D6" w:rsidRPr="00540F8B">
        <w:t xml:space="preserve"> </w:t>
      </w:r>
      <w:r w:rsidRPr="00540F8B">
        <w:t>information is requested, and any steps to be taken to obtain their consent.</w:t>
      </w:r>
      <w:r w:rsidR="008477D6" w:rsidRPr="00540F8B">
        <w:t xml:space="preserve"> </w:t>
      </w:r>
    </w:p>
    <w:p w:rsidR="008477D6" w:rsidRPr="00540F8B" w:rsidRDefault="008477D6" w:rsidP="00710996">
      <w:pPr>
        <w:autoSpaceDE w:val="0"/>
        <w:autoSpaceDN w:val="0"/>
        <w:adjustRightInd w:val="0"/>
      </w:pPr>
    </w:p>
    <w:p w:rsidR="00710996" w:rsidRPr="00540F8B" w:rsidRDefault="00710996" w:rsidP="00710996">
      <w:pPr>
        <w:autoSpaceDE w:val="0"/>
        <w:autoSpaceDN w:val="0"/>
        <w:adjustRightInd w:val="0"/>
      </w:pPr>
      <w:proofErr w:type="gramStart"/>
      <w:r w:rsidRPr="00540F8B">
        <w:t>Not applicable.</w:t>
      </w:r>
      <w:proofErr w:type="gramEnd"/>
      <w:r w:rsidR="00903EA3">
        <w:t xml:space="preserve"> </w:t>
      </w:r>
      <w:r w:rsidRPr="00540F8B">
        <w:t xml:space="preserve"> There are no questions of a sensitive nature.</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12. Provide estimates of the hour burden of the collection of information.</w:t>
      </w:r>
      <w:r w:rsidR="003A1C88">
        <w:t xml:space="preserve"> </w:t>
      </w:r>
      <w:r w:rsidRPr="00540F8B">
        <w:t xml:space="preserve"> The statement should:</w:t>
      </w:r>
    </w:p>
    <w:p w:rsidR="002E0F25" w:rsidRPr="00540F8B" w:rsidRDefault="002E0F25" w:rsidP="00710996">
      <w:pPr>
        <w:autoSpaceDE w:val="0"/>
        <w:autoSpaceDN w:val="0"/>
        <w:adjustRightInd w:val="0"/>
      </w:pPr>
    </w:p>
    <w:p w:rsidR="00710996" w:rsidRPr="00540F8B" w:rsidRDefault="002E0F25" w:rsidP="002E0F25">
      <w:pPr>
        <w:pStyle w:val="ListParagraph"/>
        <w:numPr>
          <w:ilvl w:val="0"/>
          <w:numId w:val="3"/>
        </w:numPr>
        <w:autoSpaceDE w:val="0"/>
        <w:autoSpaceDN w:val="0"/>
        <w:adjustRightInd w:val="0"/>
      </w:pPr>
      <w:r w:rsidRPr="00540F8B">
        <w:t>I</w:t>
      </w:r>
      <w:r w:rsidR="00710996" w:rsidRPr="00540F8B">
        <w:t>ndicate the number of respondents, frequency of response, annual hour burden, and an</w:t>
      </w:r>
      <w:r w:rsidR="008477D6" w:rsidRPr="00540F8B">
        <w:t xml:space="preserve"> </w:t>
      </w:r>
      <w:r w:rsidR="00710996" w:rsidRPr="00540F8B">
        <w:t xml:space="preserve">explanation of how the burden </w:t>
      </w:r>
      <w:proofErr w:type="gramStart"/>
      <w:r w:rsidR="00710996" w:rsidRPr="00540F8B">
        <w:t>was estimated</w:t>
      </w:r>
      <w:proofErr w:type="gramEnd"/>
      <w:r w:rsidR="00710996" w:rsidRPr="00540F8B">
        <w:t>.</w:t>
      </w:r>
      <w:r w:rsidR="00903EA3">
        <w:t xml:space="preserve"> </w:t>
      </w:r>
      <w:r w:rsidR="00710996" w:rsidRPr="00540F8B">
        <w:t xml:space="preserve"> Unless directed to do so, agencies should not</w:t>
      </w:r>
      <w:r w:rsidR="008477D6" w:rsidRPr="00540F8B">
        <w:t xml:space="preserve"> </w:t>
      </w:r>
      <w:r w:rsidR="00710996" w:rsidRPr="00540F8B">
        <w:t>conduct special surveys to obtain information on which to base hour burden estimates.</w:t>
      </w:r>
      <w:r w:rsidR="001F3A9B">
        <w:t xml:space="preserve"> </w:t>
      </w:r>
      <w:r w:rsidR="008477D6" w:rsidRPr="00540F8B">
        <w:t xml:space="preserve"> </w:t>
      </w:r>
      <w:r w:rsidR="00710996" w:rsidRPr="00540F8B">
        <w:t xml:space="preserve">Consultation with a sample (fewer than 10) of potential respondents is desirable. </w:t>
      </w:r>
      <w:r w:rsidR="001F3A9B">
        <w:t xml:space="preserve"> </w:t>
      </w:r>
      <w:r w:rsidR="00710996" w:rsidRPr="00540F8B">
        <w:t>If the hour</w:t>
      </w:r>
      <w:r w:rsidR="008477D6" w:rsidRPr="00540F8B">
        <w:t xml:space="preserve"> </w:t>
      </w:r>
      <w:r w:rsidR="00710996" w:rsidRPr="00540F8B">
        <w:t xml:space="preserve">burden on respondents </w:t>
      </w:r>
      <w:proofErr w:type="gramStart"/>
      <w:r w:rsidR="00710996" w:rsidRPr="00540F8B">
        <w:t>is expected</w:t>
      </w:r>
      <w:proofErr w:type="gramEnd"/>
      <w:r w:rsidR="00710996" w:rsidRPr="00540F8B">
        <w:t xml:space="preserve"> to </w:t>
      </w:r>
      <w:r w:rsidR="00710996" w:rsidRPr="00540F8B">
        <w:rPr>
          <w:b/>
        </w:rPr>
        <w:t>vary</w:t>
      </w:r>
      <w:r w:rsidR="00710996" w:rsidRPr="00540F8B">
        <w:t xml:space="preserve"> widely because of differences in activity, size, or</w:t>
      </w:r>
      <w:r w:rsidR="008477D6" w:rsidRPr="00540F8B">
        <w:t xml:space="preserve"> </w:t>
      </w:r>
      <w:r w:rsidR="00710996" w:rsidRPr="00540F8B">
        <w:t>complexity, show the range of estimated burden and explain the reasons for the variance.</w:t>
      </w:r>
      <w:r w:rsidR="008477D6" w:rsidRPr="00540F8B">
        <w:t xml:space="preserve"> </w:t>
      </w:r>
      <w:r w:rsidR="00903EA3">
        <w:t xml:space="preserve"> </w:t>
      </w:r>
      <w:r w:rsidR="00710996" w:rsidRPr="00540F8B">
        <w:t>Generally, estimates should not include burden hours for customary and usual business</w:t>
      </w:r>
      <w:r w:rsidR="008477D6" w:rsidRPr="00540F8B">
        <w:t xml:space="preserve"> </w:t>
      </w:r>
      <w:r w:rsidR="00710996" w:rsidRPr="00540F8B">
        <w:t>practices.</w:t>
      </w:r>
    </w:p>
    <w:p w:rsidR="00710996" w:rsidRPr="00540F8B" w:rsidRDefault="00710996" w:rsidP="00710996">
      <w:pPr>
        <w:autoSpaceDE w:val="0"/>
        <w:autoSpaceDN w:val="0"/>
        <w:adjustRightInd w:val="0"/>
      </w:pPr>
    </w:p>
    <w:p w:rsidR="002E0F25" w:rsidRPr="00540F8B" w:rsidRDefault="00710996" w:rsidP="002E0F25">
      <w:pPr>
        <w:pStyle w:val="ListParagraph"/>
        <w:numPr>
          <w:ilvl w:val="0"/>
          <w:numId w:val="3"/>
        </w:numPr>
        <w:autoSpaceDE w:val="0"/>
        <w:autoSpaceDN w:val="0"/>
        <w:adjustRightInd w:val="0"/>
      </w:pPr>
      <w:r w:rsidRPr="00540F8B">
        <w:t>If this request for approval covers more than one form, provide separate hour burden estimates</w:t>
      </w:r>
      <w:r w:rsidR="008477D6" w:rsidRPr="00540F8B">
        <w:t xml:space="preserve"> </w:t>
      </w:r>
      <w:r w:rsidRPr="00540F8B">
        <w:t xml:space="preserve">for each form and aggregate the hour burdens in item 13 of </w:t>
      </w:r>
      <w:r w:rsidRPr="00540F8B">
        <w:rPr>
          <w:bCs/>
        </w:rPr>
        <w:t xml:space="preserve">OMB </w:t>
      </w:r>
      <w:r w:rsidRPr="00540F8B">
        <w:t>Form 83-1.</w:t>
      </w:r>
      <w:r w:rsidR="008477D6" w:rsidRPr="00540F8B">
        <w:t xml:space="preserve"> </w:t>
      </w:r>
    </w:p>
    <w:p w:rsidR="002E0F25" w:rsidRPr="00540F8B" w:rsidRDefault="002E0F25" w:rsidP="002E0F25">
      <w:pPr>
        <w:pStyle w:val="ListParagraph"/>
      </w:pPr>
    </w:p>
    <w:p w:rsidR="00710996" w:rsidRPr="00540F8B" w:rsidRDefault="00710996" w:rsidP="002E0F25">
      <w:pPr>
        <w:pStyle w:val="ListParagraph"/>
        <w:numPr>
          <w:ilvl w:val="0"/>
          <w:numId w:val="3"/>
        </w:numPr>
        <w:autoSpaceDE w:val="0"/>
        <w:autoSpaceDN w:val="0"/>
        <w:adjustRightInd w:val="0"/>
      </w:pPr>
      <w:r w:rsidRPr="00540F8B">
        <w:t>Provide estimates of annualized cost to respondents for the hour burdens for collections of</w:t>
      </w:r>
      <w:r w:rsidR="008477D6" w:rsidRPr="00540F8B">
        <w:t xml:space="preserve"> </w:t>
      </w:r>
      <w:r w:rsidRPr="00540F8B">
        <w:t xml:space="preserve">information, identifying and using appropriate wage rate categories. </w:t>
      </w:r>
      <w:r w:rsidR="00903EA3">
        <w:t xml:space="preserve"> </w:t>
      </w:r>
      <w:r w:rsidRPr="00540F8B">
        <w:t>The cost of contracting out</w:t>
      </w:r>
      <w:r w:rsidR="008477D6" w:rsidRPr="00540F8B">
        <w:t xml:space="preserve"> </w:t>
      </w:r>
      <w:r w:rsidRPr="00540F8B">
        <w:t>or paying outside parties for information collection activities should not be included here.</w:t>
      </w:r>
      <w:r w:rsidR="008477D6" w:rsidRPr="00540F8B">
        <w:t xml:space="preserve"> </w:t>
      </w:r>
      <w:r w:rsidR="00903EA3">
        <w:t xml:space="preserve"> </w:t>
      </w:r>
      <w:r w:rsidRPr="00540F8B">
        <w:t>Instead, this cost should be included in item 14.</w:t>
      </w:r>
    </w:p>
    <w:p w:rsidR="00710996" w:rsidRPr="00540F8B" w:rsidRDefault="00710996" w:rsidP="00710996">
      <w:pPr>
        <w:autoSpaceDE w:val="0"/>
        <w:autoSpaceDN w:val="0"/>
        <w:adjustRightInd w:val="0"/>
      </w:pPr>
    </w:p>
    <w:p w:rsidR="00710996" w:rsidRPr="00540F8B" w:rsidRDefault="00A8157E" w:rsidP="00A8157E">
      <w:pPr>
        <w:autoSpaceDE w:val="0"/>
        <w:autoSpaceDN w:val="0"/>
        <w:adjustRightInd w:val="0"/>
      </w:pPr>
      <w:r w:rsidRPr="00540F8B">
        <w:t xml:space="preserve">It </w:t>
      </w:r>
      <w:proofErr w:type="gramStart"/>
      <w:r w:rsidRPr="00540F8B">
        <w:t>is estimated</w:t>
      </w:r>
      <w:proofErr w:type="gramEnd"/>
      <w:r w:rsidRPr="00540F8B">
        <w:t xml:space="preserve"> that 17 respondents will require</w:t>
      </w:r>
      <w:r w:rsidR="00E95F0E">
        <w:t xml:space="preserve"> </w:t>
      </w:r>
      <w:r w:rsidRPr="00540F8B">
        <w:t xml:space="preserve">nine hours per response (or total of </w:t>
      </w:r>
      <w:r w:rsidR="00E95F0E">
        <w:t>153</w:t>
      </w:r>
      <w:r w:rsidRPr="00540F8B">
        <w:t xml:space="preserve"> hours) to prepare the application.  </w:t>
      </w:r>
    </w:p>
    <w:p w:rsidR="00710996" w:rsidRPr="00540F8B" w:rsidRDefault="00710996" w:rsidP="00710996">
      <w:pPr>
        <w:autoSpaceDE w:val="0"/>
        <w:autoSpaceDN w:val="0"/>
        <w:adjustRightInd w:val="0"/>
      </w:pPr>
    </w:p>
    <w:p w:rsidR="00710996" w:rsidRPr="00540F8B" w:rsidRDefault="00A8157E" w:rsidP="00710996">
      <w:pPr>
        <w:autoSpaceDE w:val="0"/>
        <w:autoSpaceDN w:val="0"/>
        <w:adjustRightInd w:val="0"/>
      </w:pPr>
      <w:r w:rsidRPr="00540F8B">
        <w:t xml:space="preserve">                                Responses        Total                        Hours              Total</w:t>
      </w:r>
    </w:p>
    <w:p w:rsidR="00710996" w:rsidRPr="00540F8B" w:rsidRDefault="00A8157E" w:rsidP="00A8157E">
      <w:pPr>
        <w:autoSpaceDE w:val="0"/>
        <w:autoSpaceDN w:val="0"/>
        <w:adjustRightInd w:val="0"/>
      </w:pPr>
      <w:r w:rsidRPr="00540F8B">
        <w:t xml:space="preserve">Number of              Per                     Responses               </w:t>
      </w:r>
      <w:proofErr w:type="gramStart"/>
      <w:r w:rsidRPr="00540F8B">
        <w:t>Per</w:t>
      </w:r>
      <w:proofErr w:type="gramEnd"/>
      <w:r w:rsidRPr="00540F8B">
        <w:t xml:space="preserve">                  Hours</w:t>
      </w:r>
    </w:p>
    <w:p w:rsidR="00A8157E" w:rsidRPr="00540F8B" w:rsidRDefault="00A8157E" w:rsidP="00A8157E">
      <w:pPr>
        <w:autoSpaceDE w:val="0"/>
        <w:autoSpaceDN w:val="0"/>
        <w:adjustRightInd w:val="0"/>
      </w:pPr>
      <w:r w:rsidRPr="00540F8B">
        <w:rPr>
          <w:u w:val="single"/>
        </w:rPr>
        <w:t>Respondents</w:t>
      </w:r>
      <w:r w:rsidRPr="00540F8B">
        <w:t xml:space="preserve">           </w:t>
      </w:r>
      <w:r w:rsidRPr="00540F8B">
        <w:rPr>
          <w:u w:val="single"/>
        </w:rPr>
        <w:t>Respondent</w:t>
      </w:r>
      <w:r w:rsidRPr="00540F8B">
        <w:t xml:space="preserve">      </w:t>
      </w:r>
      <w:r w:rsidRPr="00540F8B">
        <w:rPr>
          <w:u w:val="single"/>
        </w:rPr>
        <w:t>Annually</w:t>
      </w:r>
      <w:r w:rsidRPr="00540F8B">
        <w:t xml:space="preserve">                  </w:t>
      </w:r>
      <w:r w:rsidRPr="00540F8B">
        <w:rPr>
          <w:u w:val="single"/>
        </w:rPr>
        <w:t>Response</w:t>
      </w:r>
      <w:r w:rsidRPr="00540F8B">
        <w:t xml:space="preserve">        </w:t>
      </w:r>
      <w:r w:rsidRPr="00540F8B">
        <w:rPr>
          <w:u w:val="single"/>
        </w:rPr>
        <w:t>Annually</w:t>
      </w:r>
    </w:p>
    <w:p w:rsidR="00710996" w:rsidRPr="00540F8B" w:rsidRDefault="00710996" w:rsidP="00710996">
      <w:pPr>
        <w:autoSpaceDE w:val="0"/>
        <w:autoSpaceDN w:val="0"/>
        <w:adjustRightInd w:val="0"/>
      </w:pPr>
    </w:p>
    <w:p w:rsidR="00A8157E" w:rsidRPr="003A1C88" w:rsidRDefault="00A8157E" w:rsidP="00710996">
      <w:pPr>
        <w:autoSpaceDE w:val="0"/>
        <w:autoSpaceDN w:val="0"/>
        <w:adjustRightInd w:val="0"/>
      </w:pPr>
      <w:r w:rsidRPr="003A1C88">
        <w:t xml:space="preserve">       17             x               1           =      17              x            </w:t>
      </w:r>
      <w:r w:rsidR="00E95F0E" w:rsidRPr="003A1C88">
        <w:t>9</w:t>
      </w:r>
      <w:r w:rsidRPr="003A1C88">
        <w:t xml:space="preserve">            =      </w:t>
      </w:r>
      <w:r w:rsidR="00E95F0E" w:rsidRPr="003A1C88">
        <w:t xml:space="preserve"> 153</w:t>
      </w:r>
    </w:p>
    <w:p w:rsidR="003A1C88" w:rsidRDefault="003A1C88" w:rsidP="00710996">
      <w:pPr>
        <w:autoSpaceDE w:val="0"/>
        <w:autoSpaceDN w:val="0"/>
        <w:adjustRightInd w:val="0"/>
        <w:rPr>
          <w:color w:val="FF0000"/>
        </w:rPr>
      </w:pPr>
    </w:p>
    <w:p w:rsidR="003A1C88" w:rsidRPr="00023224" w:rsidRDefault="003A1C88" w:rsidP="003A1C88">
      <w:pPr>
        <w:autoSpaceDE w:val="0"/>
        <w:autoSpaceDN w:val="0"/>
      </w:pPr>
      <w:r w:rsidRPr="00023224">
        <w:t xml:space="preserve">It </w:t>
      </w:r>
      <w:proofErr w:type="gramStart"/>
      <w:r w:rsidRPr="00023224">
        <w:t>is estimated</w:t>
      </w:r>
      <w:proofErr w:type="gramEnd"/>
      <w:r w:rsidRPr="00023224">
        <w:t xml:space="preserve"> that an employee in each of six separate areas collectively spends nine hours collecting and assimilating the information submitted with each application.  Therefore, given an average salary of $225/per hour for each of the employees, the cost per application to the respondent </w:t>
      </w:r>
      <w:proofErr w:type="gramStart"/>
      <w:r w:rsidRPr="00023224">
        <w:t>is estimated</w:t>
      </w:r>
      <w:proofErr w:type="gramEnd"/>
      <w:r w:rsidRPr="00023224">
        <w:t xml:space="preserve"> as follows:</w:t>
      </w:r>
    </w:p>
    <w:p w:rsidR="00A8157E" w:rsidRPr="00936791" w:rsidRDefault="00A8157E" w:rsidP="00710996">
      <w:pPr>
        <w:autoSpaceDE w:val="0"/>
        <w:autoSpaceDN w:val="0"/>
        <w:adjustRightInd w:val="0"/>
        <w:rPr>
          <w:color w:val="FF0000"/>
        </w:rPr>
      </w:pPr>
      <w:r w:rsidRPr="00936791">
        <w:rPr>
          <w:color w:val="FF0000"/>
        </w:rPr>
        <w:t xml:space="preserve">           </w:t>
      </w:r>
    </w:p>
    <w:p w:rsidR="00ED1813" w:rsidRPr="00540F8B" w:rsidRDefault="00ED1813" w:rsidP="00710996">
      <w:pPr>
        <w:autoSpaceDE w:val="0"/>
        <w:autoSpaceDN w:val="0"/>
        <w:adjustRightInd w:val="0"/>
      </w:pPr>
      <w:r w:rsidRPr="00540F8B">
        <w:t xml:space="preserve">                                                                          Total</w:t>
      </w:r>
    </w:p>
    <w:p w:rsidR="00710996" w:rsidRPr="00540F8B" w:rsidRDefault="00710996" w:rsidP="00710996">
      <w:pPr>
        <w:autoSpaceDE w:val="0"/>
        <w:autoSpaceDN w:val="0"/>
        <w:adjustRightInd w:val="0"/>
      </w:pPr>
      <w:r w:rsidRPr="00540F8B">
        <w:t>N</w:t>
      </w:r>
      <w:r w:rsidR="00860067" w:rsidRPr="00540F8B">
        <w:t xml:space="preserve">umber </w:t>
      </w:r>
      <w:r w:rsidRPr="00540F8B">
        <w:t xml:space="preserve">of </w:t>
      </w:r>
      <w:r w:rsidR="006D7F61" w:rsidRPr="00540F8B">
        <w:tab/>
      </w:r>
      <w:r w:rsidRPr="00540F8B">
        <w:t xml:space="preserve">Hourly </w:t>
      </w:r>
      <w:r w:rsidR="006D7F61" w:rsidRPr="00540F8B">
        <w:tab/>
      </w:r>
      <w:r w:rsidRPr="00540F8B">
        <w:t xml:space="preserve">Project </w:t>
      </w:r>
      <w:r w:rsidR="006D7F61" w:rsidRPr="00540F8B">
        <w:tab/>
      </w:r>
      <w:r w:rsidR="00ED1813" w:rsidRPr="00540F8B">
        <w:t>Cost per</w:t>
      </w:r>
      <w:r w:rsidR="006D7F61" w:rsidRPr="00540F8B">
        <w:tab/>
      </w:r>
      <w:r w:rsidR="00ED1813" w:rsidRPr="00540F8B">
        <w:t>Number of           Total</w:t>
      </w:r>
    </w:p>
    <w:p w:rsidR="00710996" w:rsidRPr="00540F8B" w:rsidRDefault="00710996" w:rsidP="00710996">
      <w:pPr>
        <w:autoSpaceDE w:val="0"/>
        <w:autoSpaceDN w:val="0"/>
        <w:adjustRightInd w:val="0"/>
      </w:pPr>
      <w:r w:rsidRPr="00540F8B">
        <w:rPr>
          <w:u w:val="single"/>
        </w:rPr>
        <w:t>Employees</w:t>
      </w:r>
      <w:r w:rsidRPr="00540F8B">
        <w:t xml:space="preserve"> </w:t>
      </w:r>
      <w:r w:rsidR="006D7F61" w:rsidRPr="00540F8B">
        <w:tab/>
      </w:r>
      <w:r w:rsidRPr="00540F8B">
        <w:rPr>
          <w:u w:val="single"/>
        </w:rPr>
        <w:t>Wage</w:t>
      </w:r>
      <w:r w:rsidRPr="00540F8B">
        <w:t xml:space="preserve"> </w:t>
      </w:r>
      <w:r w:rsidR="006D7F61" w:rsidRPr="00540F8B">
        <w:tab/>
      </w:r>
      <w:r w:rsidR="006D7F61" w:rsidRPr="00540F8B">
        <w:tab/>
      </w:r>
      <w:r w:rsidRPr="00540F8B">
        <w:rPr>
          <w:u w:val="single"/>
        </w:rPr>
        <w:t>Time</w:t>
      </w:r>
      <w:r w:rsidRPr="00540F8B">
        <w:t xml:space="preserve"> </w:t>
      </w:r>
      <w:r w:rsidR="006D7F61" w:rsidRPr="00540F8B">
        <w:tab/>
      </w:r>
      <w:r w:rsidR="006D7F61" w:rsidRPr="00540F8B">
        <w:tab/>
      </w:r>
      <w:r w:rsidR="00ED1813" w:rsidRPr="00540F8B">
        <w:rPr>
          <w:u w:val="single"/>
        </w:rPr>
        <w:t>Response</w:t>
      </w:r>
      <w:r w:rsidR="006D7F61" w:rsidRPr="00540F8B">
        <w:tab/>
      </w:r>
      <w:r w:rsidR="00ED1813" w:rsidRPr="00540F8B">
        <w:rPr>
          <w:u w:val="single"/>
        </w:rPr>
        <w:t>Respondents</w:t>
      </w:r>
      <w:r w:rsidR="00ED1813" w:rsidRPr="00540F8B">
        <w:t xml:space="preserve">        </w:t>
      </w:r>
      <w:r w:rsidR="00ED1813" w:rsidRPr="00540F8B">
        <w:rPr>
          <w:u w:val="single"/>
        </w:rPr>
        <w:t>Costs</w:t>
      </w:r>
    </w:p>
    <w:p w:rsidR="00860067" w:rsidRPr="00540F8B" w:rsidRDefault="00860067" w:rsidP="00710996">
      <w:pPr>
        <w:autoSpaceDE w:val="0"/>
        <w:autoSpaceDN w:val="0"/>
        <w:adjustRightInd w:val="0"/>
      </w:pPr>
      <w:r w:rsidRPr="00540F8B">
        <w:t xml:space="preserve">        </w:t>
      </w:r>
    </w:p>
    <w:p w:rsidR="00710996" w:rsidRPr="00540F8B" w:rsidRDefault="00860067" w:rsidP="00710996">
      <w:pPr>
        <w:autoSpaceDE w:val="0"/>
        <w:autoSpaceDN w:val="0"/>
        <w:adjustRightInd w:val="0"/>
      </w:pPr>
      <w:r w:rsidRPr="00540F8B">
        <w:t xml:space="preserve">       </w:t>
      </w:r>
      <w:r w:rsidR="00710996" w:rsidRPr="00540F8B">
        <w:t>6</w:t>
      </w:r>
      <w:r w:rsidR="006D7F61" w:rsidRPr="00540F8B">
        <w:tab/>
      </w:r>
      <w:r w:rsidR="00ED1813" w:rsidRPr="00540F8B">
        <w:t xml:space="preserve">     </w:t>
      </w:r>
      <w:r w:rsidR="00710996" w:rsidRPr="00540F8B">
        <w:t xml:space="preserve"> </w:t>
      </w:r>
      <w:r w:rsidR="006D7F61" w:rsidRPr="00540F8B">
        <w:t>x</w:t>
      </w:r>
      <w:r w:rsidR="00710996" w:rsidRPr="00540F8B">
        <w:t xml:space="preserve"> </w:t>
      </w:r>
      <w:r w:rsidR="006D7F61" w:rsidRPr="00540F8B">
        <w:tab/>
      </w:r>
      <w:r w:rsidR="00710996" w:rsidRPr="00540F8B">
        <w:t>$2</w:t>
      </w:r>
      <w:r w:rsidR="00ED1813" w:rsidRPr="00540F8B">
        <w:t>25</w:t>
      </w:r>
      <w:r w:rsidR="00710996" w:rsidRPr="00540F8B">
        <w:t xml:space="preserve"> </w:t>
      </w:r>
      <w:r w:rsidR="006D7F61" w:rsidRPr="00540F8B">
        <w:tab/>
      </w:r>
      <w:r w:rsidR="00ED1813" w:rsidRPr="00540F8B">
        <w:t xml:space="preserve">   </w:t>
      </w:r>
      <w:r w:rsidR="00710996" w:rsidRPr="00540F8B">
        <w:t xml:space="preserve">x </w:t>
      </w:r>
      <w:r w:rsidR="006D7F61" w:rsidRPr="00540F8B">
        <w:tab/>
      </w:r>
      <w:r w:rsidR="00ED1813" w:rsidRPr="00540F8B">
        <w:t>9</w:t>
      </w:r>
      <w:r w:rsidR="00710996" w:rsidRPr="00540F8B">
        <w:t xml:space="preserve"> hours </w:t>
      </w:r>
      <w:r w:rsidR="00F47470">
        <w:t xml:space="preserve">    </w:t>
      </w:r>
      <w:r w:rsidR="00ED1813" w:rsidRPr="00540F8B">
        <w:t xml:space="preserve">  </w:t>
      </w:r>
      <w:r w:rsidR="00710996" w:rsidRPr="00540F8B">
        <w:t xml:space="preserve">= </w:t>
      </w:r>
      <w:r w:rsidR="006D7F61" w:rsidRPr="00540F8B">
        <w:tab/>
      </w:r>
      <w:r w:rsidR="00710996" w:rsidRPr="00540F8B">
        <w:t>$</w:t>
      </w:r>
      <w:r w:rsidR="00ED1813" w:rsidRPr="00540F8B">
        <w:t>12</w:t>
      </w:r>
      <w:r w:rsidR="006D7F61" w:rsidRPr="00540F8B">
        <w:t>,</w:t>
      </w:r>
      <w:r w:rsidR="00ED1813" w:rsidRPr="00540F8B">
        <w:t>150     x           17        =    $206,550</w:t>
      </w:r>
    </w:p>
    <w:p w:rsidR="00710996" w:rsidRPr="00540F8B" w:rsidRDefault="00710996" w:rsidP="00710996">
      <w:pPr>
        <w:autoSpaceDE w:val="0"/>
        <w:autoSpaceDN w:val="0"/>
        <w:adjustRightInd w:val="0"/>
      </w:pPr>
    </w:p>
    <w:p w:rsidR="009A6CAB" w:rsidRPr="00023224" w:rsidRDefault="009A6CAB" w:rsidP="009A6CAB">
      <w:pPr>
        <w:pStyle w:val="Default"/>
        <w:ind w:firstLine="720"/>
        <w:rPr>
          <w:color w:val="auto"/>
          <w:sz w:val="23"/>
          <w:szCs w:val="23"/>
        </w:rPr>
      </w:pPr>
      <w:proofErr w:type="gramStart"/>
      <w:r w:rsidRPr="00023224">
        <w:rPr>
          <w:color w:val="auto"/>
          <w:sz w:val="23"/>
          <w:szCs w:val="23"/>
        </w:rPr>
        <w:t>1</w:t>
      </w:r>
      <w:proofErr w:type="gramEnd"/>
      <w:r w:rsidRPr="00023224">
        <w:rPr>
          <w:color w:val="auto"/>
          <w:sz w:val="23"/>
          <w:szCs w:val="23"/>
        </w:rPr>
        <w:t xml:space="preserve"> Accountant, Auditor or Bookkeeper </w:t>
      </w:r>
    </w:p>
    <w:p w:rsidR="009A6CAB" w:rsidRPr="00023224" w:rsidRDefault="009A6CAB" w:rsidP="009A6CAB">
      <w:pPr>
        <w:pStyle w:val="Default"/>
        <w:ind w:firstLine="720"/>
        <w:rPr>
          <w:color w:val="auto"/>
          <w:sz w:val="23"/>
          <w:szCs w:val="23"/>
        </w:rPr>
      </w:pPr>
      <w:proofErr w:type="gramStart"/>
      <w:r w:rsidRPr="00023224">
        <w:rPr>
          <w:color w:val="auto"/>
          <w:sz w:val="23"/>
          <w:szCs w:val="23"/>
        </w:rPr>
        <w:t>1</w:t>
      </w:r>
      <w:proofErr w:type="gramEnd"/>
      <w:r w:rsidRPr="00023224">
        <w:rPr>
          <w:color w:val="auto"/>
          <w:sz w:val="23"/>
          <w:szCs w:val="23"/>
        </w:rPr>
        <w:t xml:space="preserve"> Professional and Technical Worker </w:t>
      </w:r>
    </w:p>
    <w:p w:rsidR="009A6CAB" w:rsidRPr="00023224" w:rsidRDefault="009A6CAB" w:rsidP="009A6CAB">
      <w:pPr>
        <w:pStyle w:val="Default"/>
        <w:ind w:firstLine="720"/>
        <w:rPr>
          <w:color w:val="auto"/>
          <w:sz w:val="23"/>
          <w:szCs w:val="23"/>
        </w:rPr>
      </w:pPr>
      <w:proofErr w:type="gramStart"/>
      <w:r w:rsidRPr="00023224">
        <w:rPr>
          <w:color w:val="auto"/>
          <w:sz w:val="23"/>
          <w:szCs w:val="23"/>
        </w:rPr>
        <w:t>1</w:t>
      </w:r>
      <w:proofErr w:type="gramEnd"/>
      <w:r w:rsidRPr="00023224">
        <w:rPr>
          <w:color w:val="auto"/>
          <w:sz w:val="23"/>
          <w:szCs w:val="23"/>
        </w:rPr>
        <w:t xml:space="preserve"> Clerical Worker </w:t>
      </w:r>
    </w:p>
    <w:p w:rsidR="009A6CAB" w:rsidRPr="00023224" w:rsidRDefault="009A6CAB" w:rsidP="009A6CAB">
      <w:pPr>
        <w:pStyle w:val="Default"/>
        <w:ind w:firstLine="720"/>
        <w:rPr>
          <w:color w:val="auto"/>
          <w:sz w:val="23"/>
          <w:szCs w:val="23"/>
        </w:rPr>
      </w:pPr>
      <w:proofErr w:type="gramStart"/>
      <w:r w:rsidRPr="00023224">
        <w:rPr>
          <w:color w:val="auto"/>
          <w:sz w:val="23"/>
          <w:szCs w:val="23"/>
        </w:rPr>
        <w:lastRenderedPageBreak/>
        <w:t>1</w:t>
      </w:r>
      <w:proofErr w:type="gramEnd"/>
      <w:r w:rsidRPr="00023224">
        <w:rPr>
          <w:color w:val="auto"/>
          <w:sz w:val="23"/>
          <w:szCs w:val="23"/>
        </w:rPr>
        <w:t xml:space="preserve"> Manager/Administrator </w:t>
      </w:r>
    </w:p>
    <w:p w:rsidR="009A6CAB" w:rsidRPr="00023224" w:rsidRDefault="009A6CAB" w:rsidP="009A6CAB">
      <w:pPr>
        <w:pStyle w:val="Default"/>
        <w:ind w:firstLine="720"/>
        <w:rPr>
          <w:color w:val="auto"/>
          <w:sz w:val="23"/>
          <w:szCs w:val="23"/>
        </w:rPr>
      </w:pPr>
      <w:proofErr w:type="gramStart"/>
      <w:r w:rsidRPr="00023224">
        <w:rPr>
          <w:color w:val="auto"/>
          <w:sz w:val="23"/>
          <w:szCs w:val="23"/>
        </w:rPr>
        <w:t>1</w:t>
      </w:r>
      <w:proofErr w:type="gramEnd"/>
      <w:r w:rsidRPr="00023224">
        <w:rPr>
          <w:color w:val="auto"/>
          <w:sz w:val="23"/>
          <w:szCs w:val="23"/>
        </w:rPr>
        <w:t xml:space="preserve"> Lawyer </w:t>
      </w:r>
    </w:p>
    <w:p w:rsidR="00E95F0E" w:rsidRPr="00023224" w:rsidRDefault="009A6CAB" w:rsidP="009A6CAB">
      <w:pPr>
        <w:autoSpaceDE w:val="0"/>
        <w:autoSpaceDN w:val="0"/>
        <w:adjustRightInd w:val="0"/>
        <w:ind w:firstLine="720"/>
      </w:pPr>
      <w:proofErr w:type="gramStart"/>
      <w:r w:rsidRPr="00023224">
        <w:rPr>
          <w:sz w:val="23"/>
          <w:szCs w:val="23"/>
        </w:rPr>
        <w:t>1</w:t>
      </w:r>
      <w:proofErr w:type="gramEnd"/>
      <w:r w:rsidRPr="00023224">
        <w:rPr>
          <w:sz w:val="23"/>
          <w:szCs w:val="23"/>
        </w:rPr>
        <w:t xml:space="preserve"> Service Worker </w:t>
      </w:r>
    </w:p>
    <w:p w:rsidR="006D7F61" w:rsidRPr="00023224" w:rsidRDefault="001F3A9B" w:rsidP="00710996">
      <w:pPr>
        <w:autoSpaceDE w:val="0"/>
        <w:autoSpaceDN w:val="0"/>
        <w:adjustRightInd w:val="0"/>
      </w:pPr>
      <w:r w:rsidRPr="00023224">
        <w:t xml:space="preserve">  </w:t>
      </w:r>
    </w:p>
    <w:p w:rsidR="001866EC" w:rsidRDefault="00ED1813" w:rsidP="00710996">
      <w:pPr>
        <w:autoSpaceDE w:val="0"/>
        <w:autoSpaceDN w:val="0"/>
        <w:adjustRightInd w:val="0"/>
      </w:pPr>
      <w:r w:rsidRPr="00023224">
        <w:t xml:space="preserve">It </w:t>
      </w:r>
      <w:proofErr w:type="gramStart"/>
      <w:r w:rsidRPr="00023224">
        <w:t>is estimated</w:t>
      </w:r>
      <w:proofErr w:type="gramEnd"/>
      <w:r w:rsidRPr="00023224">
        <w:t xml:space="preserve"> that an accountant, auditor or bookkeeper</w:t>
      </w:r>
      <w:r w:rsidRPr="00540F8B">
        <w:t xml:space="preserve"> will spend one hour of their time collecting and assimilating information for the annual statement.  </w:t>
      </w:r>
      <w:r w:rsidR="004413D0" w:rsidRPr="00540F8B">
        <w:t>Therefore, the estimated cost to respondents for annual statements is:</w:t>
      </w:r>
    </w:p>
    <w:p w:rsidR="006D7F61" w:rsidRPr="00540F8B" w:rsidRDefault="004413D0" w:rsidP="00710996">
      <w:pPr>
        <w:autoSpaceDE w:val="0"/>
        <w:autoSpaceDN w:val="0"/>
        <w:adjustRightInd w:val="0"/>
      </w:pPr>
      <w:r w:rsidRPr="00540F8B">
        <w:t xml:space="preserve"> </w:t>
      </w:r>
    </w:p>
    <w:p w:rsidR="004413D0" w:rsidRPr="00540F8B" w:rsidRDefault="004413D0" w:rsidP="004413D0">
      <w:pPr>
        <w:autoSpaceDE w:val="0"/>
        <w:autoSpaceDN w:val="0"/>
        <w:adjustRightInd w:val="0"/>
      </w:pPr>
      <w:r w:rsidRPr="00540F8B">
        <w:t xml:space="preserve">                                Responses           Cost               Hours              Total</w:t>
      </w:r>
    </w:p>
    <w:p w:rsidR="004413D0" w:rsidRPr="00540F8B" w:rsidRDefault="004413D0" w:rsidP="004413D0">
      <w:pPr>
        <w:autoSpaceDE w:val="0"/>
        <w:autoSpaceDN w:val="0"/>
        <w:adjustRightInd w:val="0"/>
      </w:pPr>
      <w:r w:rsidRPr="00540F8B">
        <w:t xml:space="preserve">Number of              Per                        </w:t>
      </w:r>
      <w:proofErr w:type="spellStart"/>
      <w:r w:rsidRPr="00540F8B">
        <w:t>Per</w:t>
      </w:r>
      <w:proofErr w:type="spellEnd"/>
      <w:r w:rsidRPr="00540F8B">
        <w:t xml:space="preserve">                </w:t>
      </w:r>
      <w:proofErr w:type="spellStart"/>
      <w:r w:rsidRPr="00540F8B">
        <w:t>Per</w:t>
      </w:r>
      <w:proofErr w:type="spellEnd"/>
      <w:r w:rsidRPr="00540F8B">
        <w:t xml:space="preserve">                   Cost</w:t>
      </w:r>
    </w:p>
    <w:p w:rsidR="004413D0" w:rsidRPr="00540F8B" w:rsidRDefault="004413D0" w:rsidP="004413D0">
      <w:pPr>
        <w:autoSpaceDE w:val="0"/>
        <w:autoSpaceDN w:val="0"/>
        <w:adjustRightInd w:val="0"/>
      </w:pPr>
      <w:r w:rsidRPr="00540F8B">
        <w:rPr>
          <w:u w:val="single"/>
        </w:rPr>
        <w:t>Respondents</w:t>
      </w:r>
      <w:r w:rsidRPr="00540F8B">
        <w:t xml:space="preserve">           </w:t>
      </w:r>
      <w:r w:rsidRPr="00540F8B">
        <w:rPr>
          <w:u w:val="single"/>
        </w:rPr>
        <w:t>Respondent</w:t>
      </w:r>
      <w:r w:rsidRPr="00540F8B">
        <w:t xml:space="preserve">         </w:t>
      </w:r>
      <w:r w:rsidRPr="00540F8B">
        <w:rPr>
          <w:u w:val="single"/>
        </w:rPr>
        <w:t>Hour</w:t>
      </w:r>
      <w:r w:rsidRPr="00540F8B">
        <w:t xml:space="preserve">              </w:t>
      </w:r>
      <w:r w:rsidRPr="00540F8B">
        <w:rPr>
          <w:u w:val="single"/>
        </w:rPr>
        <w:t>Response</w:t>
      </w:r>
      <w:r w:rsidRPr="00540F8B">
        <w:t xml:space="preserve">        </w:t>
      </w:r>
      <w:r w:rsidRPr="00540F8B">
        <w:rPr>
          <w:u w:val="single"/>
        </w:rPr>
        <w:t>Annually</w:t>
      </w:r>
    </w:p>
    <w:p w:rsidR="004413D0" w:rsidRPr="00540F8B" w:rsidRDefault="004413D0" w:rsidP="004413D0">
      <w:pPr>
        <w:autoSpaceDE w:val="0"/>
        <w:autoSpaceDN w:val="0"/>
        <w:adjustRightInd w:val="0"/>
      </w:pPr>
    </w:p>
    <w:p w:rsidR="004413D0" w:rsidRPr="00540F8B" w:rsidRDefault="004413D0" w:rsidP="004413D0">
      <w:pPr>
        <w:autoSpaceDE w:val="0"/>
        <w:autoSpaceDN w:val="0"/>
        <w:adjustRightInd w:val="0"/>
      </w:pPr>
      <w:r w:rsidRPr="00540F8B">
        <w:t xml:space="preserve">       17             x               1           x      225       x          1            =      $3,825</w:t>
      </w:r>
    </w:p>
    <w:p w:rsidR="004413D0" w:rsidRPr="00540F8B" w:rsidRDefault="004413D0" w:rsidP="00710996">
      <w:pPr>
        <w:autoSpaceDE w:val="0"/>
        <w:autoSpaceDN w:val="0"/>
        <w:adjustRightInd w:val="0"/>
      </w:pPr>
    </w:p>
    <w:p w:rsidR="00710996" w:rsidRDefault="004413D0" w:rsidP="00710996">
      <w:pPr>
        <w:autoSpaceDE w:val="0"/>
        <w:autoSpaceDN w:val="0"/>
        <w:adjustRightInd w:val="0"/>
      </w:pPr>
      <w:r w:rsidRPr="00540F8B">
        <w:t>Total Annualized Costs to the respondent is as follows:</w:t>
      </w:r>
    </w:p>
    <w:p w:rsidR="001F3A9B" w:rsidRDefault="001F3A9B" w:rsidP="00710996">
      <w:pPr>
        <w:autoSpaceDE w:val="0"/>
        <w:autoSpaceDN w:val="0"/>
        <w:adjustRightInd w:val="0"/>
      </w:pPr>
    </w:p>
    <w:p w:rsidR="001F3A9B" w:rsidRPr="00540F8B" w:rsidRDefault="001F3A9B" w:rsidP="00710996">
      <w:pPr>
        <w:autoSpaceDE w:val="0"/>
        <w:autoSpaceDN w:val="0"/>
        <w:adjustRightInd w:val="0"/>
      </w:pPr>
      <w:r>
        <w:t xml:space="preserve">             </w:t>
      </w:r>
      <w:r w:rsidRPr="00540F8B">
        <w:t>$206,550</w:t>
      </w:r>
      <w:r>
        <w:t xml:space="preserve"> + $3,825 = $210</w:t>
      </w:r>
      <w:r w:rsidR="002D36F1">
        <w:t>,</w:t>
      </w:r>
      <w:r>
        <w:t xml:space="preserve">375.00 </w:t>
      </w:r>
    </w:p>
    <w:p w:rsidR="00710996" w:rsidRPr="00540F8B" w:rsidRDefault="00710996" w:rsidP="00710996">
      <w:pPr>
        <w:autoSpaceDE w:val="0"/>
        <w:autoSpaceDN w:val="0"/>
        <w:adjustRightInd w:val="0"/>
      </w:pPr>
      <w:r w:rsidRPr="00540F8B">
        <w:t xml:space="preserve"> </w:t>
      </w:r>
    </w:p>
    <w:p w:rsidR="00710996" w:rsidRPr="00540F8B" w:rsidRDefault="00710996" w:rsidP="00710996">
      <w:pPr>
        <w:autoSpaceDE w:val="0"/>
        <w:autoSpaceDN w:val="0"/>
        <w:adjustRightInd w:val="0"/>
      </w:pPr>
      <w:r w:rsidRPr="00540F8B">
        <w:t>13. Provide an estimate of the total annual cost burden to respondents or record keepers resulting from the collection of information.</w:t>
      </w:r>
      <w:r w:rsidR="001866EC">
        <w:t xml:space="preserve"> </w:t>
      </w:r>
      <w:r w:rsidRPr="00540F8B">
        <w:t xml:space="preserve"> (Do not include the cost of any hour burden shown in items 12 and 14).</w:t>
      </w:r>
    </w:p>
    <w:p w:rsidR="00710996" w:rsidRPr="00540F8B" w:rsidRDefault="00710996" w:rsidP="00710996">
      <w:pPr>
        <w:autoSpaceDE w:val="0"/>
        <w:autoSpaceDN w:val="0"/>
        <w:adjustRightInd w:val="0"/>
      </w:pPr>
    </w:p>
    <w:p w:rsidR="00710996" w:rsidRPr="00540F8B" w:rsidRDefault="00710996" w:rsidP="00794586">
      <w:pPr>
        <w:pStyle w:val="ListParagraph"/>
        <w:numPr>
          <w:ilvl w:val="0"/>
          <w:numId w:val="4"/>
        </w:numPr>
        <w:autoSpaceDE w:val="0"/>
        <w:autoSpaceDN w:val="0"/>
        <w:adjustRightInd w:val="0"/>
      </w:pPr>
      <w:r w:rsidRPr="00540F8B">
        <w:t>The cost estimate should be split into two components: (a) a total capital and start-up cost component (annualized over its expected useful life)</w:t>
      </w:r>
      <w:proofErr w:type="gramStart"/>
      <w:r w:rsidRPr="00540F8B">
        <w:t>;</w:t>
      </w:r>
      <w:proofErr w:type="gramEnd"/>
      <w:r w:rsidRPr="00540F8B">
        <w:t xml:space="preserve"> and </w:t>
      </w:r>
      <w:r w:rsidR="00794586" w:rsidRPr="00540F8B">
        <w:t>(b</w:t>
      </w:r>
      <w:r w:rsidRPr="00540F8B">
        <w:t xml:space="preserve">) a total operation and maintenance and purchase of services component. </w:t>
      </w:r>
      <w:r w:rsidR="00746BE7">
        <w:t xml:space="preserve"> </w:t>
      </w:r>
      <w:r w:rsidRPr="00540F8B">
        <w:t xml:space="preserve">The estimates should take into account costs associated with generating, maintaining and disclosing or providing the information. </w:t>
      </w:r>
      <w:r w:rsidR="000E6B91">
        <w:t xml:space="preserve"> </w:t>
      </w:r>
      <w:r w:rsidRPr="00540F8B">
        <w:t>Include descriptions of methods used to estimate major cost factors including system and technology acquisition, expected useful life of capital equipment, the discount rate(s), and the time period over which costs will be incurred</w:t>
      </w:r>
      <w:proofErr w:type="gramStart"/>
      <w:r w:rsidRPr="00540F8B">
        <w:t xml:space="preserve">. </w:t>
      </w:r>
      <w:proofErr w:type="gramEnd"/>
      <w:r w:rsidRPr="00540F8B">
        <w:t>Capital and start-up costs include, among other items, preparations for collecting information such as purchasing computers and software; monitoring, sampling, drilling and testing equipment; and record storage facilities.</w:t>
      </w:r>
    </w:p>
    <w:p w:rsidR="00794586" w:rsidRPr="00540F8B" w:rsidRDefault="00794586" w:rsidP="004D3F59">
      <w:pPr>
        <w:pStyle w:val="ListParagraph"/>
        <w:autoSpaceDE w:val="0"/>
        <w:autoSpaceDN w:val="0"/>
        <w:adjustRightInd w:val="0"/>
      </w:pPr>
    </w:p>
    <w:p w:rsidR="004D3F59" w:rsidRPr="00540F8B" w:rsidRDefault="00710996" w:rsidP="004D3F59">
      <w:pPr>
        <w:pStyle w:val="ListParagraph"/>
        <w:numPr>
          <w:ilvl w:val="0"/>
          <w:numId w:val="4"/>
        </w:numPr>
        <w:autoSpaceDE w:val="0"/>
        <w:autoSpaceDN w:val="0"/>
        <w:adjustRightInd w:val="0"/>
      </w:pPr>
      <w:r w:rsidRPr="00540F8B">
        <w:t>If cost estimates are expected to vary widely, agencies should present ranges of cost burdens and explain the reasons for the variance</w:t>
      </w:r>
      <w:proofErr w:type="gramStart"/>
      <w:r w:rsidRPr="00540F8B">
        <w:t xml:space="preserve">. </w:t>
      </w:r>
      <w:proofErr w:type="gramEnd"/>
      <w:r w:rsidRPr="00540F8B">
        <w:t>The cost of purchasing or contracting out information collection services should be a part of this cost burden estimate</w:t>
      </w:r>
      <w:proofErr w:type="gramStart"/>
      <w:r w:rsidRPr="00540F8B">
        <w:t xml:space="preserve">. </w:t>
      </w:r>
      <w:proofErr w:type="gramEnd"/>
      <w:r w:rsidRPr="00540F8B">
        <w:t>In developing cost burden estimates, agencies may consult with a sample of respondents</w:t>
      </w:r>
      <w:r w:rsidR="004D3F59" w:rsidRPr="00540F8B">
        <w:t xml:space="preserve"> (fewer than 10</w:t>
      </w:r>
      <w:r w:rsidRPr="00540F8B">
        <w:t xml:space="preserve">), utilize the 60-day pre-OMB submission public comment process and use existing economic or regulatory impact analysis associated with the rulemaking containing the information collection, as appropriate. </w:t>
      </w:r>
    </w:p>
    <w:p w:rsidR="004D3F59" w:rsidRPr="00540F8B" w:rsidRDefault="004D3F59" w:rsidP="004D3F59">
      <w:pPr>
        <w:pStyle w:val="ListParagraph"/>
      </w:pPr>
    </w:p>
    <w:p w:rsidR="00710996" w:rsidRPr="00540F8B" w:rsidRDefault="00710996" w:rsidP="004D3F59">
      <w:pPr>
        <w:pStyle w:val="ListParagraph"/>
        <w:numPr>
          <w:ilvl w:val="0"/>
          <w:numId w:val="4"/>
        </w:numPr>
        <w:autoSpaceDE w:val="0"/>
        <w:autoSpaceDN w:val="0"/>
        <w:adjustRightInd w:val="0"/>
      </w:pPr>
      <w:r w:rsidRPr="00540F8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540F8B">
        <w:t>government,</w:t>
      </w:r>
      <w:proofErr w:type="gramEnd"/>
      <w:r w:rsidRPr="00540F8B">
        <w:t xml:space="preserve"> or (4) as part of customary and usual business or private practices.</w:t>
      </w:r>
    </w:p>
    <w:p w:rsidR="00F47470" w:rsidRDefault="00F47470" w:rsidP="004D3F59">
      <w:pPr>
        <w:autoSpaceDE w:val="0"/>
        <w:autoSpaceDN w:val="0"/>
        <w:adjustRightInd w:val="0"/>
      </w:pPr>
    </w:p>
    <w:p w:rsidR="004D3F59" w:rsidRPr="00540F8B" w:rsidRDefault="004D3F59" w:rsidP="004D3F59">
      <w:pPr>
        <w:autoSpaceDE w:val="0"/>
        <w:autoSpaceDN w:val="0"/>
        <w:adjustRightInd w:val="0"/>
      </w:pPr>
      <w:r w:rsidRPr="00540F8B">
        <w:lastRenderedPageBreak/>
        <w:t>The estimated annual cost burden to the respondents is as follows:</w:t>
      </w:r>
    </w:p>
    <w:p w:rsidR="00710996" w:rsidRPr="00540F8B" w:rsidRDefault="00710996" w:rsidP="00710996">
      <w:pPr>
        <w:autoSpaceDE w:val="0"/>
        <w:autoSpaceDN w:val="0"/>
        <w:adjustRightInd w:val="0"/>
      </w:pPr>
    </w:p>
    <w:p w:rsidR="00710996" w:rsidRPr="00540F8B" w:rsidRDefault="004D3F59" w:rsidP="00710996">
      <w:pPr>
        <w:autoSpaceDE w:val="0"/>
        <w:autoSpaceDN w:val="0"/>
        <w:adjustRightInd w:val="0"/>
      </w:pPr>
      <w:r w:rsidRPr="00540F8B">
        <w:t xml:space="preserve">(a)    </w:t>
      </w:r>
      <w:r w:rsidR="00710996" w:rsidRPr="00540F8B">
        <w:rPr>
          <w:u w:val="single"/>
        </w:rPr>
        <w:t>Total Capital and Start-up Costs Estimate:</w:t>
      </w:r>
      <w:r w:rsidRPr="00540F8B">
        <w:t xml:space="preserve">  </w:t>
      </w:r>
      <w:r w:rsidR="00710996" w:rsidRPr="00540F8B">
        <w:t>There are no capital or start-up costs associated with this information collection.</w:t>
      </w:r>
    </w:p>
    <w:p w:rsidR="006D7F61" w:rsidRPr="00540F8B" w:rsidRDefault="006D7F61" w:rsidP="00710996">
      <w:pPr>
        <w:autoSpaceDE w:val="0"/>
        <w:autoSpaceDN w:val="0"/>
        <w:adjustRightInd w:val="0"/>
      </w:pPr>
    </w:p>
    <w:p w:rsidR="00710996" w:rsidRPr="00540F8B" w:rsidRDefault="00833442" w:rsidP="00710996">
      <w:pPr>
        <w:autoSpaceDE w:val="0"/>
        <w:autoSpaceDN w:val="0"/>
        <w:adjustRightInd w:val="0"/>
      </w:pPr>
      <w:r w:rsidRPr="00540F8B">
        <w:t xml:space="preserve">(b)   </w:t>
      </w:r>
      <w:r w:rsidR="00710996" w:rsidRPr="00540F8B">
        <w:rPr>
          <w:u w:val="single"/>
        </w:rPr>
        <w:t>Total Operation and Maintenance and Purchase of Services Estimate</w:t>
      </w:r>
      <w:r w:rsidRPr="00540F8B">
        <w:rPr>
          <w:u w:val="single"/>
        </w:rPr>
        <w:t>:</w:t>
      </w:r>
      <w:r w:rsidRPr="00540F8B">
        <w:t xml:space="preserve">  </w:t>
      </w:r>
      <w:r w:rsidR="00710996" w:rsidRPr="00540F8B">
        <w:t xml:space="preserve">There are no </w:t>
      </w:r>
      <w:r w:rsidRPr="00540F8B">
        <w:t>maintenance costs</w:t>
      </w:r>
      <w:r w:rsidR="00710996" w:rsidRPr="00540F8B">
        <w:t>.</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proofErr w:type="gramStart"/>
      <w:r w:rsidRPr="00540F8B">
        <w:t>14. Provide estimates of annualized cost to the Federal Government.</w:t>
      </w:r>
      <w:proofErr w:type="gramEnd"/>
      <w:r w:rsidRPr="00540F8B">
        <w:t xml:space="preserve"> </w:t>
      </w:r>
      <w:r w:rsidR="001866EC">
        <w:t xml:space="preserve"> </w:t>
      </w:r>
      <w:r w:rsidRPr="00540F8B">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1866EC">
        <w:t xml:space="preserve"> </w:t>
      </w:r>
      <w:r w:rsidRPr="00540F8B">
        <w:t>Agencies also may aggregate cost estimates from items 12, 13, and 14 in a single table.</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 xml:space="preserve">The total annual cost to the Federal Government for processing the collection </w:t>
      </w:r>
      <w:proofErr w:type="gramStart"/>
      <w:r w:rsidRPr="00540F8B">
        <w:t>is estimated</w:t>
      </w:r>
      <w:proofErr w:type="gramEnd"/>
      <w:r w:rsidRPr="00540F8B">
        <w:t xml:space="preserve"> as follows:</w:t>
      </w:r>
    </w:p>
    <w:p w:rsidR="00833442" w:rsidRPr="00540F8B" w:rsidRDefault="00833442" w:rsidP="00710996">
      <w:pPr>
        <w:autoSpaceDE w:val="0"/>
        <w:autoSpaceDN w:val="0"/>
        <w:adjustRightInd w:val="0"/>
      </w:pPr>
    </w:p>
    <w:p w:rsidR="00833442" w:rsidRPr="00540F8B" w:rsidRDefault="00833442" w:rsidP="00710996">
      <w:pPr>
        <w:autoSpaceDE w:val="0"/>
        <w:autoSpaceDN w:val="0"/>
        <w:adjustRightInd w:val="0"/>
      </w:pPr>
      <w:r w:rsidRPr="00540F8B">
        <w:t xml:space="preserve">               </w:t>
      </w:r>
      <w:r w:rsidRPr="00540F8B">
        <w:rPr>
          <w:u w:val="single"/>
        </w:rPr>
        <w:t>Cost of Application</w:t>
      </w:r>
      <w:r w:rsidRPr="00540F8B">
        <w:t>:  $3,922</w:t>
      </w:r>
    </w:p>
    <w:p w:rsidR="00833442" w:rsidRPr="00540F8B" w:rsidRDefault="00833442" w:rsidP="00710996">
      <w:pPr>
        <w:autoSpaceDE w:val="0"/>
        <w:autoSpaceDN w:val="0"/>
        <w:adjustRightInd w:val="0"/>
      </w:pPr>
    </w:p>
    <w:p w:rsidR="00710996" w:rsidRDefault="00710996" w:rsidP="00710996">
      <w:pPr>
        <w:autoSpaceDE w:val="0"/>
        <w:autoSpaceDN w:val="0"/>
        <w:adjustRightInd w:val="0"/>
      </w:pPr>
      <w:r w:rsidRPr="00540F8B">
        <w:t xml:space="preserve">It </w:t>
      </w:r>
      <w:proofErr w:type="gramStart"/>
      <w:r w:rsidRPr="00540F8B">
        <w:t>is estimated</w:t>
      </w:r>
      <w:proofErr w:type="gramEnd"/>
      <w:r w:rsidRPr="00540F8B">
        <w:t xml:space="preserve"> that </w:t>
      </w:r>
      <w:r w:rsidR="00833442" w:rsidRPr="00540F8B">
        <w:t>10</w:t>
      </w:r>
      <w:r w:rsidRPr="00540F8B">
        <w:t xml:space="preserve"> employees in various areas of the Maritime Administration spend between </w:t>
      </w:r>
      <w:r w:rsidR="00833442" w:rsidRPr="00540F8B">
        <w:t>four</w:t>
      </w:r>
      <w:r w:rsidRPr="00540F8B">
        <w:t xml:space="preserve"> </w:t>
      </w:r>
      <w:r w:rsidR="00833442" w:rsidRPr="00540F8B">
        <w:t xml:space="preserve">hours of </w:t>
      </w:r>
      <w:r w:rsidRPr="00540F8B">
        <w:t>their time collecting, reviewing and assimilating information submitted with</w:t>
      </w:r>
      <w:r w:rsidR="00833442" w:rsidRPr="00540F8B">
        <w:t xml:space="preserve"> each application.</w:t>
      </w:r>
    </w:p>
    <w:p w:rsidR="00067F29" w:rsidRPr="00540F8B" w:rsidRDefault="00067F29" w:rsidP="00710996">
      <w:pPr>
        <w:autoSpaceDE w:val="0"/>
        <w:autoSpaceDN w:val="0"/>
        <w:adjustRightInd w:val="0"/>
      </w:pPr>
    </w:p>
    <w:p w:rsidR="00710996" w:rsidRPr="00540F8B" w:rsidRDefault="00710996" w:rsidP="00710996">
      <w:pPr>
        <w:autoSpaceDE w:val="0"/>
        <w:autoSpaceDN w:val="0"/>
        <w:adjustRightInd w:val="0"/>
      </w:pPr>
      <w:r w:rsidRPr="00540F8B">
        <w:t xml:space="preserve">Therefore, given average </w:t>
      </w:r>
      <w:r w:rsidR="00833442" w:rsidRPr="00540F8B">
        <w:t xml:space="preserve">GS-14 salary </w:t>
      </w:r>
      <w:r w:rsidRPr="00540F8B">
        <w:t xml:space="preserve">of </w:t>
      </w:r>
      <w:r w:rsidR="00833442" w:rsidRPr="00540F8B">
        <w:t xml:space="preserve">$53 per hour for each of the employees and an overhead cost of </w:t>
      </w:r>
      <w:r w:rsidRPr="00540F8B">
        <w:t>85</w:t>
      </w:r>
      <w:r w:rsidR="00833442" w:rsidRPr="00540F8B">
        <w:t xml:space="preserve"> percent</w:t>
      </w:r>
      <w:r w:rsidRPr="00540F8B">
        <w:t xml:space="preserve"> of the salar</w:t>
      </w:r>
      <w:r w:rsidR="00833442" w:rsidRPr="00540F8B">
        <w:t>y</w:t>
      </w:r>
      <w:r w:rsidRPr="00540F8B">
        <w:t xml:space="preserve">, the cost to the Government </w:t>
      </w:r>
      <w:proofErr w:type="gramStart"/>
      <w:r w:rsidRPr="00540F8B">
        <w:t>is estimated</w:t>
      </w:r>
      <w:proofErr w:type="gramEnd"/>
      <w:r w:rsidRPr="00540F8B">
        <w:t xml:space="preserve"> as follows:</w:t>
      </w:r>
    </w:p>
    <w:p w:rsidR="006D7F61" w:rsidRPr="00540F8B" w:rsidRDefault="006D7F61" w:rsidP="00710996">
      <w:pPr>
        <w:autoSpaceDE w:val="0"/>
        <w:autoSpaceDN w:val="0"/>
        <w:adjustRightInd w:val="0"/>
      </w:pPr>
    </w:p>
    <w:p w:rsidR="00710996" w:rsidRPr="00540F8B" w:rsidRDefault="00710996" w:rsidP="00710996">
      <w:pPr>
        <w:autoSpaceDE w:val="0"/>
        <w:autoSpaceDN w:val="0"/>
        <w:adjustRightInd w:val="0"/>
      </w:pPr>
      <w:r w:rsidRPr="00540F8B">
        <w:t xml:space="preserve">Number of </w:t>
      </w:r>
      <w:r w:rsidR="00186219" w:rsidRPr="00540F8B">
        <w:tab/>
        <w:t xml:space="preserve">   </w:t>
      </w:r>
      <w:r w:rsidR="00833442" w:rsidRPr="00540F8B">
        <w:t>Hourly</w:t>
      </w:r>
      <w:r w:rsidR="00186219" w:rsidRPr="00540F8B">
        <w:t xml:space="preserve"> </w:t>
      </w:r>
      <w:r w:rsidR="00186219" w:rsidRPr="00540F8B">
        <w:tab/>
        <w:t xml:space="preserve">  </w:t>
      </w:r>
      <w:r w:rsidR="0074018C" w:rsidRPr="00540F8B">
        <w:t>Project</w:t>
      </w:r>
      <w:r w:rsidRPr="00540F8B">
        <w:t xml:space="preserve"> </w:t>
      </w:r>
      <w:r w:rsidR="006D7F61" w:rsidRPr="00540F8B">
        <w:tab/>
      </w:r>
      <w:r w:rsidR="0074018C" w:rsidRPr="00540F8B">
        <w:t xml:space="preserve">  </w:t>
      </w:r>
      <w:r w:rsidR="001866EC">
        <w:t xml:space="preserve"> </w:t>
      </w:r>
      <w:r w:rsidR="0074018C" w:rsidRPr="00540F8B">
        <w:t>Cost Per</w:t>
      </w:r>
    </w:p>
    <w:p w:rsidR="00710996" w:rsidRPr="00540F8B" w:rsidRDefault="00710996" w:rsidP="00710996">
      <w:pPr>
        <w:autoSpaceDE w:val="0"/>
        <w:autoSpaceDN w:val="0"/>
        <w:adjustRightInd w:val="0"/>
        <w:rPr>
          <w:i/>
          <w:iCs/>
        </w:rPr>
      </w:pPr>
      <w:r w:rsidRPr="00540F8B">
        <w:rPr>
          <w:u w:val="single"/>
        </w:rPr>
        <w:t>Employees</w:t>
      </w:r>
      <w:r w:rsidRPr="00540F8B">
        <w:t xml:space="preserve"> </w:t>
      </w:r>
      <w:r w:rsidR="00833442" w:rsidRPr="00540F8B">
        <w:t xml:space="preserve">          </w:t>
      </w:r>
      <w:r w:rsidR="00833442" w:rsidRPr="00540F8B">
        <w:rPr>
          <w:u w:val="single"/>
        </w:rPr>
        <w:t>Wage</w:t>
      </w:r>
      <w:r w:rsidRPr="00540F8B">
        <w:t xml:space="preserve"> </w:t>
      </w:r>
      <w:r w:rsidR="006D7F61" w:rsidRPr="00540F8B">
        <w:tab/>
      </w:r>
      <w:r w:rsidR="00186219" w:rsidRPr="00540F8B">
        <w:t xml:space="preserve">   </w:t>
      </w:r>
      <w:r w:rsidR="0074018C" w:rsidRPr="00540F8B">
        <w:rPr>
          <w:u w:val="single"/>
        </w:rPr>
        <w:t>Time</w:t>
      </w:r>
      <w:r w:rsidRPr="00540F8B">
        <w:t xml:space="preserve"> </w:t>
      </w:r>
      <w:r w:rsidR="006D7F61" w:rsidRPr="00540F8B">
        <w:tab/>
      </w:r>
      <w:r w:rsidR="00186219" w:rsidRPr="00540F8B">
        <w:t xml:space="preserve">  </w:t>
      </w:r>
      <w:r w:rsidR="0074018C" w:rsidRPr="00540F8B">
        <w:rPr>
          <w:iCs/>
          <w:u w:val="single"/>
        </w:rPr>
        <w:t>Application</w:t>
      </w:r>
    </w:p>
    <w:tbl>
      <w:tblPr>
        <w:tblpPr w:leftFromText="180" w:rightFromText="180" w:vertAnchor="text" w:tblpY="1"/>
        <w:tblOverlap w:val="never"/>
        <w:tblW w:w="316" w:type="dxa"/>
        <w:tblLayout w:type="fixed"/>
        <w:tblCellMar>
          <w:left w:w="0" w:type="dxa"/>
          <w:right w:w="0" w:type="dxa"/>
        </w:tblCellMar>
        <w:tblLook w:val="0000"/>
      </w:tblPr>
      <w:tblGrid>
        <w:gridCol w:w="53"/>
        <w:gridCol w:w="53"/>
        <w:gridCol w:w="55"/>
        <w:gridCol w:w="74"/>
        <w:gridCol w:w="81"/>
      </w:tblGrid>
      <w:tr w:rsidR="006D7F61" w:rsidRPr="00540F8B" w:rsidTr="0074018C">
        <w:trPr>
          <w:trHeight w:val="257"/>
        </w:trPr>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cente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55"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c>
          <w:tcPr>
            <w:tcW w:w="74"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c>
          <w:tcPr>
            <w:tcW w:w="81"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r>
      <w:tr w:rsidR="006D7F61" w:rsidRPr="00540F8B" w:rsidTr="0074018C">
        <w:trPr>
          <w:trHeight w:val="257"/>
        </w:trPr>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cente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55"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c>
          <w:tcPr>
            <w:tcW w:w="74"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c>
          <w:tcPr>
            <w:tcW w:w="81"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r>
      <w:tr w:rsidR="006D7F61" w:rsidRPr="00540F8B" w:rsidTr="0074018C">
        <w:trPr>
          <w:trHeight w:val="257"/>
        </w:trPr>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cente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55"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c>
          <w:tcPr>
            <w:tcW w:w="74"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c>
          <w:tcPr>
            <w:tcW w:w="81"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r>
      <w:tr w:rsidR="006D7F61" w:rsidRPr="00540F8B" w:rsidTr="0074018C">
        <w:trPr>
          <w:trHeight w:val="257"/>
        </w:trPr>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cente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55"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c>
          <w:tcPr>
            <w:tcW w:w="74"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c>
          <w:tcPr>
            <w:tcW w:w="81"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rPr>
                <w:u w:val="single"/>
              </w:rPr>
            </w:pPr>
          </w:p>
        </w:tc>
      </w:tr>
      <w:tr w:rsidR="006D7F61" w:rsidRPr="00540F8B" w:rsidTr="0074018C">
        <w:trPr>
          <w:trHeight w:val="257"/>
        </w:trPr>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55"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74"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81"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pPr>
              <w:jc w:val="right"/>
            </w:pPr>
          </w:p>
        </w:tc>
      </w:tr>
      <w:tr w:rsidR="006D7F61" w:rsidRPr="00540F8B" w:rsidTr="0074018C">
        <w:trPr>
          <w:trHeight w:val="257"/>
        </w:trPr>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53"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55"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74"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c>
          <w:tcPr>
            <w:tcW w:w="81" w:type="dxa"/>
            <w:tcBorders>
              <w:top w:val="nil"/>
              <w:left w:val="nil"/>
              <w:bottom w:val="nil"/>
              <w:right w:val="nil"/>
            </w:tcBorders>
            <w:shd w:val="clear" w:color="auto" w:fill="auto"/>
            <w:noWrap/>
            <w:tcMar>
              <w:top w:w="15" w:type="dxa"/>
              <w:left w:w="15" w:type="dxa"/>
              <w:bottom w:w="0" w:type="dxa"/>
              <w:right w:w="15" w:type="dxa"/>
            </w:tcMar>
            <w:vAlign w:val="bottom"/>
          </w:tcPr>
          <w:p w:rsidR="006D7F61" w:rsidRPr="00540F8B" w:rsidRDefault="006D7F61" w:rsidP="0074018C"/>
        </w:tc>
      </w:tr>
    </w:tbl>
    <w:p w:rsidR="0074018C" w:rsidRPr="00540F8B" w:rsidRDefault="0074018C" w:rsidP="00710996">
      <w:pPr>
        <w:autoSpaceDE w:val="0"/>
        <w:autoSpaceDN w:val="0"/>
        <w:adjustRightInd w:val="0"/>
      </w:pPr>
    </w:p>
    <w:p w:rsidR="0074018C" w:rsidRPr="00540F8B" w:rsidRDefault="0074018C" w:rsidP="00710996">
      <w:pPr>
        <w:autoSpaceDE w:val="0"/>
        <w:autoSpaceDN w:val="0"/>
        <w:adjustRightInd w:val="0"/>
      </w:pPr>
      <w:r w:rsidRPr="00540F8B">
        <w:t xml:space="preserve">10        x       $53              x      4 hours       </w:t>
      </w:r>
      <w:proofErr w:type="gramStart"/>
      <w:r w:rsidRPr="00540F8B">
        <w:t>=  $</w:t>
      </w:r>
      <w:proofErr w:type="gramEnd"/>
      <w:r w:rsidRPr="00540F8B">
        <w:t>2,120</w:t>
      </w:r>
    </w:p>
    <w:p w:rsidR="0074018C" w:rsidRPr="00540F8B" w:rsidRDefault="0074018C" w:rsidP="00710996">
      <w:pPr>
        <w:autoSpaceDE w:val="0"/>
        <w:autoSpaceDN w:val="0"/>
        <w:adjustRightInd w:val="0"/>
      </w:pPr>
      <w:r w:rsidRPr="00540F8B">
        <w:t xml:space="preserve">Overhead at 85%                                        </w:t>
      </w:r>
      <w:proofErr w:type="gramStart"/>
      <w:r w:rsidRPr="00540F8B">
        <w:t>=  $</w:t>
      </w:r>
      <w:proofErr w:type="gramEnd"/>
      <w:r w:rsidRPr="00540F8B">
        <w:rPr>
          <w:u w:val="single"/>
        </w:rPr>
        <w:t>1,802</w:t>
      </w:r>
    </w:p>
    <w:p w:rsidR="0074018C" w:rsidRPr="00540F8B" w:rsidRDefault="0074018C" w:rsidP="00710996">
      <w:pPr>
        <w:autoSpaceDE w:val="0"/>
        <w:autoSpaceDN w:val="0"/>
        <w:adjustRightInd w:val="0"/>
      </w:pPr>
      <w:r w:rsidRPr="00540F8B">
        <w:t xml:space="preserve">Sub-total                                                     </w:t>
      </w:r>
      <w:proofErr w:type="gramStart"/>
      <w:r w:rsidRPr="00540F8B">
        <w:t>=  $</w:t>
      </w:r>
      <w:proofErr w:type="gramEnd"/>
      <w:r w:rsidRPr="00540F8B">
        <w:t>3,922</w:t>
      </w:r>
    </w:p>
    <w:p w:rsidR="0074018C" w:rsidRPr="00540F8B" w:rsidRDefault="0074018C" w:rsidP="00710996">
      <w:pPr>
        <w:autoSpaceDE w:val="0"/>
        <w:autoSpaceDN w:val="0"/>
        <w:adjustRightInd w:val="0"/>
      </w:pPr>
    </w:p>
    <w:p w:rsidR="00186219" w:rsidRPr="00540F8B" w:rsidRDefault="00C9160C" w:rsidP="00710996">
      <w:pPr>
        <w:autoSpaceDE w:val="0"/>
        <w:autoSpaceDN w:val="0"/>
        <w:adjustRightInd w:val="0"/>
      </w:pPr>
      <w:r w:rsidRPr="00540F8B">
        <w:t xml:space="preserve">   </w:t>
      </w:r>
      <w:r w:rsidRPr="00540F8B">
        <w:rPr>
          <w:u w:val="single"/>
        </w:rPr>
        <w:t>Cost of Annual Statement</w:t>
      </w:r>
      <w:r w:rsidRPr="00540F8B">
        <w:t>:  $833.42</w:t>
      </w:r>
    </w:p>
    <w:p w:rsidR="00C9160C" w:rsidRPr="00540F8B" w:rsidRDefault="00C9160C" w:rsidP="00710996">
      <w:pPr>
        <w:autoSpaceDE w:val="0"/>
        <w:autoSpaceDN w:val="0"/>
        <w:adjustRightInd w:val="0"/>
      </w:pPr>
    </w:p>
    <w:p w:rsidR="00C9160C" w:rsidRPr="00540F8B" w:rsidRDefault="00C9160C" w:rsidP="00710996">
      <w:pPr>
        <w:autoSpaceDE w:val="0"/>
        <w:autoSpaceDN w:val="0"/>
        <w:adjustRightInd w:val="0"/>
      </w:pPr>
      <w:r w:rsidRPr="00540F8B">
        <w:t xml:space="preserve">It </w:t>
      </w:r>
      <w:proofErr w:type="gramStart"/>
      <w:r w:rsidRPr="00540F8B">
        <w:t>is estimated</w:t>
      </w:r>
      <w:proofErr w:type="gramEnd"/>
      <w:r w:rsidRPr="00540F8B">
        <w:t xml:space="preserve"> that one employee receives the annual statement, enters the amount into ledger, and files the statement.  Time required for these tasks is 30 minutes and the hourly rate is $53.</w:t>
      </w:r>
    </w:p>
    <w:p w:rsidR="00840621" w:rsidRPr="00540F8B" w:rsidRDefault="00840621" w:rsidP="00710996">
      <w:pPr>
        <w:autoSpaceDE w:val="0"/>
        <w:autoSpaceDN w:val="0"/>
        <w:adjustRightInd w:val="0"/>
      </w:pPr>
    </w:p>
    <w:p w:rsidR="00C9160C" w:rsidRPr="00540F8B" w:rsidRDefault="00C9160C" w:rsidP="00C9160C">
      <w:pPr>
        <w:autoSpaceDE w:val="0"/>
        <w:autoSpaceDN w:val="0"/>
        <w:adjustRightInd w:val="0"/>
      </w:pPr>
      <w:r w:rsidRPr="00540F8B">
        <w:t xml:space="preserve">Number of </w:t>
      </w:r>
      <w:r w:rsidRPr="00540F8B">
        <w:tab/>
        <w:t xml:space="preserve">   Hourly </w:t>
      </w:r>
      <w:r w:rsidRPr="00540F8B">
        <w:tab/>
        <w:t xml:space="preserve">   Project </w:t>
      </w:r>
      <w:r w:rsidRPr="00540F8B">
        <w:tab/>
      </w:r>
      <w:r w:rsidR="001866EC">
        <w:t xml:space="preserve">  </w:t>
      </w:r>
      <w:r w:rsidRPr="00540F8B">
        <w:t>Cost Per</w:t>
      </w:r>
    </w:p>
    <w:p w:rsidR="00C9160C" w:rsidRPr="00540F8B" w:rsidRDefault="00C9160C" w:rsidP="00C9160C">
      <w:pPr>
        <w:autoSpaceDE w:val="0"/>
        <w:autoSpaceDN w:val="0"/>
        <w:adjustRightInd w:val="0"/>
        <w:rPr>
          <w:i/>
          <w:iCs/>
        </w:rPr>
      </w:pPr>
      <w:r w:rsidRPr="00540F8B">
        <w:rPr>
          <w:u w:val="single"/>
        </w:rPr>
        <w:t>Employees</w:t>
      </w:r>
      <w:r w:rsidRPr="00540F8B">
        <w:t xml:space="preserve">           </w:t>
      </w:r>
      <w:r w:rsidRPr="00540F8B">
        <w:rPr>
          <w:u w:val="single"/>
        </w:rPr>
        <w:t>Wage</w:t>
      </w:r>
      <w:r w:rsidRPr="00540F8B">
        <w:t xml:space="preserve"> </w:t>
      </w:r>
      <w:r w:rsidRPr="00540F8B">
        <w:tab/>
      </w:r>
      <w:r w:rsidR="001866EC">
        <w:t xml:space="preserve"> </w:t>
      </w:r>
      <w:r w:rsidRPr="00540F8B">
        <w:t xml:space="preserve">   </w:t>
      </w:r>
      <w:r w:rsidRPr="00540F8B">
        <w:rPr>
          <w:u w:val="single"/>
        </w:rPr>
        <w:t>Time</w:t>
      </w:r>
      <w:r w:rsidRPr="00540F8B">
        <w:t xml:space="preserve"> </w:t>
      </w:r>
      <w:r w:rsidRPr="00540F8B">
        <w:tab/>
      </w:r>
      <w:r w:rsidRPr="00540F8B">
        <w:rPr>
          <w:u w:val="single"/>
        </w:rPr>
        <w:t>Application</w:t>
      </w:r>
    </w:p>
    <w:p w:rsidR="00C9160C" w:rsidRPr="00540F8B" w:rsidRDefault="00C9160C" w:rsidP="00710996">
      <w:pPr>
        <w:autoSpaceDE w:val="0"/>
        <w:autoSpaceDN w:val="0"/>
        <w:adjustRightInd w:val="0"/>
      </w:pPr>
    </w:p>
    <w:p w:rsidR="00C9160C" w:rsidRPr="00540F8B" w:rsidRDefault="00C9160C" w:rsidP="00710996">
      <w:pPr>
        <w:autoSpaceDE w:val="0"/>
        <w:autoSpaceDN w:val="0"/>
        <w:adjustRightInd w:val="0"/>
      </w:pPr>
      <w:r w:rsidRPr="00540F8B">
        <w:t xml:space="preserve">       1             x     $53        x       .5 hours   </w:t>
      </w:r>
      <w:r w:rsidR="001866EC">
        <w:t xml:space="preserve">   </w:t>
      </w:r>
      <w:r w:rsidRPr="00540F8B">
        <w:t xml:space="preserve"> =      $26.50</w:t>
      </w:r>
    </w:p>
    <w:p w:rsidR="00C9160C" w:rsidRPr="00540F8B" w:rsidRDefault="00C9160C" w:rsidP="00710996">
      <w:pPr>
        <w:autoSpaceDE w:val="0"/>
        <w:autoSpaceDN w:val="0"/>
        <w:adjustRightInd w:val="0"/>
      </w:pPr>
      <w:r w:rsidRPr="00540F8B">
        <w:t>Overhead at 85%                                            =     $</w:t>
      </w:r>
      <w:r w:rsidRPr="00540F8B">
        <w:rPr>
          <w:u w:val="single"/>
        </w:rPr>
        <w:t>22.52</w:t>
      </w:r>
    </w:p>
    <w:p w:rsidR="00C9160C" w:rsidRPr="00540F8B" w:rsidRDefault="00C9160C" w:rsidP="00710996">
      <w:pPr>
        <w:autoSpaceDE w:val="0"/>
        <w:autoSpaceDN w:val="0"/>
        <w:adjustRightInd w:val="0"/>
      </w:pPr>
      <w:r w:rsidRPr="00540F8B">
        <w:t>Sub-total                                                         =     $49.02</w:t>
      </w:r>
    </w:p>
    <w:p w:rsidR="00C9160C" w:rsidRPr="00540F8B" w:rsidRDefault="00C9160C" w:rsidP="00710996">
      <w:pPr>
        <w:autoSpaceDE w:val="0"/>
        <w:autoSpaceDN w:val="0"/>
        <w:adjustRightInd w:val="0"/>
      </w:pPr>
      <w:r w:rsidRPr="00540F8B">
        <w:t>Times 17 responses per year                          =     $833.42</w:t>
      </w:r>
    </w:p>
    <w:p w:rsidR="00DE6BAB" w:rsidRDefault="00DE6BAB" w:rsidP="00710996">
      <w:pPr>
        <w:autoSpaceDE w:val="0"/>
        <w:autoSpaceDN w:val="0"/>
        <w:adjustRightInd w:val="0"/>
      </w:pPr>
    </w:p>
    <w:p w:rsidR="00C9160C" w:rsidRPr="00540F8B" w:rsidRDefault="00C9160C" w:rsidP="00710996">
      <w:pPr>
        <w:autoSpaceDE w:val="0"/>
        <w:autoSpaceDN w:val="0"/>
        <w:adjustRightInd w:val="0"/>
      </w:pPr>
      <w:r w:rsidRPr="00540F8B">
        <w:t xml:space="preserve">                </w:t>
      </w:r>
      <w:r w:rsidRPr="00540F8B">
        <w:rPr>
          <w:u w:val="single"/>
        </w:rPr>
        <w:t>Cost of Checks</w:t>
      </w:r>
      <w:r w:rsidRPr="00540F8B">
        <w:t>:               $550.12</w:t>
      </w:r>
    </w:p>
    <w:p w:rsidR="00C9160C" w:rsidRPr="00540F8B" w:rsidRDefault="00C9160C" w:rsidP="00710996">
      <w:pPr>
        <w:autoSpaceDE w:val="0"/>
        <w:autoSpaceDN w:val="0"/>
        <w:adjustRightInd w:val="0"/>
      </w:pPr>
    </w:p>
    <w:p w:rsidR="00C9160C" w:rsidRPr="00540F8B" w:rsidRDefault="00C9160C" w:rsidP="00710996">
      <w:pPr>
        <w:autoSpaceDE w:val="0"/>
        <w:autoSpaceDN w:val="0"/>
        <w:adjustRightInd w:val="0"/>
      </w:pPr>
      <w:r w:rsidRPr="00540F8B">
        <w:lastRenderedPageBreak/>
        <w:t xml:space="preserve">It </w:t>
      </w:r>
      <w:proofErr w:type="gramStart"/>
      <w:r w:rsidRPr="00540F8B">
        <w:t>is estimated</w:t>
      </w:r>
      <w:proofErr w:type="gramEnd"/>
      <w:r w:rsidRPr="00540F8B">
        <w:t xml:space="preserve"> that one employee receives the check in the mail, verifies the amount in the account, gives the check to the signing official, receives back the signed check, and mails the check to the respondent.  Time required for these tasks is 20 minutes at an hourly rate of $53.</w:t>
      </w:r>
    </w:p>
    <w:p w:rsidR="00C9160C" w:rsidRPr="00540F8B" w:rsidRDefault="00C9160C" w:rsidP="00710996">
      <w:pPr>
        <w:autoSpaceDE w:val="0"/>
        <w:autoSpaceDN w:val="0"/>
        <w:adjustRightInd w:val="0"/>
      </w:pPr>
    </w:p>
    <w:p w:rsidR="0004240D" w:rsidRPr="00540F8B" w:rsidRDefault="0004240D" w:rsidP="0004240D">
      <w:pPr>
        <w:autoSpaceDE w:val="0"/>
        <w:autoSpaceDN w:val="0"/>
        <w:adjustRightInd w:val="0"/>
      </w:pPr>
      <w:r w:rsidRPr="00540F8B">
        <w:t xml:space="preserve">Number of </w:t>
      </w:r>
      <w:r w:rsidRPr="00540F8B">
        <w:tab/>
        <w:t xml:space="preserve">   Hourly </w:t>
      </w:r>
      <w:r w:rsidRPr="00540F8B">
        <w:tab/>
        <w:t xml:space="preserve">   Project</w:t>
      </w:r>
      <w:r w:rsidR="00BD4167">
        <w:t xml:space="preserve">          </w:t>
      </w:r>
      <w:r w:rsidR="001866EC">
        <w:t xml:space="preserve">   </w:t>
      </w:r>
      <w:r w:rsidR="00BD4167">
        <w:t xml:space="preserve"> </w:t>
      </w:r>
      <w:r w:rsidR="001866EC">
        <w:t xml:space="preserve"> </w:t>
      </w:r>
      <w:r w:rsidRPr="00540F8B">
        <w:t>Cost Per</w:t>
      </w:r>
    </w:p>
    <w:p w:rsidR="0004240D" w:rsidRPr="00540F8B" w:rsidRDefault="0004240D" w:rsidP="0004240D">
      <w:pPr>
        <w:autoSpaceDE w:val="0"/>
        <w:autoSpaceDN w:val="0"/>
        <w:adjustRightInd w:val="0"/>
        <w:rPr>
          <w:i/>
          <w:iCs/>
        </w:rPr>
      </w:pPr>
      <w:r w:rsidRPr="00540F8B">
        <w:rPr>
          <w:u w:val="single"/>
        </w:rPr>
        <w:t>Employees</w:t>
      </w:r>
      <w:r w:rsidRPr="00540F8B">
        <w:t xml:space="preserve">           </w:t>
      </w:r>
      <w:r w:rsidRPr="00540F8B">
        <w:rPr>
          <w:u w:val="single"/>
        </w:rPr>
        <w:t>Wage</w:t>
      </w:r>
      <w:r w:rsidRPr="00540F8B">
        <w:t xml:space="preserve"> </w:t>
      </w:r>
      <w:r w:rsidRPr="00540F8B">
        <w:tab/>
        <w:t xml:space="preserve"> </w:t>
      </w:r>
      <w:r w:rsidR="00BD4167">
        <w:t xml:space="preserve"> </w:t>
      </w:r>
      <w:r w:rsidRPr="00540F8B">
        <w:t xml:space="preserve">  </w:t>
      </w:r>
      <w:r w:rsidRPr="00540F8B">
        <w:rPr>
          <w:u w:val="single"/>
        </w:rPr>
        <w:t>Time</w:t>
      </w:r>
      <w:r w:rsidRPr="00540F8B">
        <w:t xml:space="preserve"> </w:t>
      </w:r>
      <w:r w:rsidRPr="00540F8B">
        <w:tab/>
      </w:r>
      <w:r w:rsidR="001866EC">
        <w:t xml:space="preserve">     </w:t>
      </w:r>
      <w:r w:rsidR="00BD4167" w:rsidRPr="001866EC">
        <w:rPr>
          <w:u w:val="single"/>
        </w:rPr>
        <w:t>A</w:t>
      </w:r>
      <w:r w:rsidRPr="001866EC">
        <w:rPr>
          <w:u w:val="single"/>
        </w:rPr>
        <w:t>p</w:t>
      </w:r>
      <w:r w:rsidRPr="00540F8B">
        <w:rPr>
          <w:u w:val="single"/>
        </w:rPr>
        <w:t>plication</w:t>
      </w:r>
    </w:p>
    <w:p w:rsidR="0004240D" w:rsidRPr="00540F8B" w:rsidRDefault="0004240D" w:rsidP="0004240D">
      <w:pPr>
        <w:autoSpaceDE w:val="0"/>
        <w:autoSpaceDN w:val="0"/>
        <w:adjustRightInd w:val="0"/>
      </w:pPr>
    </w:p>
    <w:p w:rsidR="0004240D" w:rsidRPr="00540F8B" w:rsidRDefault="0004240D" w:rsidP="0004240D">
      <w:pPr>
        <w:autoSpaceDE w:val="0"/>
        <w:autoSpaceDN w:val="0"/>
        <w:adjustRightInd w:val="0"/>
      </w:pPr>
      <w:r w:rsidRPr="00540F8B">
        <w:t xml:space="preserve">       1               x     $53        x     .33 hours   </w:t>
      </w:r>
      <w:r w:rsidR="001866EC">
        <w:t xml:space="preserve">   </w:t>
      </w:r>
      <w:r w:rsidRPr="00540F8B">
        <w:t xml:space="preserve"> =     </w:t>
      </w:r>
      <w:r w:rsidR="001866EC">
        <w:t xml:space="preserve">   </w:t>
      </w:r>
      <w:r w:rsidRPr="00540F8B">
        <w:t>$17.49</w:t>
      </w:r>
    </w:p>
    <w:p w:rsidR="0004240D" w:rsidRPr="00540F8B" w:rsidRDefault="0004240D" w:rsidP="0004240D">
      <w:pPr>
        <w:autoSpaceDE w:val="0"/>
        <w:autoSpaceDN w:val="0"/>
        <w:adjustRightInd w:val="0"/>
      </w:pPr>
      <w:r w:rsidRPr="00540F8B">
        <w:t xml:space="preserve">Overhead at 85%                                              =    </w:t>
      </w:r>
      <w:r w:rsidR="001866EC">
        <w:t xml:space="preserve">  </w:t>
      </w:r>
      <w:r w:rsidRPr="00540F8B">
        <w:t xml:space="preserve"> </w:t>
      </w:r>
      <w:r w:rsidR="001866EC">
        <w:t xml:space="preserve"> </w:t>
      </w:r>
      <w:r w:rsidRPr="00540F8B">
        <w:t>$</w:t>
      </w:r>
      <w:r w:rsidRPr="00540F8B">
        <w:rPr>
          <w:u w:val="single"/>
        </w:rPr>
        <w:t>14.87</w:t>
      </w:r>
    </w:p>
    <w:p w:rsidR="0004240D" w:rsidRPr="00540F8B" w:rsidRDefault="0004240D" w:rsidP="0004240D">
      <w:pPr>
        <w:autoSpaceDE w:val="0"/>
        <w:autoSpaceDN w:val="0"/>
        <w:adjustRightInd w:val="0"/>
      </w:pPr>
      <w:r w:rsidRPr="00540F8B">
        <w:t xml:space="preserve">Sub-total                                                           =    </w:t>
      </w:r>
      <w:r w:rsidR="001866EC">
        <w:t xml:space="preserve">   </w:t>
      </w:r>
      <w:r w:rsidRPr="00540F8B">
        <w:t xml:space="preserve"> $</w:t>
      </w:r>
      <w:r w:rsidR="0074018C" w:rsidRPr="00540F8B">
        <w:t>32</w:t>
      </w:r>
      <w:r w:rsidRPr="00540F8B">
        <w:t>.</w:t>
      </w:r>
      <w:r w:rsidR="0074018C" w:rsidRPr="00540F8B">
        <w:t>36</w:t>
      </w:r>
    </w:p>
    <w:p w:rsidR="0004240D" w:rsidRPr="00540F8B" w:rsidRDefault="0004240D" w:rsidP="0004240D">
      <w:pPr>
        <w:autoSpaceDE w:val="0"/>
        <w:autoSpaceDN w:val="0"/>
        <w:adjustRightInd w:val="0"/>
      </w:pPr>
      <w:r w:rsidRPr="00540F8B">
        <w:t xml:space="preserve">Times 17 </w:t>
      </w:r>
      <w:r w:rsidR="0074018C" w:rsidRPr="00540F8B">
        <w:t>checks (1 per respondent annually</w:t>
      </w:r>
      <w:proofErr w:type="gramStart"/>
      <w:r w:rsidR="0074018C" w:rsidRPr="00540F8B">
        <w:t>)</w:t>
      </w:r>
      <w:r w:rsidRPr="00540F8B">
        <w:t xml:space="preserve"> </w:t>
      </w:r>
      <w:r w:rsidR="001866EC">
        <w:t xml:space="preserve"> </w:t>
      </w:r>
      <w:r w:rsidRPr="00540F8B">
        <w:t>=</w:t>
      </w:r>
      <w:proofErr w:type="gramEnd"/>
      <w:r w:rsidRPr="00540F8B">
        <w:t xml:space="preserve">    </w:t>
      </w:r>
      <w:r w:rsidR="001866EC">
        <w:t xml:space="preserve"> </w:t>
      </w:r>
      <w:r w:rsidRPr="00540F8B">
        <w:t xml:space="preserve"> $</w:t>
      </w:r>
      <w:r w:rsidR="0074018C" w:rsidRPr="00540F8B">
        <w:t>550</w:t>
      </w:r>
      <w:r w:rsidRPr="00540F8B">
        <w:t>.</w:t>
      </w:r>
      <w:r w:rsidR="000822A7" w:rsidRPr="00540F8B">
        <w:t>12</w:t>
      </w:r>
    </w:p>
    <w:p w:rsidR="0004240D" w:rsidRPr="00540F8B" w:rsidRDefault="0004240D" w:rsidP="0004240D">
      <w:pPr>
        <w:autoSpaceDE w:val="0"/>
        <w:autoSpaceDN w:val="0"/>
        <w:adjustRightInd w:val="0"/>
      </w:pPr>
      <w:r w:rsidRPr="00540F8B">
        <w:t xml:space="preserve">        </w:t>
      </w:r>
    </w:p>
    <w:p w:rsidR="0004240D" w:rsidRPr="00540F8B" w:rsidRDefault="0004240D" w:rsidP="0004240D">
      <w:pPr>
        <w:autoSpaceDE w:val="0"/>
        <w:autoSpaceDN w:val="0"/>
        <w:adjustRightInd w:val="0"/>
      </w:pPr>
      <w:r w:rsidRPr="00540F8B">
        <w:t xml:space="preserve">                </w:t>
      </w:r>
      <w:r w:rsidR="0074018C" w:rsidRPr="00540F8B">
        <w:rPr>
          <w:u w:val="single"/>
        </w:rPr>
        <w:t>Maximum Total Annual Cost to Federal Government</w:t>
      </w:r>
      <w:r w:rsidRPr="00540F8B">
        <w:t>:     $5</w:t>
      </w:r>
      <w:r w:rsidR="0074018C" w:rsidRPr="00540F8B">
        <w:t>,30</w:t>
      </w:r>
      <w:r w:rsidRPr="00540F8B">
        <w:t>5.</w:t>
      </w:r>
      <w:r w:rsidR="00B3691B" w:rsidRPr="00540F8B">
        <w:t>54</w:t>
      </w:r>
    </w:p>
    <w:p w:rsidR="0004240D" w:rsidRPr="00540F8B" w:rsidRDefault="0004240D" w:rsidP="00710996">
      <w:pPr>
        <w:autoSpaceDE w:val="0"/>
        <w:autoSpaceDN w:val="0"/>
        <w:adjustRightInd w:val="0"/>
      </w:pPr>
    </w:p>
    <w:p w:rsidR="00710996" w:rsidRPr="00540F8B" w:rsidRDefault="00710996" w:rsidP="00710996">
      <w:pPr>
        <w:autoSpaceDE w:val="0"/>
        <w:autoSpaceDN w:val="0"/>
        <w:adjustRightInd w:val="0"/>
      </w:pPr>
      <w:r w:rsidRPr="00540F8B">
        <w:t>15. Explain the reasons for any program changes or adjustments reported in items 13 or 14 of</w:t>
      </w:r>
    </w:p>
    <w:p w:rsidR="00710996" w:rsidRPr="00540F8B" w:rsidRDefault="00710996" w:rsidP="00710996">
      <w:pPr>
        <w:autoSpaceDE w:val="0"/>
        <w:autoSpaceDN w:val="0"/>
        <w:adjustRightInd w:val="0"/>
      </w:pPr>
      <w:r w:rsidRPr="00540F8B">
        <w:t>OMB Form 83-1.</w:t>
      </w:r>
    </w:p>
    <w:p w:rsidR="0074018C" w:rsidRPr="00540F8B" w:rsidRDefault="0074018C" w:rsidP="00710996">
      <w:pPr>
        <w:autoSpaceDE w:val="0"/>
        <w:autoSpaceDN w:val="0"/>
        <w:adjustRightInd w:val="0"/>
      </w:pPr>
    </w:p>
    <w:p w:rsidR="00710996" w:rsidRPr="00540F8B" w:rsidRDefault="0074018C" w:rsidP="00710996">
      <w:pPr>
        <w:autoSpaceDE w:val="0"/>
        <w:autoSpaceDN w:val="0"/>
        <w:adjustRightInd w:val="0"/>
      </w:pPr>
      <w:r w:rsidRPr="00540F8B">
        <w:t>There were no changes in the burden hour estimate.</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r w:rsidRPr="00540F8B">
        <w:t xml:space="preserve">16. For collections of information whose results </w:t>
      </w:r>
      <w:proofErr w:type="gramStart"/>
      <w:r w:rsidR="0074018C" w:rsidRPr="00540F8B">
        <w:t xml:space="preserve">are planned to be </w:t>
      </w:r>
      <w:r w:rsidRPr="00540F8B">
        <w:t>published</w:t>
      </w:r>
      <w:proofErr w:type="gramEnd"/>
      <w:r w:rsidR="0074018C" w:rsidRPr="00540F8B">
        <w:t xml:space="preserve"> for statistical use</w:t>
      </w:r>
      <w:r w:rsidRPr="00540F8B">
        <w:t>, outline plans for tabulation</w:t>
      </w:r>
      <w:r w:rsidR="0074018C" w:rsidRPr="00540F8B">
        <w:t>, statistical analysis,</w:t>
      </w:r>
      <w:r w:rsidRPr="00540F8B">
        <w:t xml:space="preserve"> and publication. </w:t>
      </w:r>
      <w:r w:rsidR="0074018C" w:rsidRPr="00540F8B">
        <w:t xml:space="preserve"> </w:t>
      </w:r>
      <w:r w:rsidRPr="00540F8B">
        <w:t xml:space="preserve">Provide the time schedule for the entire project, including beginning and ending dates of the collection of information, completion of report, publication dates and other actions. </w:t>
      </w:r>
    </w:p>
    <w:p w:rsidR="00710996" w:rsidRPr="00540F8B" w:rsidRDefault="00710996" w:rsidP="00710996">
      <w:pPr>
        <w:autoSpaceDE w:val="0"/>
        <w:autoSpaceDN w:val="0"/>
        <w:adjustRightInd w:val="0"/>
      </w:pPr>
    </w:p>
    <w:p w:rsidR="006C5404" w:rsidRPr="00284D75" w:rsidRDefault="006C5404" w:rsidP="006C5404">
      <w:pPr>
        <w:pStyle w:val="CM13"/>
        <w:spacing w:line="280" w:lineRule="atLeast"/>
        <w:ind w:right="365"/>
      </w:pPr>
      <w:r w:rsidRPr="00284D75">
        <w:t xml:space="preserve">There are no plans to publish any information for statistical use. </w:t>
      </w:r>
    </w:p>
    <w:p w:rsidR="00710996" w:rsidRPr="00540F8B" w:rsidRDefault="00710996" w:rsidP="00710996">
      <w:pPr>
        <w:autoSpaceDE w:val="0"/>
        <w:autoSpaceDN w:val="0"/>
        <w:adjustRightInd w:val="0"/>
      </w:pPr>
      <w:r w:rsidRPr="00540F8B">
        <w:t xml:space="preserve">17. If seeking approval </w:t>
      </w:r>
      <w:proofErr w:type="gramStart"/>
      <w:r w:rsidRPr="00540F8B">
        <w:t>to not display</w:t>
      </w:r>
      <w:proofErr w:type="gramEnd"/>
      <w:r w:rsidRPr="00540F8B">
        <w:t xml:space="preserve"> the expiration date for OMB approval of the information collection, explain the reasons that display would be inappropriate.</w:t>
      </w:r>
    </w:p>
    <w:p w:rsidR="00710996" w:rsidRPr="00540F8B" w:rsidRDefault="00710996" w:rsidP="00710996">
      <w:pPr>
        <w:autoSpaceDE w:val="0"/>
        <w:autoSpaceDN w:val="0"/>
        <w:adjustRightInd w:val="0"/>
      </w:pPr>
    </w:p>
    <w:p w:rsidR="006C5404" w:rsidRPr="00284D75" w:rsidRDefault="00710996" w:rsidP="006C5404">
      <w:pPr>
        <w:pStyle w:val="CM13"/>
      </w:pPr>
      <w:proofErr w:type="gramStart"/>
      <w:r w:rsidRPr="00540F8B">
        <w:t>Not applicable.</w:t>
      </w:r>
      <w:proofErr w:type="gramEnd"/>
      <w:r w:rsidR="006C5404" w:rsidRPr="006C5404">
        <w:t xml:space="preserve"> </w:t>
      </w:r>
      <w:r w:rsidR="006C5404">
        <w:t xml:space="preserve"> </w:t>
      </w:r>
      <w:r w:rsidR="006C5404" w:rsidRPr="00284D75">
        <w:t xml:space="preserve">Approval </w:t>
      </w:r>
      <w:proofErr w:type="gramStart"/>
      <w:r w:rsidR="006C5404" w:rsidRPr="00284D75">
        <w:t>is not requested</w:t>
      </w:r>
      <w:proofErr w:type="gramEnd"/>
      <w:r w:rsidR="006C5404" w:rsidRPr="00284D75">
        <w:t xml:space="preserve"> to not display the expiration date. </w:t>
      </w:r>
    </w:p>
    <w:p w:rsidR="00710996" w:rsidRPr="00540F8B" w:rsidRDefault="00710996" w:rsidP="00710996">
      <w:pPr>
        <w:autoSpaceDE w:val="0"/>
        <w:autoSpaceDN w:val="0"/>
        <w:adjustRightInd w:val="0"/>
      </w:pPr>
      <w:r w:rsidRPr="00540F8B">
        <w:t>18. Explain each exception to the certification statement identified in Item 19, "Certification for Paperwork Reduction Act Submissions," of OMB Form 83-1.</w:t>
      </w:r>
    </w:p>
    <w:p w:rsidR="00710996" w:rsidRPr="00540F8B" w:rsidRDefault="00710996" w:rsidP="00710996">
      <w:pPr>
        <w:autoSpaceDE w:val="0"/>
        <w:autoSpaceDN w:val="0"/>
        <w:adjustRightInd w:val="0"/>
      </w:pPr>
    </w:p>
    <w:p w:rsidR="00710996" w:rsidRPr="00540F8B" w:rsidRDefault="00710996" w:rsidP="00710996">
      <w:pPr>
        <w:autoSpaceDE w:val="0"/>
        <w:autoSpaceDN w:val="0"/>
        <w:adjustRightInd w:val="0"/>
      </w:pPr>
      <w:proofErr w:type="gramStart"/>
      <w:r w:rsidRPr="00540F8B">
        <w:t>Not applicable</w:t>
      </w:r>
      <w:r w:rsidR="006C5404">
        <w:t>.</w:t>
      </w:r>
      <w:proofErr w:type="gramEnd"/>
      <w:r w:rsidRPr="00540F8B">
        <w:t xml:space="preserve"> </w:t>
      </w:r>
      <w:r w:rsidR="008E6211">
        <w:t xml:space="preserve"> </w:t>
      </w:r>
      <w:r w:rsidRPr="00540F8B">
        <w:t>There are no exceptions to the certificate statement.</w:t>
      </w:r>
    </w:p>
    <w:p w:rsidR="00710996" w:rsidRPr="00540F8B" w:rsidRDefault="00710996" w:rsidP="00710996">
      <w:pPr>
        <w:autoSpaceDE w:val="0"/>
        <w:autoSpaceDN w:val="0"/>
        <w:adjustRightInd w:val="0"/>
      </w:pPr>
    </w:p>
    <w:p w:rsidR="00DA281B" w:rsidRPr="00540F8B" w:rsidRDefault="00DA281B"/>
    <w:sectPr w:rsidR="00DA281B" w:rsidRPr="00540F8B" w:rsidSect="00F47470">
      <w:pgSz w:w="12240" w:h="15840"/>
      <w:pgMar w:top="1440" w:right="1440" w:bottom="1152"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92C86"/>
    <w:multiLevelType w:val="hybridMultilevel"/>
    <w:tmpl w:val="2ACC2B1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27667C"/>
    <w:multiLevelType w:val="hybridMultilevel"/>
    <w:tmpl w:val="4D54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A49F6"/>
    <w:multiLevelType w:val="hybridMultilevel"/>
    <w:tmpl w:val="2B942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E617D3"/>
    <w:multiLevelType w:val="hybridMultilevel"/>
    <w:tmpl w:val="471C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883C20"/>
    <w:multiLevelType w:val="hybridMultilevel"/>
    <w:tmpl w:val="76A4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10996"/>
    <w:rsid w:val="00005088"/>
    <w:rsid w:val="00007AE4"/>
    <w:rsid w:val="00023224"/>
    <w:rsid w:val="0004240D"/>
    <w:rsid w:val="0005561D"/>
    <w:rsid w:val="00065342"/>
    <w:rsid w:val="00067F29"/>
    <w:rsid w:val="000822A7"/>
    <w:rsid w:val="0009106C"/>
    <w:rsid w:val="000A6E27"/>
    <w:rsid w:val="000E6B91"/>
    <w:rsid w:val="00104E4D"/>
    <w:rsid w:val="00161477"/>
    <w:rsid w:val="00186219"/>
    <w:rsid w:val="001866EC"/>
    <w:rsid w:val="001E7183"/>
    <w:rsid w:val="001F1607"/>
    <w:rsid w:val="001F3A9B"/>
    <w:rsid w:val="001F4721"/>
    <w:rsid w:val="0022007A"/>
    <w:rsid w:val="00236C9A"/>
    <w:rsid w:val="00245923"/>
    <w:rsid w:val="002931C1"/>
    <w:rsid w:val="002B2446"/>
    <w:rsid w:val="002D36F1"/>
    <w:rsid w:val="002E0F25"/>
    <w:rsid w:val="002F5890"/>
    <w:rsid w:val="00355BEC"/>
    <w:rsid w:val="003903B7"/>
    <w:rsid w:val="003A1C88"/>
    <w:rsid w:val="003B0FB4"/>
    <w:rsid w:val="003C5279"/>
    <w:rsid w:val="003E0A54"/>
    <w:rsid w:val="004208BE"/>
    <w:rsid w:val="004413D0"/>
    <w:rsid w:val="00447ED9"/>
    <w:rsid w:val="00453A28"/>
    <w:rsid w:val="0046796C"/>
    <w:rsid w:val="004752F4"/>
    <w:rsid w:val="004D3F59"/>
    <w:rsid w:val="004F1E29"/>
    <w:rsid w:val="00500E63"/>
    <w:rsid w:val="00502125"/>
    <w:rsid w:val="0053406E"/>
    <w:rsid w:val="00540F8B"/>
    <w:rsid w:val="005478E2"/>
    <w:rsid w:val="005479D7"/>
    <w:rsid w:val="00563E63"/>
    <w:rsid w:val="00571B0E"/>
    <w:rsid w:val="0059561B"/>
    <w:rsid w:val="005B0C21"/>
    <w:rsid w:val="005C7450"/>
    <w:rsid w:val="005D48D0"/>
    <w:rsid w:val="00626BFF"/>
    <w:rsid w:val="00662D72"/>
    <w:rsid w:val="00682A7F"/>
    <w:rsid w:val="006B216E"/>
    <w:rsid w:val="006C5404"/>
    <w:rsid w:val="006D7F61"/>
    <w:rsid w:val="007057D5"/>
    <w:rsid w:val="00710996"/>
    <w:rsid w:val="00734062"/>
    <w:rsid w:val="00737DAA"/>
    <w:rsid w:val="0074018C"/>
    <w:rsid w:val="00746BE7"/>
    <w:rsid w:val="00757BDC"/>
    <w:rsid w:val="00775912"/>
    <w:rsid w:val="00784548"/>
    <w:rsid w:val="00794586"/>
    <w:rsid w:val="00796C6C"/>
    <w:rsid w:val="007D1B9D"/>
    <w:rsid w:val="008044A5"/>
    <w:rsid w:val="008118D3"/>
    <w:rsid w:val="00826C58"/>
    <w:rsid w:val="00833442"/>
    <w:rsid w:val="00840621"/>
    <w:rsid w:val="008477D6"/>
    <w:rsid w:val="00854002"/>
    <w:rsid w:val="00860067"/>
    <w:rsid w:val="008B2A1E"/>
    <w:rsid w:val="008E6211"/>
    <w:rsid w:val="008F2386"/>
    <w:rsid w:val="00903EA3"/>
    <w:rsid w:val="00936791"/>
    <w:rsid w:val="0094457F"/>
    <w:rsid w:val="00946BC3"/>
    <w:rsid w:val="009531E7"/>
    <w:rsid w:val="00990E9B"/>
    <w:rsid w:val="009A6CAB"/>
    <w:rsid w:val="009C2EED"/>
    <w:rsid w:val="009D5973"/>
    <w:rsid w:val="009E4922"/>
    <w:rsid w:val="009F7D53"/>
    <w:rsid w:val="00A0079C"/>
    <w:rsid w:val="00A10487"/>
    <w:rsid w:val="00A23A4D"/>
    <w:rsid w:val="00A30167"/>
    <w:rsid w:val="00A318AE"/>
    <w:rsid w:val="00A4516E"/>
    <w:rsid w:val="00A46E41"/>
    <w:rsid w:val="00A57EBF"/>
    <w:rsid w:val="00A6001C"/>
    <w:rsid w:val="00A8157E"/>
    <w:rsid w:val="00A8336E"/>
    <w:rsid w:val="00AA0F36"/>
    <w:rsid w:val="00AB2E26"/>
    <w:rsid w:val="00AE2AEF"/>
    <w:rsid w:val="00AE4222"/>
    <w:rsid w:val="00AF026A"/>
    <w:rsid w:val="00B27157"/>
    <w:rsid w:val="00B3212E"/>
    <w:rsid w:val="00B3691B"/>
    <w:rsid w:val="00B71F49"/>
    <w:rsid w:val="00B9083C"/>
    <w:rsid w:val="00BD4167"/>
    <w:rsid w:val="00BE441D"/>
    <w:rsid w:val="00BE486E"/>
    <w:rsid w:val="00BE7F2A"/>
    <w:rsid w:val="00C00B69"/>
    <w:rsid w:val="00C25416"/>
    <w:rsid w:val="00C47C30"/>
    <w:rsid w:val="00C9160C"/>
    <w:rsid w:val="00CA0DD2"/>
    <w:rsid w:val="00CF2670"/>
    <w:rsid w:val="00D04F3B"/>
    <w:rsid w:val="00D07A40"/>
    <w:rsid w:val="00D54E3D"/>
    <w:rsid w:val="00D554D0"/>
    <w:rsid w:val="00D71786"/>
    <w:rsid w:val="00DA281B"/>
    <w:rsid w:val="00DE6BAB"/>
    <w:rsid w:val="00E06E05"/>
    <w:rsid w:val="00E17654"/>
    <w:rsid w:val="00E23440"/>
    <w:rsid w:val="00E61AD1"/>
    <w:rsid w:val="00E70CF6"/>
    <w:rsid w:val="00E754E4"/>
    <w:rsid w:val="00E95F0E"/>
    <w:rsid w:val="00EC11C9"/>
    <w:rsid w:val="00ED1813"/>
    <w:rsid w:val="00ED2153"/>
    <w:rsid w:val="00EE20CC"/>
    <w:rsid w:val="00F1445E"/>
    <w:rsid w:val="00F155B6"/>
    <w:rsid w:val="00F41990"/>
    <w:rsid w:val="00F47470"/>
    <w:rsid w:val="00FB056F"/>
    <w:rsid w:val="00FC06B3"/>
    <w:rsid w:val="00FC3408"/>
    <w:rsid w:val="00FE6F97"/>
    <w:rsid w:val="00FF4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2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6B3"/>
    <w:pPr>
      <w:ind w:left="720"/>
      <w:contextualSpacing/>
    </w:pPr>
  </w:style>
  <w:style w:type="paragraph" w:styleId="NormalWeb">
    <w:name w:val="Normal (Web)"/>
    <w:basedOn w:val="Normal"/>
    <w:uiPriority w:val="99"/>
    <w:unhideWhenUsed/>
    <w:rsid w:val="00C47C30"/>
    <w:pPr>
      <w:spacing w:before="100" w:beforeAutospacing="1" w:after="100" w:afterAutospacing="1"/>
    </w:pPr>
  </w:style>
  <w:style w:type="paragraph" w:customStyle="1" w:styleId="CM13">
    <w:name w:val="CM13"/>
    <w:basedOn w:val="Normal"/>
    <w:next w:val="Normal"/>
    <w:uiPriority w:val="99"/>
    <w:rsid w:val="006C5404"/>
    <w:pPr>
      <w:widowControl w:val="0"/>
      <w:autoSpaceDE w:val="0"/>
      <w:autoSpaceDN w:val="0"/>
      <w:adjustRightInd w:val="0"/>
      <w:spacing w:after="278"/>
    </w:pPr>
  </w:style>
  <w:style w:type="paragraph" w:customStyle="1" w:styleId="Default">
    <w:name w:val="Default"/>
    <w:rsid w:val="009A6CA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12649101">
      <w:bodyDiv w:val="1"/>
      <w:marLeft w:val="0"/>
      <w:marRight w:val="0"/>
      <w:marTop w:val="0"/>
      <w:marBottom w:val="0"/>
      <w:divBdr>
        <w:top w:val="none" w:sz="0" w:space="0" w:color="auto"/>
        <w:left w:val="none" w:sz="0" w:space="0" w:color="auto"/>
        <w:bottom w:val="none" w:sz="0" w:space="0" w:color="auto"/>
        <w:right w:val="none" w:sz="0" w:space="0" w:color="auto"/>
      </w:divBdr>
    </w:div>
    <w:div w:id="747270784">
      <w:bodyDiv w:val="1"/>
      <w:marLeft w:val="0"/>
      <w:marRight w:val="0"/>
      <w:marTop w:val="0"/>
      <w:marBottom w:val="0"/>
      <w:divBdr>
        <w:top w:val="none" w:sz="0" w:space="0" w:color="auto"/>
        <w:left w:val="none" w:sz="0" w:space="0" w:color="auto"/>
        <w:bottom w:val="none" w:sz="0" w:space="0" w:color="auto"/>
        <w:right w:val="none" w:sz="0" w:space="0" w:color="auto"/>
      </w:divBdr>
    </w:div>
    <w:div w:id="1252205922">
      <w:bodyDiv w:val="1"/>
      <w:marLeft w:val="0"/>
      <w:marRight w:val="0"/>
      <w:marTop w:val="0"/>
      <w:marBottom w:val="0"/>
      <w:divBdr>
        <w:top w:val="none" w:sz="0" w:space="0" w:color="auto"/>
        <w:left w:val="none" w:sz="0" w:space="0" w:color="auto"/>
        <w:bottom w:val="none" w:sz="0" w:space="0" w:color="auto"/>
        <w:right w:val="none" w:sz="0" w:space="0" w:color="auto"/>
      </w:divBdr>
      <w:divsChild>
        <w:div w:id="1473281685">
          <w:marLeft w:val="0"/>
          <w:marRight w:val="0"/>
          <w:marTop w:val="0"/>
          <w:marBottom w:val="0"/>
          <w:divBdr>
            <w:top w:val="none" w:sz="0" w:space="0" w:color="auto"/>
            <w:left w:val="none" w:sz="0" w:space="0" w:color="auto"/>
            <w:bottom w:val="none" w:sz="0" w:space="0" w:color="auto"/>
            <w:right w:val="none" w:sz="0" w:space="0" w:color="auto"/>
          </w:divBdr>
          <w:divsChild>
            <w:div w:id="374811173">
              <w:marLeft w:val="0"/>
              <w:marRight w:val="0"/>
              <w:marTop w:val="0"/>
              <w:marBottom w:val="0"/>
              <w:divBdr>
                <w:top w:val="none" w:sz="0" w:space="0" w:color="auto"/>
                <w:left w:val="none" w:sz="0" w:space="0" w:color="auto"/>
                <w:bottom w:val="none" w:sz="0" w:space="0" w:color="auto"/>
                <w:right w:val="none" w:sz="0" w:space="0" w:color="auto"/>
              </w:divBdr>
              <w:divsChild>
                <w:div w:id="2036536752">
                  <w:marLeft w:val="0"/>
                  <w:marRight w:val="0"/>
                  <w:marTop w:val="0"/>
                  <w:marBottom w:val="0"/>
                  <w:divBdr>
                    <w:top w:val="none" w:sz="0" w:space="0" w:color="auto"/>
                    <w:left w:val="none" w:sz="0" w:space="0" w:color="auto"/>
                    <w:bottom w:val="none" w:sz="0" w:space="0" w:color="auto"/>
                    <w:right w:val="none" w:sz="0" w:space="0" w:color="auto"/>
                  </w:divBdr>
                  <w:divsChild>
                    <w:div w:id="5022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433464">
      <w:bodyDiv w:val="1"/>
      <w:marLeft w:val="0"/>
      <w:marRight w:val="0"/>
      <w:marTop w:val="0"/>
      <w:marBottom w:val="0"/>
      <w:divBdr>
        <w:top w:val="none" w:sz="0" w:space="0" w:color="auto"/>
        <w:left w:val="none" w:sz="0" w:space="0" w:color="auto"/>
        <w:bottom w:val="none" w:sz="0" w:space="0" w:color="auto"/>
        <w:right w:val="none" w:sz="0" w:space="0" w:color="auto"/>
      </w:divBdr>
    </w:div>
    <w:div w:id="18308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7</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United States Department of Transportation</Company>
  <LinksUpToDate>false</LinksUpToDate>
  <CharactersWithSpaces>18237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creator>DLadd</dc:creator>
  <cp:lastModifiedBy>USDOT User</cp:lastModifiedBy>
  <cp:revision>19</cp:revision>
  <cp:lastPrinted>2012-01-31T17:30:00Z</cp:lastPrinted>
  <dcterms:created xsi:type="dcterms:W3CDTF">2011-12-20T18:47:00Z</dcterms:created>
  <dcterms:modified xsi:type="dcterms:W3CDTF">2012-02-01T15:30:00Z</dcterms:modified>
</cp:coreProperties>
</file>