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D65" w:rsidRPr="002452B7" w:rsidRDefault="00A73D65" w:rsidP="00A73D65">
      <w:pPr>
        <w:jc w:val="center"/>
        <w:rPr>
          <w:rFonts w:ascii="Times New Roman" w:hAnsi="Times New Roman"/>
          <w:szCs w:val="24"/>
        </w:rPr>
      </w:pPr>
      <w:r w:rsidRPr="002452B7">
        <w:rPr>
          <w:rFonts w:ascii="Times New Roman" w:hAnsi="Times New Roman"/>
          <w:szCs w:val="24"/>
        </w:rPr>
        <w:t>SUPPORTING STATEMENT FOR NEW INFORMATION COLLECTIONS</w:t>
      </w:r>
      <w:r w:rsidR="00A67278" w:rsidRPr="002452B7">
        <w:rPr>
          <w:rFonts w:ascii="Times New Roman" w:hAnsi="Times New Roman"/>
          <w:szCs w:val="24"/>
        </w:rPr>
        <w:fldChar w:fldCharType="begin"/>
      </w:r>
      <w:r w:rsidRPr="002452B7">
        <w:rPr>
          <w:rFonts w:ascii="Times New Roman" w:hAnsi="Times New Roman"/>
          <w:szCs w:val="24"/>
        </w:rPr>
        <w:instrText xml:space="preserve">PRIVATE </w:instrText>
      </w:r>
      <w:r w:rsidR="00A67278" w:rsidRPr="002452B7">
        <w:rPr>
          <w:rFonts w:ascii="Times New Roman" w:hAnsi="Times New Roman"/>
          <w:szCs w:val="24"/>
        </w:rPr>
        <w:fldChar w:fldCharType="end"/>
      </w:r>
    </w:p>
    <w:p w:rsidR="00A73D65" w:rsidRPr="002452B7" w:rsidRDefault="00A73D65" w:rsidP="00A73D65">
      <w:pPr>
        <w:jc w:val="center"/>
        <w:rPr>
          <w:rFonts w:ascii="Times New Roman" w:hAnsi="Times New Roman"/>
          <w:szCs w:val="24"/>
        </w:rPr>
      </w:pPr>
    </w:p>
    <w:p w:rsidR="00A73D65" w:rsidRPr="002452B7" w:rsidRDefault="00A73D65" w:rsidP="00A73D65">
      <w:pPr>
        <w:pStyle w:val="Title"/>
        <w:spacing w:after="240"/>
        <w:rPr>
          <w:b w:val="0"/>
          <w:sz w:val="24"/>
          <w:szCs w:val="24"/>
        </w:rPr>
      </w:pPr>
      <w:r w:rsidRPr="002452B7">
        <w:rPr>
          <w:b w:val="0"/>
          <w:sz w:val="24"/>
          <w:szCs w:val="24"/>
        </w:rPr>
        <w:t xml:space="preserve">Part 20 – </w:t>
      </w:r>
      <w:r w:rsidR="00A416A2" w:rsidRPr="002452B7">
        <w:rPr>
          <w:b w:val="0"/>
          <w:sz w:val="24"/>
          <w:szCs w:val="24"/>
        </w:rPr>
        <w:t>Large Trader Reporting for Physical Commodity Swaps</w:t>
      </w:r>
    </w:p>
    <w:p w:rsidR="00A73D65" w:rsidRPr="002452B7" w:rsidRDefault="00A82CCF" w:rsidP="00A73D65">
      <w:pPr>
        <w:jc w:val="center"/>
        <w:rPr>
          <w:rFonts w:ascii="Times New Roman" w:hAnsi="Times New Roman"/>
          <w:szCs w:val="24"/>
        </w:rPr>
      </w:pPr>
      <w:r>
        <w:rPr>
          <w:rFonts w:ascii="Times New Roman" w:hAnsi="Times New Roman"/>
          <w:szCs w:val="24"/>
        </w:rPr>
        <w:t>OMB CONTROL NUMBER 3038-NEW</w:t>
      </w:r>
    </w:p>
    <w:p w:rsidR="002B0E63" w:rsidRPr="002452B7" w:rsidRDefault="00A82CCF" w:rsidP="00A73D65">
      <w:pPr>
        <w:jc w:val="center"/>
        <w:rPr>
          <w:rFonts w:ascii="Times New Roman" w:hAnsi="Times New Roman"/>
          <w:szCs w:val="24"/>
        </w:rPr>
      </w:pPr>
      <w:r>
        <w:rPr>
          <w:rFonts w:ascii="Times New Roman" w:hAnsi="Times New Roman"/>
          <w:szCs w:val="24"/>
        </w:rPr>
        <w:t>(RIN 3038-AD 17)</w:t>
      </w:r>
    </w:p>
    <w:p w:rsidR="00A73D65" w:rsidRPr="002452B7" w:rsidRDefault="00A73D65" w:rsidP="00A73D65">
      <w:pPr>
        <w:rPr>
          <w:rFonts w:ascii="Times New Roman" w:hAnsi="Times New Roman"/>
          <w:szCs w:val="24"/>
        </w:rPr>
      </w:pPr>
    </w:p>
    <w:p w:rsidR="00A73D65" w:rsidRPr="002452B7" w:rsidRDefault="00A82CCF" w:rsidP="00A73D65">
      <w:pPr>
        <w:tabs>
          <w:tab w:val="left" w:pos="-720"/>
        </w:tabs>
        <w:suppressAutoHyphens/>
        <w:rPr>
          <w:rFonts w:ascii="Times New Roman" w:hAnsi="Times New Roman"/>
          <w:szCs w:val="24"/>
        </w:rPr>
      </w:pPr>
      <w:r>
        <w:rPr>
          <w:rFonts w:ascii="Times New Roman" w:hAnsi="Times New Roman"/>
          <w:szCs w:val="24"/>
          <w:u w:val="single"/>
        </w:rPr>
        <w:t>Justification</w:t>
      </w:r>
    </w:p>
    <w:p w:rsidR="00A73D65" w:rsidRPr="002452B7" w:rsidRDefault="00A73D65" w:rsidP="00A73D65">
      <w:pPr>
        <w:tabs>
          <w:tab w:val="left" w:pos="-720"/>
        </w:tabs>
        <w:suppressAutoHyphens/>
        <w:rPr>
          <w:rFonts w:ascii="Times New Roman" w:hAnsi="Times New Roman"/>
          <w:szCs w:val="24"/>
        </w:rPr>
      </w:pPr>
    </w:p>
    <w:p w:rsidR="00A73D65" w:rsidRPr="002452B7" w:rsidRDefault="00A82CCF" w:rsidP="00A73D65">
      <w:pPr>
        <w:pStyle w:val="ListParagraph"/>
        <w:numPr>
          <w:ilvl w:val="0"/>
          <w:numId w:val="1"/>
        </w:numPr>
        <w:tabs>
          <w:tab w:val="left" w:pos="-720"/>
          <w:tab w:val="left" w:pos="0"/>
        </w:tabs>
        <w:suppressAutoHyphens/>
        <w:rPr>
          <w:szCs w:val="24"/>
        </w:rPr>
      </w:pPr>
      <w:r>
        <w:rPr>
          <w:szCs w:val="24"/>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szCs w:val="24"/>
        </w:rPr>
        <w:t>.</w:t>
      </w:r>
    </w:p>
    <w:p w:rsidR="00A73D65" w:rsidRPr="002452B7" w:rsidRDefault="00A73D65" w:rsidP="00A73D65">
      <w:pPr>
        <w:tabs>
          <w:tab w:val="left" w:pos="-720"/>
          <w:tab w:val="left" w:pos="0"/>
        </w:tabs>
        <w:suppressAutoHyphens/>
        <w:rPr>
          <w:rFonts w:ascii="Times New Roman" w:hAnsi="Times New Roman"/>
          <w:szCs w:val="24"/>
        </w:rPr>
      </w:pPr>
    </w:p>
    <w:p w:rsidR="00A67278" w:rsidRDefault="00A82CCF">
      <w:pPr>
        <w:tabs>
          <w:tab w:val="left" w:pos="-720"/>
          <w:tab w:val="left" w:pos="0"/>
        </w:tabs>
        <w:suppressAutoHyphens/>
        <w:rPr>
          <w:rFonts w:ascii="Times New Roman" w:hAnsi="Times New Roman"/>
          <w:szCs w:val="24"/>
        </w:rPr>
      </w:pPr>
      <w:r>
        <w:rPr>
          <w:rFonts w:ascii="Times New Roman" w:hAnsi="Times New Roman"/>
          <w:szCs w:val="24"/>
        </w:rPr>
        <w:tab/>
        <w:t>On July 21, 2010, the Dodd-Frank Wall Street Reform and Consumer Protection Act (“Dodd-Frank Act”) went into effect.</w:t>
      </w:r>
      <w:r>
        <w:rPr>
          <w:rStyle w:val="FootnoteReference"/>
          <w:rFonts w:ascii="Times New Roman" w:hAnsi="Times New Roman"/>
          <w:szCs w:val="24"/>
        </w:rPr>
        <w:footnoteReference w:id="1"/>
      </w:r>
      <w:r w:rsidRPr="00A82CCF">
        <w:rPr>
          <w:rFonts w:ascii="Times New Roman" w:hAnsi="Times New Roman"/>
          <w:szCs w:val="24"/>
        </w:rPr>
        <w:t xml:space="preserve">  Title VII of the Dodd-Frank Act amends the Commodity Exchange Act (“Act” or “CEA”)</w:t>
      </w:r>
      <w:r>
        <w:rPr>
          <w:rStyle w:val="FootnoteReference"/>
          <w:rFonts w:ascii="Times New Roman" w:hAnsi="Times New Roman"/>
          <w:szCs w:val="24"/>
        </w:rPr>
        <w:footnoteReference w:id="2"/>
      </w:r>
      <w:r w:rsidRPr="00A82CCF">
        <w:rPr>
          <w:rFonts w:ascii="Times New Roman" w:hAnsi="Times New Roman"/>
          <w:szCs w:val="24"/>
        </w:rPr>
        <w:t xml:space="preserve"> to establish a comprehensive new regulatory framework for swaps and security-based swaps.  On November 2, 2010, the Commodity Futures Trading Commission (“CFTC” or “Commission”) proposed the subject large trader Reporting Rules that, in addition to establishing recordkeeping requirements, require routine swaps position reports </w:t>
      </w:r>
      <w:proofErr w:type="gramStart"/>
      <w:r w:rsidRPr="00A82CCF">
        <w:rPr>
          <w:rFonts w:ascii="Times New Roman" w:hAnsi="Times New Roman"/>
          <w:szCs w:val="24"/>
        </w:rPr>
        <w:t>from</w:t>
      </w:r>
      <w:proofErr w:type="gramEnd"/>
      <w:r w:rsidRPr="00A82CCF">
        <w:rPr>
          <w:rFonts w:ascii="Times New Roman" w:hAnsi="Times New Roman"/>
          <w:szCs w:val="24"/>
        </w:rPr>
        <w:t xml:space="preserve"> clearing organizations, clearing members and swap dealers and apply non-routine reporting requirements to large swaps traders.</w:t>
      </w:r>
      <w:r w:rsidRPr="00A82CCF">
        <w:rPr>
          <w:rStyle w:val="FootnoteReference"/>
          <w:rFonts w:ascii="Times New Roman" w:hAnsi="Times New Roman"/>
          <w:szCs w:val="24"/>
        </w:rPr>
        <w:footnoteReference w:id="3"/>
      </w:r>
      <w:r w:rsidRPr="00A82CCF">
        <w:rPr>
          <w:rFonts w:ascii="Times New Roman" w:hAnsi="Times New Roman"/>
          <w:szCs w:val="24"/>
        </w:rPr>
        <w:t xml:space="preserve">  The Reporting Rules were adopted by the Commission on July 22, 2011.</w:t>
      </w:r>
      <w:r>
        <w:rPr>
          <w:rStyle w:val="FootnoteReference"/>
          <w:rFonts w:ascii="Times New Roman" w:hAnsi="Times New Roman"/>
          <w:szCs w:val="24"/>
        </w:rPr>
        <w:footnoteReference w:id="4"/>
      </w:r>
      <w:r w:rsidRPr="00A82CCF">
        <w:rPr>
          <w:rFonts w:ascii="Times New Roman" w:hAnsi="Times New Roman"/>
          <w:szCs w:val="24"/>
        </w:rPr>
        <w:t xml:space="preserve">  The Reporting Rules (to be codified in new part 20 of the Commission’s regulations) were adopted primarily pursuant to sections 4t, 4a and </w:t>
      </w:r>
      <w:proofErr w:type="gramStart"/>
      <w:r w:rsidR="00F7590C">
        <w:rPr>
          <w:rFonts w:ascii="Times New Roman" w:hAnsi="Times New Roman"/>
          <w:szCs w:val="24"/>
        </w:rPr>
        <w:t>8a(</w:t>
      </w:r>
      <w:proofErr w:type="gramEnd"/>
      <w:r w:rsidR="00F7590C">
        <w:rPr>
          <w:rFonts w:ascii="Times New Roman" w:hAnsi="Times New Roman"/>
          <w:szCs w:val="24"/>
        </w:rPr>
        <w:t>5)</w:t>
      </w:r>
      <w:r w:rsidRPr="00A82CCF">
        <w:rPr>
          <w:rFonts w:ascii="Times New Roman" w:hAnsi="Times New Roman"/>
          <w:szCs w:val="24"/>
        </w:rPr>
        <w:t xml:space="preserve"> of the Act.</w:t>
      </w:r>
    </w:p>
    <w:p w:rsidR="00A67278" w:rsidRDefault="00A67278">
      <w:pPr>
        <w:tabs>
          <w:tab w:val="left" w:pos="-720"/>
          <w:tab w:val="left" w:pos="0"/>
        </w:tabs>
        <w:suppressAutoHyphens/>
        <w:rPr>
          <w:rFonts w:ascii="Times New Roman" w:hAnsi="Times New Roman"/>
          <w:szCs w:val="24"/>
        </w:rPr>
      </w:pPr>
    </w:p>
    <w:p w:rsidR="00A67278" w:rsidRDefault="00A82CCF">
      <w:pPr>
        <w:tabs>
          <w:tab w:val="left" w:pos="-720"/>
          <w:tab w:val="left" w:pos="0"/>
        </w:tabs>
        <w:suppressAutoHyphens/>
        <w:rPr>
          <w:rFonts w:ascii="Times New Roman" w:hAnsi="Times New Roman"/>
          <w:szCs w:val="24"/>
        </w:rPr>
      </w:pPr>
      <w:r w:rsidRPr="00A82CCF">
        <w:rPr>
          <w:rFonts w:ascii="Times New Roman" w:hAnsi="Times New Roman"/>
          <w:szCs w:val="24"/>
        </w:rPr>
        <w:tab/>
        <w:t xml:space="preserve">Section 4t of the Act authorizes the Commission to establish a large trader reporting system for significant price discovery function swaps.  All swaps subject to the Reporting Rules are linked to futures contracts listed on fully regulated commodity futures exchanges (a “designated contract market” or “DCM”) and are significant price discovery function swaps.  Section 4a of the CEA, as amended by the Dodd-Frank Act, directs the Commission to establish position limits, as appropriate, for physical commodity swaps.  The Commission currently has no surveillance program in place that would allow it to set and enforce position limits.  Swaps position reports are a necessary component of an effective surveillance </w:t>
      </w:r>
      <w:proofErr w:type="gramStart"/>
      <w:r w:rsidRPr="00A82CCF">
        <w:rPr>
          <w:rFonts w:ascii="Times New Roman" w:hAnsi="Times New Roman"/>
          <w:szCs w:val="24"/>
        </w:rPr>
        <w:t>program  and</w:t>
      </w:r>
      <w:proofErr w:type="gramEnd"/>
      <w:r w:rsidRPr="00A82CCF">
        <w:rPr>
          <w:rFonts w:ascii="Times New Roman" w:hAnsi="Times New Roman"/>
          <w:szCs w:val="24"/>
        </w:rPr>
        <w:t xml:space="preserve"> necessary for the implementation of all surveillance based regulatory programs (including market, financial and trading surveillance programs).  Accordingly, the Commission is adopting the subject swap reporting requirements pursuant to its authority in sections 4t and 4a of the CEA, and section </w:t>
      </w:r>
      <w:proofErr w:type="gramStart"/>
      <w:r w:rsidR="00F7590C">
        <w:rPr>
          <w:rFonts w:ascii="Times New Roman" w:hAnsi="Times New Roman"/>
          <w:szCs w:val="24"/>
        </w:rPr>
        <w:t>8a(</w:t>
      </w:r>
      <w:proofErr w:type="gramEnd"/>
      <w:r w:rsidR="00F7590C">
        <w:rPr>
          <w:rFonts w:ascii="Times New Roman" w:hAnsi="Times New Roman"/>
          <w:szCs w:val="24"/>
        </w:rPr>
        <w:t>5)</w:t>
      </w:r>
      <w:r w:rsidRPr="00A82CCF">
        <w:rPr>
          <w:rFonts w:ascii="Times New Roman" w:hAnsi="Times New Roman"/>
          <w:szCs w:val="24"/>
        </w:rPr>
        <w:t xml:space="preserve"> of the Act, a general rulemaking authority provision that allows the Commission to </w:t>
      </w:r>
      <w:r w:rsidRPr="00A82CCF">
        <w:rPr>
          <w:rFonts w:ascii="Times New Roman" w:hAnsi="Times New Roman"/>
          <w:szCs w:val="24"/>
        </w:rPr>
        <w:lastRenderedPageBreak/>
        <w:t xml:space="preserve">promulgate such regulations as, in the judgment of the Commission, are reasonably necessary to effectuate any of the provisions or to accomplish any of the purposes of the CEA.  </w:t>
      </w:r>
    </w:p>
    <w:p w:rsidR="00A73D65" w:rsidRPr="002452B7" w:rsidRDefault="00A73D65" w:rsidP="00A73D65">
      <w:pPr>
        <w:tabs>
          <w:tab w:val="left" w:pos="-720"/>
          <w:tab w:val="left" w:pos="0"/>
        </w:tabs>
        <w:suppressAutoHyphens/>
        <w:rPr>
          <w:rFonts w:ascii="Times New Roman" w:hAnsi="Times New Roman"/>
          <w:szCs w:val="24"/>
        </w:rPr>
      </w:pPr>
    </w:p>
    <w:p w:rsidR="00A416A2" w:rsidRPr="002452B7" w:rsidRDefault="00A82CCF" w:rsidP="00A73D65">
      <w:pPr>
        <w:tabs>
          <w:tab w:val="left" w:pos="-720"/>
          <w:tab w:val="left" w:pos="0"/>
        </w:tabs>
        <w:suppressAutoHyphens/>
        <w:rPr>
          <w:rFonts w:ascii="Times New Roman" w:hAnsi="Times New Roman"/>
          <w:szCs w:val="24"/>
        </w:rPr>
      </w:pPr>
      <w:r w:rsidRPr="00A82CCF">
        <w:rPr>
          <w:rFonts w:ascii="Times New Roman" w:hAnsi="Times New Roman"/>
          <w:szCs w:val="24"/>
        </w:rPr>
        <w:tab/>
        <w:t xml:space="preserve">New part 20 of the Commission’s regulations requires clearing organizations and any persons that are “reporting entities” to file swaps position data with the Commission.  The Reporting Rules collect clearing member reports from clearing organizations.  The Reporting Rules also require position reports from reporting entities for principal and counterparty positions in cleared and </w:t>
      </w:r>
      <w:proofErr w:type="spellStart"/>
      <w:r w:rsidRPr="00A82CCF">
        <w:rPr>
          <w:rFonts w:ascii="Times New Roman" w:hAnsi="Times New Roman"/>
          <w:szCs w:val="24"/>
        </w:rPr>
        <w:t>uncleared</w:t>
      </w:r>
      <w:proofErr w:type="spellEnd"/>
      <w:r w:rsidRPr="00A82CCF">
        <w:rPr>
          <w:rFonts w:ascii="Times New Roman" w:hAnsi="Times New Roman"/>
          <w:szCs w:val="24"/>
        </w:rPr>
        <w:t xml:space="preserve"> physical commodity swaps.  Reporting entities are those persons that are either “clearing members” or “swap dealers” that are otherwise not clearing members.  For purposes of part 20, reporting parties are required to submit data on positions on a futures equivalent basis so as to allow the Commission to assess a trader’s market impact across differently structured but linked derivatives instruments and markets.   </w:t>
      </w:r>
    </w:p>
    <w:p w:rsidR="00A416A2" w:rsidRPr="002452B7" w:rsidRDefault="00A416A2" w:rsidP="00A73D65">
      <w:pPr>
        <w:tabs>
          <w:tab w:val="left" w:pos="-720"/>
          <w:tab w:val="left" w:pos="0"/>
        </w:tabs>
        <w:suppressAutoHyphens/>
        <w:rPr>
          <w:rFonts w:ascii="Times New Roman" w:hAnsi="Times New Roman"/>
          <w:szCs w:val="24"/>
        </w:rPr>
      </w:pPr>
    </w:p>
    <w:p w:rsidR="00190F95" w:rsidRPr="002452B7" w:rsidRDefault="00A82CCF" w:rsidP="00A73D65">
      <w:pPr>
        <w:tabs>
          <w:tab w:val="left" w:pos="-720"/>
          <w:tab w:val="left" w:pos="0"/>
        </w:tabs>
        <w:suppressAutoHyphens/>
        <w:rPr>
          <w:rFonts w:ascii="Times New Roman" w:hAnsi="Times New Roman"/>
          <w:szCs w:val="24"/>
        </w:rPr>
      </w:pPr>
      <w:r w:rsidRPr="00A82CCF">
        <w:rPr>
          <w:rFonts w:ascii="Times New Roman" w:hAnsi="Times New Roman"/>
          <w:szCs w:val="24"/>
        </w:rPr>
        <w:tab/>
        <w:t>The following is a list of differences between the proposed rulemaking and the final Reporting Rules.  The Commission anticipates no change in burden and cost estimates from those discussed in the proposed Reporting Rules:</w:t>
      </w:r>
    </w:p>
    <w:p w:rsidR="00190F95" w:rsidRPr="002452B7" w:rsidRDefault="00190F95" w:rsidP="00A73D65">
      <w:pPr>
        <w:tabs>
          <w:tab w:val="left" w:pos="-720"/>
          <w:tab w:val="left" w:pos="0"/>
        </w:tabs>
        <w:suppressAutoHyphens/>
        <w:rPr>
          <w:rFonts w:ascii="Times New Roman" w:hAnsi="Times New Roman"/>
          <w:szCs w:val="24"/>
        </w:rPr>
      </w:pPr>
    </w:p>
    <w:p w:rsidR="00A67278" w:rsidRDefault="00A82CCF">
      <w:pPr>
        <w:pStyle w:val="ListParagraph"/>
        <w:numPr>
          <w:ilvl w:val="0"/>
          <w:numId w:val="9"/>
        </w:numPr>
        <w:tabs>
          <w:tab w:val="left" w:pos="-720"/>
          <w:tab w:val="left" w:pos="0"/>
        </w:tabs>
        <w:suppressAutoHyphens/>
        <w:rPr>
          <w:szCs w:val="24"/>
        </w:rPr>
      </w:pPr>
      <w:r w:rsidRPr="00A82CCF">
        <w:rPr>
          <w:szCs w:val="24"/>
        </w:rPr>
        <w:t>The Commission has determined to utilize, on a transitional basis and until final definitional regulations become effective, a definition of “swap” that is based on the reference to “commodity swap” within the definition of “swap agreement” in part 35 of the Commission’s regulations.  Swap market participants have relied on the definition of “swap agreement” for exempting transactions from the CEA since 1993.  As a result, market participants have an understanding of the general nature of the definition of commodity swap.  The swaps that would be subject to the Reporting Rules would be the same under both definitions.</w:t>
      </w:r>
    </w:p>
    <w:p w:rsidR="00A67278" w:rsidRDefault="00A67278">
      <w:pPr>
        <w:pStyle w:val="ListParagraph"/>
        <w:tabs>
          <w:tab w:val="left" w:pos="-720"/>
          <w:tab w:val="left" w:pos="0"/>
        </w:tabs>
        <w:suppressAutoHyphens/>
        <w:ind w:left="1080"/>
        <w:rPr>
          <w:szCs w:val="24"/>
        </w:rPr>
      </w:pPr>
    </w:p>
    <w:p w:rsidR="00A67278" w:rsidRDefault="00A82CCF">
      <w:pPr>
        <w:pStyle w:val="ListParagraph"/>
        <w:numPr>
          <w:ilvl w:val="0"/>
          <w:numId w:val="9"/>
        </w:numPr>
        <w:tabs>
          <w:tab w:val="left" w:pos="-720"/>
          <w:tab w:val="left" w:pos="0"/>
        </w:tabs>
        <w:suppressAutoHyphens/>
        <w:rPr>
          <w:szCs w:val="24"/>
        </w:rPr>
      </w:pPr>
      <w:r w:rsidRPr="00A82CCF">
        <w:rPr>
          <w:szCs w:val="24"/>
        </w:rPr>
        <w:t>The proposed regulations identified three categories of swaps that would be economically equivalent to DCM contracts (“paired swaps”) and thereby subject to reporting under the Reporting Rules: (1) swaps directly or indirectly linked to the price of a referenced DCM contract; (2) swaps directly or indirectly linked to the price of the same commodity for delivery at the same location as that of a referenced DCM contract; and (3) swaps based on the same commodity as that of a referenced DCM contract which are deliverable at different locations that nonetheless have the same supply and demand fundamentals as the referenced DCM contract’s delivery point.  The first two categories of the definition of economically equivalent swaps are appropriately tailored and objectively defined.  To further the objectives of clear applicability of the regulations and the submission of accurate reports, as well as to lower the burden on reporting entities by limiting the set of reportable swaps, the Commission has amended the definition to remove the third category.</w:t>
      </w:r>
    </w:p>
    <w:p w:rsidR="00A67278" w:rsidRDefault="00A67278">
      <w:pPr>
        <w:pStyle w:val="ListParagraph"/>
        <w:tabs>
          <w:tab w:val="left" w:pos="-720"/>
          <w:tab w:val="left" w:pos="0"/>
        </w:tabs>
        <w:suppressAutoHyphens/>
        <w:ind w:left="1080"/>
        <w:rPr>
          <w:szCs w:val="24"/>
        </w:rPr>
      </w:pPr>
    </w:p>
    <w:p w:rsidR="00A67278" w:rsidRDefault="00A82CCF">
      <w:pPr>
        <w:pStyle w:val="ListParagraph"/>
        <w:numPr>
          <w:ilvl w:val="0"/>
          <w:numId w:val="9"/>
        </w:numPr>
        <w:tabs>
          <w:tab w:val="left" w:pos="-720"/>
          <w:tab w:val="left" w:pos="0"/>
        </w:tabs>
        <w:suppressAutoHyphens/>
        <w:rPr>
          <w:szCs w:val="24"/>
        </w:rPr>
      </w:pPr>
      <w:r w:rsidRPr="00A82CCF">
        <w:rPr>
          <w:szCs w:val="24"/>
        </w:rPr>
        <w:t xml:space="preserve">The proposed Reporting Rules defined a reportable position as fifty or more in “paired swaps or </w:t>
      </w:r>
      <w:proofErr w:type="spellStart"/>
      <w:r w:rsidRPr="00A82CCF">
        <w:rPr>
          <w:szCs w:val="24"/>
        </w:rPr>
        <w:t>swaptions</w:t>
      </w:r>
      <w:proofErr w:type="spellEnd"/>
      <w:r w:rsidRPr="00A82CCF">
        <w:rPr>
          <w:szCs w:val="24"/>
        </w:rPr>
        <w:t xml:space="preserve">” positions, as defined in regulations 20.1 and 20.2, on a futures equivalent basis in any one futures equivalent month.  The Reporting Rules, as amended and finalized, allow reporting entities to identify a reportable position as all positions on a gross basis in a consolidated account (as described in regulation 20.4(a)) that are based on the same commodity, so long as this approach is </w:t>
      </w:r>
      <w:r w:rsidRPr="00A82CCF">
        <w:rPr>
          <w:szCs w:val="24"/>
        </w:rPr>
        <w:lastRenderedPageBreak/>
        <w:t>consistently applied to all consolidated accounts for reporting purposes.  This amended definition of a reportable position allows reporting entities to forgo the 50-contract threshold calculation, which may be complex or costly, prior to submitting reports to the Commission.</w:t>
      </w:r>
    </w:p>
    <w:p w:rsidR="00A67278" w:rsidRDefault="00A67278">
      <w:pPr>
        <w:pStyle w:val="ListParagraph"/>
        <w:tabs>
          <w:tab w:val="left" w:pos="-720"/>
          <w:tab w:val="left" w:pos="0"/>
        </w:tabs>
        <w:suppressAutoHyphens/>
        <w:ind w:left="1080"/>
        <w:rPr>
          <w:szCs w:val="24"/>
        </w:rPr>
      </w:pPr>
    </w:p>
    <w:p w:rsidR="00A67278" w:rsidRDefault="00A82CCF">
      <w:pPr>
        <w:pStyle w:val="ListParagraph"/>
        <w:numPr>
          <w:ilvl w:val="0"/>
          <w:numId w:val="9"/>
        </w:numPr>
        <w:tabs>
          <w:tab w:val="left" w:pos="-720"/>
          <w:tab w:val="left" w:pos="0"/>
        </w:tabs>
        <w:suppressAutoHyphens/>
        <w:rPr>
          <w:szCs w:val="24"/>
        </w:rPr>
      </w:pPr>
      <w:r w:rsidRPr="00A82CCF">
        <w:rPr>
          <w:szCs w:val="24"/>
        </w:rPr>
        <w:t xml:space="preserve">The Reporting Rules, as proposed, required the reporting of positions separately by actual swap or </w:t>
      </w:r>
      <w:proofErr w:type="spellStart"/>
      <w:r w:rsidRPr="00A82CCF">
        <w:rPr>
          <w:szCs w:val="24"/>
        </w:rPr>
        <w:t>swaption</w:t>
      </w:r>
      <w:proofErr w:type="spellEnd"/>
      <w:r w:rsidRPr="00A82CCF">
        <w:rPr>
          <w:szCs w:val="24"/>
        </w:rPr>
        <w:t xml:space="preserve"> accounts, and then by the controller in addition to counterparty and principal positions.  In order to streamline the collection of data, the final Reporting Rules do not require reporting by actual swap or </w:t>
      </w:r>
      <w:proofErr w:type="spellStart"/>
      <w:r w:rsidRPr="00A82CCF">
        <w:rPr>
          <w:szCs w:val="24"/>
        </w:rPr>
        <w:t>swaption</w:t>
      </w:r>
      <w:proofErr w:type="spellEnd"/>
      <w:r w:rsidRPr="00A82CCF">
        <w:rPr>
          <w:szCs w:val="24"/>
        </w:rPr>
        <w:t xml:space="preserve"> account.  The final Reporting Rules also only require that counterparty positions be reported by legal counterparty, as opposed to the controller of the legal counterparty’s positions.</w:t>
      </w:r>
    </w:p>
    <w:p w:rsidR="00A67278" w:rsidRDefault="00A67278">
      <w:pPr>
        <w:pStyle w:val="ListParagraph"/>
        <w:tabs>
          <w:tab w:val="left" w:pos="-720"/>
          <w:tab w:val="left" w:pos="0"/>
        </w:tabs>
        <w:suppressAutoHyphens/>
        <w:ind w:left="1080"/>
        <w:rPr>
          <w:szCs w:val="24"/>
        </w:rPr>
      </w:pPr>
    </w:p>
    <w:p w:rsidR="00A67278" w:rsidRDefault="00A82CCF">
      <w:pPr>
        <w:pStyle w:val="ListParagraph"/>
        <w:numPr>
          <w:ilvl w:val="0"/>
          <w:numId w:val="9"/>
        </w:numPr>
        <w:tabs>
          <w:tab w:val="left" w:pos="-720"/>
          <w:tab w:val="left" w:pos="0"/>
        </w:tabs>
        <w:suppressAutoHyphens/>
        <w:rPr>
          <w:szCs w:val="24"/>
        </w:rPr>
      </w:pPr>
      <w:r w:rsidRPr="00A82CCF">
        <w:rPr>
          <w:szCs w:val="24"/>
        </w:rPr>
        <w:t>In contrast to the rules as proposed, final regulation 20.6 applies a books and records requirement to swap counterparties only if such persons’ swaps positions meet or exceed a simplified 50 futures contract equivalent reporting level.  Also, final regulation 20.6 provides that persons with swaps positions meeting or exceeding the aforementioned threshold may keep and reproduce books and records for transactions resulting in such swaps positions in the record retention format that such person has developed in the normal course of business.  Regulation 20.6 also provides that such persons may keep and reproduce books and records for, among other things, the cash commodity underlying such swaps positions in accordance with the record retention format developed in the normal course of business.  In order to clarify the Commission’s authority to issue special calls for books and records, the Commission also included an explicit special call provision with respect to paired swaps positions in regulation 20.6(d).</w:t>
      </w:r>
    </w:p>
    <w:p w:rsidR="00A67278" w:rsidRDefault="00A67278">
      <w:pPr>
        <w:pStyle w:val="ListParagraph"/>
        <w:tabs>
          <w:tab w:val="left" w:pos="-720"/>
          <w:tab w:val="left" w:pos="0"/>
        </w:tabs>
        <w:suppressAutoHyphens/>
        <w:ind w:left="1080"/>
        <w:rPr>
          <w:szCs w:val="24"/>
        </w:rPr>
      </w:pPr>
    </w:p>
    <w:p w:rsidR="00A67278" w:rsidRDefault="00A82CCF">
      <w:pPr>
        <w:pStyle w:val="ListParagraph"/>
        <w:numPr>
          <w:ilvl w:val="0"/>
          <w:numId w:val="9"/>
        </w:numPr>
        <w:tabs>
          <w:tab w:val="left" w:pos="-720"/>
          <w:tab w:val="left" w:pos="0"/>
        </w:tabs>
        <w:suppressAutoHyphens/>
        <w:rPr>
          <w:szCs w:val="24"/>
        </w:rPr>
      </w:pPr>
      <w:r w:rsidRPr="00A82CCF">
        <w:rPr>
          <w:szCs w:val="24"/>
        </w:rPr>
        <w:t xml:space="preserve">Lastly, the final Reporting Rules incorporate a flexible implementation schedule which allows Commission staff, through delegated authority, to amend the requirements of part 20 temporarily to accommodate the resources and systems of reporting parties.  Including within the flexible implementation framework of the final Reporting Rules is a compliance date for swap </w:t>
      </w:r>
      <w:proofErr w:type="gramStart"/>
      <w:r w:rsidRPr="00A82CCF">
        <w:rPr>
          <w:szCs w:val="24"/>
        </w:rPr>
        <w:t>dealers that is</w:t>
      </w:r>
      <w:proofErr w:type="gramEnd"/>
      <w:r w:rsidRPr="00A82CCF">
        <w:rPr>
          <w:szCs w:val="24"/>
        </w:rPr>
        <w:t xml:space="preserve"> triggered only after the term “swap dealer” as defined in section 1a of the Act is further defined by final Commission regulations.</w:t>
      </w:r>
    </w:p>
    <w:p w:rsidR="00A67278" w:rsidRDefault="00A67278">
      <w:pPr>
        <w:pStyle w:val="ListParagraph"/>
        <w:tabs>
          <w:tab w:val="left" w:pos="-720"/>
          <w:tab w:val="left" w:pos="0"/>
        </w:tabs>
        <w:suppressAutoHyphens/>
        <w:ind w:left="1080"/>
        <w:rPr>
          <w:szCs w:val="24"/>
        </w:rPr>
      </w:pPr>
    </w:p>
    <w:p w:rsidR="00C05211" w:rsidRPr="002452B7" w:rsidRDefault="00A82CCF" w:rsidP="00A73D65">
      <w:pPr>
        <w:tabs>
          <w:tab w:val="left" w:pos="-720"/>
          <w:tab w:val="left" w:pos="0"/>
        </w:tabs>
        <w:suppressAutoHyphens/>
        <w:rPr>
          <w:rFonts w:ascii="Times New Roman" w:hAnsi="Times New Roman"/>
          <w:szCs w:val="24"/>
        </w:rPr>
      </w:pPr>
      <w:r w:rsidRPr="00A82CCF">
        <w:rPr>
          <w:rFonts w:ascii="Times New Roman" w:hAnsi="Times New Roman"/>
          <w:szCs w:val="24"/>
        </w:rPr>
        <w:tab/>
      </w:r>
      <w:r w:rsidR="00CB52C3">
        <w:rPr>
          <w:rFonts w:ascii="Times New Roman" w:hAnsi="Times New Roman"/>
          <w:szCs w:val="24"/>
        </w:rPr>
        <w:t xml:space="preserve">The Commission received over 100 comments in response to the proposed Reporting Rules.  The Commission directly named and responded to 9 comments in the final Reporting Rules.  Only a few of the comments addressed issues related to burdens.  </w:t>
      </w:r>
      <w:r w:rsidRPr="00A82CCF">
        <w:rPr>
          <w:rFonts w:ascii="Times New Roman" w:hAnsi="Times New Roman"/>
          <w:szCs w:val="24"/>
        </w:rPr>
        <w:t>The following discusses comments received on reporting burdens and alternative methods of achieving the Commission</w:t>
      </w:r>
      <w:r w:rsidR="00CB52C3">
        <w:rPr>
          <w:rFonts w:ascii="Times New Roman" w:hAnsi="Times New Roman"/>
          <w:szCs w:val="24"/>
        </w:rPr>
        <w:t>’</w:t>
      </w:r>
      <w:r w:rsidRPr="00A82CCF">
        <w:rPr>
          <w:rFonts w:ascii="Times New Roman" w:hAnsi="Times New Roman"/>
          <w:szCs w:val="24"/>
        </w:rPr>
        <w:t>s regulatory objectives:</w:t>
      </w:r>
    </w:p>
    <w:p w:rsidR="00C05211" w:rsidRPr="002452B7" w:rsidRDefault="00C05211" w:rsidP="00A73D65">
      <w:pPr>
        <w:tabs>
          <w:tab w:val="left" w:pos="-720"/>
          <w:tab w:val="left" w:pos="0"/>
        </w:tabs>
        <w:suppressAutoHyphens/>
        <w:rPr>
          <w:rFonts w:ascii="Times New Roman" w:hAnsi="Times New Roman"/>
          <w:szCs w:val="24"/>
        </w:rPr>
      </w:pPr>
    </w:p>
    <w:p w:rsidR="00A67278" w:rsidRDefault="00A82CCF">
      <w:pPr>
        <w:pStyle w:val="ListParagraph"/>
        <w:numPr>
          <w:ilvl w:val="0"/>
          <w:numId w:val="11"/>
        </w:numPr>
        <w:tabs>
          <w:tab w:val="left" w:pos="-720"/>
          <w:tab w:val="left" w:pos="0"/>
        </w:tabs>
        <w:suppressAutoHyphens/>
        <w:rPr>
          <w:szCs w:val="24"/>
        </w:rPr>
      </w:pPr>
      <w:r w:rsidRPr="00A82CCF">
        <w:rPr>
          <w:szCs w:val="24"/>
        </w:rPr>
        <w:t xml:space="preserve">Through the public comment process, alternatives to the Reporting Rules were presented to and reviewed by the Commission.  Some </w:t>
      </w:r>
      <w:proofErr w:type="spellStart"/>
      <w:r w:rsidRPr="00A82CCF">
        <w:rPr>
          <w:szCs w:val="24"/>
        </w:rPr>
        <w:t>commenters</w:t>
      </w:r>
      <w:proofErr w:type="spellEnd"/>
      <w:r w:rsidRPr="00A82CCF">
        <w:rPr>
          <w:szCs w:val="24"/>
        </w:rPr>
        <w:t xml:space="preserve"> indicated that their respective alternatives would provide the Commission with the data it needs and would be less burdensome than the Reporting Rules.  </w:t>
      </w:r>
      <w:proofErr w:type="spellStart"/>
      <w:r w:rsidRPr="00A82CCF">
        <w:rPr>
          <w:szCs w:val="24"/>
        </w:rPr>
        <w:t>Bindicap</w:t>
      </w:r>
      <w:proofErr w:type="spellEnd"/>
      <w:r w:rsidRPr="00A82CCF">
        <w:rPr>
          <w:szCs w:val="24"/>
        </w:rPr>
        <w:t xml:space="preserve"> </w:t>
      </w:r>
      <w:proofErr w:type="spellStart"/>
      <w:r w:rsidRPr="00A82CCF">
        <w:rPr>
          <w:szCs w:val="24"/>
        </w:rPr>
        <w:t>Comster</w:t>
      </w:r>
      <w:proofErr w:type="spellEnd"/>
      <w:r w:rsidRPr="00A82CCF">
        <w:rPr>
          <w:szCs w:val="24"/>
        </w:rPr>
        <w:t xml:space="preserve">, the Futures Industry Association (“FIA”), and the Working Group of Commercial Energy Firms (“Working Group”) opposed the proposed regulations, and suggested an expanded </w:t>
      </w:r>
      <w:r w:rsidRPr="00A82CCF">
        <w:rPr>
          <w:szCs w:val="24"/>
        </w:rPr>
        <w:lastRenderedPageBreak/>
        <w:t xml:space="preserve">Index Investment Data Reports special call reporting mechanism (special calls for the submission of position data) would be a better alternative.  The Commission disagrees.  The Commission’s current Index Investment Data Reports special call is a targeted collection of data.  It gathers information related to specific products from a limited set of market participants.  The special call was not intended to function as a tool for general surveillance.  In order to be able to gather positional data of the quality needed to conduct surveillance, the special call would have to undergo substantial modifications which in effect would convert it into the Reporting Rules.  </w:t>
      </w:r>
    </w:p>
    <w:p w:rsidR="00A67278" w:rsidRDefault="00A67278">
      <w:pPr>
        <w:pStyle w:val="ListParagraph"/>
        <w:tabs>
          <w:tab w:val="left" w:pos="-720"/>
          <w:tab w:val="left" w:pos="0"/>
        </w:tabs>
        <w:suppressAutoHyphens/>
        <w:ind w:left="1080"/>
        <w:rPr>
          <w:szCs w:val="24"/>
        </w:rPr>
      </w:pPr>
    </w:p>
    <w:p w:rsidR="00A67278" w:rsidRDefault="00A82CCF">
      <w:pPr>
        <w:pStyle w:val="ListParagraph"/>
        <w:numPr>
          <w:ilvl w:val="0"/>
          <w:numId w:val="11"/>
        </w:numPr>
        <w:tabs>
          <w:tab w:val="left" w:pos="-720"/>
          <w:tab w:val="left" w:pos="0"/>
        </w:tabs>
        <w:suppressAutoHyphens/>
        <w:rPr>
          <w:szCs w:val="24"/>
        </w:rPr>
      </w:pPr>
      <w:r w:rsidRPr="00A82CCF">
        <w:rPr>
          <w:szCs w:val="24"/>
        </w:rPr>
        <w:t xml:space="preserve">The FIA and the Working Group made very general and empirically unsupported arguments that the costs placed by the proposed regulations would be significant and that the Commission significantly underestimated the costs to clearing members and swap dealers.  The FIA stated that some of its members believe the costs to be very substantial and in some cases exceeding millions of dollars, while acknowledging that it is difficult to estimate costs with any precision.  The Working Group stated that some of its members estimate the total compliance costs to range up to $80,000 to $750,000 per year, inclusive of capital costs, and that the upfront costs could be as high as $1.5 million.  The Commission has carefully considered the costs on market participants.  In response, the Commission notes that the Reporting Rules are tailored to collect routine reports only from clearing organizations, clearing members, and swap dealers.  Based on discussions with potential reporting entities, the Commission has determined that the costs that would be imposed by the regulations on reporting entities is reasonable given the trade capture and information technology resources of such entities and their familiarity with limiting and managing complex price risks.  Clearing organizations and clearing members should have appropriate systems in place and currently likely provide or collect market and large trader reports.  </w:t>
      </w:r>
    </w:p>
    <w:p w:rsidR="00A67278" w:rsidRDefault="00A67278">
      <w:pPr>
        <w:pStyle w:val="ListParagraph"/>
        <w:tabs>
          <w:tab w:val="left" w:pos="-720"/>
          <w:tab w:val="left" w:pos="0"/>
        </w:tabs>
        <w:suppressAutoHyphens/>
        <w:ind w:left="1080"/>
        <w:rPr>
          <w:szCs w:val="24"/>
        </w:rPr>
      </w:pPr>
    </w:p>
    <w:p w:rsidR="00A67278" w:rsidRDefault="00A82CCF">
      <w:pPr>
        <w:pStyle w:val="ListParagraph"/>
        <w:numPr>
          <w:ilvl w:val="0"/>
          <w:numId w:val="11"/>
        </w:numPr>
        <w:tabs>
          <w:tab w:val="left" w:pos="-720"/>
          <w:tab w:val="left" w:pos="0"/>
        </w:tabs>
        <w:suppressAutoHyphens/>
        <w:rPr>
          <w:szCs w:val="24"/>
        </w:rPr>
      </w:pPr>
      <w:r w:rsidRPr="00A82CCF">
        <w:rPr>
          <w:szCs w:val="24"/>
        </w:rPr>
        <w:t xml:space="preserve">The compliance date for swap dealers that are not clearing members will be delayed until the Commission further defines the term swap dealer.  In order to address concerns relating to the ability of reporting entities to comply with the requirements of part 20 by the compliance date set forth in final regulation 20.10(a), final regulation 20.10(c) authorizes the Commission (or staff members delegated with such authority) to permit, for a period not to exceed six calendar months following the effective date of the Reporting Rules, the submission of reports that differ in content, form, or manner from that mandated in part 20, provided that there is a good faith attempt at compliance with part 20.  </w:t>
      </w:r>
    </w:p>
    <w:p w:rsidR="00A67278" w:rsidRDefault="00A67278">
      <w:pPr>
        <w:pStyle w:val="ListParagraph"/>
        <w:tabs>
          <w:tab w:val="left" w:pos="-720"/>
          <w:tab w:val="left" w:pos="0"/>
        </w:tabs>
        <w:suppressAutoHyphens/>
        <w:ind w:left="1080"/>
        <w:rPr>
          <w:szCs w:val="24"/>
        </w:rPr>
      </w:pPr>
    </w:p>
    <w:p w:rsidR="00A67278" w:rsidRDefault="00A82CCF">
      <w:pPr>
        <w:pStyle w:val="ListParagraph"/>
        <w:numPr>
          <w:ilvl w:val="0"/>
          <w:numId w:val="11"/>
        </w:numPr>
        <w:tabs>
          <w:tab w:val="left" w:pos="-720"/>
          <w:tab w:val="left" w:pos="0"/>
        </w:tabs>
        <w:suppressAutoHyphens/>
        <w:rPr>
          <w:szCs w:val="24"/>
        </w:rPr>
      </w:pPr>
      <w:r w:rsidRPr="00A82CCF">
        <w:rPr>
          <w:szCs w:val="24"/>
        </w:rPr>
        <w:t>In addition, in order to address the possibility of certain “non-financial” firms that may not be able to comply expediently with the requirements of part 20 should they fall within the definition of swap dealer, regulation 20.10(e) allows the Commission to defer compliance for such firms for six calendar months following the effective date of final regulations further defining the term swap dealer.  The Commission’s consideration of costs and burdens is discussed in more detail below.</w:t>
      </w:r>
    </w:p>
    <w:p w:rsidR="00A67278" w:rsidRDefault="00A67278">
      <w:pPr>
        <w:pStyle w:val="ListParagraph"/>
        <w:tabs>
          <w:tab w:val="left" w:pos="-720"/>
          <w:tab w:val="left" w:pos="0"/>
        </w:tabs>
        <w:suppressAutoHyphens/>
        <w:ind w:left="1080"/>
        <w:rPr>
          <w:szCs w:val="24"/>
        </w:rPr>
      </w:pPr>
    </w:p>
    <w:p w:rsidR="00A67278" w:rsidRDefault="00A82CCF">
      <w:pPr>
        <w:pStyle w:val="ListParagraph"/>
        <w:numPr>
          <w:ilvl w:val="0"/>
          <w:numId w:val="11"/>
        </w:numPr>
        <w:tabs>
          <w:tab w:val="left" w:pos="-720"/>
          <w:tab w:val="left" w:pos="0"/>
        </w:tabs>
        <w:suppressAutoHyphens/>
        <w:rPr>
          <w:szCs w:val="24"/>
        </w:rPr>
      </w:pPr>
      <w:r w:rsidRPr="00A82CCF">
        <w:rPr>
          <w:szCs w:val="24"/>
        </w:rPr>
        <w:t xml:space="preserve">The Electric End User Coalition also argued that the recordkeeping burden imposed by the proposed regulations on commercial entities would be significant.  In </w:t>
      </w:r>
      <w:r w:rsidRPr="00A82CCF">
        <w:rPr>
          <w:szCs w:val="24"/>
        </w:rPr>
        <w:lastRenderedPageBreak/>
        <w:t xml:space="preserve">particular it argued that the recordkeeping requirements should not apply to end-users and that the Commission should defer to other regulators, specifically the Federal Energy Regulatory Commission (“FERC”), with regard to recordkeeping obligations.  In the Commission’s judgment, the recordkeeping requirements for end-users with swaps positions that meet or exceed the relevant thresholds are consistent with requirements under current Commission regulation 18.05.  As described above, final regulation 20.6 generally permits commercial firms to keep and reproduce records of positions in the record retention format that such entities have developed in the normal course of business.  </w:t>
      </w:r>
    </w:p>
    <w:p w:rsidR="00C05211" w:rsidRPr="002452B7" w:rsidRDefault="00C05211" w:rsidP="00A73D65">
      <w:pPr>
        <w:tabs>
          <w:tab w:val="left" w:pos="-720"/>
          <w:tab w:val="left" w:pos="0"/>
        </w:tabs>
        <w:suppressAutoHyphens/>
        <w:rPr>
          <w:rFonts w:ascii="Times New Roman" w:hAnsi="Times New Roman"/>
          <w:szCs w:val="24"/>
        </w:rPr>
      </w:pPr>
    </w:p>
    <w:p w:rsidR="00A73D65" w:rsidRPr="002452B7" w:rsidRDefault="00A73D65" w:rsidP="00A73D65">
      <w:pPr>
        <w:tabs>
          <w:tab w:val="left" w:pos="-720"/>
          <w:tab w:val="left" w:pos="0"/>
        </w:tabs>
        <w:suppressAutoHyphens/>
        <w:rPr>
          <w:rFonts w:ascii="Times New Roman" w:hAnsi="Times New Roman"/>
          <w:szCs w:val="24"/>
        </w:rPr>
      </w:pPr>
    </w:p>
    <w:p w:rsidR="00A73D65" w:rsidRPr="002452B7" w:rsidRDefault="00A82CCF" w:rsidP="00A73D65">
      <w:pPr>
        <w:pStyle w:val="ListParagraph"/>
        <w:numPr>
          <w:ilvl w:val="0"/>
          <w:numId w:val="1"/>
        </w:numPr>
        <w:tabs>
          <w:tab w:val="left" w:pos="-720"/>
        </w:tabs>
        <w:suppressAutoHyphens/>
        <w:rPr>
          <w:szCs w:val="24"/>
        </w:rPr>
      </w:pPr>
      <w:r w:rsidRPr="00A82CCF">
        <w:rPr>
          <w:szCs w:val="24"/>
          <w:u w:val="single"/>
        </w:rPr>
        <w:t>Indicate how, by whom, and for what purpose the data would be used.  Except for a new collection, indicate the actual use the agency has made of the information received from the current collection</w:t>
      </w:r>
      <w:r w:rsidRPr="00A82CCF">
        <w:rPr>
          <w:szCs w:val="24"/>
        </w:rPr>
        <w:t>.</w:t>
      </w:r>
    </w:p>
    <w:p w:rsidR="00A73D65" w:rsidRPr="002452B7" w:rsidRDefault="00A73D65" w:rsidP="00A73D65">
      <w:pPr>
        <w:tabs>
          <w:tab w:val="left" w:pos="-720"/>
        </w:tabs>
        <w:suppressAutoHyphens/>
        <w:rPr>
          <w:rFonts w:ascii="Times New Roman" w:hAnsi="Times New Roman"/>
          <w:szCs w:val="24"/>
        </w:rPr>
      </w:pPr>
    </w:p>
    <w:p w:rsidR="00A73D65" w:rsidRPr="002452B7" w:rsidRDefault="00A82CCF" w:rsidP="00A73D65">
      <w:pPr>
        <w:tabs>
          <w:tab w:val="left" w:pos="-720"/>
        </w:tabs>
        <w:suppressAutoHyphens/>
        <w:rPr>
          <w:rFonts w:ascii="Times New Roman" w:hAnsi="Times New Roman"/>
          <w:szCs w:val="24"/>
        </w:rPr>
      </w:pPr>
      <w:r w:rsidRPr="00A82CCF">
        <w:rPr>
          <w:rFonts w:ascii="Times New Roman" w:hAnsi="Times New Roman"/>
          <w:szCs w:val="24"/>
        </w:rPr>
        <w:tab/>
        <w:t xml:space="preserve">The part 20 Reporting Rules for physical commodity swaps, in conjunction with the Commission’s current large trader reporting system for commodity futures and </w:t>
      </w:r>
      <w:proofErr w:type="gramStart"/>
      <w:r w:rsidRPr="00A82CCF">
        <w:rPr>
          <w:rFonts w:ascii="Times New Roman" w:hAnsi="Times New Roman"/>
          <w:szCs w:val="24"/>
        </w:rPr>
        <w:t>options,</w:t>
      </w:r>
      <w:proofErr w:type="gramEnd"/>
      <w:r w:rsidRPr="00A82CCF">
        <w:rPr>
          <w:rFonts w:ascii="Times New Roman" w:hAnsi="Times New Roman"/>
          <w:szCs w:val="24"/>
        </w:rPr>
        <w:t xml:space="preserve"> would be used by the Commission to support its market, financial and trading abuse surveillance programs.</w:t>
      </w:r>
    </w:p>
    <w:p w:rsidR="00A73D65" w:rsidRPr="002452B7" w:rsidRDefault="00A73D65" w:rsidP="00A73D65">
      <w:pPr>
        <w:tabs>
          <w:tab w:val="left" w:pos="-720"/>
        </w:tabs>
        <w:suppressAutoHyphens/>
        <w:rPr>
          <w:rFonts w:ascii="Times New Roman" w:hAnsi="Times New Roman"/>
          <w:szCs w:val="24"/>
        </w:rPr>
      </w:pPr>
    </w:p>
    <w:p w:rsidR="00A73D65" w:rsidRPr="002452B7" w:rsidRDefault="00A82CCF" w:rsidP="00A73D65">
      <w:pPr>
        <w:pStyle w:val="ListParagraph"/>
        <w:numPr>
          <w:ilvl w:val="0"/>
          <w:numId w:val="1"/>
        </w:numPr>
        <w:tabs>
          <w:tab w:val="left" w:pos="-720"/>
          <w:tab w:val="left" w:pos="0"/>
        </w:tabs>
        <w:suppressAutoHyphens/>
        <w:rPr>
          <w:szCs w:val="24"/>
          <w:u w:val="single"/>
        </w:rPr>
      </w:pPr>
      <w:r w:rsidRPr="00A82CCF">
        <w:rPr>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73D65" w:rsidRPr="002452B7" w:rsidRDefault="00A73D65" w:rsidP="00A73D65">
      <w:pPr>
        <w:tabs>
          <w:tab w:val="left" w:pos="-720"/>
          <w:tab w:val="left" w:pos="0"/>
        </w:tabs>
        <w:suppressAutoHyphens/>
        <w:rPr>
          <w:rFonts w:ascii="Times New Roman" w:hAnsi="Times New Roman"/>
          <w:szCs w:val="24"/>
        </w:rPr>
      </w:pPr>
    </w:p>
    <w:p w:rsidR="00A73D65" w:rsidRPr="002452B7" w:rsidRDefault="00A82CCF" w:rsidP="00A73D65">
      <w:pPr>
        <w:tabs>
          <w:tab w:val="left" w:pos="-720"/>
          <w:tab w:val="left" w:pos="0"/>
        </w:tabs>
        <w:suppressAutoHyphens/>
        <w:rPr>
          <w:rFonts w:ascii="Times New Roman" w:hAnsi="Times New Roman"/>
          <w:szCs w:val="24"/>
        </w:rPr>
      </w:pPr>
      <w:r w:rsidRPr="00A82CCF">
        <w:rPr>
          <w:rFonts w:ascii="Times New Roman" w:hAnsi="Times New Roman"/>
          <w:szCs w:val="24"/>
        </w:rPr>
        <w:tab/>
        <w:t xml:space="preserve">  The Commission is committed to utilizing technology in order to reduce reporting burdens for respondents.  Accordingly, the Commission has provided for the electronic transmission of the required submissions.  </w:t>
      </w:r>
    </w:p>
    <w:p w:rsidR="00A73D65" w:rsidRPr="002452B7" w:rsidRDefault="00A73D65" w:rsidP="00A73D65">
      <w:pPr>
        <w:tabs>
          <w:tab w:val="left" w:pos="-720"/>
        </w:tabs>
        <w:suppressAutoHyphens/>
        <w:rPr>
          <w:rFonts w:ascii="Times New Roman" w:hAnsi="Times New Roman"/>
          <w:szCs w:val="24"/>
        </w:rPr>
      </w:pPr>
    </w:p>
    <w:p w:rsidR="00A73D65" w:rsidRPr="002452B7" w:rsidRDefault="00A82CCF" w:rsidP="00A73D65">
      <w:pPr>
        <w:pStyle w:val="ListParagraph"/>
        <w:numPr>
          <w:ilvl w:val="0"/>
          <w:numId w:val="1"/>
        </w:numPr>
        <w:tabs>
          <w:tab w:val="left" w:pos="-720"/>
          <w:tab w:val="left" w:pos="0"/>
        </w:tabs>
        <w:suppressAutoHyphens/>
        <w:rPr>
          <w:szCs w:val="24"/>
        </w:rPr>
      </w:pPr>
      <w:r w:rsidRPr="00A82CCF">
        <w:rPr>
          <w:szCs w:val="24"/>
          <w:u w:val="single"/>
        </w:rPr>
        <w:t>Describe efforts to identify duplication.  Show specifically why any similar information already available cannot be used or modified for use for the purposes described in Item 2 above</w:t>
      </w:r>
      <w:r w:rsidRPr="00A82CCF">
        <w:rPr>
          <w:szCs w:val="24"/>
        </w:rPr>
        <w:t>.</w:t>
      </w:r>
    </w:p>
    <w:p w:rsidR="00A73D65" w:rsidRPr="002452B7" w:rsidRDefault="00A73D65" w:rsidP="00A73D65">
      <w:pPr>
        <w:tabs>
          <w:tab w:val="left" w:pos="-720"/>
          <w:tab w:val="left" w:pos="0"/>
        </w:tabs>
        <w:suppressAutoHyphens/>
        <w:rPr>
          <w:rFonts w:ascii="Times New Roman" w:hAnsi="Times New Roman"/>
          <w:szCs w:val="24"/>
        </w:rPr>
      </w:pPr>
    </w:p>
    <w:p w:rsidR="00A73D65" w:rsidRPr="002452B7" w:rsidRDefault="00A82CCF" w:rsidP="00A73D65">
      <w:pPr>
        <w:tabs>
          <w:tab w:val="left" w:pos="-720"/>
          <w:tab w:val="left" w:pos="0"/>
        </w:tabs>
        <w:suppressAutoHyphens/>
        <w:ind w:left="720"/>
        <w:rPr>
          <w:rFonts w:ascii="Times New Roman" w:hAnsi="Times New Roman"/>
          <w:szCs w:val="24"/>
        </w:rPr>
      </w:pPr>
      <w:r w:rsidRPr="00A82CCF">
        <w:rPr>
          <w:rFonts w:ascii="Times New Roman" w:hAnsi="Times New Roman"/>
          <w:szCs w:val="24"/>
        </w:rPr>
        <w:t xml:space="preserve">Prior to the Dodd-Frank Act, the Commission was prohibited generally from collecting the information it needs to conduct surveillance of physical commodity swaps.  Only a comprehensive reporting system, of the type adopted by the Commission, can obtain the data necessary for the effective discharge of daily surveillance.   </w:t>
      </w:r>
    </w:p>
    <w:p w:rsidR="00A73D65" w:rsidRPr="002452B7" w:rsidRDefault="00A73D65" w:rsidP="00A73D65">
      <w:pPr>
        <w:tabs>
          <w:tab w:val="left" w:pos="-720"/>
        </w:tabs>
        <w:suppressAutoHyphens/>
        <w:rPr>
          <w:rFonts w:ascii="Times New Roman" w:hAnsi="Times New Roman"/>
          <w:szCs w:val="24"/>
        </w:rPr>
      </w:pPr>
    </w:p>
    <w:p w:rsidR="00A73D65" w:rsidRPr="002452B7" w:rsidRDefault="00A82CCF" w:rsidP="00A73D65">
      <w:pPr>
        <w:pStyle w:val="ListParagraph"/>
        <w:numPr>
          <w:ilvl w:val="0"/>
          <w:numId w:val="1"/>
        </w:numPr>
        <w:tabs>
          <w:tab w:val="left" w:pos="-720"/>
          <w:tab w:val="left" w:pos="0"/>
        </w:tabs>
        <w:suppressAutoHyphens/>
        <w:rPr>
          <w:szCs w:val="24"/>
        </w:rPr>
      </w:pPr>
      <w:r w:rsidRPr="00A82CCF">
        <w:rPr>
          <w:szCs w:val="24"/>
          <w:u w:val="single"/>
        </w:rPr>
        <w:t>If the collection of information involves small business or other small entities (Item 5 of OMB Form 83-I), describe the methods used to minimize burden</w:t>
      </w:r>
      <w:r w:rsidRPr="00A82CCF">
        <w:rPr>
          <w:szCs w:val="24"/>
        </w:rPr>
        <w:t>.</w:t>
      </w:r>
    </w:p>
    <w:p w:rsidR="00A73D65" w:rsidRPr="002452B7" w:rsidRDefault="00A73D65" w:rsidP="00A73D65">
      <w:pPr>
        <w:tabs>
          <w:tab w:val="left" w:pos="-720"/>
          <w:tab w:val="left" w:pos="0"/>
        </w:tabs>
        <w:suppressAutoHyphens/>
        <w:rPr>
          <w:rFonts w:ascii="Times New Roman" w:hAnsi="Times New Roman"/>
          <w:szCs w:val="24"/>
        </w:rPr>
      </w:pPr>
    </w:p>
    <w:p w:rsidR="00A73D65" w:rsidRPr="002452B7" w:rsidRDefault="00A82CCF" w:rsidP="00A73D65">
      <w:pPr>
        <w:ind w:firstLine="720"/>
        <w:rPr>
          <w:rFonts w:ascii="Times New Roman" w:hAnsi="Times New Roman"/>
          <w:szCs w:val="24"/>
        </w:rPr>
      </w:pPr>
      <w:r w:rsidRPr="00A82CCF">
        <w:rPr>
          <w:rFonts w:ascii="Times New Roman" w:hAnsi="Times New Roman"/>
          <w:szCs w:val="24"/>
        </w:rPr>
        <w:t xml:space="preserve">The </w:t>
      </w:r>
      <w:proofErr w:type="gramStart"/>
      <w:r w:rsidRPr="00A82CCF">
        <w:rPr>
          <w:rFonts w:ascii="Times New Roman" w:hAnsi="Times New Roman"/>
          <w:szCs w:val="24"/>
        </w:rPr>
        <w:t>part 20 Reporting Rules do</w:t>
      </w:r>
      <w:proofErr w:type="gramEnd"/>
      <w:r w:rsidRPr="00A82CCF">
        <w:rPr>
          <w:rFonts w:ascii="Times New Roman" w:hAnsi="Times New Roman"/>
          <w:szCs w:val="24"/>
        </w:rPr>
        <w:t xml:space="preserve"> not impose daily reporting requirements on small businesses or other small entities.  The Commission has previously determined that derivatives </w:t>
      </w:r>
      <w:r w:rsidRPr="00A82CCF">
        <w:rPr>
          <w:rFonts w:ascii="Times New Roman" w:hAnsi="Times New Roman"/>
          <w:szCs w:val="24"/>
        </w:rPr>
        <w:lastRenderedPageBreak/>
        <w:t>clearing organizations</w:t>
      </w:r>
      <w:r>
        <w:rPr>
          <w:rStyle w:val="FootnoteReference"/>
          <w:rFonts w:ascii="Times New Roman" w:hAnsi="Times New Roman"/>
          <w:szCs w:val="24"/>
        </w:rPr>
        <w:footnoteReference w:id="5"/>
      </w:r>
      <w:r w:rsidRPr="00A82CCF">
        <w:rPr>
          <w:rFonts w:ascii="Times New Roman" w:hAnsi="Times New Roman"/>
          <w:szCs w:val="24"/>
        </w:rPr>
        <w:t xml:space="preserve"> and futures commission merchants</w:t>
      </w:r>
      <w:r>
        <w:rPr>
          <w:rStyle w:val="FootnoteReference"/>
          <w:rFonts w:ascii="Times New Roman" w:hAnsi="Times New Roman"/>
          <w:szCs w:val="24"/>
        </w:rPr>
        <w:footnoteReference w:id="6"/>
      </w:r>
      <w:r w:rsidRPr="00A82CCF">
        <w:rPr>
          <w:rFonts w:ascii="Times New Roman" w:hAnsi="Times New Roman"/>
          <w:szCs w:val="24"/>
        </w:rPr>
        <w:t xml:space="preserve"> are not “small entities” for purposes of the Regulatory Flexibility Act (“RFA”).  As noted above, a reportable paired swaps position would include fifty or more paired swaps positions in a futures equivalent month.  All of the firms covered by part 20 would either have a reportable position or would be clearing organizations or swap dealers.  By way of analogy, the Commission had determined that the reporting levels for futures in regulation 15.03 would not affect small entities.</w:t>
      </w:r>
      <w:r>
        <w:rPr>
          <w:rStyle w:val="FootnoteReference"/>
          <w:rFonts w:ascii="Times New Roman" w:hAnsi="Times New Roman"/>
          <w:szCs w:val="24"/>
        </w:rPr>
        <w:footnoteReference w:id="7"/>
      </w:r>
      <w:r w:rsidRPr="00A82CCF">
        <w:rPr>
          <w:rFonts w:ascii="Times New Roman" w:hAnsi="Times New Roman"/>
          <w:szCs w:val="24"/>
        </w:rPr>
        <w:t xml:space="preserve">  The Commission believes that the reportable account thresholds for swaps are similar to the reporting levels for futures positions and therefore does not believe that the firms covered by part 20 constitute small entities for RFA purposes.  </w:t>
      </w:r>
    </w:p>
    <w:p w:rsidR="00A73D65" w:rsidRPr="002452B7" w:rsidRDefault="00A73D65" w:rsidP="00A73D65">
      <w:pPr>
        <w:pStyle w:val="ListParagraph"/>
        <w:tabs>
          <w:tab w:val="left" w:pos="-720"/>
          <w:tab w:val="left" w:pos="0"/>
        </w:tabs>
        <w:suppressAutoHyphens/>
        <w:rPr>
          <w:szCs w:val="24"/>
        </w:rPr>
      </w:pPr>
    </w:p>
    <w:p w:rsidR="00A73D65" w:rsidRPr="002452B7" w:rsidRDefault="00A82CCF" w:rsidP="00A73D65">
      <w:pPr>
        <w:pStyle w:val="ListParagraph"/>
        <w:numPr>
          <w:ilvl w:val="0"/>
          <w:numId w:val="1"/>
        </w:numPr>
        <w:tabs>
          <w:tab w:val="left" w:pos="-720"/>
          <w:tab w:val="left" w:pos="0"/>
        </w:tabs>
        <w:suppressAutoHyphens/>
        <w:rPr>
          <w:szCs w:val="24"/>
        </w:rPr>
      </w:pPr>
      <w:r w:rsidRPr="00A82CCF">
        <w:rPr>
          <w:szCs w:val="24"/>
          <w:u w:val="single"/>
        </w:rPr>
        <w:t xml:space="preserve">Describe the consequence to the Federal Program or policy </w:t>
      </w:r>
      <w:r w:rsidRPr="00A82CCF">
        <w:rPr>
          <w:szCs w:val="24"/>
        </w:rPr>
        <w:tab/>
      </w:r>
      <w:r w:rsidRPr="00A82CCF">
        <w:rPr>
          <w:szCs w:val="24"/>
          <w:u w:val="single"/>
        </w:rPr>
        <w:t>activities if the collection were conducted less frequently as well as any technical or legal obstacles to reducing burden</w:t>
      </w:r>
      <w:r w:rsidRPr="00A82CCF">
        <w:rPr>
          <w:szCs w:val="24"/>
        </w:rPr>
        <w:t>.</w:t>
      </w:r>
    </w:p>
    <w:p w:rsidR="00A73D65" w:rsidRPr="002452B7" w:rsidRDefault="00A73D65" w:rsidP="00A73D65">
      <w:pPr>
        <w:tabs>
          <w:tab w:val="left" w:pos="-720"/>
          <w:tab w:val="left" w:pos="0"/>
        </w:tabs>
        <w:suppressAutoHyphens/>
        <w:rPr>
          <w:rFonts w:ascii="Times New Roman" w:hAnsi="Times New Roman"/>
          <w:szCs w:val="24"/>
        </w:rPr>
      </w:pPr>
    </w:p>
    <w:p w:rsidR="00A73D65" w:rsidRPr="002452B7" w:rsidRDefault="00A82CCF" w:rsidP="00A73D65">
      <w:pPr>
        <w:tabs>
          <w:tab w:val="left" w:pos="-720"/>
          <w:tab w:val="left" w:pos="0"/>
        </w:tabs>
        <w:suppressAutoHyphens/>
        <w:rPr>
          <w:rFonts w:ascii="Times New Roman" w:hAnsi="Times New Roman"/>
          <w:szCs w:val="24"/>
        </w:rPr>
      </w:pPr>
      <w:r w:rsidRPr="00A82CCF">
        <w:rPr>
          <w:rFonts w:ascii="Times New Roman" w:hAnsi="Times New Roman"/>
          <w:szCs w:val="24"/>
        </w:rPr>
        <w:tab/>
        <w:t>The Commission would not be able to carry out its oversight responsibilities for the swap markets.  The collection requirements are essential to the Commission’s mission as mandated by the CEA, in particular, the amendments put forth in the Dodd-Frank Act.  The Commission would need the swap reporting data on a daily basis for surveillance purposes.  These market activities require surveillance on a daily basis because situations such as attempted manipulations or congestion or the accumulation of large impactful positions can develop rapidly and require equally rapid responses by the Commission.  Adequate surveillance would be critically hindered, if transactional and position reports were received on less than a daily basis.</w:t>
      </w:r>
    </w:p>
    <w:p w:rsidR="00A73D65" w:rsidRPr="002452B7" w:rsidRDefault="00A73D65" w:rsidP="00A73D65">
      <w:pPr>
        <w:pStyle w:val="ListParagraph"/>
        <w:tabs>
          <w:tab w:val="left" w:pos="-720"/>
          <w:tab w:val="left" w:pos="0"/>
        </w:tabs>
        <w:suppressAutoHyphens/>
        <w:ind w:left="0"/>
        <w:rPr>
          <w:szCs w:val="24"/>
        </w:rPr>
      </w:pPr>
    </w:p>
    <w:p w:rsidR="00A73D65" w:rsidRPr="002452B7" w:rsidRDefault="00A82CCF" w:rsidP="00A73D65">
      <w:pPr>
        <w:pStyle w:val="ListParagraph"/>
        <w:numPr>
          <w:ilvl w:val="0"/>
          <w:numId w:val="1"/>
        </w:numPr>
        <w:tabs>
          <w:tab w:val="left" w:pos="-720"/>
          <w:tab w:val="left" w:pos="0"/>
        </w:tabs>
        <w:suppressAutoHyphens/>
        <w:rPr>
          <w:szCs w:val="24"/>
        </w:rPr>
      </w:pPr>
      <w:r w:rsidRPr="00A82CCF">
        <w:rPr>
          <w:szCs w:val="24"/>
          <w:u w:val="single"/>
        </w:rPr>
        <w:t>Explain any special circumstances that require the collection to be conducted in a manner</w:t>
      </w:r>
      <w:r w:rsidRPr="00A82CCF">
        <w:rPr>
          <w:szCs w:val="24"/>
        </w:rPr>
        <w:t>:</w:t>
      </w:r>
    </w:p>
    <w:p w:rsidR="00A73D65" w:rsidRPr="002452B7" w:rsidRDefault="00A73D65" w:rsidP="00A73D65">
      <w:pPr>
        <w:tabs>
          <w:tab w:val="left" w:pos="-720"/>
        </w:tabs>
        <w:suppressAutoHyphens/>
        <w:rPr>
          <w:rFonts w:ascii="Times New Roman" w:hAnsi="Times New Roman"/>
          <w:szCs w:val="24"/>
        </w:rPr>
      </w:pPr>
    </w:p>
    <w:p w:rsidR="00A73D65" w:rsidRPr="002452B7" w:rsidRDefault="00A82CCF" w:rsidP="00A73D65">
      <w:pPr>
        <w:tabs>
          <w:tab w:val="left" w:pos="-720"/>
          <w:tab w:val="left" w:pos="0"/>
          <w:tab w:val="left" w:pos="720"/>
        </w:tabs>
        <w:suppressAutoHyphens/>
        <w:ind w:left="1440" w:hanging="1440"/>
        <w:rPr>
          <w:rFonts w:ascii="Times New Roman" w:hAnsi="Times New Roman"/>
          <w:szCs w:val="24"/>
          <w:u w:val="single"/>
        </w:rPr>
      </w:pPr>
      <w:r w:rsidRPr="00A82CCF">
        <w:rPr>
          <w:rFonts w:ascii="Times New Roman" w:hAnsi="Times New Roman"/>
          <w:szCs w:val="24"/>
        </w:rPr>
        <w:tab/>
        <w:t>-</w:t>
      </w:r>
      <w:r w:rsidRPr="00A82CCF">
        <w:rPr>
          <w:rFonts w:ascii="Times New Roman" w:hAnsi="Times New Roman"/>
          <w:szCs w:val="24"/>
        </w:rPr>
        <w:tab/>
      </w:r>
      <w:proofErr w:type="gramStart"/>
      <w:r w:rsidRPr="00A82CCF">
        <w:rPr>
          <w:rFonts w:ascii="Times New Roman" w:hAnsi="Times New Roman"/>
          <w:szCs w:val="24"/>
          <w:u w:val="single"/>
        </w:rPr>
        <w:t>requiring</w:t>
      </w:r>
      <w:proofErr w:type="gramEnd"/>
      <w:r w:rsidRPr="00A82CCF">
        <w:rPr>
          <w:rFonts w:ascii="Times New Roman" w:hAnsi="Times New Roman"/>
          <w:szCs w:val="24"/>
          <w:u w:val="single"/>
        </w:rPr>
        <w:t xml:space="preserve"> respondents to report information to the agency more often than quarterly;</w:t>
      </w:r>
    </w:p>
    <w:p w:rsidR="00A73D65" w:rsidRPr="002452B7" w:rsidRDefault="00A82CCF" w:rsidP="00A73D65">
      <w:pPr>
        <w:tabs>
          <w:tab w:val="left" w:pos="-720"/>
          <w:tab w:val="left" w:pos="0"/>
          <w:tab w:val="left" w:pos="720"/>
        </w:tabs>
        <w:suppressAutoHyphens/>
        <w:ind w:left="1440" w:hanging="1440"/>
        <w:rPr>
          <w:rFonts w:ascii="Times New Roman" w:hAnsi="Times New Roman"/>
          <w:szCs w:val="24"/>
        </w:rPr>
      </w:pPr>
      <w:r w:rsidRPr="00A82CCF">
        <w:rPr>
          <w:rFonts w:ascii="Times New Roman" w:hAnsi="Times New Roman"/>
          <w:szCs w:val="24"/>
        </w:rPr>
        <w:tab/>
      </w:r>
      <w:r w:rsidRPr="00A82CCF">
        <w:rPr>
          <w:rFonts w:ascii="Times New Roman" w:hAnsi="Times New Roman"/>
          <w:szCs w:val="24"/>
        </w:rPr>
        <w:tab/>
      </w:r>
    </w:p>
    <w:p w:rsidR="00A73D65" w:rsidRPr="002452B7" w:rsidRDefault="00A82CCF" w:rsidP="00A73D65">
      <w:pPr>
        <w:tabs>
          <w:tab w:val="left" w:pos="-720"/>
          <w:tab w:val="left" w:pos="0"/>
          <w:tab w:val="left" w:pos="720"/>
        </w:tabs>
        <w:suppressAutoHyphens/>
        <w:ind w:left="1440" w:hanging="1440"/>
        <w:rPr>
          <w:rFonts w:ascii="Times New Roman" w:hAnsi="Times New Roman"/>
          <w:szCs w:val="24"/>
        </w:rPr>
      </w:pPr>
      <w:r w:rsidRPr="00A82CCF">
        <w:rPr>
          <w:rFonts w:ascii="Times New Roman" w:hAnsi="Times New Roman"/>
          <w:szCs w:val="24"/>
        </w:rPr>
        <w:tab/>
      </w:r>
      <w:r w:rsidRPr="00A82CCF">
        <w:rPr>
          <w:rFonts w:ascii="Times New Roman" w:hAnsi="Times New Roman"/>
          <w:szCs w:val="24"/>
        </w:rPr>
        <w:tab/>
        <w:t>See response to question 6.</w:t>
      </w:r>
    </w:p>
    <w:p w:rsidR="00A73D65" w:rsidRPr="002452B7" w:rsidRDefault="00A73D65" w:rsidP="00A73D65">
      <w:pPr>
        <w:tabs>
          <w:tab w:val="left" w:pos="-720"/>
        </w:tabs>
        <w:suppressAutoHyphens/>
        <w:rPr>
          <w:rFonts w:ascii="Times New Roman" w:hAnsi="Times New Roman"/>
          <w:szCs w:val="24"/>
        </w:rPr>
      </w:pPr>
    </w:p>
    <w:p w:rsidR="00A73D65" w:rsidRPr="002452B7" w:rsidRDefault="00A82CCF" w:rsidP="00A73D65">
      <w:pPr>
        <w:tabs>
          <w:tab w:val="left" w:pos="-720"/>
          <w:tab w:val="left" w:pos="0"/>
          <w:tab w:val="left" w:pos="720"/>
        </w:tabs>
        <w:suppressAutoHyphens/>
        <w:ind w:left="1440" w:hanging="1440"/>
        <w:rPr>
          <w:rFonts w:ascii="Times New Roman" w:hAnsi="Times New Roman"/>
          <w:szCs w:val="24"/>
          <w:u w:val="single"/>
        </w:rPr>
      </w:pPr>
      <w:r w:rsidRPr="00A82CCF">
        <w:rPr>
          <w:rFonts w:ascii="Times New Roman" w:hAnsi="Times New Roman"/>
          <w:szCs w:val="24"/>
        </w:rPr>
        <w:tab/>
        <w:t>-</w:t>
      </w:r>
      <w:r w:rsidRPr="00A82CCF">
        <w:rPr>
          <w:rFonts w:ascii="Times New Roman" w:hAnsi="Times New Roman"/>
          <w:szCs w:val="24"/>
        </w:rPr>
        <w:tab/>
      </w:r>
      <w:r w:rsidRPr="00A82CCF">
        <w:rPr>
          <w:rFonts w:ascii="Times New Roman" w:hAnsi="Times New Roman"/>
          <w:szCs w:val="24"/>
          <w:u w:val="single"/>
        </w:rPr>
        <w:t>requiring respondents to prepare a written response to a collection of information in fewer than 30 days after receipt of it:</w:t>
      </w:r>
    </w:p>
    <w:p w:rsidR="00A73D65" w:rsidRPr="002452B7" w:rsidRDefault="00A73D65" w:rsidP="00A73D65">
      <w:pPr>
        <w:tabs>
          <w:tab w:val="left" w:pos="-720"/>
          <w:tab w:val="left" w:pos="0"/>
          <w:tab w:val="left" w:pos="720"/>
        </w:tabs>
        <w:suppressAutoHyphens/>
        <w:ind w:left="1440" w:hanging="1440"/>
        <w:rPr>
          <w:rFonts w:ascii="Times New Roman" w:hAnsi="Times New Roman"/>
          <w:szCs w:val="24"/>
          <w:u w:val="single"/>
        </w:rPr>
      </w:pPr>
    </w:p>
    <w:p w:rsidR="00A73D65" w:rsidRPr="002452B7" w:rsidRDefault="00A82CCF" w:rsidP="00A73D65">
      <w:pPr>
        <w:tabs>
          <w:tab w:val="left" w:pos="-720"/>
          <w:tab w:val="left" w:pos="0"/>
          <w:tab w:val="left" w:pos="720"/>
        </w:tabs>
        <w:suppressAutoHyphens/>
        <w:rPr>
          <w:rFonts w:ascii="Times New Roman" w:hAnsi="Times New Roman"/>
          <w:szCs w:val="24"/>
        </w:rPr>
      </w:pPr>
      <w:r w:rsidRPr="00A82CCF">
        <w:rPr>
          <w:rFonts w:ascii="Times New Roman" w:hAnsi="Times New Roman"/>
          <w:szCs w:val="24"/>
        </w:rPr>
        <w:tab/>
        <w:t xml:space="preserve">The Commission generally regulates the trading of commodity derivatives, including futures and swaps, which are used to price a wide range of physical and financial commodity transactions.  These transactions are vital to national and international commerce.  The exercise of regulatory oversight for the purpose of conducting market surveillance, financial surveillance, </w:t>
      </w:r>
      <w:r w:rsidRPr="00A82CCF">
        <w:rPr>
          <w:rFonts w:ascii="Times New Roman" w:hAnsi="Times New Roman"/>
          <w:szCs w:val="24"/>
        </w:rPr>
        <w:lastRenderedPageBreak/>
        <w:t xml:space="preserve">and monitoring of trading for abusive conduct, by necessity, requires the collection of transaction-related and position information on a daily basis.   </w:t>
      </w:r>
    </w:p>
    <w:p w:rsidR="00A73D65" w:rsidRPr="002452B7" w:rsidRDefault="00A73D65" w:rsidP="00A73D65">
      <w:pPr>
        <w:tabs>
          <w:tab w:val="left" w:pos="-720"/>
        </w:tabs>
        <w:suppressAutoHyphens/>
        <w:rPr>
          <w:rFonts w:ascii="Times New Roman" w:hAnsi="Times New Roman"/>
          <w:szCs w:val="24"/>
        </w:rPr>
      </w:pPr>
    </w:p>
    <w:p w:rsidR="00A73D65" w:rsidRPr="002452B7" w:rsidRDefault="00A82CCF" w:rsidP="00A73D65">
      <w:pPr>
        <w:tabs>
          <w:tab w:val="left" w:pos="-720"/>
          <w:tab w:val="left" w:pos="0"/>
          <w:tab w:val="left" w:pos="720"/>
        </w:tabs>
        <w:suppressAutoHyphens/>
        <w:ind w:left="1440" w:hanging="1440"/>
        <w:rPr>
          <w:rFonts w:ascii="Times New Roman" w:hAnsi="Times New Roman"/>
          <w:szCs w:val="24"/>
        </w:rPr>
      </w:pPr>
      <w:r w:rsidRPr="00A82CCF">
        <w:rPr>
          <w:rFonts w:ascii="Times New Roman" w:hAnsi="Times New Roman"/>
          <w:szCs w:val="24"/>
        </w:rPr>
        <w:tab/>
        <w:t>-</w:t>
      </w:r>
      <w:r w:rsidRPr="00A82CCF">
        <w:rPr>
          <w:rFonts w:ascii="Times New Roman" w:hAnsi="Times New Roman"/>
          <w:szCs w:val="24"/>
        </w:rPr>
        <w:tab/>
      </w:r>
      <w:r w:rsidRPr="00A82CCF">
        <w:rPr>
          <w:rFonts w:ascii="Times New Roman" w:hAnsi="Times New Roman"/>
          <w:szCs w:val="24"/>
          <w:u w:val="single"/>
        </w:rPr>
        <w:t>requiring respondents to submit more that an original and two copies of any document</w:t>
      </w:r>
      <w:r w:rsidRPr="00A82CCF">
        <w:rPr>
          <w:rFonts w:ascii="Times New Roman" w:hAnsi="Times New Roman"/>
          <w:szCs w:val="24"/>
        </w:rPr>
        <w:t>;</w:t>
      </w:r>
    </w:p>
    <w:p w:rsidR="00A73D65" w:rsidRPr="002452B7" w:rsidRDefault="00A73D65" w:rsidP="00A73D65">
      <w:pPr>
        <w:tabs>
          <w:tab w:val="left" w:pos="-720"/>
          <w:tab w:val="left" w:pos="0"/>
          <w:tab w:val="left" w:pos="720"/>
        </w:tabs>
        <w:suppressAutoHyphens/>
        <w:ind w:left="1440" w:hanging="1440"/>
        <w:rPr>
          <w:rFonts w:ascii="Times New Roman" w:hAnsi="Times New Roman"/>
          <w:szCs w:val="24"/>
        </w:rPr>
      </w:pPr>
    </w:p>
    <w:p w:rsidR="00A73D65" w:rsidRPr="002452B7" w:rsidRDefault="00A82CCF" w:rsidP="00A73D65">
      <w:pPr>
        <w:tabs>
          <w:tab w:val="left" w:pos="-720"/>
          <w:tab w:val="left" w:pos="0"/>
          <w:tab w:val="left" w:pos="720"/>
        </w:tabs>
        <w:suppressAutoHyphens/>
        <w:ind w:left="1440" w:hanging="1440"/>
        <w:rPr>
          <w:rFonts w:ascii="Times New Roman" w:hAnsi="Times New Roman"/>
          <w:szCs w:val="24"/>
        </w:rPr>
      </w:pPr>
      <w:r w:rsidRPr="00A82CCF">
        <w:rPr>
          <w:rFonts w:ascii="Times New Roman" w:hAnsi="Times New Roman"/>
          <w:szCs w:val="24"/>
        </w:rPr>
        <w:tab/>
        <w:t>Respondents are required to submit only a single copy to the Commission.</w:t>
      </w:r>
    </w:p>
    <w:p w:rsidR="00A73D65" w:rsidRPr="002452B7" w:rsidRDefault="00A73D65" w:rsidP="00A73D65">
      <w:pPr>
        <w:tabs>
          <w:tab w:val="left" w:pos="-720"/>
        </w:tabs>
        <w:suppressAutoHyphens/>
        <w:rPr>
          <w:rFonts w:ascii="Times New Roman" w:hAnsi="Times New Roman"/>
          <w:szCs w:val="24"/>
        </w:rPr>
      </w:pPr>
    </w:p>
    <w:p w:rsidR="00A73D65" w:rsidRPr="002452B7" w:rsidRDefault="00A82CCF" w:rsidP="00A73D65">
      <w:pPr>
        <w:tabs>
          <w:tab w:val="left" w:pos="-720"/>
          <w:tab w:val="left" w:pos="0"/>
          <w:tab w:val="left" w:pos="720"/>
        </w:tabs>
        <w:suppressAutoHyphens/>
        <w:ind w:left="1440" w:hanging="1440"/>
        <w:rPr>
          <w:rFonts w:ascii="Times New Roman" w:hAnsi="Times New Roman"/>
          <w:szCs w:val="24"/>
        </w:rPr>
      </w:pPr>
      <w:r w:rsidRPr="00A82CCF">
        <w:rPr>
          <w:rFonts w:ascii="Times New Roman" w:hAnsi="Times New Roman"/>
          <w:szCs w:val="24"/>
        </w:rPr>
        <w:tab/>
        <w:t>-</w:t>
      </w:r>
      <w:r w:rsidRPr="00A82CCF">
        <w:rPr>
          <w:rFonts w:ascii="Times New Roman" w:hAnsi="Times New Roman"/>
          <w:szCs w:val="24"/>
        </w:rPr>
        <w:tab/>
      </w:r>
      <w:r w:rsidRPr="00A82CCF">
        <w:rPr>
          <w:rFonts w:ascii="Times New Roman" w:hAnsi="Times New Roman"/>
          <w:szCs w:val="24"/>
          <w:u w:val="single"/>
        </w:rPr>
        <w:t>requiring respondents to retain records other than health, medical, government contract, grant-in-aid, or tax records, for more than three years</w:t>
      </w:r>
      <w:r w:rsidRPr="00A82CCF">
        <w:rPr>
          <w:rFonts w:ascii="Times New Roman" w:hAnsi="Times New Roman"/>
          <w:szCs w:val="24"/>
        </w:rPr>
        <w:t>;</w:t>
      </w:r>
    </w:p>
    <w:p w:rsidR="00A73D65" w:rsidRPr="002452B7" w:rsidRDefault="00A73D65" w:rsidP="00A73D65">
      <w:pPr>
        <w:tabs>
          <w:tab w:val="left" w:pos="-720"/>
        </w:tabs>
        <w:suppressAutoHyphens/>
        <w:rPr>
          <w:rFonts w:ascii="Times New Roman" w:hAnsi="Times New Roman"/>
          <w:szCs w:val="24"/>
        </w:rPr>
      </w:pPr>
    </w:p>
    <w:p w:rsidR="00C63E7D" w:rsidRPr="002452B7" w:rsidRDefault="00A82CCF" w:rsidP="00A73D65">
      <w:pPr>
        <w:rPr>
          <w:rFonts w:ascii="Times New Roman" w:hAnsi="Times New Roman"/>
          <w:szCs w:val="24"/>
        </w:rPr>
      </w:pPr>
      <w:r w:rsidRPr="00A82CCF">
        <w:rPr>
          <w:rFonts w:ascii="Times New Roman" w:hAnsi="Times New Roman"/>
          <w:szCs w:val="24"/>
        </w:rPr>
        <w:tab/>
        <w:t xml:space="preserve">Regulation 20.6 would impose recordkeeping and production requirements on reporting clearing organizations, reporting entities, and persons with large swaps positions.  Regulation 20.6 would require clearing organizations and reporting entities to keep records of transactions in paired swaps or </w:t>
      </w:r>
      <w:proofErr w:type="spellStart"/>
      <w:r w:rsidRPr="00A82CCF">
        <w:rPr>
          <w:rFonts w:ascii="Times New Roman" w:hAnsi="Times New Roman"/>
          <w:szCs w:val="24"/>
        </w:rPr>
        <w:t>swaptions</w:t>
      </w:r>
      <w:proofErr w:type="spellEnd"/>
      <w:r w:rsidRPr="00A82CCF">
        <w:rPr>
          <w:rFonts w:ascii="Times New Roman" w:hAnsi="Times New Roman"/>
          <w:szCs w:val="24"/>
        </w:rPr>
        <w:t xml:space="preserve">, as well as records showing methods used to convert swaps </w:t>
      </w:r>
      <w:proofErr w:type="gramStart"/>
      <w:r w:rsidRPr="00A82CCF">
        <w:rPr>
          <w:rFonts w:ascii="Times New Roman" w:hAnsi="Times New Roman"/>
          <w:szCs w:val="24"/>
        </w:rPr>
        <w:t>an</w:t>
      </w:r>
      <w:proofErr w:type="gramEnd"/>
      <w:r w:rsidRPr="00A82CCF">
        <w:rPr>
          <w:rFonts w:ascii="Times New Roman" w:hAnsi="Times New Roman"/>
          <w:szCs w:val="24"/>
        </w:rPr>
        <w:t xml:space="preserve"> </w:t>
      </w:r>
      <w:proofErr w:type="spellStart"/>
      <w:r w:rsidRPr="00A82CCF">
        <w:rPr>
          <w:rFonts w:ascii="Times New Roman" w:hAnsi="Times New Roman"/>
          <w:szCs w:val="24"/>
        </w:rPr>
        <w:t>swaptions</w:t>
      </w:r>
      <w:proofErr w:type="spellEnd"/>
      <w:r w:rsidRPr="00A82CCF">
        <w:rPr>
          <w:rFonts w:ascii="Times New Roman" w:hAnsi="Times New Roman"/>
          <w:szCs w:val="24"/>
        </w:rPr>
        <w:t xml:space="preserve"> into futures equivalents.  </w:t>
      </w:r>
    </w:p>
    <w:p w:rsidR="00C63E7D" w:rsidRPr="002452B7" w:rsidRDefault="00C63E7D" w:rsidP="00A73D65">
      <w:pPr>
        <w:rPr>
          <w:rFonts w:ascii="Times New Roman" w:hAnsi="Times New Roman"/>
          <w:szCs w:val="24"/>
        </w:rPr>
      </w:pPr>
    </w:p>
    <w:p w:rsidR="00A73D65" w:rsidRPr="002452B7" w:rsidRDefault="00A82CCF" w:rsidP="00A73D65">
      <w:pPr>
        <w:rPr>
          <w:rFonts w:ascii="Times New Roman" w:hAnsi="Times New Roman"/>
          <w:szCs w:val="24"/>
        </w:rPr>
      </w:pPr>
      <w:r w:rsidRPr="00A82CCF">
        <w:rPr>
          <w:rFonts w:ascii="Times New Roman" w:hAnsi="Times New Roman"/>
          <w:szCs w:val="24"/>
        </w:rPr>
        <w:t xml:space="preserve">Regulation 20.6 would require persons with large swaps positions to maintain books and records showing all records for relevant transactions and positions.  In addition, such persons are required to keep books and records on “transactions in the cash commodity” and its products and byproducts, and “all commercial activities” that are hedged or risk-mitigated using paired swaps and </w:t>
      </w:r>
      <w:proofErr w:type="spellStart"/>
      <w:r w:rsidRPr="00A82CCF">
        <w:rPr>
          <w:rFonts w:ascii="Times New Roman" w:hAnsi="Times New Roman"/>
          <w:szCs w:val="24"/>
        </w:rPr>
        <w:t>swaptions</w:t>
      </w:r>
      <w:proofErr w:type="spellEnd"/>
      <w:r w:rsidRPr="00A82CCF">
        <w:rPr>
          <w:rFonts w:ascii="Times New Roman" w:hAnsi="Times New Roman"/>
          <w:szCs w:val="24"/>
        </w:rPr>
        <w:t xml:space="preserve">.  These recordkeeping requirements are very similar to those in current regulation 18.05.  </w:t>
      </w:r>
    </w:p>
    <w:p w:rsidR="00A73D65" w:rsidRPr="002452B7" w:rsidRDefault="00A73D65" w:rsidP="00A73D65">
      <w:pPr>
        <w:rPr>
          <w:rFonts w:ascii="Times New Roman" w:hAnsi="Times New Roman"/>
          <w:szCs w:val="24"/>
        </w:rPr>
      </w:pPr>
    </w:p>
    <w:p w:rsidR="00A73D65" w:rsidRPr="002452B7" w:rsidRDefault="00A82CCF" w:rsidP="00A73D65">
      <w:pPr>
        <w:ind w:firstLine="720"/>
        <w:rPr>
          <w:rFonts w:ascii="Times New Roman" w:hAnsi="Times New Roman"/>
          <w:szCs w:val="24"/>
        </w:rPr>
      </w:pPr>
      <w:r w:rsidRPr="00A82CCF">
        <w:rPr>
          <w:rFonts w:ascii="Times New Roman" w:hAnsi="Times New Roman"/>
          <w:szCs w:val="24"/>
        </w:rPr>
        <w:t>The recordkeeping duties imposed by regulation 20.6 for clearing organizations and reporting entities are to be in accordance with regulation 1.31.  Most pertinently, regulation 1.31(a</w:t>
      </w:r>
      <w:proofErr w:type="gramStart"/>
      <w:r w:rsidRPr="00A82CCF">
        <w:rPr>
          <w:rFonts w:ascii="Times New Roman" w:hAnsi="Times New Roman"/>
          <w:szCs w:val="24"/>
        </w:rPr>
        <w:t>)(</w:t>
      </w:r>
      <w:proofErr w:type="gramEnd"/>
      <w:r w:rsidRPr="00A82CCF">
        <w:rPr>
          <w:rFonts w:ascii="Times New Roman" w:hAnsi="Times New Roman"/>
          <w:szCs w:val="24"/>
        </w:rPr>
        <w:t xml:space="preserve">1) requires that these transaction records be kept for five years, the first two of which they “shall be readily accessible.”  Such books and records “shall be open to inspection by any representative of the Commission.”  </w:t>
      </w:r>
    </w:p>
    <w:p w:rsidR="00A73D65" w:rsidRPr="002452B7" w:rsidRDefault="00A73D65" w:rsidP="00A73D65">
      <w:pPr>
        <w:ind w:firstLine="720"/>
        <w:rPr>
          <w:rFonts w:ascii="Times New Roman" w:hAnsi="Times New Roman"/>
          <w:szCs w:val="24"/>
        </w:rPr>
      </w:pPr>
    </w:p>
    <w:p w:rsidR="00A73D65" w:rsidRPr="002452B7" w:rsidRDefault="00A82CCF" w:rsidP="00A73D65">
      <w:pPr>
        <w:ind w:firstLine="720"/>
        <w:rPr>
          <w:rFonts w:ascii="Times New Roman" w:hAnsi="Times New Roman"/>
          <w:szCs w:val="24"/>
        </w:rPr>
      </w:pPr>
      <w:r w:rsidRPr="00A82CCF">
        <w:rPr>
          <w:rFonts w:ascii="Times New Roman" w:hAnsi="Times New Roman"/>
          <w:szCs w:val="24"/>
        </w:rPr>
        <w:t xml:space="preserve">These recordkeeping requirements would allow the Commission to have ready access to records that would enable surveillance staff to reconstruct the transaction history of reported positions.  These requirements would ensure that data records submitted to the Commission could be audited.  In addition, these records would enable Commission staff to better reconstruct trading activity that may have had a material impact on the commodity derivatives markets.  </w:t>
      </w:r>
    </w:p>
    <w:p w:rsidR="00C7580D" w:rsidRPr="002452B7" w:rsidRDefault="00C7580D" w:rsidP="00A73D65">
      <w:pPr>
        <w:ind w:firstLine="720"/>
        <w:rPr>
          <w:rFonts w:ascii="Times New Roman" w:hAnsi="Times New Roman"/>
          <w:szCs w:val="24"/>
        </w:rPr>
      </w:pPr>
    </w:p>
    <w:p w:rsidR="00C7580D" w:rsidRPr="002452B7" w:rsidRDefault="00A82CCF" w:rsidP="00A73D65">
      <w:pPr>
        <w:ind w:firstLine="720"/>
        <w:rPr>
          <w:rFonts w:ascii="Times New Roman" w:hAnsi="Times New Roman"/>
          <w:szCs w:val="24"/>
        </w:rPr>
      </w:pPr>
      <w:r w:rsidRPr="00A82CCF">
        <w:rPr>
          <w:rFonts w:ascii="Times New Roman" w:hAnsi="Times New Roman"/>
          <w:szCs w:val="24"/>
        </w:rPr>
        <w:t>Large traders that are not clearing organizations or reporting entities can retain records and produce them for inspection using the record retention format that such persons have developed in the normal course of their business operations.</w:t>
      </w:r>
    </w:p>
    <w:p w:rsidR="00A73D65" w:rsidRPr="002452B7" w:rsidRDefault="00A73D65" w:rsidP="00A73D65">
      <w:pPr>
        <w:rPr>
          <w:rFonts w:ascii="Times New Roman" w:hAnsi="Times New Roman"/>
          <w:szCs w:val="24"/>
        </w:rPr>
      </w:pPr>
    </w:p>
    <w:p w:rsidR="00A73D65" w:rsidRPr="002452B7" w:rsidRDefault="00A82CCF" w:rsidP="00A73D65">
      <w:pPr>
        <w:tabs>
          <w:tab w:val="left" w:pos="-720"/>
          <w:tab w:val="left" w:pos="0"/>
          <w:tab w:val="left" w:pos="720"/>
        </w:tabs>
        <w:suppressAutoHyphens/>
        <w:ind w:left="1440" w:hanging="1440"/>
        <w:rPr>
          <w:rFonts w:ascii="Times New Roman" w:hAnsi="Times New Roman"/>
          <w:szCs w:val="24"/>
        </w:rPr>
      </w:pPr>
      <w:r w:rsidRPr="00A82CCF">
        <w:rPr>
          <w:rFonts w:ascii="Times New Roman" w:hAnsi="Times New Roman"/>
          <w:szCs w:val="24"/>
        </w:rPr>
        <w:tab/>
        <w:t>-</w:t>
      </w:r>
      <w:r w:rsidRPr="00A82CCF">
        <w:rPr>
          <w:rFonts w:ascii="Times New Roman" w:hAnsi="Times New Roman"/>
          <w:szCs w:val="24"/>
        </w:rPr>
        <w:tab/>
      </w:r>
      <w:r w:rsidRPr="00A82CCF">
        <w:rPr>
          <w:rFonts w:ascii="Times New Roman" w:hAnsi="Times New Roman"/>
          <w:szCs w:val="24"/>
          <w:u w:val="single"/>
        </w:rPr>
        <w:t>In connection with a statistical survey, that is not designed to produce valid and reliable results that can be generalized to the universe of study</w:t>
      </w:r>
      <w:r w:rsidRPr="00A82CCF">
        <w:rPr>
          <w:rFonts w:ascii="Times New Roman" w:hAnsi="Times New Roman"/>
          <w:szCs w:val="24"/>
        </w:rPr>
        <w:t>;</w:t>
      </w:r>
    </w:p>
    <w:p w:rsidR="00A73D65" w:rsidRPr="002452B7" w:rsidRDefault="00A73D65" w:rsidP="00A73D65">
      <w:pPr>
        <w:tabs>
          <w:tab w:val="left" w:pos="-720"/>
          <w:tab w:val="left" w:pos="0"/>
          <w:tab w:val="left" w:pos="720"/>
        </w:tabs>
        <w:suppressAutoHyphens/>
        <w:ind w:left="1440" w:hanging="1440"/>
        <w:rPr>
          <w:rFonts w:ascii="Times New Roman" w:hAnsi="Times New Roman"/>
          <w:szCs w:val="24"/>
        </w:rPr>
      </w:pPr>
    </w:p>
    <w:p w:rsidR="00A73D65" w:rsidRPr="002452B7" w:rsidRDefault="00A82CCF" w:rsidP="00A73D65">
      <w:pPr>
        <w:keepNext/>
        <w:ind w:firstLine="720"/>
        <w:rPr>
          <w:rFonts w:ascii="Times New Roman" w:hAnsi="Times New Roman"/>
          <w:szCs w:val="24"/>
        </w:rPr>
      </w:pPr>
      <w:r w:rsidRPr="00A82CCF">
        <w:rPr>
          <w:rFonts w:ascii="Times New Roman" w:hAnsi="Times New Roman"/>
          <w:szCs w:val="24"/>
        </w:rPr>
        <w:t xml:space="preserve">The Reporting Rules do not involve statistical surveys. </w:t>
      </w:r>
    </w:p>
    <w:p w:rsidR="00A73D65" w:rsidRPr="002452B7" w:rsidRDefault="00A73D65" w:rsidP="00A73D65">
      <w:pPr>
        <w:tabs>
          <w:tab w:val="left" w:pos="-720"/>
        </w:tabs>
        <w:suppressAutoHyphens/>
        <w:rPr>
          <w:rFonts w:ascii="Times New Roman" w:hAnsi="Times New Roman"/>
          <w:szCs w:val="24"/>
        </w:rPr>
      </w:pPr>
    </w:p>
    <w:p w:rsidR="00A73D65" w:rsidRPr="002452B7" w:rsidRDefault="00A82CCF" w:rsidP="00A73D65">
      <w:pPr>
        <w:tabs>
          <w:tab w:val="left" w:pos="-720"/>
          <w:tab w:val="left" w:pos="0"/>
          <w:tab w:val="left" w:pos="720"/>
        </w:tabs>
        <w:suppressAutoHyphens/>
        <w:ind w:left="1440" w:hanging="1440"/>
        <w:rPr>
          <w:rFonts w:ascii="Times New Roman" w:hAnsi="Times New Roman"/>
          <w:szCs w:val="24"/>
        </w:rPr>
      </w:pPr>
      <w:r w:rsidRPr="00A82CCF">
        <w:rPr>
          <w:rFonts w:ascii="Times New Roman" w:hAnsi="Times New Roman"/>
          <w:szCs w:val="24"/>
        </w:rPr>
        <w:lastRenderedPageBreak/>
        <w:tab/>
        <w:t>-</w:t>
      </w:r>
      <w:r w:rsidRPr="00A82CCF">
        <w:rPr>
          <w:rFonts w:ascii="Times New Roman" w:hAnsi="Times New Roman"/>
          <w:szCs w:val="24"/>
        </w:rPr>
        <w:tab/>
      </w:r>
      <w:r w:rsidRPr="00A82CCF">
        <w:rPr>
          <w:rFonts w:ascii="Times New Roman" w:hAnsi="Times New Roman"/>
          <w:szCs w:val="24"/>
          <w:u w:val="single"/>
        </w:rPr>
        <w:t>requiring the use of a statistical data classification that has not been reviewed and approved by OMB</w:t>
      </w:r>
      <w:r w:rsidRPr="00A82CCF">
        <w:rPr>
          <w:rFonts w:ascii="Times New Roman" w:hAnsi="Times New Roman"/>
          <w:szCs w:val="24"/>
        </w:rPr>
        <w:t>;</w:t>
      </w:r>
    </w:p>
    <w:p w:rsidR="00A73D65" w:rsidRPr="002452B7" w:rsidRDefault="00A73D65" w:rsidP="00A73D65">
      <w:pPr>
        <w:tabs>
          <w:tab w:val="left" w:pos="-720"/>
          <w:tab w:val="left" w:pos="0"/>
          <w:tab w:val="left" w:pos="720"/>
        </w:tabs>
        <w:suppressAutoHyphens/>
        <w:ind w:left="1440" w:hanging="1440"/>
        <w:rPr>
          <w:rFonts w:ascii="Times New Roman" w:hAnsi="Times New Roman"/>
          <w:szCs w:val="24"/>
        </w:rPr>
      </w:pPr>
    </w:p>
    <w:p w:rsidR="00A73D65" w:rsidRPr="002452B7" w:rsidRDefault="00A82CCF" w:rsidP="00A73D65">
      <w:pPr>
        <w:keepNext/>
        <w:ind w:firstLine="720"/>
        <w:rPr>
          <w:rFonts w:ascii="Times New Roman" w:hAnsi="Times New Roman"/>
          <w:szCs w:val="24"/>
        </w:rPr>
      </w:pPr>
      <w:r w:rsidRPr="00A82CCF">
        <w:rPr>
          <w:rFonts w:ascii="Times New Roman" w:hAnsi="Times New Roman"/>
          <w:szCs w:val="24"/>
        </w:rPr>
        <w:t>The Reporting Rules do not involve statistical data classifications.</w:t>
      </w:r>
    </w:p>
    <w:p w:rsidR="00A73D65" w:rsidRPr="002452B7" w:rsidRDefault="00A73D65" w:rsidP="00A73D65">
      <w:pPr>
        <w:tabs>
          <w:tab w:val="left" w:pos="-720"/>
        </w:tabs>
        <w:suppressAutoHyphens/>
        <w:rPr>
          <w:rFonts w:ascii="Times New Roman" w:hAnsi="Times New Roman"/>
          <w:szCs w:val="24"/>
        </w:rPr>
      </w:pPr>
    </w:p>
    <w:p w:rsidR="00A73D65" w:rsidRPr="002452B7" w:rsidRDefault="00A82CCF" w:rsidP="00A73D65">
      <w:pPr>
        <w:tabs>
          <w:tab w:val="left" w:pos="-720"/>
          <w:tab w:val="left" w:pos="0"/>
          <w:tab w:val="left" w:pos="720"/>
        </w:tabs>
        <w:suppressAutoHyphens/>
        <w:ind w:left="1440" w:hanging="1440"/>
        <w:rPr>
          <w:rFonts w:ascii="Times New Roman" w:hAnsi="Times New Roman"/>
          <w:szCs w:val="24"/>
        </w:rPr>
      </w:pPr>
      <w:r w:rsidRPr="00A82CCF">
        <w:rPr>
          <w:rFonts w:ascii="Times New Roman" w:hAnsi="Times New Roman"/>
          <w:szCs w:val="24"/>
        </w:rPr>
        <w:tab/>
        <w:t>-</w:t>
      </w:r>
      <w:r w:rsidRPr="00A82CCF">
        <w:rPr>
          <w:rFonts w:ascii="Times New Roman" w:hAnsi="Times New Roman"/>
          <w:szCs w:val="24"/>
        </w:rPr>
        <w:tab/>
      </w:r>
      <w:r w:rsidRPr="00A82CCF">
        <w:rPr>
          <w:rFonts w:ascii="Times New Roman" w:hAnsi="Times New Roman"/>
          <w:szCs w:val="24"/>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A73D65" w:rsidRPr="002452B7" w:rsidRDefault="00A73D65" w:rsidP="00A73D65">
      <w:pPr>
        <w:tabs>
          <w:tab w:val="left" w:pos="-720"/>
        </w:tabs>
        <w:suppressAutoHyphens/>
        <w:rPr>
          <w:rFonts w:ascii="Times New Roman" w:hAnsi="Times New Roman"/>
          <w:szCs w:val="24"/>
        </w:rPr>
      </w:pPr>
    </w:p>
    <w:p w:rsidR="00A73D65" w:rsidRPr="002452B7" w:rsidRDefault="00A82CCF" w:rsidP="00A73D65">
      <w:pPr>
        <w:tabs>
          <w:tab w:val="left" w:pos="-720"/>
        </w:tabs>
        <w:suppressAutoHyphens/>
        <w:rPr>
          <w:rFonts w:ascii="Times New Roman" w:hAnsi="Times New Roman"/>
          <w:szCs w:val="24"/>
        </w:rPr>
      </w:pPr>
      <w:r w:rsidRPr="00A82CCF">
        <w:rPr>
          <w:rFonts w:ascii="Times New Roman" w:hAnsi="Times New Roman"/>
          <w:szCs w:val="24"/>
        </w:rPr>
        <w:tab/>
        <w:t>The Reporting Rules do not directly involve any specific pledge of confidentiality regarding the collection of data (see answer to question 10).</w:t>
      </w:r>
    </w:p>
    <w:p w:rsidR="00A73D65" w:rsidRPr="002452B7" w:rsidRDefault="00A73D65" w:rsidP="00A73D65">
      <w:pPr>
        <w:tabs>
          <w:tab w:val="left" w:pos="-720"/>
        </w:tabs>
        <w:suppressAutoHyphens/>
        <w:rPr>
          <w:rFonts w:ascii="Times New Roman" w:hAnsi="Times New Roman"/>
          <w:szCs w:val="24"/>
        </w:rPr>
      </w:pPr>
    </w:p>
    <w:p w:rsidR="00A73D65" w:rsidRPr="002452B7" w:rsidRDefault="00A82CCF" w:rsidP="00A73D65">
      <w:pPr>
        <w:tabs>
          <w:tab w:val="left" w:pos="-720"/>
          <w:tab w:val="left" w:pos="0"/>
          <w:tab w:val="left" w:pos="720"/>
        </w:tabs>
        <w:suppressAutoHyphens/>
        <w:ind w:left="1440" w:hanging="1440"/>
        <w:rPr>
          <w:rFonts w:ascii="Times New Roman" w:hAnsi="Times New Roman"/>
          <w:szCs w:val="24"/>
        </w:rPr>
      </w:pPr>
      <w:r w:rsidRPr="00A82CCF">
        <w:rPr>
          <w:rFonts w:ascii="Times New Roman" w:hAnsi="Times New Roman"/>
          <w:szCs w:val="24"/>
        </w:rPr>
        <w:tab/>
        <w:t>-</w:t>
      </w:r>
      <w:r w:rsidRPr="00A82CCF">
        <w:rPr>
          <w:rFonts w:ascii="Times New Roman" w:hAnsi="Times New Roman"/>
          <w:szCs w:val="24"/>
        </w:rPr>
        <w:tab/>
      </w:r>
      <w:r w:rsidRPr="00A82CCF">
        <w:rPr>
          <w:rFonts w:ascii="Times New Roman" w:hAnsi="Times New Roman"/>
          <w:szCs w:val="24"/>
          <w:u w:val="single"/>
        </w:rPr>
        <w:t>requiring respondents to submit proprietary trade secrets, or other confidential information unless the agency can demonstrate that it has instituted procedures to protect the information's confidentiality to the extent permitted by law</w:t>
      </w:r>
      <w:r w:rsidRPr="00A82CCF">
        <w:rPr>
          <w:rFonts w:ascii="Times New Roman" w:hAnsi="Times New Roman"/>
          <w:szCs w:val="24"/>
        </w:rPr>
        <w:t>.</w:t>
      </w:r>
    </w:p>
    <w:p w:rsidR="00A73D65" w:rsidRPr="002452B7" w:rsidRDefault="00A73D65" w:rsidP="00A73D65">
      <w:pPr>
        <w:tabs>
          <w:tab w:val="left" w:pos="-720"/>
        </w:tabs>
        <w:suppressAutoHyphens/>
        <w:rPr>
          <w:rFonts w:ascii="Times New Roman" w:hAnsi="Times New Roman"/>
          <w:szCs w:val="24"/>
        </w:rPr>
      </w:pPr>
    </w:p>
    <w:p w:rsidR="00A73D65" w:rsidRPr="002452B7" w:rsidRDefault="00A82CCF" w:rsidP="00A73D65">
      <w:pPr>
        <w:keepNext/>
        <w:ind w:firstLine="720"/>
        <w:jc w:val="both"/>
        <w:rPr>
          <w:rFonts w:ascii="Times New Roman" w:hAnsi="Times New Roman"/>
          <w:szCs w:val="24"/>
        </w:rPr>
      </w:pPr>
      <w:r w:rsidRPr="00A82CCF">
        <w:rPr>
          <w:rFonts w:ascii="Times New Roman" w:hAnsi="Times New Roman"/>
          <w:szCs w:val="24"/>
        </w:rPr>
        <w:t>The Reporting Rules do require the submission of data involving confidential information or proprietary trade secrets.  The Commission would protect sensitive information according to the Freedom of Information Act and 17 CFR Part 145, "Commission Records and Information."  In addition, the Commission fully complies with section 8(a)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w:t>
      </w:r>
    </w:p>
    <w:p w:rsidR="00A73D65" w:rsidRPr="002452B7" w:rsidRDefault="00A73D65" w:rsidP="00A73D65">
      <w:pPr>
        <w:tabs>
          <w:tab w:val="left" w:pos="-720"/>
        </w:tabs>
        <w:suppressAutoHyphens/>
        <w:rPr>
          <w:rFonts w:ascii="Times New Roman" w:hAnsi="Times New Roman"/>
          <w:szCs w:val="24"/>
        </w:rPr>
      </w:pPr>
    </w:p>
    <w:p w:rsidR="00A73D65" w:rsidRPr="002452B7" w:rsidRDefault="00A82CCF" w:rsidP="00A73D65">
      <w:pPr>
        <w:pStyle w:val="ListParagraph"/>
        <w:numPr>
          <w:ilvl w:val="0"/>
          <w:numId w:val="1"/>
        </w:numPr>
        <w:tabs>
          <w:tab w:val="left" w:pos="-720"/>
          <w:tab w:val="left" w:pos="0"/>
        </w:tabs>
        <w:suppressAutoHyphens/>
        <w:rPr>
          <w:szCs w:val="24"/>
          <w:u w:val="single"/>
        </w:rPr>
      </w:pPr>
      <w:r w:rsidRPr="00A82CCF">
        <w:rPr>
          <w:szCs w:val="24"/>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73D65" w:rsidRPr="002452B7" w:rsidRDefault="00A73D65" w:rsidP="00A73D65">
      <w:pPr>
        <w:tabs>
          <w:tab w:val="left" w:pos="-720"/>
          <w:tab w:val="left" w:pos="0"/>
        </w:tabs>
        <w:suppressAutoHyphens/>
        <w:rPr>
          <w:rFonts w:ascii="Times New Roman" w:hAnsi="Times New Roman"/>
          <w:szCs w:val="24"/>
        </w:rPr>
      </w:pPr>
    </w:p>
    <w:p w:rsidR="00A73D65" w:rsidRPr="002452B7" w:rsidRDefault="00A82CCF" w:rsidP="00A73D65">
      <w:pPr>
        <w:ind w:firstLine="720"/>
        <w:rPr>
          <w:rFonts w:ascii="Times New Roman" w:hAnsi="Times New Roman"/>
          <w:szCs w:val="24"/>
        </w:rPr>
      </w:pPr>
      <w:r w:rsidRPr="00A82CCF">
        <w:rPr>
          <w:rFonts w:ascii="Times New Roman" w:hAnsi="Times New Roman"/>
          <w:szCs w:val="24"/>
        </w:rPr>
        <w:tab/>
        <w:t xml:space="preserve">The Reporting Rules were published for a 30-day public comment period in the </w:t>
      </w:r>
      <w:proofErr w:type="gramStart"/>
      <w:r w:rsidRPr="00A82CCF">
        <w:rPr>
          <w:rFonts w:ascii="Times New Roman" w:hAnsi="Times New Roman"/>
          <w:szCs w:val="24"/>
        </w:rPr>
        <w:t>Federal  Register</w:t>
      </w:r>
      <w:proofErr w:type="gramEnd"/>
      <w:r w:rsidRPr="00A82CCF">
        <w:rPr>
          <w:rFonts w:ascii="Times New Roman" w:hAnsi="Times New Roman"/>
          <w:szCs w:val="24"/>
        </w:rPr>
        <w:t xml:space="preserve"> -- 75 FR 67258 (11/02/2010).</w:t>
      </w:r>
    </w:p>
    <w:p w:rsidR="00A73D65" w:rsidRPr="002452B7" w:rsidRDefault="00A73D65" w:rsidP="00A73D65">
      <w:pPr>
        <w:tabs>
          <w:tab w:val="left" w:pos="-720"/>
          <w:tab w:val="left" w:pos="0"/>
        </w:tabs>
        <w:suppressAutoHyphens/>
        <w:rPr>
          <w:rFonts w:ascii="Times New Roman" w:hAnsi="Times New Roman"/>
          <w:szCs w:val="24"/>
          <w:u w:val="single"/>
        </w:rPr>
      </w:pPr>
    </w:p>
    <w:p w:rsidR="00A73D65" w:rsidRPr="002452B7" w:rsidRDefault="00A73D65" w:rsidP="00A73D65">
      <w:pPr>
        <w:pStyle w:val="ListParagraph"/>
        <w:tabs>
          <w:tab w:val="left" w:pos="-720"/>
          <w:tab w:val="left" w:pos="0"/>
        </w:tabs>
        <w:suppressAutoHyphens/>
        <w:rPr>
          <w:szCs w:val="24"/>
        </w:rPr>
      </w:pPr>
    </w:p>
    <w:p w:rsidR="00A73D65" w:rsidRPr="002452B7" w:rsidRDefault="00A82CCF" w:rsidP="00A73D65">
      <w:pPr>
        <w:tabs>
          <w:tab w:val="left" w:pos="-720"/>
          <w:tab w:val="left" w:pos="0"/>
        </w:tabs>
        <w:suppressAutoHyphens/>
        <w:ind w:left="360"/>
        <w:rPr>
          <w:rFonts w:ascii="Times New Roman" w:hAnsi="Times New Roman"/>
          <w:szCs w:val="24"/>
          <w:u w:val="single"/>
        </w:rPr>
      </w:pPr>
      <w:r w:rsidRPr="00A82CCF">
        <w:rPr>
          <w:rFonts w:ascii="Times New Roman" w:hAnsi="Times New Roman"/>
          <w:szCs w:val="24"/>
        </w:rPr>
        <w:tab/>
      </w:r>
      <w:r w:rsidRPr="00A82CCF">
        <w:rPr>
          <w:rFonts w:ascii="Times New Roman" w:hAnsi="Times New Roman"/>
          <w:szCs w:val="24"/>
          <w:u w:val="single"/>
        </w:rPr>
        <w:t xml:space="preserve">Describe efforts to consult with persons outside the agency to obtain their views on the </w:t>
      </w:r>
      <w:r w:rsidRPr="00A82CCF">
        <w:rPr>
          <w:rFonts w:ascii="Times New Roman" w:hAnsi="Times New Roman"/>
          <w:szCs w:val="24"/>
        </w:rPr>
        <w:tab/>
      </w:r>
      <w:r w:rsidRPr="00A82CCF">
        <w:rPr>
          <w:rFonts w:ascii="Times New Roman" w:hAnsi="Times New Roman"/>
          <w:szCs w:val="24"/>
          <w:u w:val="single"/>
        </w:rPr>
        <w:t xml:space="preserve">availability of data, frequency of collection, the clarity of instructions and recordkeeping </w:t>
      </w:r>
      <w:r w:rsidRPr="00A82CCF">
        <w:rPr>
          <w:rFonts w:ascii="Times New Roman" w:hAnsi="Times New Roman"/>
          <w:szCs w:val="24"/>
        </w:rPr>
        <w:tab/>
      </w:r>
      <w:r w:rsidRPr="00A82CCF">
        <w:rPr>
          <w:rFonts w:ascii="Times New Roman" w:hAnsi="Times New Roman"/>
          <w:szCs w:val="24"/>
          <w:u w:val="single"/>
        </w:rPr>
        <w:t xml:space="preserve">disclosure, or reporting format (if any, and on the data elements to be recorded, disclosed, </w:t>
      </w:r>
      <w:r w:rsidRPr="00A82CCF">
        <w:rPr>
          <w:rFonts w:ascii="Times New Roman" w:hAnsi="Times New Roman"/>
          <w:szCs w:val="24"/>
        </w:rPr>
        <w:tab/>
      </w:r>
      <w:r w:rsidRPr="00A82CCF">
        <w:rPr>
          <w:rFonts w:ascii="Times New Roman" w:hAnsi="Times New Roman"/>
          <w:szCs w:val="24"/>
          <w:u w:val="single"/>
        </w:rPr>
        <w:t>or reported.</w:t>
      </w:r>
    </w:p>
    <w:p w:rsidR="00A73D65" w:rsidRPr="002452B7" w:rsidRDefault="00A73D65" w:rsidP="00A73D65">
      <w:pPr>
        <w:tabs>
          <w:tab w:val="left" w:pos="-720"/>
          <w:tab w:val="left" w:pos="0"/>
        </w:tabs>
        <w:suppressAutoHyphens/>
        <w:ind w:left="360"/>
        <w:rPr>
          <w:rFonts w:ascii="Times New Roman" w:hAnsi="Times New Roman"/>
          <w:szCs w:val="24"/>
          <w:u w:val="single"/>
        </w:rPr>
      </w:pPr>
    </w:p>
    <w:p w:rsidR="00A73D65" w:rsidRPr="002452B7" w:rsidRDefault="00A82CCF" w:rsidP="00A73D65">
      <w:pPr>
        <w:tabs>
          <w:tab w:val="left" w:pos="-720"/>
        </w:tabs>
        <w:suppressAutoHyphens/>
        <w:rPr>
          <w:rFonts w:ascii="Times New Roman" w:hAnsi="Times New Roman"/>
          <w:szCs w:val="24"/>
        </w:rPr>
      </w:pPr>
      <w:r w:rsidRPr="00A82CCF">
        <w:rPr>
          <w:rFonts w:ascii="Times New Roman" w:hAnsi="Times New Roman"/>
          <w:szCs w:val="24"/>
        </w:rPr>
        <w:tab/>
        <w:t xml:space="preserve">Opportunity for public comment is provided when regulations are proposed or amended.    Contact with the reporting entities and </w:t>
      </w:r>
      <w:proofErr w:type="gramStart"/>
      <w:r w:rsidRPr="00A82CCF">
        <w:rPr>
          <w:rFonts w:ascii="Times New Roman" w:hAnsi="Times New Roman"/>
          <w:szCs w:val="24"/>
        </w:rPr>
        <w:t>market participants is</w:t>
      </w:r>
      <w:proofErr w:type="gramEnd"/>
      <w:r w:rsidRPr="00A82CCF">
        <w:rPr>
          <w:rFonts w:ascii="Times New Roman" w:hAnsi="Times New Roman"/>
          <w:szCs w:val="24"/>
        </w:rPr>
        <w:t xml:space="preserve"> maintained on a continuous and on an ongoing basis to resolve reporting problems and address concerns.  The Commission has solicited comments through publication of proposed rules in the Federal Register.  Commission staff has met with various entities that could be covered in the swap reporting rulemaking to </w:t>
      </w:r>
      <w:r w:rsidRPr="00A82CCF">
        <w:rPr>
          <w:rFonts w:ascii="Times New Roman" w:hAnsi="Times New Roman"/>
          <w:szCs w:val="24"/>
        </w:rPr>
        <w:lastRenderedPageBreak/>
        <w:t>discuss the scope of the rulemaking.  The Commission would also, on an ongoing basis, solicit public comments through the notice required by 5 CFR 1320.8(d).</w:t>
      </w:r>
    </w:p>
    <w:p w:rsidR="00A73D65" w:rsidRPr="002452B7" w:rsidRDefault="00A73D65" w:rsidP="00A73D65">
      <w:pPr>
        <w:tabs>
          <w:tab w:val="left" w:pos="-720"/>
        </w:tabs>
        <w:suppressAutoHyphens/>
        <w:rPr>
          <w:rFonts w:ascii="Times New Roman" w:hAnsi="Times New Roman"/>
          <w:szCs w:val="24"/>
          <w:u w:val="single"/>
        </w:rPr>
      </w:pPr>
    </w:p>
    <w:p w:rsidR="00A73D65" w:rsidRPr="002452B7" w:rsidRDefault="00A82CCF" w:rsidP="00A73D65">
      <w:pPr>
        <w:tabs>
          <w:tab w:val="left" w:pos="-720"/>
          <w:tab w:val="left" w:pos="0"/>
        </w:tabs>
        <w:suppressAutoHyphens/>
        <w:ind w:left="720" w:hanging="720"/>
        <w:rPr>
          <w:rFonts w:ascii="Times New Roman" w:hAnsi="Times New Roman"/>
          <w:szCs w:val="24"/>
        </w:rPr>
      </w:pPr>
      <w:r w:rsidRPr="00A82CCF">
        <w:rPr>
          <w:rFonts w:ascii="Times New Roman" w:hAnsi="Times New Roman"/>
          <w:szCs w:val="24"/>
        </w:rPr>
        <w:tab/>
      </w:r>
      <w:r w:rsidRPr="00A82CCF">
        <w:rPr>
          <w:rFonts w:ascii="Times New Roman" w:hAnsi="Times New Roman"/>
          <w:szCs w:val="24"/>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sidRPr="00A82CCF">
        <w:rPr>
          <w:rFonts w:ascii="Times New Roman" w:hAnsi="Times New Roman"/>
          <w:szCs w:val="24"/>
        </w:rPr>
        <w:t>.</w:t>
      </w:r>
    </w:p>
    <w:p w:rsidR="00A73D65" w:rsidRPr="002452B7" w:rsidRDefault="00A73D65" w:rsidP="00A73D65">
      <w:pPr>
        <w:tabs>
          <w:tab w:val="left" w:pos="-720"/>
        </w:tabs>
        <w:suppressAutoHyphens/>
        <w:rPr>
          <w:rFonts w:ascii="Times New Roman" w:hAnsi="Times New Roman"/>
          <w:szCs w:val="24"/>
        </w:rPr>
      </w:pPr>
    </w:p>
    <w:p w:rsidR="00A73D65" w:rsidRPr="002452B7" w:rsidRDefault="00A82CCF" w:rsidP="00A73D65">
      <w:pPr>
        <w:ind w:left="720"/>
        <w:rPr>
          <w:rFonts w:ascii="Times New Roman" w:hAnsi="Times New Roman"/>
          <w:szCs w:val="24"/>
        </w:rPr>
      </w:pPr>
      <w:r w:rsidRPr="00A82CCF">
        <w:rPr>
          <w:rFonts w:ascii="Times New Roman" w:hAnsi="Times New Roman"/>
          <w:szCs w:val="24"/>
        </w:rPr>
        <w:t>No such circumstances are anticipated.</w:t>
      </w:r>
    </w:p>
    <w:p w:rsidR="00A73D65" w:rsidRPr="002452B7" w:rsidRDefault="00A73D65" w:rsidP="00A73D65">
      <w:pPr>
        <w:tabs>
          <w:tab w:val="left" w:pos="-720"/>
        </w:tabs>
        <w:suppressAutoHyphens/>
        <w:rPr>
          <w:rFonts w:ascii="Times New Roman" w:hAnsi="Times New Roman"/>
          <w:szCs w:val="24"/>
        </w:rPr>
      </w:pPr>
    </w:p>
    <w:p w:rsidR="00A73D65" w:rsidRPr="002452B7" w:rsidRDefault="00A82CCF" w:rsidP="00A73D65">
      <w:pPr>
        <w:pStyle w:val="ListParagraph"/>
        <w:numPr>
          <w:ilvl w:val="0"/>
          <w:numId w:val="1"/>
        </w:numPr>
        <w:tabs>
          <w:tab w:val="left" w:pos="-720"/>
          <w:tab w:val="left" w:pos="0"/>
        </w:tabs>
        <w:suppressAutoHyphens/>
        <w:rPr>
          <w:szCs w:val="24"/>
        </w:rPr>
      </w:pPr>
      <w:r w:rsidRPr="00A82CCF">
        <w:rPr>
          <w:szCs w:val="24"/>
          <w:u w:val="single"/>
        </w:rPr>
        <w:t>Explain any decision to provide any payment or gift to respondents, other than remuneration of contractors or grantees</w:t>
      </w:r>
      <w:r w:rsidRPr="00A82CCF">
        <w:rPr>
          <w:szCs w:val="24"/>
        </w:rPr>
        <w:t>.</w:t>
      </w:r>
    </w:p>
    <w:p w:rsidR="00A73D65" w:rsidRPr="002452B7" w:rsidRDefault="00A73D65" w:rsidP="00A73D65">
      <w:pPr>
        <w:tabs>
          <w:tab w:val="left" w:pos="-720"/>
          <w:tab w:val="left" w:pos="0"/>
        </w:tabs>
        <w:suppressAutoHyphens/>
        <w:rPr>
          <w:rFonts w:ascii="Times New Roman" w:hAnsi="Times New Roman"/>
          <w:szCs w:val="24"/>
        </w:rPr>
      </w:pPr>
    </w:p>
    <w:p w:rsidR="00A73D65" w:rsidRPr="002452B7" w:rsidRDefault="00A82CCF" w:rsidP="00A73D65">
      <w:pPr>
        <w:ind w:firstLine="720"/>
        <w:rPr>
          <w:rFonts w:ascii="Times New Roman" w:hAnsi="Times New Roman"/>
          <w:szCs w:val="24"/>
        </w:rPr>
      </w:pPr>
      <w:r w:rsidRPr="00A82CCF">
        <w:rPr>
          <w:rFonts w:ascii="Times New Roman" w:hAnsi="Times New Roman"/>
          <w:szCs w:val="24"/>
        </w:rPr>
        <w:t>This question does not apply.</w:t>
      </w:r>
    </w:p>
    <w:p w:rsidR="00A73D65" w:rsidRPr="002452B7" w:rsidRDefault="00A82CCF" w:rsidP="00A73D65">
      <w:pPr>
        <w:tabs>
          <w:tab w:val="left" w:pos="-720"/>
        </w:tabs>
        <w:suppressAutoHyphens/>
        <w:rPr>
          <w:rFonts w:ascii="Times New Roman" w:hAnsi="Times New Roman"/>
          <w:szCs w:val="24"/>
        </w:rPr>
      </w:pPr>
      <w:r w:rsidRPr="00A82CCF">
        <w:rPr>
          <w:rFonts w:ascii="Times New Roman" w:hAnsi="Times New Roman"/>
          <w:szCs w:val="24"/>
        </w:rPr>
        <w:t xml:space="preserve">  </w:t>
      </w:r>
    </w:p>
    <w:p w:rsidR="00A73D65" w:rsidRPr="002452B7" w:rsidRDefault="00A82CCF" w:rsidP="00A73D65">
      <w:pPr>
        <w:pStyle w:val="ListParagraph"/>
        <w:numPr>
          <w:ilvl w:val="0"/>
          <w:numId w:val="1"/>
        </w:numPr>
        <w:tabs>
          <w:tab w:val="left" w:pos="-720"/>
          <w:tab w:val="left" w:pos="0"/>
        </w:tabs>
        <w:suppressAutoHyphens/>
        <w:rPr>
          <w:szCs w:val="24"/>
        </w:rPr>
      </w:pPr>
      <w:r w:rsidRPr="00A82CCF">
        <w:rPr>
          <w:szCs w:val="24"/>
          <w:u w:val="single"/>
        </w:rPr>
        <w:t>Describe any assurance of confidentiality provided to respondents and the basis for the assurance in statute, regulations, or agency policy</w:t>
      </w:r>
      <w:r w:rsidRPr="00A82CCF">
        <w:rPr>
          <w:szCs w:val="24"/>
        </w:rPr>
        <w:t>.</w:t>
      </w:r>
    </w:p>
    <w:p w:rsidR="00A73D65" w:rsidRPr="002452B7" w:rsidRDefault="00A73D65" w:rsidP="00A73D65">
      <w:pPr>
        <w:tabs>
          <w:tab w:val="left" w:pos="-720"/>
          <w:tab w:val="left" w:pos="0"/>
        </w:tabs>
        <w:suppressAutoHyphens/>
        <w:rPr>
          <w:rFonts w:ascii="Times New Roman" w:hAnsi="Times New Roman"/>
          <w:szCs w:val="24"/>
        </w:rPr>
      </w:pPr>
    </w:p>
    <w:p w:rsidR="00A73D65" w:rsidRPr="002452B7" w:rsidRDefault="00A82CCF" w:rsidP="00A73D65">
      <w:pPr>
        <w:tabs>
          <w:tab w:val="left" w:pos="-720"/>
          <w:tab w:val="left" w:pos="0"/>
        </w:tabs>
        <w:suppressAutoHyphens/>
        <w:rPr>
          <w:rFonts w:ascii="Times New Roman" w:hAnsi="Times New Roman"/>
          <w:szCs w:val="24"/>
        </w:rPr>
      </w:pPr>
      <w:r w:rsidRPr="00A82CCF">
        <w:rPr>
          <w:rFonts w:ascii="Times New Roman" w:hAnsi="Times New Roman"/>
          <w:szCs w:val="24"/>
        </w:rPr>
        <w:tab/>
        <w:t>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w:t>
      </w:r>
    </w:p>
    <w:p w:rsidR="00A73D65" w:rsidRPr="002452B7" w:rsidRDefault="00A82CCF" w:rsidP="00A73D65">
      <w:pPr>
        <w:tabs>
          <w:tab w:val="left" w:pos="-720"/>
        </w:tabs>
        <w:suppressAutoHyphens/>
        <w:rPr>
          <w:rFonts w:ascii="Times New Roman" w:hAnsi="Times New Roman"/>
          <w:szCs w:val="24"/>
        </w:rPr>
      </w:pPr>
      <w:r w:rsidRPr="00A82CCF">
        <w:rPr>
          <w:rFonts w:ascii="Times New Roman" w:hAnsi="Times New Roman"/>
          <w:szCs w:val="24"/>
        </w:rPr>
        <w:tab/>
        <w:t xml:space="preserve">  </w:t>
      </w:r>
    </w:p>
    <w:p w:rsidR="00A73D65" w:rsidRPr="002452B7" w:rsidRDefault="00A82CCF" w:rsidP="00A73D65">
      <w:pPr>
        <w:pStyle w:val="ListParagraph"/>
        <w:numPr>
          <w:ilvl w:val="0"/>
          <w:numId w:val="1"/>
        </w:numPr>
        <w:tabs>
          <w:tab w:val="left" w:pos="-720"/>
        </w:tabs>
        <w:suppressAutoHyphens/>
        <w:rPr>
          <w:szCs w:val="24"/>
        </w:rPr>
      </w:pPr>
      <w:r w:rsidRPr="00A82CCF">
        <w:rPr>
          <w:szCs w:val="24"/>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A82CCF">
        <w:rPr>
          <w:szCs w:val="24"/>
        </w:rPr>
        <w:t>.</w:t>
      </w:r>
    </w:p>
    <w:p w:rsidR="00A73D65" w:rsidRPr="002452B7" w:rsidRDefault="00A73D65" w:rsidP="00A73D65">
      <w:pPr>
        <w:tabs>
          <w:tab w:val="left" w:pos="-720"/>
        </w:tabs>
        <w:suppressAutoHyphens/>
        <w:rPr>
          <w:rFonts w:ascii="Times New Roman" w:hAnsi="Times New Roman"/>
          <w:szCs w:val="24"/>
        </w:rPr>
      </w:pPr>
    </w:p>
    <w:p w:rsidR="00A73D65" w:rsidRPr="002452B7" w:rsidRDefault="00A82CCF" w:rsidP="00A73D65">
      <w:pPr>
        <w:tabs>
          <w:tab w:val="left" w:pos="-720"/>
        </w:tabs>
        <w:suppressAutoHyphens/>
        <w:rPr>
          <w:rFonts w:ascii="Times New Roman" w:hAnsi="Times New Roman"/>
          <w:szCs w:val="24"/>
        </w:rPr>
      </w:pPr>
      <w:r w:rsidRPr="00A82CCF">
        <w:rPr>
          <w:rFonts w:ascii="Times New Roman" w:hAnsi="Times New Roman"/>
          <w:szCs w:val="24"/>
        </w:rPr>
        <w:tab/>
        <w:t>This question does not apply.</w:t>
      </w:r>
    </w:p>
    <w:p w:rsidR="00A73D65" w:rsidRPr="002452B7" w:rsidRDefault="00A73D65" w:rsidP="00A73D65">
      <w:pPr>
        <w:tabs>
          <w:tab w:val="left" w:pos="-720"/>
        </w:tabs>
        <w:suppressAutoHyphens/>
        <w:rPr>
          <w:rFonts w:ascii="Times New Roman" w:hAnsi="Times New Roman"/>
          <w:szCs w:val="24"/>
        </w:rPr>
      </w:pPr>
    </w:p>
    <w:p w:rsidR="00A73D65" w:rsidRPr="002452B7" w:rsidRDefault="00A82CCF" w:rsidP="00A73D65">
      <w:pPr>
        <w:pStyle w:val="ListParagraph"/>
        <w:numPr>
          <w:ilvl w:val="0"/>
          <w:numId w:val="1"/>
        </w:numPr>
        <w:tabs>
          <w:tab w:val="left" w:pos="-720"/>
          <w:tab w:val="left" w:pos="0"/>
        </w:tabs>
        <w:suppressAutoHyphens/>
        <w:rPr>
          <w:szCs w:val="24"/>
        </w:rPr>
      </w:pPr>
      <w:r w:rsidRPr="00A82CCF">
        <w:rPr>
          <w:szCs w:val="24"/>
          <w:u w:val="single"/>
        </w:rPr>
        <w:t>Provide estimates of the hour burden of the collection of information.  The Statement should</w:t>
      </w:r>
      <w:r w:rsidRPr="00A82CCF">
        <w:rPr>
          <w:szCs w:val="24"/>
        </w:rPr>
        <w:t>:</w:t>
      </w:r>
    </w:p>
    <w:p w:rsidR="00A73D65" w:rsidRPr="002452B7" w:rsidRDefault="00A73D65" w:rsidP="00A73D65">
      <w:pPr>
        <w:tabs>
          <w:tab w:val="left" w:pos="-720"/>
        </w:tabs>
        <w:suppressAutoHyphens/>
        <w:rPr>
          <w:rFonts w:ascii="Times New Roman" w:hAnsi="Times New Roman"/>
          <w:szCs w:val="24"/>
        </w:rPr>
      </w:pPr>
    </w:p>
    <w:p w:rsidR="00A73D65" w:rsidRPr="002452B7" w:rsidRDefault="00A82CCF" w:rsidP="00A73D65">
      <w:pPr>
        <w:numPr>
          <w:ilvl w:val="1"/>
          <w:numId w:val="2"/>
        </w:numPr>
        <w:tabs>
          <w:tab w:val="left" w:pos="-720"/>
          <w:tab w:val="left" w:pos="0"/>
          <w:tab w:val="left" w:pos="720"/>
        </w:tabs>
        <w:suppressAutoHyphens/>
        <w:rPr>
          <w:rFonts w:ascii="Times New Roman" w:hAnsi="Times New Roman"/>
          <w:szCs w:val="24"/>
          <w:u w:val="single"/>
        </w:rPr>
      </w:pPr>
      <w:r w:rsidRPr="00A82CCF">
        <w:rPr>
          <w:rFonts w:ascii="Times New Roman" w:hAnsi="Times New Roman"/>
          <w:szCs w:val="24"/>
          <w:u w:val="single"/>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73D65" w:rsidRPr="002452B7" w:rsidRDefault="00A73D65" w:rsidP="00A73D65">
      <w:pPr>
        <w:tabs>
          <w:tab w:val="left" w:pos="-720"/>
          <w:tab w:val="left" w:pos="0"/>
          <w:tab w:val="left" w:pos="720"/>
        </w:tabs>
        <w:suppressAutoHyphens/>
        <w:ind w:left="720"/>
        <w:rPr>
          <w:rFonts w:ascii="Times New Roman" w:hAnsi="Times New Roman"/>
          <w:szCs w:val="24"/>
          <w:u w:val="single"/>
        </w:rPr>
      </w:pPr>
    </w:p>
    <w:p w:rsidR="00A73D65" w:rsidRPr="002452B7" w:rsidRDefault="00A82CCF" w:rsidP="00A73D65">
      <w:pPr>
        <w:numPr>
          <w:ilvl w:val="1"/>
          <w:numId w:val="2"/>
        </w:numPr>
        <w:tabs>
          <w:tab w:val="left" w:pos="-720"/>
          <w:tab w:val="left" w:pos="0"/>
          <w:tab w:val="left" w:pos="720"/>
        </w:tabs>
        <w:suppressAutoHyphens/>
        <w:rPr>
          <w:rFonts w:ascii="Times New Roman" w:hAnsi="Times New Roman"/>
          <w:szCs w:val="24"/>
          <w:u w:val="single"/>
        </w:rPr>
      </w:pPr>
      <w:r w:rsidRPr="00A82CCF">
        <w:rPr>
          <w:rFonts w:ascii="Times New Roman" w:hAnsi="Times New Roman"/>
          <w:szCs w:val="24"/>
          <w:u w:val="single"/>
        </w:rPr>
        <w:lastRenderedPageBreak/>
        <w:t>If the request for approval covers more than one form, provide separate hour burden estimates for each form and aggregate the hour burdens in Item 13 of OMB Form 83-I.</w:t>
      </w:r>
    </w:p>
    <w:p w:rsidR="00A73D65" w:rsidRPr="002452B7" w:rsidRDefault="00A73D65" w:rsidP="00A73D65">
      <w:pPr>
        <w:tabs>
          <w:tab w:val="left" w:pos="-720"/>
        </w:tabs>
        <w:suppressAutoHyphens/>
        <w:rPr>
          <w:rFonts w:ascii="Times New Roman" w:hAnsi="Times New Roman"/>
          <w:szCs w:val="24"/>
          <w:u w:val="single"/>
        </w:rPr>
      </w:pPr>
    </w:p>
    <w:p w:rsidR="00A73D65" w:rsidRPr="002452B7" w:rsidRDefault="00A82CCF" w:rsidP="00A73D65">
      <w:pPr>
        <w:numPr>
          <w:ilvl w:val="1"/>
          <w:numId w:val="2"/>
        </w:numPr>
        <w:tabs>
          <w:tab w:val="left" w:pos="-720"/>
          <w:tab w:val="left" w:pos="0"/>
          <w:tab w:val="left" w:pos="720"/>
        </w:tabs>
        <w:suppressAutoHyphens/>
        <w:rPr>
          <w:rFonts w:ascii="Times New Roman" w:hAnsi="Times New Roman"/>
          <w:szCs w:val="24"/>
          <w:u w:val="single"/>
        </w:rPr>
      </w:pPr>
      <w:r w:rsidRPr="00A82CCF">
        <w:rPr>
          <w:rFonts w:ascii="Times New Roman" w:hAnsi="Times New Roman"/>
          <w:szCs w:val="24"/>
          <w:u w:val="single"/>
        </w:rPr>
        <w:t>Provide estimates of annualized cost to respondents for the hours burdens for collections of information, identifying and using appropriate wage rate categories.  The cost of contracting or paying outside parties for information collection activities should not be included here.  Instead, this cost should be included in Item 13.</w:t>
      </w:r>
    </w:p>
    <w:p w:rsidR="00A73D65" w:rsidRPr="002452B7" w:rsidRDefault="00A73D65" w:rsidP="00A73D65">
      <w:pPr>
        <w:tabs>
          <w:tab w:val="left" w:pos="-720"/>
        </w:tabs>
        <w:suppressAutoHyphens/>
        <w:rPr>
          <w:rFonts w:ascii="Times New Roman" w:hAnsi="Times New Roman"/>
          <w:szCs w:val="24"/>
        </w:rPr>
      </w:pPr>
    </w:p>
    <w:p w:rsidR="00A73D65" w:rsidRPr="002452B7" w:rsidRDefault="00A82CCF" w:rsidP="00A73D65">
      <w:pPr>
        <w:rPr>
          <w:rFonts w:ascii="Times New Roman" w:hAnsi="Times New Roman"/>
          <w:szCs w:val="24"/>
        </w:rPr>
      </w:pPr>
      <w:r w:rsidRPr="00A82CCF">
        <w:rPr>
          <w:rFonts w:ascii="Times New Roman" w:hAnsi="Times New Roman"/>
          <w:szCs w:val="24"/>
        </w:rPr>
        <w:tab/>
        <w:t xml:space="preserve">The part 20 Reporting Rules result in the collection of information on “paired swaps and </w:t>
      </w:r>
      <w:proofErr w:type="spellStart"/>
      <w:r w:rsidRPr="00A82CCF">
        <w:rPr>
          <w:rFonts w:ascii="Times New Roman" w:hAnsi="Times New Roman"/>
          <w:szCs w:val="24"/>
        </w:rPr>
        <w:t>swaptions</w:t>
      </w:r>
      <w:proofErr w:type="spellEnd"/>
      <w:r w:rsidRPr="00A82CCF">
        <w:rPr>
          <w:rFonts w:ascii="Times New Roman" w:hAnsi="Times New Roman"/>
          <w:szCs w:val="24"/>
        </w:rPr>
        <w:t>” positions as defined in regulation 20.1.  Specifically, part 20 provides for three new kinds of reports:</w:t>
      </w:r>
    </w:p>
    <w:p w:rsidR="00A73D65" w:rsidRPr="002452B7" w:rsidRDefault="00A73D65" w:rsidP="00A73D65">
      <w:pPr>
        <w:rPr>
          <w:rFonts w:ascii="Times New Roman" w:hAnsi="Times New Roman"/>
          <w:szCs w:val="24"/>
        </w:rPr>
      </w:pPr>
    </w:p>
    <w:p w:rsidR="00A73D65" w:rsidRPr="002452B7" w:rsidRDefault="00A82CCF" w:rsidP="00A73D65">
      <w:pPr>
        <w:pStyle w:val="ListParagraph"/>
        <w:numPr>
          <w:ilvl w:val="0"/>
          <w:numId w:val="5"/>
        </w:numPr>
        <w:ind w:left="1800" w:right="1440"/>
        <w:jc w:val="both"/>
        <w:rPr>
          <w:szCs w:val="24"/>
        </w:rPr>
      </w:pPr>
      <w:r w:rsidRPr="00A82CCF">
        <w:rPr>
          <w:szCs w:val="24"/>
        </w:rPr>
        <w:t xml:space="preserve">Under regulation 20.3, swap “clearing organizations” would provide daily reports of relevant position and clearing data.  </w:t>
      </w:r>
    </w:p>
    <w:p w:rsidR="00A73D65" w:rsidRPr="002452B7" w:rsidRDefault="00A73D65" w:rsidP="00A73D65">
      <w:pPr>
        <w:pStyle w:val="ListParagraph"/>
        <w:ind w:left="1800" w:right="1440"/>
        <w:jc w:val="both"/>
        <w:rPr>
          <w:szCs w:val="24"/>
        </w:rPr>
      </w:pPr>
    </w:p>
    <w:p w:rsidR="00A73D65" w:rsidRPr="002452B7" w:rsidRDefault="00A82CCF" w:rsidP="00A73D65">
      <w:pPr>
        <w:pStyle w:val="ListParagraph"/>
        <w:numPr>
          <w:ilvl w:val="0"/>
          <w:numId w:val="5"/>
        </w:numPr>
        <w:ind w:left="1800" w:right="1440"/>
        <w:jc w:val="both"/>
        <w:rPr>
          <w:szCs w:val="24"/>
        </w:rPr>
      </w:pPr>
      <w:r w:rsidRPr="00A82CCF">
        <w:rPr>
          <w:szCs w:val="24"/>
        </w:rPr>
        <w:t xml:space="preserve">Under regulation 20.4, “reporting entities” would produce position reports on a daily basis on their own and individual counterparty accounts.  Within this class of “reporting entities,” there are two categories of “reporting entities:” (a) “clearing members” and (b) “swap dealers” that are not clearing members.  The former category, “clearing members,” would include many firms that are currently registered as FCMs with the Commission.  The Commission estimates that a total of 200 clearing member/swap dealer, clearing member only swap dealer only firms transact in physical commodity swaps and thereby may be reporting entities under </w:t>
      </w:r>
      <w:proofErr w:type="spellStart"/>
      <w:r w:rsidRPr="00A82CCF">
        <w:rPr>
          <w:szCs w:val="24"/>
        </w:rPr>
        <w:t>part</w:t>
      </w:r>
      <w:proofErr w:type="spellEnd"/>
      <w:r w:rsidRPr="00A82CCF">
        <w:rPr>
          <w:szCs w:val="24"/>
        </w:rPr>
        <w:t xml:space="preserve"> 20.</w:t>
      </w:r>
    </w:p>
    <w:p w:rsidR="00A73D65" w:rsidRPr="002452B7" w:rsidRDefault="00A73D65" w:rsidP="00A73D65">
      <w:pPr>
        <w:pStyle w:val="ListParagraph"/>
        <w:ind w:left="1800" w:right="1440"/>
        <w:jc w:val="both"/>
        <w:rPr>
          <w:szCs w:val="24"/>
        </w:rPr>
      </w:pPr>
    </w:p>
    <w:p w:rsidR="00A73D65" w:rsidRPr="002452B7" w:rsidRDefault="00A82CCF" w:rsidP="00A73D65">
      <w:pPr>
        <w:pStyle w:val="ListParagraph"/>
        <w:numPr>
          <w:ilvl w:val="0"/>
          <w:numId w:val="5"/>
        </w:numPr>
        <w:ind w:left="1800" w:right="1440"/>
        <w:jc w:val="both"/>
        <w:rPr>
          <w:szCs w:val="24"/>
        </w:rPr>
      </w:pPr>
      <w:r w:rsidRPr="00A82CCF">
        <w:rPr>
          <w:szCs w:val="24"/>
        </w:rPr>
        <w:t xml:space="preserve">Finally, under regulation 20.5, all “reporting entities” would submit identifying information to the Commission on new reportable accounts through a 102S filing on an as appropriate basis, </w:t>
      </w:r>
      <w:r w:rsidRPr="00A82CCF">
        <w:rPr>
          <w:szCs w:val="24"/>
          <w:u w:val="single"/>
        </w:rPr>
        <w:t>i</w:t>
      </w:r>
      <w:r w:rsidRPr="00A82CCF">
        <w:rPr>
          <w:szCs w:val="24"/>
        </w:rPr>
        <w:t>.</w:t>
      </w:r>
      <w:r w:rsidRPr="00A82CCF">
        <w:rPr>
          <w:szCs w:val="24"/>
          <w:u w:val="single"/>
        </w:rPr>
        <w:t>e</w:t>
      </w:r>
      <w:r w:rsidRPr="00A82CCF">
        <w:rPr>
          <w:szCs w:val="24"/>
        </w:rPr>
        <w:t xml:space="preserve">. whenever the reportable entity has a new reportable account.  </w:t>
      </w:r>
    </w:p>
    <w:p w:rsidR="00A73D65" w:rsidRPr="002452B7" w:rsidRDefault="00A73D65" w:rsidP="00A73D65">
      <w:pPr>
        <w:pStyle w:val="ListParagraph"/>
        <w:ind w:left="1800" w:right="1440"/>
        <w:jc w:val="both"/>
        <w:rPr>
          <w:szCs w:val="24"/>
        </w:rPr>
      </w:pPr>
    </w:p>
    <w:p w:rsidR="00A73D65" w:rsidRPr="002452B7" w:rsidRDefault="00A82CCF" w:rsidP="00A73D65">
      <w:pPr>
        <w:ind w:firstLine="720"/>
        <w:rPr>
          <w:rFonts w:ascii="Times New Roman" w:hAnsi="Times New Roman"/>
          <w:szCs w:val="24"/>
        </w:rPr>
      </w:pPr>
      <w:r w:rsidRPr="00A82CCF">
        <w:rPr>
          <w:rFonts w:ascii="Times New Roman" w:hAnsi="Times New Roman"/>
          <w:szCs w:val="24"/>
        </w:rPr>
        <w:t xml:space="preserve">In addition to creating these reporting requirements, regulation 20.6 would impose recordkeeping requirements for (1) clearing organizations, (2) reporting entities, and (3) persons with large positions in paired swaps or </w:t>
      </w:r>
      <w:proofErr w:type="spellStart"/>
      <w:r w:rsidRPr="00A82CCF">
        <w:rPr>
          <w:rFonts w:ascii="Times New Roman" w:hAnsi="Times New Roman"/>
          <w:szCs w:val="24"/>
        </w:rPr>
        <w:t>swaptions</w:t>
      </w:r>
      <w:proofErr w:type="spellEnd"/>
      <w:r w:rsidRPr="00A82CCF">
        <w:rPr>
          <w:rFonts w:ascii="Times New Roman" w:hAnsi="Times New Roman"/>
          <w:szCs w:val="24"/>
        </w:rPr>
        <w:t xml:space="preserve">.  Regulation 20.6(a) would require clearing organizations to maintain all records of transactions in paired swaps or </w:t>
      </w:r>
      <w:proofErr w:type="spellStart"/>
      <w:r w:rsidRPr="00A82CCF">
        <w:rPr>
          <w:rFonts w:ascii="Times New Roman" w:hAnsi="Times New Roman"/>
          <w:szCs w:val="24"/>
        </w:rPr>
        <w:t>swaptions</w:t>
      </w:r>
      <w:proofErr w:type="spellEnd"/>
      <w:r w:rsidRPr="00A82CCF">
        <w:rPr>
          <w:rFonts w:ascii="Times New Roman" w:hAnsi="Times New Roman"/>
          <w:szCs w:val="24"/>
        </w:rPr>
        <w:t xml:space="preserve"> on clearing organizations, as well as methods used to convert swaps and </w:t>
      </w:r>
      <w:proofErr w:type="spellStart"/>
      <w:r w:rsidRPr="00A82CCF">
        <w:rPr>
          <w:rFonts w:ascii="Times New Roman" w:hAnsi="Times New Roman"/>
          <w:szCs w:val="24"/>
        </w:rPr>
        <w:t>swaptions</w:t>
      </w:r>
      <w:proofErr w:type="spellEnd"/>
      <w:r w:rsidRPr="00A82CCF">
        <w:rPr>
          <w:rFonts w:ascii="Times New Roman" w:hAnsi="Times New Roman"/>
          <w:szCs w:val="24"/>
        </w:rPr>
        <w:t xml:space="preserve"> into futures equivalents.  Regulation 20.6(b) would require reporting entities to maintain all records of transactions in paired swaps or </w:t>
      </w:r>
      <w:proofErr w:type="spellStart"/>
      <w:r w:rsidRPr="00A82CCF">
        <w:rPr>
          <w:rFonts w:ascii="Times New Roman" w:hAnsi="Times New Roman"/>
          <w:szCs w:val="24"/>
        </w:rPr>
        <w:t>swaptions</w:t>
      </w:r>
      <w:proofErr w:type="spellEnd"/>
      <w:r w:rsidRPr="00A82CCF">
        <w:rPr>
          <w:rFonts w:ascii="Times New Roman" w:hAnsi="Times New Roman"/>
          <w:szCs w:val="24"/>
        </w:rPr>
        <w:t xml:space="preserve"> on clearing organizations, as well as methods used to convert swaps and </w:t>
      </w:r>
      <w:proofErr w:type="spellStart"/>
      <w:r w:rsidRPr="00A82CCF">
        <w:rPr>
          <w:rFonts w:ascii="Times New Roman" w:hAnsi="Times New Roman"/>
          <w:szCs w:val="24"/>
        </w:rPr>
        <w:t>swaptions</w:t>
      </w:r>
      <w:proofErr w:type="spellEnd"/>
      <w:r w:rsidRPr="00A82CCF">
        <w:rPr>
          <w:rFonts w:ascii="Times New Roman" w:hAnsi="Times New Roman"/>
          <w:szCs w:val="24"/>
        </w:rPr>
        <w:t xml:space="preserve"> into futures equivalents.  Large paired swap traders would also have to retain records in paired swaps as well as some related cash market transactional data.  These provisions extend those recordkeeping requirements currently applicable to those traders holding reportable </w:t>
      </w:r>
      <w:r w:rsidRPr="00A82CCF">
        <w:rPr>
          <w:rFonts w:ascii="Times New Roman" w:hAnsi="Times New Roman"/>
          <w:szCs w:val="24"/>
        </w:rPr>
        <w:lastRenderedPageBreak/>
        <w:t>positions in futures contracts, as currently found in regulation 18.05, to those traders holding positions in paired swaps.</w:t>
      </w:r>
    </w:p>
    <w:p w:rsidR="00A73D65" w:rsidRPr="002452B7" w:rsidRDefault="00A73D65" w:rsidP="00A73D65">
      <w:pPr>
        <w:ind w:firstLine="720"/>
        <w:rPr>
          <w:rFonts w:ascii="Times New Roman" w:hAnsi="Times New Roman"/>
          <w:szCs w:val="24"/>
        </w:rPr>
      </w:pPr>
    </w:p>
    <w:p w:rsidR="00A73D65" w:rsidRPr="002452B7" w:rsidRDefault="00A82CCF" w:rsidP="00A73D65">
      <w:pPr>
        <w:ind w:firstLine="720"/>
        <w:rPr>
          <w:rFonts w:ascii="Times New Roman" w:hAnsi="Times New Roman"/>
          <w:szCs w:val="24"/>
        </w:rPr>
      </w:pPr>
      <w:r w:rsidRPr="00A82CCF">
        <w:rPr>
          <w:rFonts w:ascii="Times New Roman" w:hAnsi="Times New Roman"/>
          <w:szCs w:val="24"/>
        </w:rPr>
        <w:t>The Commission estimates that implementing part 20 would create a total annual reporting and recordkeeping hour burden of 79,503 hours across 705 firms: 5 clearing organizations; 100 clearing member reportable entities (80 of which would be swap dealers and 20 would be non-swap dealer clearing members); 100 swap dealer non-clearing member reportable entities; and 500 firms that would hold reportable accounts in swaps.  Based on a weighted average wage rate of $74.36,</w:t>
      </w:r>
      <w:r>
        <w:rPr>
          <w:rStyle w:val="FootnoteReference"/>
          <w:rFonts w:ascii="Times New Roman" w:hAnsi="Times New Roman"/>
          <w:szCs w:val="24"/>
        </w:rPr>
        <w:footnoteReference w:id="8"/>
      </w:r>
      <w:r w:rsidRPr="00A82CCF">
        <w:rPr>
          <w:rFonts w:ascii="Times New Roman" w:hAnsi="Times New Roman"/>
          <w:szCs w:val="24"/>
        </w:rPr>
        <w:t xml:space="preserve"> this would amount to an annualized labor cost of $5.9 million.  </w:t>
      </w:r>
    </w:p>
    <w:p w:rsidR="00A73D65" w:rsidRPr="002452B7" w:rsidRDefault="00A73D65" w:rsidP="00A73D65">
      <w:pPr>
        <w:ind w:firstLine="720"/>
        <w:rPr>
          <w:rFonts w:ascii="Times New Roman" w:hAnsi="Times New Roman"/>
          <w:szCs w:val="24"/>
        </w:rPr>
      </w:pPr>
    </w:p>
    <w:p w:rsidR="00A73D65" w:rsidRPr="002452B7" w:rsidRDefault="00A82CCF" w:rsidP="00A73D65">
      <w:pPr>
        <w:rPr>
          <w:rFonts w:ascii="Times New Roman" w:hAnsi="Times New Roman"/>
          <w:szCs w:val="24"/>
          <w:u w:val="single"/>
        </w:rPr>
      </w:pPr>
      <w:r w:rsidRPr="00A82CCF">
        <w:rPr>
          <w:rFonts w:ascii="Times New Roman" w:hAnsi="Times New Roman"/>
          <w:szCs w:val="24"/>
        </w:rPr>
        <w:tab/>
      </w:r>
      <w:r w:rsidRPr="00A82CCF">
        <w:rPr>
          <w:rFonts w:ascii="Times New Roman" w:hAnsi="Times New Roman"/>
          <w:szCs w:val="24"/>
          <w:u w:val="single"/>
        </w:rPr>
        <w:t>Reporting burdens:</w:t>
      </w:r>
    </w:p>
    <w:p w:rsidR="00A73D65" w:rsidRPr="002452B7" w:rsidRDefault="00A82CCF" w:rsidP="00A73D65">
      <w:pPr>
        <w:pStyle w:val="ListParagraph"/>
        <w:tabs>
          <w:tab w:val="left" w:pos="1794"/>
        </w:tabs>
        <w:rPr>
          <w:szCs w:val="24"/>
        </w:rPr>
      </w:pPr>
      <w:r w:rsidRPr="00A82CCF">
        <w:rPr>
          <w:szCs w:val="24"/>
        </w:rPr>
        <w:tab/>
      </w:r>
    </w:p>
    <w:p w:rsidR="00A73D65" w:rsidRPr="002452B7" w:rsidRDefault="00A82CCF" w:rsidP="00A73D65">
      <w:pPr>
        <w:pStyle w:val="ListParagraph"/>
        <w:numPr>
          <w:ilvl w:val="0"/>
          <w:numId w:val="4"/>
        </w:numPr>
        <w:rPr>
          <w:szCs w:val="24"/>
        </w:rPr>
      </w:pPr>
      <w:r w:rsidRPr="00A82CCF">
        <w:rPr>
          <w:szCs w:val="24"/>
        </w:rPr>
        <w:t xml:space="preserve">Regulation 20.3 clearing organization reports would account for 938 of these annual reporting and recordkeeping hours.  These hours would be spread across 5 respondents.  </w:t>
      </w:r>
    </w:p>
    <w:p w:rsidR="00A73D65" w:rsidRPr="002452B7" w:rsidRDefault="00A73D65" w:rsidP="00A73D65">
      <w:pPr>
        <w:pStyle w:val="ListParagraph"/>
        <w:rPr>
          <w:szCs w:val="24"/>
        </w:rPr>
      </w:pPr>
    </w:p>
    <w:p w:rsidR="00A73D65" w:rsidRPr="002452B7" w:rsidRDefault="00A82CCF" w:rsidP="00A73D65">
      <w:pPr>
        <w:pStyle w:val="ListParagraph"/>
        <w:numPr>
          <w:ilvl w:val="0"/>
          <w:numId w:val="4"/>
        </w:numPr>
        <w:rPr>
          <w:szCs w:val="24"/>
        </w:rPr>
      </w:pPr>
      <w:r w:rsidRPr="00A82CCF">
        <w:rPr>
          <w:szCs w:val="24"/>
        </w:rPr>
        <w:t>Regulation 20.4 reporting entity reports would have two separate burden estimates based on the kind of reporting entity providing the report:</w:t>
      </w:r>
    </w:p>
    <w:p w:rsidR="00A73D65" w:rsidRPr="002452B7" w:rsidRDefault="00A73D65" w:rsidP="00A73D65">
      <w:pPr>
        <w:pStyle w:val="ListParagraph"/>
        <w:ind w:left="0"/>
        <w:rPr>
          <w:szCs w:val="24"/>
        </w:rPr>
      </w:pPr>
    </w:p>
    <w:p w:rsidR="00A73D65" w:rsidRPr="002452B7" w:rsidRDefault="00A82CCF" w:rsidP="00A73D65">
      <w:pPr>
        <w:pStyle w:val="ListParagraph"/>
        <w:numPr>
          <w:ilvl w:val="1"/>
          <w:numId w:val="4"/>
        </w:numPr>
        <w:rPr>
          <w:szCs w:val="24"/>
        </w:rPr>
      </w:pPr>
      <w:r w:rsidRPr="00A82CCF">
        <w:rPr>
          <w:szCs w:val="24"/>
        </w:rPr>
        <w:t xml:space="preserve">Clearing member (80 clearing member/swap dealers plus 20 clearing member/non-swap dealers) reporting entity reports would create an annual reporting and recordkeeping burden of 25,000 hours spread across 100 respondents.  </w:t>
      </w:r>
    </w:p>
    <w:p w:rsidR="00A73D65" w:rsidRPr="002452B7" w:rsidRDefault="00A73D65" w:rsidP="00A73D65">
      <w:pPr>
        <w:pStyle w:val="ListParagraph"/>
        <w:ind w:left="1440"/>
        <w:rPr>
          <w:szCs w:val="24"/>
        </w:rPr>
      </w:pPr>
    </w:p>
    <w:p w:rsidR="00A73D65" w:rsidRPr="002452B7" w:rsidRDefault="00A82CCF" w:rsidP="00A73D65">
      <w:pPr>
        <w:pStyle w:val="ListParagraph"/>
        <w:numPr>
          <w:ilvl w:val="1"/>
          <w:numId w:val="4"/>
        </w:numPr>
        <w:rPr>
          <w:szCs w:val="24"/>
        </w:rPr>
      </w:pPr>
      <w:r w:rsidRPr="00A82CCF">
        <w:rPr>
          <w:szCs w:val="24"/>
        </w:rPr>
        <w:t xml:space="preserve">Swap dealer non-clearing member reporting entity reports would create an annual reporting and recordkeeping burden of 37,500 hours spread across 100 respondents.  </w:t>
      </w:r>
    </w:p>
    <w:p w:rsidR="00A73D65" w:rsidRPr="002452B7" w:rsidRDefault="00A73D65" w:rsidP="00A73D65">
      <w:pPr>
        <w:pStyle w:val="ListParagraph"/>
        <w:ind w:left="1440"/>
        <w:rPr>
          <w:szCs w:val="24"/>
        </w:rPr>
      </w:pPr>
    </w:p>
    <w:p w:rsidR="00A73D65" w:rsidRPr="002452B7" w:rsidRDefault="00A82CCF" w:rsidP="00A73D65">
      <w:pPr>
        <w:pStyle w:val="ListParagraph"/>
        <w:numPr>
          <w:ilvl w:val="0"/>
          <w:numId w:val="4"/>
        </w:numPr>
        <w:rPr>
          <w:szCs w:val="24"/>
        </w:rPr>
      </w:pPr>
      <w:r w:rsidRPr="00A82CCF">
        <w:rPr>
          <w:szCs w:val="24"/>
        </w:rPr>
        <w:t xml:space="preserve">Regulation 20.5 reporting entity 102S submissions would create an annual reporting and recordkeeping burden of 1,800 hours spread across 200 firms.  </w:t>
      </w:r>
    </w:p>
    <w:p w:rsidR="00A73D65" w:rsidRPr="002452B7" w:rsidRDefault="00A73D65" w:rsidP="00A73D65">
      <w:pPr>
        <w:pStyle w:val="ListParagraph"/>
        <w:rPr>
          <w:szCs w:val="24"/>
        </w:rPr>
      </w:pPr>
    </w:p>
    <w:p w:rsidR="00A73D65" w:rsidRPr="002452B7" w:rsidRDefault="00A82CCF" w:rsidP="00A73D65">
      <w:pPr>
        <w:pStyle w:val="ListParagraph"/>
        <w:numPr>
          <w:ilvl w:val="0"/>
          <w:numId w:val="4"/>
        </w:numPr>
        <w:rPr>
          <w:szCs w:val="24"/>
        </w:rPr>
      </w:pPr>
      <w:r w:rsidRPr="00A82CCF">
        <w:rPr>
          <w:szCs w:val="24"/>
        </w:rPr>
        <w:t xml:space="preserve">40S submissions by persons with reportable positions under regulation 20.5(b) in paired swaps would create an annual reporting and record keeping burden of 165 hours and would affect 500 firms.  </w:t>
      </w:r>
    </w:p>
    <w:p w:rsidR="00A73D65" w:rsidRPr="002452B7" w:rsidRDefault="00A73D65" w:rsidP="00A73D65">
      <w:pPr>
        <w:pStyle w:val="ListParagraph"/>
        <w:rPr>
          <w:szCs w:val="24"/>
        </w:rPr>
      </w:pPr>
    </w:p>
    <w:p w:rsidR="00A73D65" w:rsidRPr="002452B7" w:rsidRDefault="00A82CCF" w:rsidP="00A73D65">
      <w:pPr>
        <w:ind w:left="360"/>
        <w:rPr>
          <w:rFonts w:ascii="Times New Roman" w:hAnsi="Times New Roman"/>
          <w:szCs w:val="24"/>
          <w:u w:val="single"/>
        </w:rPr>
      </w:pPr>
      <w:r w:rsidRPr="00A82CCF">
        <w:rPr>
          <w:rFonts w:ascii="Times New Roman" w:hAnsi="Times New Roman"/>
          <w:szCs w:val="24"/>
        </w:rPr>
        <w:lastRenderedPageBreak/>
        <w:tab/>
      </w:r>
      <w:r w:rsidRPr="00A82CCF">
        <w:rPr>
          <w:rFonts w:ascii="Times New Roman" w:hAnsi="Times New Roman"/>
          <w:szCs w:val="24"/>
          <w:u w:val="single"/>
        </w:rPr>
        <w:t>Recordkeeping burdens:</w:t>
      </w:r>
    </w:p>
    <w:p w:rsidR="00A73D65" w:rsidRPr="002452B7" w:rsidRDefault="00A73D65" w:rsidP="00A73D65">
      <w:pPr>
        <w:rPr>
          <w:rFonts w:ascii="Times New Roman" w:hAnsi="Times New Roman"/>
          <w:szCs w:val="24"/>
          <w:u w:val="single"/>
        </w:rPr>
      </w:pPr>
    </w:p>
    <w:p w:rsidR="00A73D65" w:rsidRPr="002452B7" w:rsidRDefault="00A82CCF" w:rsidP="00A73D65">
      <w:pPr>
        <w:pStyle w:val="ListParagraph"/>
        <w:numPr>
          <w:ilvl w:val="0"/>
          <w:numId w:val="4"/>
        </w:numPr>
        <w:rPr>
          <w:szCs w:val="24"/>
        </w:rPr>
      </w:pPr>
      <w:r w:rsidRPr="00A82CCF">
        <w:rPr>
          <w:szCs w:val="24"/>
        </w:rPr>
        <w:t xml:space="preserve">Regulation 20.6(a) recordkeeping duties for clearing organizations would account for 100 of these annual reporting and recordkeeping hours.  These hours would be spread across 5 firms.  </w:t>
      </w:r>
    </w:p>
    <w:p w:rsidR="00A73D65" w:rsidRPr="002452B7" w:rsidRDefault="00A73D65" w:rsidP="00A73D65">
      <w:pPr>
        <w:pStyle w:val="ListParagraph"/>
        <w:rPr>
          <w:szCs w:val="24"/>
        </w:rPr>
      </w:pPr>
    </w:p>
    <w:p w:rsidR="00A73D65" w:rsidRPr="002452B7" w:rsidRDefault="00A82CCF" w:rsidP="00A73D65">
      <w:pPr>
        <w:pStyle w:val="ListParagraph"/>
        <w:numPr>
          <w:ilvl w:val="0"/>
          <w:numId w:val="4"/>
        </w:numPr>
        <w:rPr>
          <w:szCs w:val="24"/>
        </w:rPr>
      </w:pPr>
      <w:r w:rsidRPr="00A82CCF">
        <w:rPr>
          <w:szCs w:val="24"/>
        </w:rPr>
        <w:t>Regulation 20.6(b) reporting entity recordkeeping duties would have two separate burden estimates based on the kind of reporting entity providing the report:</w:t>
      </w:r>
    </w:p>
    <w:p w:rsidR="00A73D65" w:rsidRPr="002452B7" w:rsidRDefault="00A73D65" w:rsidP="00A73D65">
      <w:pPr>
        <w:pStyle w:val="ListParagraph"/>
        <w:rPr>
          <w:szCs w:val="24"/>
        </w:rPr>
      </w:pPr>
    </w:p>
    <w:p w:rsidR="00A73D65" w:rsidRPr="002452B7" w:rsidRDefault="00A82CCF" w:rsidP="00A73D65">
      <w:pPr>
        <w:pStyle w:val="ListParagraph"/>
        <w:numPr>
          <w:ilvl w:val="1"/>
          <w:numId w:val="6"/>
        </w:numPr>
        <w:rPr>
          <w:szCs w:val="24"/>
        </w:rPr>
      </w:pPr>
      <w:r w:rsidRPr="00A82CCF">
        <w:rPr>
          <w:szCs w:val="24"/>
        </w:rPr>
        <w:t xml:space="preserve">Clearing member (80 clearing member/swap dealers plus 20 clearing member/non-swap dealers) reporting entity recordkeeping would create an annual reporting and recordkeeping burden of 2,000 hours spread across 100 respondents.  </w:t>
      </w:r>
    </w:p>
    <w:p w:rsidR="00A73D65" w:rsidRPr="002452B7" w:rsidRDefault="00A73D65" w:rsidP="00A73D65">
      <w:pPr>
        <w:pStyle w:val="ListParagraph"/>
        <w:ind w:left="1440"/>
        <w:rPr>
          <w:szCs w:val="24"/>
        </w:rPr>
      </w:pPr>
    </w:p>
    <w:p w:rsidR="00A73D65" w:rsidRPr="002452B7" w:rsidRDefault="00A82CCF" w:rsidP="00A73D65">
      <w:pPr>
        <w:pStyle w:val="ListParagraph"/>
        <w:numPr>
          <w:ilvl w:val="1"/>
          <w:numId w:val="6"/>
        </w:numPr>
        <w:rPr>
          <w:szCs w:val="24"/>
        </w:rPr>
      </w:pPr>
      <w:r w:rsidRPr="00A82CCF">
        <w:rPr>
          <w:szCs w:val="24"/>
        </w:rPr>
        <w:t xml:space="preserve">Swap dealer non-clearing member reporting entity recordkeeping would create an annual reporting and recordkeeping burden of 2000 hours spread across 100 respondents.  </w:t>
      </w:r>
    </w:p>
    <w:p w:rsidR="00A73D65" w:rsidRPr="002452B7" w:rsidRDefault="00A73D65" w:rsidP="00A73D65">
      <w:pPr>
        <w:pStyle w:val="ListParagraph"/>
        <w:ind w:left="0"/>
        <w:rPr>
          <w:szCs w:val="24"/>
        </w:rPr>
      </w:pPr>
    </w:p>
    <w:p w:rsidR="00A73D65" w:rsidRPr="002452B7" w:rsidRDefault="00A82CCF" w:rsidP="00A73D65">
      <w:pPr>
        <w:pStyle w:val="ListParagraph"/>
        <w:numPr>
          <w:ilvl w:val="0"/>
          <w:numId w:val="4"/>
        </w:numPr>
        <w:rPr>
          <w:szCs w:val="24"/>
        </w:rPr>
      </w:pPr>
      <w:r w:rsidRPr="00A82CCF">
        <w:rPr>
          <w:szCs w:val="24"/>
        </w:rPr>
        <w:t xml:space="preserve">Regulation 20.6(c) recordkeeping duties large swaps traders (these firms were previously were not reportable) would create an annual reporting and recordkeeping burden of 10,000 hours spread across 500 firms.  </w:t>
      </w:r>
    </w:p>
    <w:p w:rsidR="00A73D65" w:rsidRPr="002452B7" w:rsidRDefault="00A73D65" w:rsidP="00A73D65">
      <w:pPr>
        <w:tabs>
          <w:tab w:val="left" w:pos="-720"/>
        </w:tabs>
        <w:suppressAutoHyphens/>
        <w:rPr>
          <w:rFonts w:ascii="Times New Roman" w:hAnsi="Times New Roman"/>
          <w:szCs w:val="24"/>
        </w:rPr>
      </w:pPr>
    </w:p>
    <w:p w:rsidR="00A73D65" w:rsidRPr="002452B7" w:rsidRDefault="00A82CCF" w:rsidP="00A73D65">
      <w:pPr>
        <w:tabs>
          <w:tab w:val="left" w:pos="-720"/>
        </w:tabs>
        <w:suppressAutoHyphens/>
        <w:rPr>
          <w:rFonts w:ascii="Times New Roman" w:hAnsi="Times New Roman"/>
          <w:szCs w:val="24"/>
        </w:rPr>
      </w:pPr>
      <w:r w:rsidRPr="00A82CCF">
        <w:rPr>
          <w:rFonts w:ascii="Times New Roman" w:hAnsi="Times New Roman"/>
          <w:szCs w:val="24"/>
        </w:rPr>
        <w:tab/>
        <w:t xml:space="preserve">The Commission estimates that the total annualized labor costs associated with complying with part 20 would be approximately $6.7 million. The wage rate used to determine this figure was $74.36 per hour.  The Commission’s estimates concerning the wage rates are based on salary information for the securities industry compiled by the Securities Industry and Financial Markets Association (“SIFMA”). The $74.36 per hour is derived from figures from a weighted average of salaries and bonuses across different professions from the SIFMA Report on Management &amp; Professional Earnings in the Securities Industry 2009, modified to account for an 1800-hour work-year and multiplied by 1.3 to account for overhead and other benefits.  The wage rate is a weighted national average of salary and bonuses for professionals with the following titles (and their relative weight) “programmer (senior)” (60% weight), “compliance advisor (intermediate)” (20%), “systems analyst” (10%), and “assistant/associate general counsel” (10%).  </w:t>
      </w:r>
    </w:p>
    <w:p w:rsidR="00A73D65" w:rsidRPr="002452B7" w:rsidRDefault="00A73D65" w:rsidP="00A73D65">
      <w:pPr>
        <w:tabs>
          <w:tab w:val="left" w:pos="-720"/>
        </w:tabs>
        <w:suppressAutoHyphens/>
        <w:rPr>
          <w:rFonts w:ascii="Times New Roman" w:hAnsi="Times New Roman"/>
          <w:szCs w:val="24"/>
        </w:rPr>
      </w:pPr>
    </w:p>
    <w:p w:rsidR="00A73D65" w:rsidRPr="002452B7" w:rsidRDefault="00A82CCF" w:rsidP="00A73D65">
      <w:pPr>
        <w:tabs>
          <w:tab w:val="left" w:pos="-720"/>
        </w:tabs>
        <w:suppressAutoHyphens/>
        <w:rPr>
          <w:rFonts w:ascii="Times New Roman" w:hAnsi="Times New Roman"/>
          <w:szCs w:val="24"/>
        </w:rPr>
      </w:pPr>
      <w:r w:rsidRPr="00A82CCF">
        <w:rPr>
          <w:rFonts w:ascii="Times New Roman" w:hAnsi="Times New Roman"/>
          <w:szCs w:val="24"/>
        </w:rPr>
        <w:tab/>
        <w:t xml:space="preserve">In </w:t>
      </w:r>
      <w:r w:rsidRPr="00A82CCF">
        <w:rPr>
          <w:rFonts w:ascii="Times New Roman" w:hAnsi="Times New Roman"/>
          <w:szCs w:val="24"/>
          <w:u w:val="single"/>
        </w:rPr>
        <w:t>Attachment A</w:t>
      </w:r>
      <w:r w:rsidRPr="00A82CCF">
        <w:rPr>
          <w:rFonts w:ascii="Times New Roman" w:hAnsi="Times New Roman"/>
          <w:szCs w:val="24"/>
        </w:rPr>
        <w:t xml:space="preserve"> the Commission has provided the key assumptions and calculations used to derive labor burden estimates.  </w:t>
      </w:r>
    </w:p>
    <w:p w:rsidR="00A73D65" w:rsidRPr="002452B7" w:rsidRDefault="00A82CCF" w:rsidP="00A73D65">
      <w:pPr>
        <w:keepNext/>
        <w:tabs>
          <w:tab w:val="left" w:pos="3940"/>
        </w:tabs>
        <w:ind w:left="1440"/>
        <w:jc w:val="both"/>
        <w:rPr>
          <w:rFonts w:ascii="Times New Roman" w:hAnsi="Times New Roman"/>
          <w:szCs w:val="24"/>
        </w:rPr>
      </w:pPr>
      <w:r w:rsidRPr="00A82CCF">
        <w:rPr>
          <w:rFonts w:ascii="Times New Roman" w:hAnsi="Times New Roman"/>
          <w:szCs w:val="24"/>
        </w:rPr>
        <w:tab/>
      </w:r>
    </w:p>
    <w:p w:rsidR="00A73D65" w:rsidRPr="002452B7" w:rsidRDefault="00A82CCF" w:rsidP="00A73D65">
      <w:pPr>
        <w:pStyle w:val="ListParagraph"/>
        <w:numPr>
          <w:ilvl w:val="0"/>
          <w:numId w:val="1"/>
        </w:numPr>
        <w:tabs>
          <w:tab w:val="left" w:pos="-720"/>
          <w:tab w:val="left" w:pos="0"/>
        </w:tabs>
        <w:suppressAutoHyphens/>
        <w:rPr>
          <w:szCs w:val="24"/>
        </w:rPr>
      </w:pPr>
      <w:r w:rsidRPr="00A82CCF">
        <w:rPr>
          <w:szCs w:val="24"/>
          <w:u w:val="single"/>
        </w:rPr>
        <w:t xml:space="preserve">Provide an estimate of the total annual cost burden to respondents or </w:t>
      </w:r>
      <w:proofErr w:type="spellStart"/>
      <w:r w:rsidRPr="00A82CCF">
        <w:rPr>
          <w:szCs w:val="24"/>
          <w:u w:val="single"/>
        </w:rPr>
        <w:t>recordkeepers</w:t>
      </w:r>
      <w:proofErr w:type="spellEnd"/>
      <w:r w:rsidRPr="00A82CCF">
        <w:rPr>
          <w:szCs w:val="24"/>
          <w:u w:val="single"/>
        </w:rPr>
        <w:t xml:space="preserve"> resulting from the collection of information.  (Do not include the cost of any hour burden shown in Items 12 and 14)</w:t>
      </w:r>
      <w:r w:rsidRPr="00A82CCF">
        <w:rPr>
          <w:szCs w:val="24"/>
        </w:rPr>
        <w:t>.</w:t>
      </w:r>
    </w:p>
    <w:p w:rsidR="00A73D65" w:rsidRPr="002452B7" w:rsidRDefault="00A73D65" w:rsidP="00A73D65">
      <w:pPr>
        <w:tabs>
          <w:tab w:val="left" w:pos="-720"/>
        </w:tabs>
        <w:suppressAutoHyphens/>
        <w:rPr>
          <w:rFonts w:ascii="Times New Roman" w:hAnsi="Times New Roman"/>
          <w:szCs w:val="24"/>
        </w:rPr>
      </w:pPr>
    </w:p>
    <w:p w:rsidR="00A73D65" w:rsidRPr="002452B7" w:rsidRDefault="00A82CCF" w:rsidP="00A73D65">
      <w:pPr>
        <w:numPr>
          <w:ilvl w:val="1"/>
          <w:numId w:val="3"/>
        </w:numPr>
        <w:tabs>
          <w:tab w:val="left" w:pos="-720"/>
          <w:tab w:val="left" w:pos="0"/>
          <w:tab w:val="left" w:pos="720"/>
        </w:tabs>
        <w:suppressAutoHyphens/>
        <w:rPr>
          <w:rFonts w:ascii="Times New Roman" w:hAnsi="Times New Roman"/>
          <w:szCs w:val="24"/>
          <w:u w:val="single"/>
        </w:rPr>
      </w:pPr>
      <w:r w:rsidRPr="00A82CCF">
        <w:rPr>
          <w:rFonts w:ascii="Times New Roman" w:hAnsi="Times New Roman"/>
          <w:szCs w:val="24"/>
          <w:u w:val="single"/>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w:t>
      </w:r>
      <w:r w:rsidRPr="00A82CCF">
        <w:rPr>
          <w:rFonts w:ascii="Times New Roman" w:hAnsi="Times New Roman"/>
          <w:szCs w:val="24"/>
          <w:u w:val="single"/>
        </w:rPr>
        <w:lastRenderedPageBreak/>
        <w:t>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73D65" w:rsidRPr="002452B7" w:rsidRDefault="00A73D65" w:rsidP="00A73D65">
      <w:pPr>
        <w:tabs>
          <w:tab w:val="left" w:pos="-720"/>
        </w:tabs>
        <w:suppressAutoHyphens/>
        <w:rPr>
          <w:rFonts w:ascii="Times New Roman" w:hAnsi="Times New Roman"/>
          <w:szCs w:val="24"/>
          <w:u w:val="single"/>
        </w:rPr>
      </w:pPr>
    </w:p>
    <w:p w:rsidR="00A73D65" w:rsidRPr="002452B7" w:rsidRDefault="00A82CCF" w:rsidP="00A73D65">
      <w:pPr>
        <w:numPr>
          <w:ilvl w:val="1"/>
          <w:numId w:val="3"/>
        </w:numPr>
        <w:tabs>
          <w:tab w:val="left" w:pos="-720"/>
          <w:tab w:val="left" w:pos="0"/>
          <w:tab w:val="left" w:pos="720"/>
        </w:tabs>
        <w:suppressAutoHyphens/>
        <w:rPr>
          <w:rFonts w:ascii="Times New Roman" w:hAnsi="Times New Roman"/>
          <w:szCs w:val="24"/>
          <w:u w:val="single"/>
        </w:rPr>
      </w:pPr>
      <w:r w:rsidRPr="00A82CCF">
        <w:rPr>
          <w:rFonts w:ascii="Times New Roman" w:hAnsi="Times New Roman"/>
          <w:szCs w:val="24"/>
          <w:u w:val="single"/>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A73D65" w:rsidRPr="002452B7" w:rsidRDefault="00A73D65" w:rsidP="00A73D65">
      <w:pPr>
        <w:tabs>
          <w:tab w:val="left" w:pos="-720"/>
        </w:tabs>
        <w:suppressAutoHyphens/>
        <w:rPr>
          <w:rFonts w:ascii="Times New Roman" w:hAnsi="Times New Roman"/>
          <w:szCs w:val="24"/>
          <w:u w:val="single"/>
        </w:rPr>
      </w:pPr>
    </w:p>
    <w:p w:rsidR="00A73D65" w:rsidRPr="002452B7" w:rsidRDefault="00A82CCF" w:rsidP="00A73D65">
      <w:pPr>
        <w:numPr>
          <w:ilvl w:val="1"/>
          <w:numId w:val="3"/>
        </w:numPr>
        <w:tabs>
          <w:tab w:val="left" w:pos="-720"/>
          <w:tab w:val="left" w:pos="0"/>
          <w:tab w:val="left" w:pos="720"/>
        </w:tabs>
        <w:suppressAutoHyphens/>
        <w:rPr>
          <w:rFonts w:ascii="Times New Roman" w:hAnsi="Times New Roman"/>
          <w:szCs w:val="24"/>
          <w:u w:val="single"/>
        </w:rPr>
      </w:pPr>
      <w:r w:rsidRPr="00A82CCF">
        <w:rPr>
          <w:rFonts w:ascii="Times New Roman" w:hAnsi="Times New Roman"/>
          <w:szCs w:val="24"/>
          <w:u w:val="single"/>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73D65" w:rsidRPr="002452B7" w:rsidRDefault="00A73D65" w:rsidP="00A73D65">
      <w:pPr>
        <w:tabs>
          <w:tab w:val="left" w:pos="-720"/>
          <w:tab w:val="left" w:pos="0"/>
          <w:tab w:val="left" w:pos="720"/>
        </w:tabs>
        <w:suppressAutoHyphens/>
        <w:rPr>
          <w:rFonts w:ascii="Times New Roman" w:hAnsi="Times New Roman"/>
          <w:szCs w:val="24"/>
        </w:rPr>
      </w:pPr>
    </w:p>
    <w:p w:rsidR="00A73D65" w:rsidRPr="002452B7" w:rsidRDefault="00A82CCF" w:rsidP="00A73D65">
      <w:pPr>
        <w:tabs>
          <w:tab w:val="left" w:pos="-720"/>
        </w:tabs>
        <w:suppressAutoHyphens/>
        <w:rPr>
          <w:rFonts w:ascii="Times New Roman" w:hAnsi="Times New Roman"/>
          <w:szCs w:val="24"/>
        </w:rPr>
      </w:pPr>
      <w:r w:rsidRPr="00A82CCF">
        <w:rPr>
          <w:rFonts w:ascii="Times New Roman" w:hAnsi="Times New Roman"/>
          <w:szCs w:val="24"/>
        </w:rPr>
        <w:tab/>
        <w:t>The Commission estimates that the total annualized capital, operational, and maintenance costs associated with complying with the part 20 would be approximately $32.7 million.</w:t>
      </w:r>
      <w:r>
        <w:rPr>
          <w:rStyle w:val="FootnoteReference"/>
          <w:rFonts w:ascii="Times New Roman" w:hAnsi="Times New Roman"/>
          <w:szCs w:val="24"/>
        </w:rPr>
        <w:footnoteReference w:id="9"/>
      </w:r>
      <w:r w:rsidRPr="00A82CCF">
        <w:rPr>
          <w:rFonts w:ascii="Times New Roman" w:hAnsi="Times New Roman"/>
          <w:szCs w:val="24"/>
        </w:rPr>
        <w:t xml:space="preserve">  Of this $32.7 million, $19.65 million is from annualized capital and start-up costs and $13.05 million is from operating and maintenance costs.  These cost estimates are based on Commission staff’s estimated costs to acquire needed equipment and contracted expertise to develop the reports and recordkeeping capabilities required by part 20.  The specific figures are based on estimates provided to Commission staff in trade interviews with potentially affected parties.</w:t>
      </w:r>
      <w:r>
        <w:rPr>
          <w:rStyle w:val="FootnoteReference"/>
          <w:rFonts w:ascii="Times New Roman" w:hAnsi="Times New Roman"/>
          <w:szCs w:val="24"/>
        </w:rPr>
        <w:footnoteReference w:id="10"/>
      </w:r>
      <w:r w:rsidRPr="00A82CCF">
        <w:rPr>
          <w:rFonts w:ascii="Times New Roman" w:hAnsi="Times New Roman"/>
          <w:szCs w:val="24"/>
        </w:rPr>
        <w:t xml:space="preserve">   </w:t>
      </w:r>
    </w:p>
    <w:p w:rsidR="00A73D65" w:rsidRPr="002452B7" w:rsidRDefault="00A73D65" w:rsidP="00A73D65">
      <w:pPr>
        <w:ind w:firstLine="720"/>
        <w:rPr>
          <w:rFonts w:ascii="Times New Roman" w:hAnsi="Times New Roman"/>
          <w:szCs w:val="24"/>
        </w:rPr>
      </w:pPr>
    </w:p>
    <w:p w:rsidR="00A73D65" w:rsidRPr="002452B7" w:rsidRDefault="00A82CCF" w:rsidP="00A73D65">
      <w:pPr>
        <w:rPr>
          <w:rFonts w:ascii="Times New Roman" w:hAnsi="Times New Roman"/>
          <w:szCs w:val="24"/>
          <w:u w:val="single"/>
        </w:rPr>
      </w:pPr>
      <w:r w:rsidRPr="00A82CCF">
        <w:rPr>
          <w:rFonts w:ascii="Times New Roman" w:hAnsi="Times New Roman"/>
          <w:szCs w:val="24"/>
        </w:rPr>
        <w:tab/>
      </w:r>
      <w:r w:rsidRPr="00A82CCF">
        <w:rPr>
          <w:rFonts w:ascii="Times New Roman" w:hAnsi="Times New Roman"/>
          <w:szCs w:val="24"/>
          <w:u w:val="single"/>
        </w:rPr>
        <w:t>Reporting burdens:</w:t>
      </w:r>
    </w:p>
    <w:p w:rsidR="00A73D65" w:rsidRPr="002452B7" w:rsidRDefault="00A73D65" w:rsidP="00A73D65">
      <w:pPr>
        <w:rPr>
          <w:rFonts w:ascii="Times New Roman" w:hAnsi="Times New Roman"/>
          <w:szCs w:val="24"/>
          <w:u w:val="single"/>
        </w:rPr>
      </w:pPr>
    </w:p>
    <w:p w:rsidR="00A73D65" w:rsidRPr="002452B7" w:rsidRDefault="00A82CCF" w:rsidP="00A73D65">
      <w:pPr>
        <w:pStyle w:val="ListParagraph"/>
        <w:numPr>
          <w:ilvl w:val="0"/>
          <w:numId w:val="7"/>
        </w:numPr>
        <w:rPr>
          <w:szCs w:val="24"/>
        </w:rPr>
      </w:pPr>
      <w:r w:rsidRPr="00A82CCF">
        <w:rPr>
          <w:szCs w:val="24"/>
        </w:rPr>
        <w:t>Regulation 20.3 clearing organization reports would result in annualized capital/start-up costs of approximately $50,000 and operating, and maintenance costs of $50,000.</w:t>
      </w:r>
    </w:p>
    <w:p w:rsidR="00A73D65" w:rsidRPr="002452B7" w:rsidRDefault="00A73D65" w:rsidP="00A73D65">
      <w:pPr>
        <w:pStyle w:val="ListParagraph"/>
        <w:rPr>
          <w:szCs w:val="24"/>
        </w:rPr>
      </w:pPr>
    </w:p>
    <w:p w:rsidR="00A73D65" w:rsidRPr="002452B7" w:rsidRDefault="00A82CCF" w:rsidP="00A73D65">
      <w:pPr>
        <w:pStyle w:val="ListParagraph"/>
        <w:numPr>
          <w:ilvl w:val="0"/>
          <w:numId w:val="7"/>
        </w:numPr>
        <w:rPr>
          <w:szCs w:val="24"/>
        </w:rPr>
      </w:pPr>
      <w:r w:rsidRPr="00A82CCF">
        <w:rPr>
          <w:szCs w:val="24"/>
        </w:rPr>
        <w:t>Regulation 20.4 reporting entity reports would have two separate burden estimates based on the kind of reporting entity providing the report:</w:t>
      </w:r>
    </w:p>
    <w:p w:rsidR="00A73D65" w:rsidRPr="002452B7" w:rsidRDefault="00A73D65" w:rsidP="00A73D65">
      <w:pPr>
        <w:pStyle w:val="ListParagraph"/>
        <w:ind w:left="1440"/>
        <w:rPr>
          <w:szCs w:val="24"/>
        </w:rPr>
      </w:pPr>
    </w:p>
    <w:p w:rsidR="00A73D65" w:rsidRPr="002452B7" w:rsidRDefault="00A82CCF" w:rsidP="00A73D65">
      <w:pPr>
        <w:pStyle w:val="ListParagraph"/>
        <w:numPr>
          <w:ilvl w:val="1"/>
          <w:numId w:val="7"/>
        </w:numPr>
        <w:rPr>
          <w:szCs w:val="24"/>
        </w:rPr>
      </w:pPr>
      <w:r w:rsidRPr="00A82CCF">
        <w:rPr>
          <w:szCs w:val="24"/>
        </w:rPr>
        <w:lastRenderedPageBreak/>
        <w:t xml:space="preserve">Clearing member, involving approximately 100 firms, 80 clearing member/swap dealers plus 20 clearing member/non-swap dealers, reporting entity reports would result in $4 million per year in annualized capital/start-up costs and $2 million in operating, and maintenance costs.  </w:t>
      </w:r>
    </w:p>
    <w:p w:rsidR="00A73D65" w:rsidRPr="002452B7" w:rsidRDefault="00A73D65" w:rsidP="00A73D65">
      <w:pPr>
        <w:pStyle w:val="ListParagraph"/>
        <w:ind w:left="1440"/>
        <w:rPr>
          <w:szCs w:val="24"/>
        </w:rPr>
      </w:pPr>
    </w:p>
    <w:p w:rsidR="00A73D65" w:rsidRPr="002452B7" w:rsidRDefault="00A82CCF" w:rsidP="00A73D65">
      <w:pPr>
        <w:pStyle w:val="ListParagraph"/>
        <w:numPr>
          <w:ilvl w:val="1"/>
          <w:numId w:val="7"/>
        </w:numPr>
        <w:rPr>
          <w:szCs w:val="24"/>
        </w:rPr>
      </w:pPr>
      <w:r w:rsidRPr="00A82CCF">
        <w:rPr>
          <w:szCs w:val="24"/>
        </w:rPr>
        <w:t xml:space="preserve">Swap dealer non-clearing member reporting entity reports involving approximately 200 firms would result in $6 million per year in annualized capital/start-up costs and $2 million in operating, and maintenance costs.  </w:t>
      </w:r>
    </w:p>
    <w:p w:rsidR="00A73D65" w:rsidRPr="002452B7" w:rsidRDefault="00A73D65" w:rsidP="00A73D65">
      <w:pPr>
        <w:pStyle w:val="ListParagraph"/>
        <w:ind w:left="1440"/>
        <w:rPr>
          <w:szCs w:val="24"/>
        </w:rPr>
      </w:pPr>
    </w:p>
    <w:p w:rsidR="00A73D65" w:rsidRPr="002452B7" w:rsidRDefault="00A82CCF" w:rsidP="00A73D65">
      <w:pPr>
        <w:pStyle w:val="ListParagraph"/>
        <w:numPr>
          <w:ilvl w:val="0"/>
          <w:numId w:val="7"/>
        </w:numPr>
        <w:rPr>
          <w:szCs w:val="24"/>
        </w:rPr>
      </w:pPr>
      <w:r w:rsidRPr="00A82CCF">
        <w:rPr>
          <w:szCs w:val="24"/>
        </w:rPr>
        <w:t xml:space="preserve">Regulation 20.5 reporting entity 102S submissions would create operating and maintenance costs of approximately $1 million spread across 200 reporting entities.  </w:t>
      </w:r>
    </w:p>
    <w:p w:rsidR="00A73D65" w:rsidRPr="002452B7" w:rsidRDefault="00A73D65" w:rsidP="00A73D65">
      <w:pPr>
        <w:pStyle w:val="ListParagraph"/>
        <w:rPr>
          <w:szCs w:val="24"/>
        </w:rPr>
      </w:pPr>
    </w:p>
    <w:p w:rsidR="00A73D65" w:rsidRPr="002452B7" w:rsidRDefault="00A82CCF" w:rsidP="00A73D65">
      <w:pPr>
        <w:pStyle w:val="ListParagraph"/>
        <w:numPr>
          <w:ilvl w:val="0"/>
          <w:numId w:val="7"/>
        </w:numPr>
        <w:rPr>
          <w:szCs w:val="24"/>
        </w:rPr>
      </w:pPr>
      <w:r w:rsidRPr="00A82CCF">
        <w:rPr>
          <w:szCs w:val="24"/>
        </w:rPr>
        <w:t xml:space="preserve">40S submissions by persons with reportable positions under regulation 20.5(b) in paired swaps would result in an annualized $1.5 million in capital and start-up costs and $500,000 in operating and maintenance costs spread across 500 firms.  </w:t>
      </w:r>
    </w:p>
    <w:p w:rsidR="00A73D65" w:rsidRPr="002452B7" w:rsidRDefault="00A73D65" w:rsidP="00A73D65">
      <w:pPr>
        <w:pStyle w:val="ListParagraph"/>
        <w:rPr>
          <w:szCs w:val="24"/>
        </w:rPr>
      </w:pPr>
    </w:p>
    <w:p w:rsidR="00A73D65" w:rsidRPr="002452B7" w:rsidRDefault="00A82CCF" w:rsidP="00A73D65">
      <w:pPr>
        <w:ind w:left="360"/>
        <w:rPr>
          <w:rFonts w:ascii="Times New Roman" w:hAnsi="Times New Roman"/>
          <w:szCs w:val="24"/>
          <w:u w:val="single"/>
        </w:rPr>
      </w:pPr>
      <w:r w:rsidRPr="00A82CCF">
        <w:rPr>
          <w:rFonts w:ascii="Times New Roman" w:hAnsi="Times New Roman"/>
          <w:szCs w:val="24"/>
        </w:rPr>
        <w:tab/>
      </w:r>
      <w:r w:rsidRPr="00A82CCF">
        <w:rPr>
          <w:rFonts w:ascii="Times New Roman" w:hAnsi="Times New Roman"/>
          <w:szCs w:val="24"/>
          <w:u w:val="single"/>
        </w:rPr>
        <w:t>Recordkeeping burdens:</w:t>
      </w:r>
    </w:p>
    <w:p w:rsidR="00A73D65" w:rsidRPr="002452B7" w:rsidRDefault="00A73D65" w:rsidP="00A73D65">
      <w:pPr>
        <w:pStyle w:val="ListParagraph"/>
        <w:rPr>
          <w:szCs w:val="24"/>
        </w:rPr>
      </w:pPr>
    </w:p>
    <w:p w:rsidR="00A73D65" w:rsidRPr="002452B7" w:rsidRDefault="00A82CCF" w:rsidP="00A73D65">
      <w:pPr>
        <w:pStyle w:val="ListParagraph"/>
        <w:numPr>
          <w:ilvl w:val="0"/>
          <w:numId w:val="7"/>
        </w:numPr>
        <w:rPr>
          <w:szCs w:val="24"/>
        </w:rPr>
      </w:pPr>
      <w:r w:rsidRPr="00A82CCF">
        <w:rPr>
          <w:szCs w:val="24"/>
        </w:rPr>
        <w:t xml:space="preserve">Regulation 20.6(a) recordkeeping duties for clearing organizations would result in approximately $100,000 in operating, and maintenance costs.  </w:t>
      </w:r>
    </w:p>
    <w:p w:rsidR="00A73D65" w:rsidRPr="002452B7" w:rsidRDefault="00A73D65" w:rsidP="00A73D65">
      <w:pPr>
        <w:pStyle w:val="ListParagraph"/>
        <w:rPr>
          <w:szCs w:val="24"/>
        </w:rPr>
      </w:pPr>
    </w:p>
    <w:p w:rsidR="00A73D65" w:rsidRPr="002452B7" w:rsidRDefault="00A82CCF" w:rsidP="00A73D65">
      <w:pPr>
        <w:pStyle w:val="ListParagraph"/>
        <w:numPr>
          <w:ilvl w:val="0"/>
          <w:numId w:val="7"/>
        </w:numPr>
        <w:rPr>
          <w:szCs w:val="24"/>
        </w:rPr>
      </w:pPr>
      <w:r w:rsidRPr="00A82CCF">
        <w:rPr>
          <w:szCs w:val="24"/>
        </w:rPr>
        <w:t>Regulation 20.6(b) reporting entity recordkeeping duties would have two separate cost estimates based on the kind of reporting entity providing the report:</w:t>
      </w:r>
    </w:p>
    <w:p w:rsidR="00A73D65" w:rsidRPr="002452B7" w:rsidRDefault="00A73D65" w:rsidP="00A73D65">
      <w:pPr>
        <w:pStyle w:val="ListParagraph"/>
        <w:ind w:left="1440"/>
        <w:rPr>
          <w:szCs w:val="24"/>
        </w:rPr>
      </w:pPr>
    </w:p>
    <w:p w:rsidR="00A73D65" w:rsidRPr="002452B7" w:rsidRDefault="00A82CCF" w:rsidP="00A73D65">
      <w:pPr>
        <w:pStyle w:val="ListParagraph"/>
        <w:numPr>
          <w:ilvl w:val="0"/>
          <w:numId w:val="8"/>
        </w:numPr>
        <w:rPr>
          <w:szCs w:val="24"/>
        </w:rPr>
      </w:pPr>
      <w:r w:rsidRPr="00A82CCF">
        <w:rPr>
          <w:szCs w:val="24"/>
        </w:rPr>
        <w:t xml:space="preserve">Clearing member recordkeeping would create operating, and maintenance costs of approximately $2 million.    </w:t>
      </w:r>
    </w:p>
    <w:p w:rsidR="00A73D65" w:rsidRPr="002452B7" w:rsidRDefault="00A73D65" w:rsidP="00A73D65">
      <w:pPr>
        <w:pStyle w:val="ListParagraph"/>
        <w:ind w:left="1440"/>
        <w:rPr>
          <w:szCs w:val="24"/>
        </w:rPr>
      </w:pPr>
    </w:p>
    <w:p w:rsidR="00A73D65" w:rsidRPr="002452B7" w:rsidRDefault="00A82CCF" w:rsidP="00A73D65">
      <w:pPr>
        <w:pStyle w:val="ListParagraph"/>
        <w:numPr>
          <w:ilvl w:val="0"/>
          <w:numId w:val="8"/>
        </w:numPr>
        <w:rPr>
          <w:szCs w:val="24"/>
        </w:rPr>
      </w:pPr>
      <w:r w:rsidRPr="00A82CCF">
        <w:rPr>
          <w:szCs w:val="24"/>
        </w:rPr>
        <w:t xml:space="preserve">Swap dealer non-clearing member reporting entity recordkeeping would create operating and maintenance costs of approximately $2 million.    </w:t>
      </w:r>
    </w:p>
    <w:p w:rsidR="00A73D65" w:rsidRPr="002452B7" w:rsidRDefault="00A73D65" w:rsidP="00A73D65">
      <w:pPr>
        <w:pStyle w:val="ListParagraph"/>
        <w:ind w:left="0"/>
        <w:rPr>
          <w:szCs w:val="24"/>
        </w:rPr>
      </w:pPr>
    </w:p>
    <w:p w:rsidR="00A73D65" w:rsidRPr="002452B7" w:rsidRDefault="00A82CCF" w:rsidP="00A73D65">
      <w:pPr>
        <w:pStyle w:val="ListParagraph"/>
        <w:numPr>
          <w:ilvl w:val="0"/>
          <w:numId w:val="7"/>
        </w:numPr>
        <w:rPr>
          <w:szCs w:val="24"/>
        </w:rPr>
      </w:pPr>
      <w:r w:rsidRPr="00A82CCF">
        <w:rPr>
          <w:szCs w:val="24"/>
        </w:rPr>
        <w:t xml:space="preserve">Regulation 20.6(c) recordkeeping duties for persons with large positions in swaps (these firms were previously were not reportable) would create annualized capital/start-up costs of $1.5 million and operating and maintenance costs of approximately $10 million.  </w:t>
      </w:r>
    </w:p>
    <w:p w:rsidR="00A73D65" w:rsidRPr="002452B7" w:rsidRDefault="00A73D65" w:rsidP="00A73D65">
      <w:pPr>
        <w:tabs>
          <w:tab w:val="left" w:pos="-720"/>
        </w:tabs>
        <w:suppressAutoHyphens/>
        <w:rPr>
          <w:rFonts w:ascii="Times New Roman" w:hAnsi="Times New Roman"/>
          <w:szCs w:val="24"/>
        </w:rPr>
      </w:pPr>
    </w:p>
    <w:p w:rsidR="00A73D65" w:rsidRPr="002452B7" w:rsidRDefault="00A82CCF" w:rsidP="00A73D65">
      <w:pPr>
        <w:tabs>
          <w:tab w:val="left" w:pos="-720"/>
        </w:tabs>
        <w:suppressAutoHyphens/>
        <w:rPr>
          <w:rFonts w:ascii="Times New Roman" w:hAnsi="Times New Roman"/>
          <w:szCs w:val="24"/>
        </w:rPr>
      </w:pPr>
      <w:r w:rsidRPr="00A82CCF">
        <w:rPr>
          <w:rFonts w:ascii="Times New Roman" w:hAnsi="Times New Roman"/>
          <w:szCs w:val="24"/>
        </w:rPr>
        <w:tab/>
        <w:t xml:space="preserve">In </w:t>
      </w:r>
      <w:r w:rsidRPr="00A82CCF">
        <w:rPr>
          <w:rFonts w:ascii="Times New Roman" w:hAnsi="Times New Roman"/>
          <w:szCs w:val="24"/>
          <w:u w:val="single"/>
        </w:rPr>
        <w:t>Attachment B</w:t>
      </w:r>
      <w:r w:rsidRPr="00A82CCF">
        <w:rPr>
          <w:rFonts w:ascii="Times New Roman" w:hAnsi="Times New Roman"/>
          <w:szCs w:val="24"/>
        </w:rPr>
        <w:t xml:space="preserve"> the Commission has provided the key assumptions and calculations used to derive these figures.  </w:t>
      </w:r>
    </w:p>
    <w:p w:rsidR="00A73D65" w:rsidRPr="002452B7" w:rsidRDefault="00A73D65" w:rsidP="00A73D65">
      <w:pPr>
        <w:tabs>
          <w:tab w:val="left" w:pos="-720"/>
        </w:tabs>
        <w:suppressAutoHyphens/>
        <w:rPr>
          <w:rFonts w:ascii="Times New Roman" w:hAnsi="Times New Roman"/>
          <w:szCs w:val="24"/>
        </w:rPr>
      </w:pPr>
    </w:p>
    <w:p w:rsidR="00A73D65" w:rsidRPr="002452B7" w:rsidRDefault="00A82CCF" w:rsidP="00A73D65">
      <w:pPr>
        <w:pStyle w:val="ListParagraph"/>
        <w:numPr>
          <w:ilvl w:val="0"/>
          <w:numId w:val="1"/>
        </w:numPr>
        <w:tabs>
          <w:tab w:val="left" w:pos="-720"/>
        </w:tabs>
        <w:suppressAutoHyphens/>
        <w:rPr>
          <w:szCs w:val="24"/>
        </w:rPr>
      </w:pPr>
      <w:r w:rsidRPr="00A82CCF">
        <w:rPr>
          <w:szCs w:val="24"/>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A73D65" w:rsidRPr="002452B7" w:rsidRDefault="00A73D65" w:rsidP="00A73D65">
      <w:pPr>
        <w:tabs>
          <w:tab w:val="left" w:pos="-720"/>
        </w:tabs>
        <w:suppressAutoHyphens/>
        <w:rPr>
          <w:rFonts w:ascii="Times New Roman" w:hAnsi="Times New Roman"/>
          <w:szCs w:val="24"/>
        </w:rPr>
      </w:pPr>
    </w:p>
    <w:p w:rsidR="00A73D65" w:rsidRPr="002452B7" w:rsidRDefault="00A82CCF" w:rsidP="00A73D65">
      <w:pPr>
        <w:ind w:firstLine="720"/>
        <w:rPr>
          <w:rFonts w:ascii="Times New Roman" w:hAnsi="Times New Roman"/>
          <w:szCs w:val="24"/>
        </w:rPr>
      </w:pPr>
      <w:r w:rsidRPr="00A82CCF">
        <w:rPr>
          <w:rFonts w:ascii="Times New Roman" w:hAnsi="Times New Roman"/>
          <w:szCs w:val="24"/>
        </w:rPr>
        <w:t xml:space="preserve">The Commission estimates that the equivalent of approximately 20 new staff members will be needed to process and monitor the reports provided for in the part 20.  The staff needed </w:t>
      </w:r>
      <w:r w:rsidRPr="00A82CCF">
        <w:rPr>
          <w:rFonts w:ascii="Times New Roman" w:hAnsi="Times New Roman"/>
          <w:szCs w:val="24"/>
        </w:rPr>
        <w:lastRenderedPageBreak/>
        <w:t xml:space="preserve">would include industry economists, statisticians, and information technology staff, including computer programmers.  These estimates are based on estimated labor costs associated with processing analogous reports that would be received pursuant to part 20.  At an average CT-12 pay grade for Commission employees in Washington, D.C. for 2010, or $89,844, multiplied by 1.3 to account for overhead and other benefits, each employee would cost the Commission approximately $116,797 or $2.24 million per year in labor costs.  These costs would be expected to decrease as automated systems are put into place after some 12-18 months after the effective date of the part 20 reports.  </w:t>
      </w:r>
    </w:p>
    <w:p w:rsidR="00A73D65" w:rsidRPr="002452B7" w:rsidRDefault="00A73D65" w:rsidP="00A73D65">
      <w:pPr>
        <w:ind w:firstLine="720"/>
        <w:rPr>
          <w:rFonts w:ascii="Times New Roman" w:hAnsi="Times New Roman"/>
          <w:szCs w:val="24"/>
        </w:rPr>
      </w:pPr>
    </w:p>
    <w:p w:rsidR="00A73D65" w:rsidRPr="002452B7" w:rsidRDefault="00A82CCF" w:rsidP="00A73D65">
      <w:pPr>
        <w:ind w:firstLine="720"/>
        <w:rPr>
          <w:rFonts w:ascii="Times New Roman" w:hAnsi="Times New Roman"/>
          <w:szCs w:val="24"/>
        </w:rPr>
      </w:pPr>
      <w:r w:rsidRPr="00A82CCF">
        <w:rPr>
          <w:rFonts w:ascii="Times New Roman" w:hAnsi="Times New Roman"/>
          <w:szCs w:val="24"/>
        </w:rPr>
        <w:t xml:space="preserve">In addition, the Commission believes that the total annualized capital, operational, and maintenance costs associated with complying with part 20 would be approximately $100,000.  These estimated expenses are also derived from analogous existing reporting capital and associated processes.  </w:t>
      </w:r>
    </w:p>
    <w:p w:rsidR="00A73D65" w:rsidRPr="002452B7" w:rsidRDefault="00A73D65" w:rsidP="00A73D65">
      <w:pPr>
        <w:tabs>
          <w:tab w:val="left" w:pos="-720"/>
        </w:tabs>
        <w:suppressAutoHyphens/>
        <w:rPr>
          <w:rFonts w:ascii="Times New Roman" w:hAnsi="Times New Roman"/>
          <w:szCs w:val="24"/>
        </w:rPr>
      </w:pPr>
    </w:p>
    <w:p w:rsidR="00A73D65" w:rsidRPr="002452B7" w:rsidRDefault="00A82CCF" w:rsidP="00A73D65">
      <w:pPr>
        <w:pStyle w:val="ListParagraph"/>
        <w:numPr>
          <w:ilvl w:val="0"/>
          <w:numId w:val="1"/>
        </w:numPr>
        <w:tabs>
          <w:tab w:val="left" w:pos="-720"/>
          <w:tab w:val="left" w:pos="0"/>
        </w:tabs>
        <w:suppressAutoHyphens/>
        <w:rPr>
          <w:szCs w:val="24"/>
        </w:rPr>
      </w:pPr>
      <w:r w:rsidRPr="00A82CCF">
        <w:rPr>
          <w:szCs w:val="24"/>
          <w:u w:val="single"/>
        </w:rPr>
        <w:t>Explain the reasons for any program changes or adjustments reported in Items 13 or 14 of the OMB Form 83-I</w:t>
      </w:r>
      <w:r w:rsidRPr="00A82CCF">
        <w:rPr>
          <w:szCs w:val="24"/>
        </w:rPr>
        <w:t>.</w:t>
      </w:r>
    </w:p>
    <w:p w:rsidR="00A73D65" w:rsidRPr="002452B7" w:rsidRDefault="00A73D65" w:rsidP="00A73D65">
      <w:pPr>
        <w:tabs>
          <w:tab w:val="left" w:pos="-720"/>
          <w:tab w:val="left" w:pos="0"/>
        </w:tabs>
        <w:suppressAutoHyphens/>
        <w:rPr>
          <w:rFonts w:ascii="Times New Roman" w:hAnsi="Times New Roman"/>
          <w:szCs w:val="24"/>
        </w:rPr>
      </w:pPr>
    </w:p>
    <w:p w:rsidR="00A73D65" w:rsidRPr="002452B7" w:rsidRDefault="00A82CCF" w:rsidP="00A73D65">
      <w:pPr>
        <w:tabs>
          <w:tab w:val="left" w:pos="-720"/>
          <w:tab w:val="left" w:pos="0"/>
        </w:tabs>
        <w:suppressAutoHyphens/>
        <w:rPr>
          <w:rFonts w:ascii="Times New Roman" w:hAnsi="Times New Roman"/>
          <w:szCs w:val="24"/>
        </w:rPr>
      </w:pPr>
      <w:r w:rsidRPr="00A82CCF">
        <w:rPr>
          <w:rFonts w:ascii="Times New Roman" w:hAnsi="Times New Roman"/>
          <w:szCs w:val="24"/>
        </w:rPr>
        <w:tab/>
        <w:t>This question does not apply.</w:t>
      </w:r>
    </w:p>
    <w:p w:rsidR="00A73D65" w:rsidRPr="002452B7" w:rsidRDefault="00A73D65" w:rsidP="00A73D65">
      <w:pPr>
        <w:tabs>
          <w:tab w:val="left" w:pos="-720"/>
        </w:tabs>
        <w:suppressAutoHyphens/>
        <w:rPr>
          <w:rFonts w:ascii="Times New Roman" w:hAnsi="Times New Roman"/>
          <w:szCs w:val="24"/>
        </w:rPr>
      </w:pPr>
    </w:p>
    <w:p w:rsidR="00A73D65" w:rsidRPr="002452B7" w:rsidRDefault="00A82CCF" w:rsidP="00A73D65">
      <w:pPr>
        <w:pStyle w:val="ListParagraph"/>
        <w:numPr>
          <w:ilvl w:val="0"/>
          <w:numId w:val="1"/>
        </w:numPr>
        <w:tabs>
          <w:tab w:val="left" w:pos="-720"/>
          <w:tab w:val="left" w:pos="0"/>
        </w:tabs>
        <w:suppressAutoHyphens/>
        <w:rPr>
          <w:szCs w:val="24"/>
        </w:rPr>
      </w:pPr>
      <w:r w:rsidRPr="00A82CCF">
        <w:rPr>
          <w:szCs w:val="24"/>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sidRPr="00A82CCF">
        <w:rPr>
          <w:szCs w:val="24"/>
        </w:rPr>
        <w:t>.</w:t>
      </w:r>
    </w:p>
    <w:p w:rsidR="00A73D65" w:rsidRPr="002452B7" w:rsidRDefault="00A73D65" w:rsidP="00A73D65">
      <w:pPr>
        <w:tabs>
          <w:tab w:val="left" w:pos="-720"/>
          <w:tab w:val="left" w:pos="0"/>
        </w:tabs>
        <w:suppressAutoHyphens/>
        <w:rPr>
          <w:rFonts w:ascii="Times New Roman" w:hAnsi="Times New Roman"/>
          <w:szCs w:val="24"/>
        </w:rPr>
      </w:pPr>
    </w:p>
    <w:p w:rsidR="00A73D65" w:rsidRPr="002452B7" w:rsidRDefault="00A82CCF" w:rsidP="00A73D65">
      <w:pPr>
        <w:tabs>
          <w:tab w:val="left" w:pos="-720"/>
          <w:tab w:val="left" w:pos="0"/>
        </w:tabs>
        <w:suppressAutoHyphens/>
        <w:rPr>
          <w:rFonts w:ascii="Times New Roman" w:hAnsi="Times New Roman"/>
          <w:szCs w:val="24"/>
        </w:rPr>
      </w:pPr>
      <w:r w:rsidRPr="00A82CCF">
        <w:rPr>
          <w:rFonts w:ascii="Times New Roman" w:hAnsi="Times New Roman"/>
          <w:szCs w:val="24"/>
        </w:rPr>
        <w:tab/>
        <w:t>This question does not apply.</w:t>
      </w:r>
    </w:p>
    <w:p w:rsidR="00A73D65" w:rsidRPr="002452B7" w:rsidRDefault="00A73D65" w:rsidP="00A73D65">
      <w:pPr>
        <w:tabs>
          <w:tab w:val="left" w:pos="-720"/>
        </w:tabs>
        <w:suppressAutoHyphens/>
        <w:rPr>
          <w:rFonts w:ascii="Times New Roman" w:hAnsi="Times New Roman"/>
          <w:szCs w:val="24"/>
        </w:rPr>
      </w:pPr>
    </w:p>
    <w:p w:rsidR="00A73D65" w:rsidRPr="002452B7" w:rsidRDefault="00A82CCF" w:rsidP="00A73D65">
      <w:pPr>
        <w:pStyle w:val="ListParagraph"/>
        <w:numPr>
          <w:ilvl w:val="0"/>
          <w:numId w:val="1"/>
        </w:numPr>
        <w:tabs>
          <w:tab w:val="left" w:pos="-720"/>
          <w:tab w:val="left" w:pos="0"/>
        </w:tabs>
        <w:suppressAutoHyphens/>
        <w:rPr>
          <w:szCs w:val="24"/>
        </w:rPr>
      </w:pPr>
      <w:r w:rsidRPr="00A82CCF">
        <w:rPr>
          <w:szCs w:val="24"/>
          <w:u w:val="single"/>
        </w:rPr>
        <w:t>If seeking approval to not display the expiration date for OMB approval of the information collection, explain the reasons that display would be inappropriate</w:t>
      </w:r>
      <w:r w:rsidRPr="00A82CCF">
        <w:rPr>
          <w:szCs w:val="24"/>
        </w:rPr>
        <w:t>.</w:t>
      </w:r>
    </w:p>
    <w:p w:rsidR="00A73D65" w:rsidRPr="002452B7" w:rsidRDefault="00A73D65" w:rsidP="00A73D65">
      <w:pPr>
        <w:tabs>
          <w:tab w:val="left" w:pos="-720"/>
          <w:tab w:val="left" w:pos="0"/>
        </w:tabs>
        <w:suppressAutoHyphens/>
        <w:rPr>
          <w:rFonts w:ascii="Times New Roman" w:hAnsi="Times New Roman"/>
          <w:szCs w:val="24"/>
        </w:rPr>
      </w:pPr>
    </w:p>
    <w:p w:rsidR="00A73D65" w:rsidRPr="002452B7" w:rsidRDefault="00A82CCF" w:rsidP="00A73D65">
      <w:pPr>
        <w:ind w:firstLine="720"/>
        <w:rPr>
          <w:rFonts w:ascii="Times New Roman" w:hAnsi="Times New Roman"/>
          <w:szCs w:val="24"/>
        </w:rPr>
      </w:pPr>
      <w:r w:rsidRPr="00A82CCF">
        <w:rPr>
          <w:rFonts w:ascii="Times New Roman" w:hAnsi="Times New Roman"/>
          <w:szCs w:val="24"/>
        </w:rPr>
        <w:t>This question does not apply.</w:t>
      </w:r>
    </w:p>
    <w:p w:rsidR="00A73D65" w:rsidRPr="002452B7" w:rsidRDefault="00A73D65" w:rsidP="00A73D65">
      <w:pPr>
        <w:tabs>
          <w:tab w:val="left" w:pos="-720"/>
        </w:tabs>
        <w:suppressAutoHyphens/>
        <w:rPr>
          <w:rFonts w:ascii="Times New Roman" w:hAnsi="Times New Roman"/>
          <w:szCs w:val="24"/>
        </w:rPr>
      </w:pPr>
    </w:p>
    <w:p w:rsidR="00A73D65" w:rsidRPr="002452B7" w:rsidRDefault="00A82CCF" w:rsidP="00A73D65">
      <w:pPr>
        <w:pStyle w:val="ListParagraph"/>
        <w:numPr>
          <w:ilvl w:val="0"/>
          <w:numId w:val="1"/>
        </w:numPr>
        <w:tabs>
          <w:tab w:val="left" w:pos="-720"/>
          <w:tab w:val="left" w:pos="0"/>
        </w:tabs>
        <w:suppressAutoHyphens/>
        <w:rPr>
          <w:szCs w:val="24"/>
        </w:rPr>
      </w:pPr>
      <w:r w:rsidRPr="00A82CCF">
        <w:rPr>
          <w:szCs w:val="24"/>
          <w:u w:val="single"/>
        </w:rPr>
        <w:t>Explain each exception to the certification statement identified in Item 19, "Certification for Paperwork Reduction Act Submissions," of OMB Form 83-I</w:t>
      </w:r>
      <w:r w:rsidRPr="00A82CCF">
        <w:rPr>
          <w:szCs w:val="24"/>
        </w:rPr>
        <w:t>.</w:t>
      </w:r>
    </w:p>
    <w:p w:rsidR="00A73D65" w:rsidRPr="002452B7" w:rsidRDefault="00A73D65" w:rsidP="00A73D65">
      <w:pPr>
        <w:tabs>
          <w:tab w:val="left" w:pos="-720"/>
          <w:tab w:val="left" w:pos="0"/>
        </w:tabs>
        <w:suppressAutoHyphens/>
        <w:rPr>
          <w:rFonts w:ascii="Times New Roman" w:hAnsi="Times New Roman"/>
          <w:szCs w:val="24"/>
        </w:rPr>
      </w:pPr>
    </w:p>
    <w:p w:rsidR="00A73D65" w:rsidRPr="002452B7" w:rsidRDefault="00A82CCF" w:rsidP="00A73D65">
      <w:pPr>
        <w:tabs>
          <w:tab w:val="left" w:pos="-720"/>
          <w:tab w:val="left" w:pos="0"/>
        </w:tabs>
        <w:suppressAutoHyphens/>
        <w:rPr>
          <w:rFonts w:ascii="Times New Roman" w:hAnsi="Times New Roman"/>
          <w:szCs w:val="24"/>
        </w:rPr>
      </w:pPr>
      <w:r w:rsidRPr="00A82CCF">
        <w:rPr>
          <w:rFonts w:ascii="Times New Roman" w:hAnsi="Times New Roman"/>
          <w:szCs w:val="24"/>
        </w:rPr>
        <w:tab/>
        <w:t>There are no exceptions to the certification statement.  The Commission is able to certify compliance with the provisions of 5 CFR 1320.9.</w:t>
      </w:r>
    </w:p>
    <w:p w:rsidR="00A73D65" w:rsidRPr="002452B7" w:rsidRDefault="00A73D65" w:rsidP="00A73D65">
      <w:pPr>
        <w:rPr>
          <w:rFonts w:ascii="Times New Roman" w:hAnsi="Times New Roman"/>
          <w:szCs w:val="24"/>
        </w:rPr>
        <w:sectPr w:rsidR="00A73D65" w:rsidRPr="002452B7" w:rsidSect="00585718">
          <w:footerReference w:type="default" r:id="rId8"/>
          <w:pgSz w:w="12240" w:h="15840"/>
          <w:pgMar w:top="1440" w:right="1440" w:bottom="1440" w:left="1440" w:header="720" w:footer="720" w:gutter="0"/>
          <w:cols w:space="720"/>
          <w:docGrid w:linePitch="360"/>
        </w:sectPr>
      </w:pPr>
    </w:p>
    <w:p w:rsidR="00A73D65" w:rsidRPr="002452B7" w:rsidRDefault="00A82CCF" w:rsidP="00A73D65">
      <w:pPr>
        <w:pStyle w:val="Title"/>
        <w:spacing w:after="240"/>
        <w:rPr>
          <w:sz w:val="24"/>
          <w:szCs w:val="24"/>
        </w:rPr>
      </w:pPr>
      <w:r w:rsidRPr="00A82CCF">
        <w:rPr>
          <w:sz w:val="24"/>
          <w:szCs w:val="24"/>
        </w:rPr>
        <w:lastRenderedPageBreak/>
        <w:t>Attachment A</w:t>
      </w:r>
    </w:p>
    <w:p w:rsidR="00A73D65" w:rsidRPr="002452B7" w:rsidRDefault="00A82CCF" w:rsidP="00A73D65">
      <w:pPr>
        <w:pStyle w:val="Title"/>
        <w:tabs>
          <w:tab w:val="center" w:pos="7200"/>
        </w:tabs>
        <w:rPr>
          <w:sz w:val="24"/>
          <w:szCs w:val="24"/>
        </w:rPr>
      </w:pPr>
      <w:r w:rsidRPr="00A82CCF">
        <w:rPr>
          <w:sz w:val="24"/>
          <w:szCs w:val="24"/>
        </w:rPr>
        <w:t>13. Annual Reporting and Recordkeeping Hour Burden</w:t>
      </w:r>
    </w:p>
    <w:p w:rsidR="00A73D65" w:rsidRPr="002452B7" w:rsidRDefault="00A73D65" w:rsidP="00A73D65">
      <w:pPr>
        <w:pStyle w:val="Title"/>
        <w:tabs>
          <w:tab w:val="center" w:pos="7200"/>
        </w:tabs>
        <w:rPr>
          <w:sz w:val="24"/>
          <w:szCs w:val="24"/>
        </w:rPr>
      </w:pPr>
    </w:p>
    <w:p w:rsidR="00A73D65" w:rsidRPr="002452B7" w:rsidRDefault="00A82CCF" w:rsidP="00A73D65">
      <w:pPr>
        <w:pStyle w:val="Title"/>
        <w:spacing w:after="240"/>
        <w:rPr>
          <w:sz w:val="24"/>
          <w:szCs w:val="24"/>
        </w:rPr>
      </w:pPr>
      <w:r w:rsidRPr="00A82CCF">
        <w:rPr>
          <w:sz w:val="24"/>
          <w:szCs w:val="24"/>
        </w:rPr>
        <w:t>Part 20 – Large Trader Reporting for Physical Commodity Swaps</w:t>
      </w:r>
    </w:p>
    <w:p w:rsidR="00A73D65" w:rsidRPr="002452B7" w:rsidRDefault="00A82CCF" w:rsidP="00A73D65">
      <w:pPr>
        <w:pStyle w:val="Title"/>
        <w:spacing w:after="480"/>
        <w:rPr>
          <w:sz w:val="24"/>
          <w:szCs w:val="24"/>
        </w:rPr>
      </w:pPr>
      <w:r w:rsidRPr="00A82CCF">
        <w:rPr>
          <w:sz w:val="24"/>
          <w:szCs w:val="24"/>
        </w:rPr>
        <w:t>OMB Collection File 3038-NEW</w:t>
      </w:r>
    </w:p>
    <w:p w:rsidR="00A73D65" w:rsidRPr="002452B7" w:rsidRDefault="00A82CCF" w:rsidP="00A73D65">
      <w:pPr>
        <w:pStyle w:val="Title"/>
        <w:tabs>
          <w:tab w:val="center" w:pos="7200"/>
        </w:tabs>
        <w:spacing w:after="120"/>
        <w:ind w:left="1440"/>
        <w:jc w:val="left"/>
        <w:rPr>
          <w:b w:val="0"/>
          <w:sz w:val="24"/>
          <w:szCs w:val="24"/>
        </w:rPr>
      </w:pPr>
      <w:r w:rsidRPr="00A82CCF">
        <w:rPr>
          <w:b w:val="0"/>
          <w:sz w:val="24"/>
          <w:szCs w:val="24"/>
        </w:rPr>
        <w:t>Number of Respondents:</w:t>
      </w:r>
      <w:r w:rsidRPr="00A82CCF">
        <w:rPr>
          <w:b w:val="0"/>
          <w:sz w:val="24"/>
          <w:szCs w:val="24"/>
        </w:rPr>
        <w:tab/>
        <w:t xml:space="preserve">                                       705 reporting firms plus 500 recordkeeping firms</w:t>
      </w:r>
    </w:p>
    <w:p w:rsidR="00A73D65" w:rsidRPr="002452B7" w:rsidRDefault="00A82CCF" w:rsidP="00A73D65">
      <w:pPr>
        <w:pStyle w:val="Title"/>
        <w:tabs>
          <w:tab w:val="center" w:pos="7200"/>
        </w:tabs>
        <w:spacing w:after="120"/>
        <w:ind w:left="1440"/>
        <w:jc w:val="left"/>
        <w:rPr>
          <w:b w:val="0"/>
          <w:sz w:val="24"/>
          <w:szCs w:val="24"/>
        </w:rPr>
      </w:pPr>
      <w:r w:rsidRPr="00A82CCF">
        <w:rPr>
          <w:b w:val="0"/>
          <w:sz w:val="24"/>
          <w:szCs w:val="24"/>
        </w:rPr>
        <w:t xml:space="preserve">Estimated Average Hours </w:t>
      </w:r>
      <w:proofErr w:type="gramStart"/>
      <w:r w:rsidRPr="00A82CCF">
        <w:rPr>
          <w:b w:val="0"/>
          <w:sz w:val="24"/>
          <w:szCs w:val="24"/>
        </w:rPr>
        <w:t>Per</w:t>
      </w:r>
      <w:proofErr w:type="gramEnd"/>
      <w:r w:rsidRPr="00A82CCF">
        <w:rPr>
          <w:b w:val="0"/>
          <w:sz w:val="24"/>
          <w:szCs w:val="24"/>
        </w:rPr>
        <w:t xml:space="preserve"> Response:              1.58</w:t>
      </w:r>
    </w:p>
    <w:p w:rsidR="00A73D65" w:rsidRPr="002452B7" w:rsidRDefault="00A82CCF" w:rsidP="00A73D65">
      <w:pPr>
        <w:pStyle w:val="Title"/>
        <w:tabs>
          <w:tab w:val="center" w:pos="7200"/>
        </w:tabs>
        <w:spacing w:after="120"/>
        <w:ind w:left="1440"/>
        <w:jc w:val="left"/>
        <w:rPr>
          <w:b w:val="0"/>
          <w:sz w:val="24"/>
          <w:szCs w:val="24"/>
        </w:rPr>
      </w:pPr>
      <w:r w:rsidRPr="00A82CCF">
        <w:rPr>
          <w:b w:val="0"/>
          <w:sz w:val="24"/>
          <w:szCs w:val="24"/>
        </w:rPr>
        <w:t>% of Responses Collected Electronically:             93.3%</w:t>
      </w:r>
    </w:p>
    <w:p w:rsidR="00A73D65" w:rsidRPr="002452B7" w:rsidRDefault="00A82CCF" w:rsidP="00A73D65">
      <w:pPr>
        <w:pStyle w:val="Title"/>
        <w:tabs>
          <w:tab w:val="center" w:pos="7200"/>
        </w:tabs>
        <w:spacing w:after="120"/>
        <w:ind w:left="1440"/>
        <w:jc w:val="left"/>
        <w:rPr>
          <w:b w:val="0"/>
          <w:sz w:val="24"/>
          <w:szCs w:val="24"/>
        </w:rPr>
      </w:pPr>
      <w:r w:rsidRPr="00A82CCF">
        <w:rPr>
          <w:b w:val="0"/>
          <w:sz w:val="24"/>
          <w:szCs w:val="24"/>
        </w:rPr>
        <w:t>Estimated Labor Costs:                                          $5.9 million</w:t>
      </w:r>
    </w:p>
    <w:p w:rsidR="00A73D65" w:rsidRPr="002452B7" w:rsidRDefault="00A82CCF" w:rsidP="00A73D65">
      <w:pPr>
        <w:pStyle w:val="Title"/>
        <w:tabs>
          <w:tab w:val="center" w:pos="7200"/>
        </w:tabs>
        <w:spacing w:after="480"/>
        <w:ind w:left="6180" w:hanging="4740"/>
        <w:jc w:val="left"/>
        <w:rPr>
          <w:b w:val="0"/>
          <w:sz w:val="24"/>
          <w:szCs w:val="24"/>
        </w:rPr>
      </w:pPr>
      <w:r w:rsidRPr="00A82CCF">
        <w:rPr>
          <w:b w:val="0"/>
          <w:sz w:val="24"/>
          <w:szCs w:val="24"/>
        </w:rPr>
        <w:t xml:space="preserve">Frequency of Reporting: </w:t>
      </w:r>
      <w:r w:rsidRPr="00A82CCF">
        <w:rPr>
          <w:b w:val="0"/>
          <w:sz w:val="24"/>
          <w:szCs w:val="24"/>
        </w:rPr>
        <w:tab/>
        <w:t>Daily for respondents and on special call by the Commission for 40S and 102S filings</w:t>
      </w:r>
    </w:p>
    <w:tbl>
      <w:tblPr>
        <w:tblW w:w="13215" w:type="dxa"/>
        <w:tblInd w:w="93" w:type="dxa"/>
        <w:tblLayout w:type="fixed"/>
        <w:tblLook w:val="04A0"/>
      </w:tblPr>
      <w:tblGrid>
        <w:gridCol w:w="1467"/>
        <w:gridCol w:w="1428"/>
        <w:gridCol w:w="1216"/>
        <w:gridCol w:w="1304"/>
        <w:gridCol w:w="1388"/>
        <w:gridCol w:w="1310"/>
        <w:gridCol w:w="1262"/>
        <w:gridCol w:w="1065"/>
        <w:gridCol w:w="1358"/>
        <w:gridCol w:w="1417"/>
      </w:tblGrid>
      <w:tr w:rsidR="002E0DBA" w:rsidRPr="002452B7" w:rsidTr="002E0DBA">
        <w:trPr>
          <w:trHeight w:val="2700"/>
        </w:trPr>
        <w:tc>
          <w:tcPr>
            <w:tcW w:w="146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73D65" w:rsidRPr="002452B7" w:rsidRDefault="00A82CCF" w:rsidP="002E0DBA">
            <w:pPr>
              <w:jc w:val="center"/>
              <w:rPr>
                <w:rFonts w:ascii="Times New Roman" w:hAnsi="Times New Roman"/>
                <w:b/>
                <w:bCs/>
                <w:color w:val="000000"/>
                <w:szCs w:val="24"/>
              </w:rPr>
            </w:pPr>
            <w:r w:rsidRPr="00A82CCF">
              <w:rPr>
                <w:rFonts w:ascii="Times New Roman" w:hAnsi="Times New Roman"/>
                <w:b/>
                <w:bCs/>
                <w:color w:val="000000"/>
                <w:szCs w:val="24"/>
              </w:rPr>
              <w:t>Type of respondent</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rsidR="00A67278" w:rsidRDefault="00A82CCF">
            <w:pPr>
              <w:jc w:val="center"/>
              <w:rPr>
                <w:rFonts w:ascii="Times New Roman" w:hAnsi="Times New Roman"/>
                <w:b/>
                <w:bCs/>
                <w:color w:val="000000"/>
                <w:szCs w:val="24"/>
              </w:rPr>
            </w:pPr>
            <w:r w:rsidRPr="00A82CCF">
              <w:rPr>
                <w:rFonts w:ascii="Times New Roman" w:hAnsi="Times New Roman"/>
                <w:b/>
                <w:bCs/>
                <w:color w:val="000000"/>
                <w:szCs w:val="24"/>
              </w:rPr>
              <w:t>Applicable CFTC Regulation Section (17 CFR)</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A73D65" w:rsidRPr="002452B7" w:rsidRDefault="00A82CCF" w:rsidP="00306F7A">
            <w:pPr>
              <w:jc w:val="center"/>
              <w:rPr>
                <w:rFonts w:ascii="Times New Roman" w:hAnsi="Times New Roman"/>
                <w:b/>
                <w:bCs/>
                <w:color w:val="000000"/>
                <w:szCs w:val="24"/>
              </w:rPr>
            </w:pPr>
            <w:r w:rsidRPr="00A82CCF">
              <w:rPr>
                <w:rFonts w:ascii="Times New Roman" w:hAnsi="Times New Roman"/>
                <w:b/>
                <w:bCs/>
                <w:color w:val="000000"/>
                <w:szCs w:val="24"/>
              </w:rPr>
              <w:t xml:space="preserve">Total Number of </w:t>
            </w:r>
            <w:proofErr w:type="spellStart"/>
            <w:r w:rsidRPr="00A82CCF">
              <w:rPr>
                <w:rFonts w:ascii="Times New Roman" w:hAnsi="Times New Roman"/>
                <w:b/>
                <w:bCs/>
                <w:color w:val="000000"/>
                <w:szCs w:val="24"/>
              </w:rPr>
              <w:t>Respon</w:t>
            </w:r>
            <w:proofErr w:type="spellEnd"/>
            <w:r w:rsidRPr="00A82CCF">
              <w:rPr>
                <w:rFonts w:ascii="Times New Roman" w:hAnsi="Times New Roman"/>
                <w:b/>
                <w:bCs/>
                <w:color w:val="000000"/>
                <w:szCs w:val="24"/>
              </w:rPr>
              <w:t>-dents  (13(a))</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A73D65" w:rsidRPr="002452B7" w:rsidRDefault="00A82CCF" w:rsidP="002E0DBA">
            <w:pPr>
              <w:jc w:val="center"/>
              <w:rPr>
                <w:rFonts w:ascii="Times New Roman" w:hAnsi="Times New Roman"/>
                <w:b/>
                <w:bCs/>
                <w:color w:val="000000"/>
                <w:szCs w:val="24"/>
              </w:rPr>
            </w:pPr>
            <w:r w:rsidRPr="00A82CCF">
              <w:rPr>
                <w:rFonts w:ascii="Times New Roman" w:hAnsi="Times New Roman"/>
                <w:b/>
                <w:bCs/>
                <w:color w:val="000000"/>
                <w:szCs w:val="24"/>
              </w:rPr>
              <w:t>Total Annual Responses (13(b))</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A73D65" w:rsidRPr="002452B7" w:rsidRDefault="00A82CCF" w:rsidP="002E0DBA">
            <w:pPr>
              <w:jc w:val="center"/>
              <w:rPr>
                <w:rFonts w:ascii="Times New Roman" w:hAnsi="Times New Roman"/>
                <w:b/>
                <w:bCs/>
                <w:color w:val="000000"/>
                <w:szCs w:val="24"/>
              </w:rPr>
            </w:pPr>
            <w:r w:rsidRPr="00A82CCF">
              <w:rPr>
                <w:rFonts w:ascii="Times New Roman" w:hAnsi="Times New Roman"/>
                <w:b/>
                <w:bCs/>
                <w:color w:val="000000"/>
                <w:szCs w:val="24"/>
              </w:rPr>
              <w:t xml:space="preserve">Percentage of Responses Collected </w:t>
            </w:r>
            <w:proofErr w:type="spellStart"/>
            <w:r w:rsidRPr="00A82CCF">
              <w:rPr>
                <w:rFonts w:ascii="Times New Roman" w:hAnsi="Times New Roman"/>
                <w:b/>
                <w:bCs/>
                <w:color w:val="000000"/>
                <w:szCs w:val="24"/>
              </w:rPr>
              <w:t>Electroni-cally</w:t>
            </w:r>
            <w:proofErr w:type="spellEnd"/>
            <w:r w:rsidRPr="00A82CCF">
              <w:rPr>
                <w:rFonts w:ascii="Times New Roman" w:hAnsi="Times New Roman"/>
                <w:b/>
                <w:bCs/>
                <w:color w:val="000000"/>
                <w:szCs w:val="24"/>
              </w:rPr>
              <w:t xml:space="preserve"> (13(b)(1))</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rsidR="00A73D65" w:rsidRPr="002452B7" w:rsidRDefault="00A82CCF" w:rsidP="002E0DBA">
            <w:pPr>
              <w:jc w:val="center"/>
              <w:rPr>
                <w:rFonts w:ascii="Times New Roman" w:hAnsi="Times New Roman"/>
                <w:b/>
                <w:bCs/>
                <w:color w:val="000000"/>
                <w:szCs w:val="24"/>
              </w:rPr>
            </w:pPr>
            <w:r w:rsidRPr="00A82CCF">
              <w:rPr>
                <w:rFonts w:ascii="Times New Roman" w:hAnsi="Times New Roman"/>
                <w:b/>
                <w:bCs/>
                <w:color w:val="000000"/>
                <w:szCs w:val="24"/>
              </w:rPr>
              <w:t>Total Annual Hours Requested  (13(c))</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A73D65" w:rsidRPr="002452B7" w:rsidRDefault="00A82CCF" w:rsidP="002E0DBA">
            <w:pPr>
              <w:jc w:val="center"/>
              <w:rPr>
                <w:rFonts w:ascii="Times New Roman" w:hAnsi="Times New Roman"/>
                <w:b/>
                <w:bCs/>
                <w:color w:val="000000"/>
                <w:szCs w:val="24"/>
              </w:rPr>
            </w:pPr>
            <w:r w:rsidRPr="00A82CCF">
              <w:rPr>
                <w:rFonts w:ascii="Times New Roman" w:hAnsi="Times New Roman"/>
                <w:b/>
                <w:bCs/>
                <w:color w:val="000000"/>
                <w:szCs w:val="24"/>
              </w:rPr>
              <w:t>Current OMB Inventory (13(d))</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A73D65" w:rsidRPr="002452B7" w:rsidRDefault="00A82CCF" w:rsidP="002E0DBA">
            <w:pPr>
              <w:jc w:val="center"/>
              <w:rPr>
                <w:rFonts w:ascii="Times New Roman" w:hAnsi="Times New Roman"/>
                <w:b/>
                <w:bCs/>
                <w:color w:val="000000"/>
                <w:szCs w:val="24"/>
              </w:rPr>
            </w:pPr>
            <w:r w:rsidRPr="00A82CCF">
              <w:rPr>
                <w:rFonts w:ascii="Times New Roman" w:hAnsi="Times New Roman"/>
                <w:b/>
                <w:bCs/>
                <w:color w:val="000000"/>
                <w:szCs w:val="24"/>
              </w:rPr>
              <w:t>Differ-</w:t>
            </w:r>
            <w:proofErr w:type="spellStart"/>
            <w:r w:rsidRPr="00A82CCF">
              <w:rPr>
                <w:rFonts w:ascii="Times New Roman" w:hAnsi="Times New Roman"/>
                <w:b/>
                <w:bCs/>
                <w:color w:val="000000"/>
                <w:szCs w:val="24"/>
              </w:rPr>
              <w:t>ence</w:t>
            </w:r>
            <w:proofErr w:type="spellEnd"/>
            <w:r w:rsidRPr="00A82CCF">
              <w:rPr>
                <w:rFonts w:ascii="Times New Roman" w:hAnsi="Times New Roman"/>
                <w:b/>
                <w:bCs/>
                <w:color w:val="000000"/>
                <w:szCs w:val="24"/>
              </w:rPr>
              <w:t xml:space="preserve"> (13(e))</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rsidR="00A73D65" w:rsidRPr="002452B7" w:rsidRDefault="00A82CCF" w:rsidP="002E0DBA">
            <w:pPr>
              <w:jc w:val="center"/>
              <w:rPr>
                <w:rFonts w:ascii="Times New Roman" w:hAnsi="Times New Roman"/>
                <w:b/>
                <w:bCs/>
                <w:color w:val="000000"/>
                <w:szCs w:val="24"/>
              </w:rPr>
            </w:pPr>
            <w:proofErr w:type="spellStart"/>
            <w:r w:rsidRPr="00A82CCF">
              <w:rPr>
                <w:rFonts w:ascii="Times New Roman" w:hAnsi="Times New Roman"/>
                <w:b/>
                <w:bCs/>
                <w:color w:val="000000"/>
                <w:szCs w:val="24"/>
              </w:rPr>
              <w:t>Explana-tion</w:t>
            </w:r>
            <w:proofErr w:type="spellEnd"/>
            <w:r w:rsidRPr="00A82CCF">
              <w:rPr>
                <w:rFonts w:ascii="Times New Roman" w:hAnsi="Times New Roman"/>
                <w:b/>
                <w:bCs/>
                <w:color w:val="000000"/>
                <w:szCs w:val="24"/>
              </w:rPr>
              <w:t xml:space="preserve"> of difference Program Change - Program Change (13(f)(1))</w:t>
            </w:r>
          </w:p>
        </w:tc>
        <w:tc>
          <w:tcPr>
            <w:tcW w:w="1417" w:type="dxa"/>
            <w:tcBorders>
              <w:top w:val="single" w:sz="4" w:space="0" w:color="auto"/>
              <w:left w:val="nil"/>
              <w:bottom w:val="single" w:sz="4" w:space="0" w:color="auto"/>
              <w:right w:val="single" w:sz="8" w:space="0" w:color="auto"/>
            </w:tcBorders>
            <w:shd w:val="clear" w:color="auto" w:fill="auto"/>
            <w:vAlign w:val="center"/>
            <w:hideMark/>
          </w:tcPr>
          <w:p w:rsidR="00A73D65" w:rsidRPr="002452B7" w:rsidRDefault="00A82CCF" w:rsidP="002E0DBA">
            <w:pPr>
              <w:jc w:val="center"/>
              <w:rPr>
                <w:rFonts w:ascii="Times New Roman" w:hAnsi="Times New Roman"/>
                <w:b/>
                <w:bCs/>
                <w:color w:val="000000"/>
                <w:szCs w:val="24"/>
              </w:rPr>
            </w:pPr>
            <w:r w:rsidRPr="00A82CCF">
              <w:rPr>
                <w:rFonts w:ascii="Times New Roman" w:hAnsi="Times New Roman"/>
                <w:b/>
                <w:bCs/>
                <w:color w:val="000000"/>
                <w:szCs w:val="24"/>
              </w:rPr>
              <w:t>Total Annualized Labor Costs</w:t>
            </w:r>
          </w:p>
        </w:tc>
      </w:tr>
      <w:tr w:rsidR="002E0DBA" w:rsidRPr="002452B7" w:rsidTr="002E0DBA">
        <w:trPr>
          <w:trHeight w:val="900"/>
        </w:trPr>
        <w:tc>
          <w:tcPr>
            <w:tcW w:w="1467" w:type="dxa"/>
            <w:tcBorders>
              <w:top w:val="nil"/>
              <w:left w:val="single" w:sz="8" w:space="0" w:color="auto"/>
              <w:bottom w:val="single" w:sz="4" w:space="0" w:color="auto"/>
              <w:right w:val="single" w:sz="4" w:space="0" w:color="auto"/>
            </w:tcBorders>
            <w:shd w:val="clear" w:color="auto" w:fill="auto"/>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 xml:space="preserve">Clearing organization reports </w:t>
            </w:r>
          </w:p>
        </w:tc>
        <w:tc>
          <w:tcPr>
            <w:tcW w:w="1428" w:type="dxa"/>
            <w:tcBorders>
              <w:top w:val="nil"/>
              <w:left w:val="nil"/>
              <w:bottom w:val="single" w:sz="4" w:space="0" w:color="auto"/>
              <w:right w:val="single" w:sz="4" w:space="0" w:color="auto"/>
            </w:tcBorders>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20.3</w:t>
            </w:r>
          </w:p>
        </w:tc>
        <w:tc>
          <w:tcPr>
            <w:tcW w:w="1216" w:type="dxa"/>
            <w:tcBorders>
              <w:top w:val="nil"/>
              <w:left w:val="nil"/>
              <w:bottom w:val="single" w:sz="4" w:space="0" w:color="auto"/>
              <w:right w:val="single" w:sz="4" w:space="0" w:color="auto"/>
            </w:tcBorders>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5</w:t>
            </w:r>
          </w:p>
        </w:tc>
        <w:tc>
          <w:tcPr>
            <w:tcW w:w="1304" w:type="dxa"/>
            <w:tcBorders>
              <w:top w:val="nil"/>
              <w:left w:val="nil"/>
              <w:bottom w:val="single" w:sz="4" w:space="0" w:color="auto"/>
              <w:right w:val="single" w:sz="4" w:space="0" w:color="auto"/>
            </w:tcBorders>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1250</w:t>
            </w:r>
          </w:p>
        </w:tc>
        <w:tc>
          <w:tcPr>
            <w:tcW w:w="1388"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100.0%</w:t>
            </w:r>
          </w:p>
        </w:tc>
        <w:tc>
          <w:tcPr>
            <w:tcW w:w="1310"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937.5</w:t>
            </w:r>
          </w:p>
        </w:tc>
        <w:tc>
          <w:tcPr>
            <w:tcW w:w="1262"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0</w:t>
            </w:r>
          </w:p>
        </w:tc>
        <w:tc>
          <w:tcPr>
            <w:tcW w:w="1065"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937.5</w:t>
            </w:r>
          </w:p>
        </w:tc>
        <w:tc>
          <w:tcPr>
            <w:tcW w:w="1358"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937.5</w:t>
            </w:r>
          </w:p>
        </w:tc>
        <w:tc>
          <w:tcPr>
            <w:tcW w:w="1417" w:type="dxa"/>
            <w:tcBorders>
              <w:top w:val="nil"/>
              <w:left w:val="nil"/>
              <w:bottom w:val="single" w:sz="4" w:space="0" w:color="auto"/>
              <w:right w:val="single" w:sz="8"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$69,715</w:t>
            </w:r>
          </w:p>
        </w:tc>
      </w:tr>
      <w:tr w:rsidR="002E0DBA" w:rsidRPr="002452B7" w:rsidTr="002E0DBA">
        <w:trPr>
          <w:trHeight w:val="1500"/>
        </w:trPr>
        <w:tc>
          <w:tcPr>
            <w:tcW w:w="1467" w:type="dxa"/>
            <w:tcBorders>
              <w:top w:val="nil"/>
              <w:left w:val="single" w:sz="8" w:space="0" w:color="auto"/>
              <w:bottom w:val="single" w:sz="4" w:space="0" w:color="auto"/>
              <w:right w:val="single" w:sz="4" w:space="0" w:color="auto"/>
            </w:tcBorders>
            <w:shd w:val="clear" w:color="auto" w:fill="auto"/>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lastRenderedPageBreak/>
              <w:t>Clearing member reporting entity reports</w:t>
            </w:r>
          </w:p>
        </w:tc>
        <w:tc>
          <w:tcPr>
            <w:tcW w:w="1428" w:type="dxa"/>
            <w:tcBorders>
              <w:top w:val="nil"/>
              <w:left w:val="nil"/>
              <w:bottom w:val="single" w:sz="4" w:space="0" w:color="auto"/>
              <w:right w:val="single" w:sz="4" w:space="0" w:color="auto"/>
            </w:tcBorders>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20.4</w:t>
            </w:r>
          </w:p>
        </w:tc>
        <w:tc>
          <w:tcPr>
            <w:tcW w:w="1216" w:type="dxa"/>
            <w:tcBorders>
              <w:top w:val="nil"/>
              <w:left w:val="nil"/>
              <w:bottom w:val="single" w:sz="4" w:space="0" w:color="auto"/>
              <w:right w:val="single" w:sz="4" w:space="0" w:color="auto"/>
            </w:tcBorders>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100</w:t>
            </w:r>
          </w:p>
        </w:tc>
        <w:tc>
          <w:tcPr>
            <w:tcW w:w="1304" w:type="dxa"/>
            <w:tcBorders>
              <w:top w:val="nil"/>
              <w:left w:val="nil"/>
              <w:bottom w:val="single" w:sz="4" w:space="0" w:color="auto"/>
              <w:right w:val="single" w:sz="4" w:space="0" w:color="auto"/>
            </w:tcBorders>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25000</w:t>
            </w:r>
          </w:p>
        </w:tc>
        <w:tc>
          <w:tcPr>
            <w:tcW w:w="1388"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100.0%</w:t>
            </w:r>
          </w:p>
        </w:tc>
        <w:tc>
          <w:tcPr>
            <w:tcW w:w="1310"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25000</w:t>
            </w:r>
          </w:p>
        </w:tc>
        <w:tc>
          <w:tcPr>
            <w:tcW w:w="1262"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0</w:t>
            </w:r>
          </w:p>
        </w:tc>
        <w:tc>
          <w:tcPr>
            <w:tcW w:w="1065"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25000</w:t>
            </w:r>
          </w:p>
        </w:tc>
        <w:tc>
          <w:tcPr>
            <w:tcW w:w="1358"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25000</w:t>
            </w:r>
          </w:p>
        </w:tc>
        <w:tc>
          <w:tcPr>
            <w:tcW w:w="1417" w:type="dxa"/>
            <w:tcBorders>
              <w:top w:val="nil"/>
              <w:left w:val="nil"/>
              <w:bottom w:val="single" w:sz="4" w:space="0" w:color="auto"/>
              <w:right w:val="single" w:sz="8"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$1,859,076</w:t>
            </w:r>
          </w:p>
        </w:tc>
      </w:tr>
      <w:tr w:rsidR="002E0DBA" w:rsidRPr="002452B7" w:rsidTr="002E0DBA">
        <w:trPr>
          <w:trHeight w:val="1800"/>
        </w:trPr>
        <w:tc>
          <w:tcPr>
            <w:tcW w:w="1467" w:type="dxa"/>
            <w:tcBorders>
              <w:top w:val="nil"/>
              <w:left w:val="single" w:sz="8" w:space="0" w:color="auto"/>
              <w:bottom w:val="single" w:sz="4" w:space="0" w:color="auto"/>
              <w:right w:val="single" w:sz="4" w:space="0" w:color="auto"/>
            </w:tcBorders>
            <w:shd w:val="clear" w:color="auto" w:fill="auto"/>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Swap dealer non-clearing member reporting entity reports</w:t>
            </w:r>
          </w:p>
        </w:tc>
        <w:tc>
          <w:tcPr>
            <w:tcW w:w="1428" w:type="dxa"/>
            <w:tcBorders>
              <w:top w:val="nil"/>
              <w:left w:val="nil"/>
              <w:bottom w:val="single" w:sz="4" w:space="0" w:color="auto"/>
              <w:right w:val="single" w:sz="4" w:space="0" w:color="auto"/>
            </w:tcBorders>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20.4</w:t>
            </w:r>
          </w:p>
        </w:tc>
        <w:tc>
          <w:tcPr>
            <w:tcW w:w="1216" w:type="dxa"/>
            <w:tcBorders>
              <w:top w:val="nil"/>
              <w:left w:val="nil"/>
              <w:bottom w:val="single" w:sz="4" w:space="0" w:color="auto"/>
              <w:right w:val="single" w:sz="4" w:space="0" w:color="auto"/>
            </w:tcBorders>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100</w:t>
            </w:r>
          </w:p>
        </w:tc>
        <w:tc>
          <w:tcPr>
            <w:tcW w:w="1304" w:type="dxa"/>
            <w:tcBorders>
              <w:top w:val="nil"/>
              <w:left w:val="nil"/>
              <w:bottom w:val="single" w:sz="4" w:space="0" w:color="auto"/>
              <w:right w:val="single" w:sz="4" w:space="0" w:color="auto"/>
            </w:tcBorders>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25000</w:t>
            </w:r>
          </w:p>
        </w:tc>
        <w:tc>
          <w:tcPr>
            <w:tcW w:w="1388"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100.0%</w:t>
            </w:r>
          </w:p>
        </w:tc>
        <w:tc>
          <w:tcPr>
            <w:tcW w:w="1310"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37500</w:t>
            </w:r>
          </w:p>
        </w:tc>
        <w:tc>
          <w:tcPr>
            <w:tcW w:w="1262"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0</w:t>
            </w:r>
          </w:p>
        </w:tc>
        <w:tc>
          <w:tcPr>
            <w:tcW w:w="1065"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37500</w:t>
            </w:r>
          </w:p>
        </w:tc>
        <w:tc>
          <w:tcPr>
            <w:tcW w:w="1358"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37500</w:t>
            </w:r>
          </w:p>
        </w:tc>
        <w:tc>
          <w:tcPr>
            <w:tcW w:w="1417" w:type="dxa"/>
            <w:tcBorders>
              <w:top w:val="nil"/>
              <w:left w:val="nil"/>
              <w:bottom w:val="single" w:sz="4" w:space="0" w:color="auto"/>
              <w:right w:val="single" w:sz="8"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$2,788,614</w:t>
            </w:r>
          </w:p>
        </w:tc>
      </w:tr>
      <w:tr w:rsidR="002E0DBA" w:rsidRPr="002452B7" w:rsidTr="002E0DBA">
        <w:trPr>
          <w:trHeight w:val="300"/>
        </w:trPr>
        <w:tc>
          <w:tcPr>
            <w:tcW w:w="1467" w:type="dxa"/>
            <w:tcBorders>
              <w:top w:val="nil"/>
              <w:left w:val="single" w:sz="8" w:space="0" w:color="auto"/>
              <w:bottom w:val="single" w:sz="4" w:space="0" w:color="auto"/>
              <w:right w:val="single" w:sz="4" w:space="0" w:color="auto"/>
            </w:tcBorders>
            <w:shd w:val="clear" w:color="auto" w:fill="auto"/>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 </w:t>
            </w:r>
          </w:p>
        </w:tc>
        <w:tc>
          <w:tcPr>
            <w:tcW w:w="1428" w:type="dxa"/>
            <w:tcBorders>
              <w:top w:val="nil"/>
              <w:left w:val="nil"/>
              <w:bottom w:val="single" w:sz="4" w:space="0" w:color="auto"/>
              <w:right w:val="single" w:sz="4" w:space="0" w:color="auto"/>
            </w:tcBorders>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 </w:t>
            </w:r>
          </w:p>
        </w:tc>
        <w:tc>
          <w:tcPr>
            <w:tcW w:w="1216" w:type="dxa"/>
            <w:tcBorders>
              <w:top w:val="nil"/>
              <w:left w:val="nil"/>
              <w:bottom w:val="single" w:sz="4" w:space="0" w:color="auto"/>
              <w:right w:val="single" w:sz="4" w:space="0" w:color="auto"/>
            </w:tcBorders>
            <w:shd w:val="clear" w:color="auto" w:fill="auto"/>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 </w:t>
            </w:r>
          </w:p>
        </w:tc>
        <w:tc>
          <w:tcPr>
            <w:tcW w:w="1304" w:type="dxa"/>
            <w:tcBorders>
              <w:top w:val="nil"/>
              <w:left w:val="nil"/>
              <w:bottom w:val="single" w:sz="4" w:space="0" w:color="auto"/>
              <w:right w:val="single" w:sz="4" w:space="0" w:color="auto"/>
            </w:tcBorders>
            <w:shd w:val="clear" w:color="auto" w:fill="auto"/>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 </w:t>
            </w:r>
          </w:p>
        </w:tc>
        <w:tc>
          <w:tcPr>
            <w:tcW w:w="1388"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 </w:t>
            </w:r>
          </w:p>
        </w:tc>
        <w:tc>
          <w:tcPr>
            <w:tcW w:w="1310"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 </w:t>
            </w:r>
          </w:p>
        </w:tc>
        <w:tc>
          <w:tcPr>
            <w:tcW w:w="1262"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 </w:t>
            </w:r>
          </w:p>
        </w:tc>
        <w:tc>
          <w:tcPr>
            <w:tcW w:w="1065"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 </w:t>
            </w:r>
          </w:p>
        </w:tc>
        <w:tc>
          <w:tcPr>
            <w:tcW w:w="1358"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 </w:t>
            </w:r>
          </w:p>
        </w:tc>
        <w:tc>
          <w:tcPr>
            <w:tcW w:w="1417" w:type="dxa"/>
            <w:tcBorders>
              <w:top w:val="nil"/>
              <w:left w:val="nil"/>
              <w:bottom w:val="single" w:sz="4" w:space="0" w:color="auto"/>
              <w:right w:val="single" w:sz="8" w:space="0" w:color="auto"/>
            </w:tcBorders>
            <w:shd w:val="clear" w:color="auto" w:fill="auto"/>
            <w:noWrap/>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 </w:t>
            </w:r>
          </w:p>
        </w:tc>
      </w:tr>
      <w:tr w:rsidR="002E0DBA" w:rsidRPr="002452B7" w:rsidTr="002E0DBA">
        <w:trPr>
          <w:trHeight w:val="1200"/>
        </w:trPr>
        <w:tc>
          <w:tcPr>
            <w:tcW w:w="1467" w:type="dxa"/>
            <w:tcBorders>
              <w:top w:val="nil"/>
              <w:left w:val="single" w:sz="8" w:space="0" w:color="auto"/>
              <w:bottom w:val="single" w:sz="4" w:space="0" w:color="auto"/>
              <w:right w:val="single" w:sz="4" w:space="0" w:color="auto"/>
            </w:tcBorders>
            <w:shd w:val="clear" w:color="auto" w:fill="auto"/>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Clearing organization recordkeeping</w:t>
            </w:r>
          </w:p>
        </w:tc>
        <w:tc>
          <w:tcPr>
            <w:tcW w:w="1428" w:type="dxa"/>
            <w:tcBorders>
              <w:top w:val="nil"/>
              <w:left w:val="nil"/>
              <w:bottom w:val="single" w:sz="4" w:space="0" w:color="auto"/>
              <w:right w:val="single" w:sz="4" w:space="0" w:color="auto"/>
            </w:tcBorders>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20.6(a)</w:t>
            </w:r>
          </w:p>
        </w:tc>
        <w:tc>
          <w:tcPr>
            <w:tcW w:w="1216" w:type="dxa"/>
            <w:tcBorders>
              <w:top w:val="nil"/>
              <w:left w:val="nil"/>
              <w:bottom w:val="single" w:sz="4" w:space="0" w:color="auto"/>
              <w:right w:val="single" w:sz="4" w:space="0" w:color="auto"/>
            </w:tcBorders>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5</w:t>
            </w:r>
          </w:p>
        </w:tc>
        <w:tc>
          <w:tcPr>
            <w:tcW w:w="1304" w:type="dxa"/>
            <w:tcBorders>
              <w:top w:val="nil"/>
              <w:left w:val="nil"/>
              <w:bottom w:val="single" w:sz="4" w:space="0" w:color="auto"/>
              <w:right w:val="single" w:sz="4" w:space="0" w:color="auto"/>
            </w:tcBorders>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5</w:t>
            </w:r>
          </w:p>
        </w:tc>
        <w:tc>
          <w:tcPr>
            <w:tcW w:w="1388"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100.0%</w:t>
            </w:r>
          </w:p>
        </w:tc>
        <w:tc>
          <w:tcPr>
            <w:tcW w:w="1310"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100</w:t>
            </w:r>
          </w:p>
        </w:tc>
        <w:tc>
          <w:tcPr>
            <w:tcW w:w="1262"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0</w:t>
            </w:r>
          </w:p>
        </w:tc>
        <w:tc>
          <w:tcPr>
            <w:tcW w:w="1065"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100</w:t>
            </w:r>
          </w:p>
        </w:tc>
        <w:tc>
          <w:tcPr>
            <w:tcW w:w="1358"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100</w:t>
            </w:r>
          </w:p>
        </w:tc>
        <w:tc>
          <w:tcPr>
            <w:tcW w:w="1417" w:type="dxa"/>
            <w:tcBorders>
              <w:top w:val="nil"/>
              <w:left w:val="nil"/>
              <w:bottom w:val="single" w:sz="4" w:space="0" w:color="auto"/>
              <w:right w:val="single" w:sz="8"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$7,436</w:t>
            </w:r>
          </w:p>
        </w:tc>
      </w:tr>
      <w:tr w:rsidR="002E0DBA" w:rsidRPr="002452B7" w:rsidTr="002E0DBA">
        <w:trPr>
          <w:trHeight w:val="1800"/>
        </w:trPr>
        <w:tc>
          <w:tcPr>
            <w:tcW w:w="1467" w:type="dxa"/>
            <w:tcBorders>
              <w:top w:val="nil"/>
              <w:left w:val="single" w:sz="8" w:space="0" w:color="auto"/>
              <w:bottom w:val="single" w:sz="4" w:space="0" w:color="auto"/>
              <w:right w:val="single" w:sz="4" w:space="0" w:color="auto"/>
            </w:tcBorders>
            <w:shd w:val="clear" w:color="auto" w:fill="auto"/>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Clearing member reporting entity recordkeeping</w:t>
            </w:r>
          </w:p>
        </w:tc>
        <w:tc>
          <w:tcPr>
            <w:tcW w:w="1428" w:type="dxa"/>
            <w:tcBorders>
              <w:top w:val="nil"/>
              <w:left w:val="nil"/>
              <w:bottom w:val="single" w:sz="4" w:space="0" w:color="auto"/>
              <w:right w:val="single" w:sz="4" w:space="0" w:color="auto"/>
            </w:tcBorders>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20.6(b)</w:t>
            </w:r>
          </w:p>
        </w:tc>
        <w:tc>
          <w:tcPr>
            <w:tcW w:w="1216" w:type="dxa"/>
            <w:tcBorders>
              <w:top w:val="nil"/>
              <w:left w:val="nil"/>
              <w:bottom w:val="single" w:sz="4" w:space="0" w:color="auto"/>
              <w:right w:val="single" w:sz="4" w:space="0" w:color="auto"/>
            </w:tcBorders>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100</w:t>
            </w:r>
          </w:p>
        </w:tc>
        <w:tc>
          <w:tcPr>
            <w:tcW w:w="1304" w:type="dxa"/>
            <w:tcBorders>
              <w:top w:val="nil"/>
              <w:left w:val="nil"/>
              <w:bottom w:val="single" w:sz="4" w:space="0" w:color="auto"/>
              <w:right w:val="single" w:sz="4" w:space="0" w:color="auto"/>
            </w:tcBorders>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100</w:t>
            </w:r>
          </w:p>
        </w:tc>
        <w:tc>
          <w:tcPr>
            <w:tcW w:w="1388"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100.0%</w:t>
            </w:r>
          </w:p>
        </w:tc>
        <w:tc>
          <w:tcPr>
            <w:tcW w:w="1310"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2000</w:t>
            </w:r>
          </w:p>
        </w:tc>
        <w:tc>
          <w:tcPr>
            <w:tcW w:w="1262"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0</w:t>
            </w:r>
          </w:p>
        </w:tc>
        <w:tc>
          <w:tcPr>
            <w:tcW w:w="1065"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2000</w:t>
            </w:r>
          </w:p>
        </w:tc>
        <w:tc>
          <w:tcPr>
            <w:tcW w:w="1358"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2000</w:t>
            </w:r>
          </w:p>
        </w:tc>
        <w:tc>
          <w:tcPr>
            <w:tcW w:w="1417" w:type="dxa"/>
            <w:tcBorders>
              <w:top w:val="nil"/>
              <w:left w:val="nil"/>
              <w:bottom w:val="single" w:sz="4" w:space="0" w:color="auto"/>
              <w:right w:val="single" w:sz="8"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$148,726</w:t>
            </w:r>
          </w:p>
        </w:tc>
      </w:tr>
      <w:tr w:rsidR="002E0DBA" w:rsidRPr="002452B7" w:rsidTr="002E0DBA">
        <w:trPr>
          <w:trHeight w:val="2100"/>
        </w:trPr>
        <w:tc>
          <w:tcPr>
            <w:tcW w:w="1467" w:type="dxa"/>
            <w:tcBorders>
              <w:top w:val="nil"/>
              <w:left w:val="single" w:sz="8" w:space="0" w:color="auto"/>
              <w:bottom w:val="single" w:sz="4" w:space="0" w:color="auto"/>
              <w:right w:val="single" w:sz="4" w:space="0" w:color="auto"/>
            </w:tcBorders>
            <w:shd w:val="clear" w:color="auto" w:fill="auto"/>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Swap dealer non-clearing member reporting entity recordkeeping</w:t>
            </w:r>
          </w:p>
        </w:tc>
        <w:tc>
          <w:tcPr>
            <w:tcW w:w="1428" w:type="dxa"/>
            <w:tcBorders>
              <w:top w:val="nil"/>
              <w:left w:val="nil"/>
              <w:bottom w:val="single" w:sz="4" w:space="0" w:color="auto"/>
              <w:right w:val="single" w:sz="4" w:space="0" w:color="auto"/>
            </w:tcBorders>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20.6(b)</w:t>
            </w:r>
          </w:p>
        </w:tc>
        <w:tc>
          <w:tcPr>
            <w:tcW w:w="1216" w:type="dxa"/>
            <w:tcBorders>
              <w:top w:val="nil"/>
              <w:left w:val="nil"/>
              <w:bottom w:val="single" w:sz="4" w:space="0" w:color="auto"/>
              <w:right w:val="single" w:sz="4" w:space="0" w:color="auto"/>
            </w:tcBorders>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100</w:t>
            </w:r>
          </w:p>
        </w:tc>
        <w:tc>
          <w:tcPr>
            <w:tcW w:w="1304" w:type="dxa"/>
            <w:tcBorders>
              <w:top w:val="nil"/>
              <w:left w:val="nil"/>
              <w:bottom w:val="single" w:sz="4" w:space="0" w:color="auto"/>
              <w:right w:val="single" w:sz="4" w:space="0" w:color="auto"/>
            </w:tcBorders>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100</w:t>
            </w:r>
          </w:p>
        </w:tc>
        <w:tc>
          <w:tcPr>
            <w:tcW w:w="1388"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100.0%</w:t>
            </w:r>
          </w:p>
        </w:tc>
        <w:tc>
          <w:tcPr>
            <w:tcW w:w="1310"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2000</w:t>
            </w:r>
          </w:p>
        </w:tc>
        <w:tc>
          <w:tcPr>
            <w:tcW w:w="1262"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0</w:t>
            </w:r>
          </w:p>
        </w:tc>
        <w:tc>
          <w:tcPr>
            <w:tcW w:w="1065"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2000</w:t>
            </w:r>
          </w:p>
        </w:tc>
        <w:tc>
          <w:tcPr>
            <w:tcW w:w="1358"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2000</w:t>
            </w:r>
          </w:p>
        </w:tc>
        <w:tc>
          <w:tcPr>
            <w:tcW w:w="1417" w:type="dxa"/>
            <w:tcBorders>
              <w:top w:val="nil"/>
              <w:left w:val="nil"/>
              <w:bottom w:val="single" w:sz="4" w:space="0" w:color="auto"/>
              <w:right w:val="single" w:sz="8"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$148,726</w:t>
            </w:r>
          </w:p>
        </w:tc>
      </w:tr>
      <w:tr w:rsidR="002E0DBA" w:rsidRPr="002452B7" w:rsidTr="002E0DBA">
        <w:trPr>
          <w:trHeight w:val="1800"/>
        </w:trPr>
        <w:tc>
          <w:tcPr>
            <w:tcW w:w="1467" w:type="dxa"/>
            <w:tcBorders>
              <w:top w:val="nil"/>
              <w:left w:val="single" w:sz="8" w:space="0" w:color="auto"/>
              <w:bottom w:val="single" w:sz="4" w:space="0" w:color="auto"/>
              <w:right w:val="single" w:sz="4" w:space="0" w:color="auto"/>
            </w:tcBorders>
            <w:shd w:val="clear" w:color="auto" w:fill="auto"/>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lastRenderedPageBreak/>
              <w:t>Large swap traders</w:t>
            </w:r>
          </w:p>
        </w:tc>
        <w:tc>
          <w:tcPr>
            <w:tcW w:w="1428" w:type="dxa"/>
            <w:tcBorders>
              <w:top w:val="nil"/>
              <w:left w:val="nil"/>
              <w:bottom w:val="single" w:sz="4" w:space="0" w:color="auto"/>
              <w:right w:val="single" w:sz="4" w:space="0" w:color="auto"/>
            </w:tcBorders>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20.6(b)</w:t>
            </w:r>
          </w:p>
        </w:tc>
        <w:tc>
          <w:tcPr>
            <w:tcW w:w="1216" w:type="dxa"/>
            <w:tcBorders>
              <w:top w:val="nil"/>
              <w:left w:val="nil"/>
              <w:bottom w:val="single" w:sz="4" w:space="0" w:color="auto"/>
              <w:right w:val="single" w:sz="4" w:space="0" w:color="auto"/>
            </w:tcBorders>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500</w:t>
            </w:r>
          </w:p>
        </w:tc>
        <w:tc>
          <w:tcPr>
            <w:tcW w:w="1304" w:type="dxa"/>
            <w:tcBorders>
              <w:top w:val="nil"/>
              <w:left w:val="nil"/>
              <w:bottom w:val="single" w:sz="4" w:space="0" w:color="auto"/>
              <w:right w:val="single" w:sz="4" w:space="0" w:color="auto"/>
            </w:tcBorders>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500</w:t>
            </w:r>
          </w:p>
        </w:tc>
        <w:tc>
          <w:tcPr>
            <w:tcW w:w="1388"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100.0%</w:t>
            </w:r>
          </w:p>
        </w:tc>
        <w:tc>
          <w:tcPr>
            <w:tcW w:w="1310"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1000</w:t>
            </w:r>
          </w:p>
        </w:tc>
        <w:tc>
          <w:tcPr>
            <w:tcW w:w="1262"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0</w:t>
            </w:r>
          </w:p>
        </w:tc>
        <w:tc>
          <w:tcPr>
            <w:tcW w:w="1065"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10000</w:t>
            </w:r>
          </w:p>
        </w:tc>
        <w:tc>
          <w:tcPr>
            <w:tcW w:w="1358"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10000</w:t>
            </w:r>
          </w:p>
        </w:tc>
        <w:tc>
          <w:tcPr>
            <w:tcW w:w="1417" w:type="dxa"/>
            <w:tcBorders>
              <w:top w:val="nil"/>
              <w:left w:val="nil"/>
              <w:bottom w:val="single" w:sz="4" w:space="0" w:color="auto"/>
              <w:right w:val="single" w:sz="8"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$743,630</w:t>
            </w:r>
          </w:p>
        </w:tc>
      </w:tr>
      <w:tr w:rsidR="002E0DBA" w:rsidRPr="002452B7" w:rsidTr="002E0DBA">
        <w:trPr>
          <w:trHeight w:val="300"/>
        </w:trPr>
        <w:tc>
          <w:tcPr>
            <w:tcW w:w="1467" w:type="dxa"/>
            <w:tcBorders>
              <w:top w:val="nil"/>
              <w:left w:val="single" w:sz="8" w:space="0" w:color="auto"/>
              <w:bottom w:val="single" w:sz="4" w:space="0" w:color="auto"/>
              <w:right w:val="single" w:sz="4" w:space="0" w:color="auto"/>
            </w:tcBorders>
            <w:shd w:val="clear" w:color="auto" w:fill="auto"/>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 </w:t>
            </w:r>
          </w:p>
        </w:tc>
        <w:tc>
          <w:tcPr>
            <w:tcW w:w="1428" w:type="dxa"/>
            <w:tcBorders>
              <w:top w:val="nil"/>
              <w:left w:val="nil"/>
              <w:bottom w:val="single" w:sz="4" w:space="0" w:color="auto"/>
              <w:right w:val="single" w:sz="4" w:space="0" w:color="auto"/>
            </w:tcBorders>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 </w:t>
            </w:r>
          </w:p>
        </w:tc>
        <w:tc>
          <w:tcPr>
            <w:tcW w:w="1216" w:type="dxa"/>
            <w:tcBorders>
              <w:top w:val="nil"/>
              <w:left w:val="nil"/>
              <w:bottom w:val="single" w:sz="4" w:space="0" w:color="auto"/>
              <w:right w:val="single" w:sz="4" w:space="0" w:color="auto"/>
            </w:tcBorders>
            <w:shd w:val="clear" w:color="auto" w:fill="auto"/>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 </w:t>
            </w:r>
          </w:p>
        </w:tc>
        <w:tc>
          <w:tcPr>
            <w:tcW w:w="1304" w:type="dxa"/>
            <w:tcBorders>
              <w:top w:val="nil"/>
              <w:left w:val="nil"/>
              <w:bottom w:val="single" w:sz="4" w:space="0" w:color="auto"/>
              <w:right w:val="single" w:sz="4" w:space="0" w:color="auto"/>
            </w:tcBorders>
            <w:shd w:val="clear" w:color="auto" w:fill="auto"/>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 </w:t>
            </w:r>
          </w:p>
        </w:tc>
        <w:tc>
          <w:tcPr>
            <w:tcW w:w="1388"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 </w:t>
            </w:r>
          </w:p>
        </w:tc>
        <w:tc>
          <w:tcPr>
            <w:tcW w:w="1310"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 </w:t>
            </w:r>
          </w:p>
        </w:tc>
        <w:tc>
          <w:tcPr>
            <w:tcW w:w="1262"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 </w:t>
            </w:r>
          </w:p>
        </w:tc>
        <w:tc>
          <w:tcPr>
            <w:tcW w:w="1065"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 </w:t>
            </w:r>
          </w:p>
        </w:tc>
        <w:tc>
          <w:tcPr>
            <w:tcW w:w="1358"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 </w:t>
            </w:r>
          </w:p>
        </w:tc>
        <w:tc>
          <w:tcPr>
            <w:tcW w:w="1417" w:type="dxa"/>
            <w:tcBorders>
              <w:top w:val="nil"/>
              <w:left w:val="nil"/>
              <w:bottom w:val="single" w:sz="4" w:space="0" w:color="auto"/>
              <w:right w:val="single" w:sz="8" w:space="0" w:color="auto"/>
            </w:tcBorders>
            <w:shd w:val="clear" w:color="auto" w:fill="auto"/>
            <w:noWrap/>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 </w:t>
            </w:r>
          </w:p>
        </w:tc>
      </w:tr>
      <w:tr w:rsidR="002E0DBA" w:rsidRPr="002452B7" w:rsidTr="002E0DBA">
        <w:trPr>
          <w:trHeight w:val="300"/>
        </w:trPr>
        <w:tc>
          <w:tcPr>
            <w:tcW w:w="1467" w:type="dxa"/>
            <w:tcBorders>
              <w:top w:val="nil"/>
              <w:left w:val="single" w:sz="8" w:space="0" w:color="auto"/>
              <w:bottom w:val="single" w:sz="4" w:space="0" w:color="auto"/>
              <w:right w:val="single" w:sz="4" w:space="0" w:color="auto"/>
            </w:tcBorders>
            <w:shd w:val="clear" w:color="auto" w:fill="auto"/>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102S Filings</w:t>
            </w:r>
          </w:p>
        </w:tc>
        <w:tc>
          <w:tcPr>
            <w:tcW w:w="1428" w:type="dxa"/>
            <w:tcBorders>
              <w:top w:val="nil"/>
              <w:left w:val="nil"/>
              <w:bottom w:val="single" w:sz="4" w:space="0" w:color="auto"/>
              <w:right w:val="single" w:sz="4" w:space="0" w:color="auto"/>
            </w:tcBorders>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20.5</w:t>
            </w:r>
          </w:p>
        </w:tc>
        <w:tc>
          <w:tcPr>
            <w:tcW w:w="1216" w:type="dxa"/>
            <w:tcBorders>
              <w:top w:val="nil"/>
              <w:left w:val="nil"/>
              <w:bottom w:val="single" w:sz="4" w:space="0" w:color="auto"/>
              <w:right w:val="single" w:sz="4" w:space="0" w:color="auto"/>
            </w:tcBorders>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200</w:t>
            </w:r>
          </w:p>
        </w:tc>
        <w:tc>
          <w:tcPr>
            <w:tcW w:w="1304" w:type="dxa"/>
            <w:tcBorders>
              <w:top w:val="nil"/>
              <w:left w:val="nil"/>
              <w:bottom w:val="single" w:sz="4" w:space="0" w:color="auto"/>
              <w:right w:val="single" w:sz="4" w:space="0" w:color="auto"/>
            </w:tcBorders>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3600</w:t>
            </w:r>
          </w:p>
        </w:tc>
        <w:tc>
          <w:tcPr>
            <w:tcW w:w="1388"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25.0%</w:t>
            </w:r>
          </w:p>
        </w:tc>
        <w:tc>
          <w:tcPr>
            <w:tcW w:w="1310"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1800</w:t>
            </w:r>
          </w:p>
        </w:tc>
        <w:tc>
          <w:tcPr>
            <w:tcW w:w="1262"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0</w:t>
            </w:r>
          </w:p>
        </w:tc>
        <w:tc>
          <w:tcPr>
            <w:tcW w:w="1065"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1800</w:t>
            </w:r>
          </w:p>
        </w:tc>
        <w:tc>
          <w:tcPr>
            <w:tcW w:w="1358"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1800</w:t>
            </w:r>
          </w:p>
        </w:tc>
        <w:tc>
          <w:tcPr>
            <w:tcW w:w="1417" w:type="dxa"/>
            <w:tcBorders>
              <w:top w:val="nil"/>
              <w:left w:val="nil"/>
              <w:bottom w:val="single" w:sz="4" w:space="0" w:color="auto"/>
              <w:right w:val="single" w:sz="8"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$133,853</w:t>
            </w:r>
          </w:p>
        </w:tc>
      </w:tr>
      <w:tr w:rsidR="002E0DBA" w:rsidRPr="002452B7" w:rsidTr="002E0DBA">
        <w:trPr>
          <w:trHeight w:val="300"/>
        </w:trPr>
        <w:tc>
          <w:tcPr>
            <w:tcW w:w="1467" w:type="dxa"/>
            <w:tcBorders>
              <w:top w:val="nil"/>
              <w:left w:val="single" w:sz="8" w:space="0" w:color="auto"/>
              <w:bottom w:val="single" w:sz="4" w:space="0" w:color="auto"/>
              <w:right w:val="single" w:sz="4" w:space="0" w:color="auto"/>
            </w:tcBorders>
            <w:shd w:val="clear" w:color="auto" w:fill="auto"/>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40S Filings</w:t>
            </w:r>
          </w:p>
        </w:tc>
        <w:tc>
          <w:tcPr>
            <w:tcW w:w="1428" w:type="dxa"/>
            <w:tcBorders>
              <w:top w:val="nil"/>
              <w:left w:val="nil"/>
              <w:bottom w:val="single" w:sz="4" w:space="0" w:color="auto"/>
              <w:right w:val="single" w:sz="4" w:space="0" w:color="auto"/>
            </w:tcBorders>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20.5</w:t>
            </w:r>
          </w:p>
        </w:tc>
        <w:tc>
          <w:tcPr>
            <w:tcW w:w="1216" w:type="dxa"/>
            <w:tcBorders>
              <w:top w:val="nil"/>
              <w:left w:val="nil"/>
              <w:bottom w:val="single" w:sz="4" w:space="0" w:color="auto"/>
              <w:right w:val="single" w:sz="4" w:space="0" w:color="auto"/>
            </w:tcBorders>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500</w:t>
            </w:r>
          </w:p>
        </w:tc>
        <w:tc>
          <w:tcPr>
            <w:tcW w:w="1304" w:type="dxa"/>
            <w:tcBorders>
              <w:top w:val="nil"/>
              <w:left w:val="nil"/>
              <w:bottom w:val="single" w:sz="4" w:space="0" w:color="auto"/>
              <w:right w:val="single" w:sz="4" w:space="0" w:color="auto"/>
            </w:tcBorders>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500</w:t>
            </w:r>
          </w:p>
        </w:tc>
        <w:tc>
          <w:tcPr>
            <w:tcW w:w="1388"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25.0%</w:t>
            </w:r>
          </w:p>
        </w:tc>
        <w:tc>
          <w:tcPr>
            <w:tcW w:w="1310"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165</w:t>
            </w:r>
          </w:p>
        </w:tc>
        <w:tc>
          <w:tcPr>
            <w:tcW w:w="1262"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0</w:t>
            </w:r>
          </w:p>
        </w:tc>
        <w:tc>
          <w:tcPr>
            <w:tcW w:w="1065"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165</w:t>
            </w:r>
          </w:p>
        </w:tc>
        <w:tc>
          <w:tcPr>
            <w:tcW w:w="1358" w:type="dxa"/>
            <w:tcBorders>
              <w:top w:val="nil"/>
              <w:left w:val="nil"/>
              <w:bottom w:val="single" w:sz="4" w:space="0" w:color="auto"/>
              <w:right w:val="single" w:sz="4"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165</w:t>
            </w:r>
          </w:p>
        </w:tc>
        <w:tc>
          <w:tcPr>
            <w:tcW w:w="1417" w:type="dxa"/>
            <w:tcBorders>
              <w:top w:val="nil"/>
              <w:left w:val="nil"/>
              <w:bottom w:val="single" w:sz="4" w:space="0" w:color="auto"/>
              <w:right w:val="single" w:sz="8" w:space="0" w:color="auto"/>
            </w:tcBorders>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$12,270</w:t>
            </w:r>
          </w:p>
        </w:tc>
      </w:tr>
    </w:tbl>
    <w:p w:rsidR="00A73D65" w:rsidRPr="002452B7" w:rsidRDefault="00A73D65" w:rsidP="00A73D65">
      <w:pPr>
        <w:pStyle w:val="Title"/>
        <w:tabs>
          <w:tab w:val="center" w:pos="7200"/>
        </w:tabs>
        <w:spacing w:after="480"/>
        <w:jc w:val="left"/>
        <w:rPr>
          <w:b w:val="0"/>
          <w:sz w:val="24"/>
          <w:szCs w:val="24"/>
        </w:rPr>
      </w:pPr>
    </w:p>
    <w:p w:rsidR="00A73D65" w:rsidRPr="002452B7" w:rsidRDefault="00A82CCF" w:rsidP="00A73D65">
      <w:pPr>
        <w:rPr>
          <w:rFonts w:ascii="Times New Roman" w:hAnsi="Times New Roman"/>
          <w:szCs w:val="24"/>
        </w:rPr>
      </w:pPr>
      <w:r w:rsidRPr="00A82CCF">
        <w:rPr>
          <w:rFonts w:ascii="Times New Roman" w:hAnsi="Times New Roman"/>
          <w:szCs w:val="24"/>
        </w:rPr>
        <w:br w:type="page"/>
      </w:r>
    </w:p>
    <w:p w:rsidR="00A73D65" w:rsidRPr="002452B7" w:rsidRDefault="00A82CCF" w:rsidP="00A73D65">
      <w:pPr>
        <w:pStyle w:val="Title"/>
        <w:spacing w:after="240"/>
        <w:rPr>
          <w:sz w:val="24"/>
          <w:szCs w:val="24"/>
        </w:rPr>
      </w:pPr>
      <w:r w:rsidRPr="00A82CCF">
        <w:rPr>
          <w:sz w:val="24"/>
          <w:szCs w:val="24"/>
        </w:rPr>
        <w:lastRenderedPageBreak/>
        <w:t>Attachment B</w:t>
      </w:r>
    </w:p>
    <w:p w:rsidR="00A73D65" w:rsidRPr="002452B7" w:rsidRDefault="00A82CCF" w:rsidP="00A73D65">
      <w:pPr>
        <w:pStyle w:val="Title"/>
        <w:tabs>
          <w:tab w:val="center" w:pos="7200"/>
        </w:tabs>
        <w:rPr>
          <w:sz w:val="24"/>
          <w:szCs w:val="24"/>
        </w:rPr>
      </w:pPr>
      <w:r w:rsidRPr="00A82CCF">
        <w:rPr>
          <w:sz w:val="24"/>
          <w:szCs w:val="24"/>
        </w:rPr>
        <w:t>14.  Annual Reporting and Recordkeeping Cost Burden</w:t>
      </w:r>
    </w:p>
    <w:p w:rsidR="00A73D65" w:rsidRPr="002452B7" w:rsidRDefault="00A73D65" w:rsidP="00A73D65">
      <w:pPr>
        <w:pStyle w:val="Title"/>
        <w:tabs>
          <w:tab w:val="center" w:pos="7200"/>
        </w:tabs>
        <w:rPr>
          <w:sz w:val="24"/>
          <w:szCs w:val="24"/>
        </w:rPr>
      </w:pPr>
    </w:p>
    <w:p w:rsidR="00A73D65" w:rsidRPr="002452B7" w:rsidRDefault="00A82CCF" w:rsidP="00A73D65">
      <w:pPr>
        <w:pStyle w:val="Title"/>
        <w:spacing w:after="240"/>
        <w:rPr>
          <w:sz w:val="24"/>
          <w:szCs w:val="24"/>
        </w:rPr>
      </w:pPr>
      <w:r w:rsidRPr="00A82CCF">
        <w:rPr>
          <w:sz w:val="24"/>
          <w:szCs w:val="24"/>
        </w:rPr>
        <w:t>Part 20 – Large Trader Reporting for Physical Commodity Swaps</w:t>
      </w:r>
    </w:p>
    <w:p w:rsidR="00A73D65" w:rsidRPr="002452B7" w:rsidRDefault="00A82CCF" w:rsidP="00A73D65">
      <w:pPr>
        <w:pStyle w:val="Title"/>
        <w:spacing w:after="480"/>
        <w:rPr>
          <w:sz w:val="24"/>
          <w:szCs w:val="24"/>
        </w:rPr>
      </w:pPr>
      <w:r w:rsidRPr="00A82CCF">
        <w:rPr>
          <w:sz w:val="24"/>
          <w:szCs w:val="24"/>
        </w:rPr>
        <w:t>OMB Collection File 3038-NEW</w:t>
      </w:r>
    </w:p>
    <w:p w:rsidR="00A73D65" w:rsidRPr="002452B7" w:rsidRDefault="00A82CCF" w:rsidP="00A73D65">
      <w:pPr>
        <w:pStyle w:val="Title"/>
        <w:tabs>
          <w:tab w:val="center" w:pos="7200"/>
        </w:tabs>
        <w:spacing w:after="120"/>
        <w:ind w:left="1440"/>
        <w:jc w:val="left"/>
        <w:rPr>
          <w:b w:val="0"/>
          <w:sz w:val="24"/>
          <w:szCs w:val="24"/>
        </w:rPr>
      </w:pPr>
      <w:r w:rsidRPr="00A82CCF">
        <w:rPr>
          <w:b w:val="0"/>
          <w:sz w:val="24"/>
          <w:szCs w:val="24"/>
        </w:rPr>
        <w:t>Number of Respondents:</w:t>
      </w:r>
      <w:r w:rsidRPr="00A82CCF">
        <w:rPr>
          <w:b w:val="0"/>
          <w:sz w:val="24"/>
          <w:szCs w:val="24"/>
        </w:rPr>
        <w:tab/>
      </w:r>
      <w:r w:rsidRPr="00A82CCF">
        <w:rPr>
          <w:b w:val="0"/>
          <w:sz w:val="24"/>
          <w:szCs w:val="24"/>
        </w:rPr>
        <w:tab/>
        <w:t>705 reporting firms plus 500 recordkeeping firms</w:t>
      </w:r>
    </w:p>
    <w:p w:rsidR="00A73D65" w:rsidRPr="002452B7" w:rsidRDefault="00A82CCF" w:rsidP="00A73D65">
      <w:pPr>
        <w:pStyle w:val="Title"/>
        <w:tabs>
          <w:tab w:val="center" w:pos="7200"/>
        </w:tabs>
        <w:spacing w:after="120"/>
        <w:ind w:left="1440"/>
        <w:jc w:val="left"/>
        <w:rPr>
          <w:b w:val="0"/>
          <w:sz w:val="24"/>
          <w:szCs w:val="24"/>
        </w:rPr>
      </w:pPr>
      <w:r w:rsidRPr="00A82CCF">
        <w:rPr>
          <w:b w:val="0"/>
          <w:sz w:val="24"/>
          <w:szCs w:val="24"/>
        </w:rPr>
        <w:t xml:space="preserve">Estimated Annual Annualized Capital, Operating, and Maintenance Costs: </w:t>
      </w:r>
      <w:r w:rsidRPr="00A82CCF">
        <w:rPr>
          <w:b w:val="0"/>
          <w:sz w:val="24"/>
          <w:szCs w:val="24"/>
        </w:rPr>
        <w:tab/>
      </w:r>
      <w:r w:rsidRPr="00A82CCF">
        <w:rPr>
          <w:b w:val="0"/>
          <w:sz w:val="24"/>
          <w:szCs w:val="24"/>
        </w:rPr>
        <w:tab/>
      </w:r>
    </w:p>
    <w:p w:rsidR="00A73D65" w:rsidRPr="002452B7" w:rsidRDefault="00A82CCF" w:rsidP="00A73D65">
      <w:pPr>
        <w:pStyle w:val="Title"/>
        <w:tabs>
          <w:tab w:val="center" w:pos="7200"/>
        </w:tabs>
        <w:spacing w:after="120"/>
        <w:ind w:left="1440"/>
        <w:jc w:val="left"/>
        <w:rPr>
          <w:b w:val="0"/>
          <w:sz w:val="24"/>
          <w:szCs w:val="24"/>
        </w:rPr>
      </w:pPr>
      <w:r w:rsidRPr="00A82CCF">
        <w:rPr>
          <w:b w:val="0"/>
          <w:sz w:val="24"/>
          <w:szCs w:val="24"/>
        </w:rPr>
        <w:tab/>
      </w:r>
      <w:r w:rsidRPr="00A82CCF">
        <w:rPr>
          <w:b w:val="0"/>
          <w:sz w:val="24"/>
          <w:szCs w:val="24"/>
        </w:rPr>
        <w:tab/>
        <w:t>$32.7 million</w:t>
      </w:r>
    </w:p>
    <w:p w:rsidR="00A73D65" w:rsidRPr="002452B7" w:rsidRDefault="00A82CCF" w:rsidP="00A73D65">
      <w:pPr>
        <w:pStyle w:val="Title"/>
        <w:tabs>
          <w:tab w:val="center" w:pos="7200"/>
        </w:tabs>
        <w:spacing w:after="480"/>
        <w:ind w:left="7920" w:hanging="6480"/>
        <w:jc w:val="left"/>
        <w:rPr>
          <w:b w:val="0"/>
          <w:sz w:val="24"/>
          <w:szCs w:val="24"/>
        </w:rPr>
      </w:pPr>
      <w:r w:rsidRPr="00A82CCF">
        <w:rPr>
          <w:b w:val="0"/>
          <w:sz w:val="24"/>
          <w:szCs w:val="24"/>
        </w:rPr>
        <w:t>Frequency of Reporting:</w:t>
      </w:r>
      <w:r w:rsidRPr="00A82CCF">
        <w:rPr>
          <w:b w:val="0"/>
          <w:sz w:val="24"/>
          <w:szCs w:val="24"/>
        </w:rPr>
        <w:tab/>
      </w:r>
      <w:r w:rsidRPr="00A82CCF">
        <w:rPr>
          <w:b w:val="0"/>
          <w:sz w:val="24"/>
          <w:szCs w:val="24"/>
        </w:rPr>
        <w:tab/>
        <w:t>Daily for respondents and on special call by the                                                Commission for 40S and 102S filings</w:t>
      </w:r>
    </w:p>
    <w:tbl>
      <w:tblPr>
        <w:tblW w:w="120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9"/>
        <w:gridCol w:w="1337"/>
        <w:gridCol w:w="1523"/>
        <w:gridCol w:w="1643"/>
        <w:gridCol w:w="1630"/>
        <w:gridCol w:w="1416"/>
        <w:gridCol w:w="1230"/>
        <w:gridCol w:w="1416"/>
        <w:gridCol w:w="1296"/>
      </w:tblGrid>
      <w:tr w:rsidR="00A73D65" w:rsidRPr="002452B7" w:rsidTr="002E0DBA">
        <w:trPr>
          <w:trHeight w:val="1800"/>
        </w:trPr>
        <w:tc>
          <w:tcPr>
            <w:tcW w:w="0" w:type="auto"/>
            <w:shd w:val="clear" w:color="auto" w:fill="auto"/>
            <w:vAlign w:val="center"/>
            <w:hideMark/>
          </w:tcPr>
          <w:p w:rsidR="00A73D65" w:rsidRPr="002452B7" w:rsidRDefault="00A82CCF" w:rsidP="002E0DBA">
            <w:pPr>
              <w:jc w:val="center"/>
              <w:rPr>
                <w:rFonts w:ascii="Times New Roman" w:hAnsi="Times New Roman"/>
                <w:b/>
                <w:bCs/>
                <w:color w:val="000000"/>
                <w:szCs w:val="24"/>
              </w:rPr>
            </w:pPr>
            <w:r w:rsidRPr="00A82CCF">
              <w:rPr>
                <w:rFonts w:ascii="Times New Roman" w:hAnsi="Times New Roman"/>
                <w:b/>
                <w:bCs/>
                <w:color w:val="000000"/>
                <w:szCs w:val="24"/>
              </w:rPr>
              <w:t>Type of respondent</w:t>
            </w:r>
          </w:p>
        </w:tc>
        <w:tc>
          <w:tcPr>
            <w:tcW w:w="0" w:type="auto"/>
            <w:shd w:val="clear" w:color="auto" w:fill="auto"/>
            <w:vAlign w:val="center"/>
            <w:hideMark/>
          </w:tcPr>
          <w:p w:rsidR="00A67278" w:rsidRDefault="00A82CCF">
            <w:pPr>
              <w:jc w:val="center"/>
              <w:rPr>
                <w:rFonts w:ascii="Times New Roman" w:hAnsi="Times New Roman"/>
                <w:b/>
                <w:bCs/>
                <w:color w:val="000000"/>
                <w:szCs w:val="24"/>
              </w:rPr>
            </w:pPr>
            <w:r w:rsidRPr="00A82CCF">
              <w:rPr>
                <w:rFonts w:ascii="Times New Roman" w:hAnsi="Times New Roman"/>
                <w:b/>
                <w:bCs/>
                <w:color w:val="000000"/>
                <w:szCs w:val="24"/>
              </w:rPr>
              <w:t>Applicable CFTC Regulation Section (17 CFR)</w:t>
            </w:r>
          </w:p>
        </w:tc>
        <w:tc>
          <w:tcPr>
            <w:tcW w:w="0" w:type="auto"/>
            <w:shd w:val="clear" w:color="auto" w:fill="auto"/>
            <w:vAlign w:val="center"/>
            <w:hideMark/>
          </w:tcPr>
          <w:p w:rsidR="00A73D65" w:rsidRPr="002452B7" w:rsidRDefault="00A82CCF" w:rsidP="002E0DBA">
            <w:pPr>
              <w:jc w:val="center"/>
              <w:rPr>
                <w:rFonts w:ascii="Times New Roman" w:hAnsi="Times New Roman"/>
                <w:b/>
                <w:bCs/>
                <w:color w:val="000000"/>
                <w:szCs w:val="24"/>
              </w:rPr>
            </w:pPr>
            <w:r w:rsidRPr="00A82CCF">
              <w:rPr>
                <w:rFonts w:ascii="Times New Roman" w:hAnsi="Times New Roman"/>
                <w:b/>
                <w:bCs/>
                <w:color w:val="000000"/>
                <w:szCs w:val="24"/>
              </w:rPr>
              <w:t xml:space="preserve">Total Number of Respondents  </w:t>
            </w:r>
          </w:p>
        </w:tc>
        <w:tc>
          <w:tcPr>
            <w:tcW w:w="0" w:type="auto"/>
            <w:shd w:val="clear" w:color="auto" w:fill="auto"/>
            <w:vAlign w:val="center"/>
            <w:hideMark/>
          </w:tcPr>
          <w:p w:rsidR="00A73D65" w:rsidRPr="002452B7" w:rsidRDefault="00A82CCF" w:rsidP="002E0DBA">
            <w:pPr>
              <w:jc w:val="center"/>
              <w:rPr>
                <w:rFonts w:ascii="Times New Roman" w:hAnsi="Times New Roman"/>
                <w:b/>
                <w:bCs/>
                <w:color w:val="000000"/>
                <w:szCs w:val="24"/>
              </w:rPr>
            </w:pPr>
            <w:r w:rsidRPr="00A82CCF">
              <w:rPr>
                <w:rFonts w:ascii="Times New Roman" w:hAnsi="Times New Roman"/>
                <w:b/>
                <w:bCs/>
                <w:color w:val="000000"/>
                <w:szCs w:val="24"/>
              </w:rPr>
              <w:t>Total Annualized Capital/Start-up Costs (14(a))</w:t>
            </w:r>
          </w:p>
        </w:tc>
        <w:tc>
          <w:tcPr>
            <w:tcW w:w="0" w:type="auto"/>
            <w:shd w:val="clear" w:color="auto" w:fill="auto"/>
            <w:vAlign w:val="center"/>
            <w:hideMark/>
          </w:tcPr>
          <w:p w:rsidR="00A73D65" w:rsidRPr="002452B7" w:rsidRDefault="00A82CCF" w:rsidP="002E0DBA">
            <w:pPr>
              <w:jc w:val="center"/>
              <w:rPr>
                <w:rFonts w:ascii="Times New Roman" w:hAnsi="Times New Roman"/>
                <w:b/>
                <w:bCs/>
                <w:color w:val="000000"/>
                <w:szCs w:val="24"/>
              </w:rPr>
            </w:pPr>
            <w:r w:rsidRPr="00A82CCF">
              <w:rPr>
                <w:rFonts w:ascii="Times New Roman" w:hAnsi="Times New Roman"/>
                <w:b/>
                <w:bCs/>
                <w:color w:val="000000"/>
                <w:szCs w:val="24"/>
              </w:rPr>
              <w:t>Total Annual Costs (Operating &amp; Maintenance) (14(b))</w:t>
            </w:r>
          </w:p>
        </w:tc>
        <w:tc>
          <w:tcPr>
            <w:tcW w:w="0" w:type="auto"/>
            <w:shd w:val="clear" w:color="auto" w:fill="auto"/>
            <w:vAlign w:val="center"/>
            <w:hideMark/>
          </w:tcPr>
          <w:p w:rsidR="00A73D65" w:rsidRPr="002452B7" w:rsidRDefault="00A82CCF" w:rsidP="002E0DBA">
            <w:pPr>
              <w:jc w:val="center"/>
              <w:rPr>
                <w:rFonts w:ascii="Times New Roman" w:hAnsi="Times New Roman"/>
                <w:b/>
                <w:bCs/>
                <w:color w:val="000000"/>
                <w:szCs w:val="24"/>
              </w:rPr>
            </w:pPr>
            <w:r w:rsidRPr="00A82CCF">
              <w:rPr>
                <w:rFonts w:ascii="Times New Roman" w:hAnsi="Times New Roman"/>
                <w:b/>
                <w:bCs/>
                <w:color w:val="000000"/>
                <w:szCs w:val="24"/>
              </w:rPr>
              <w:t>Total Annualized Cost Requested (14(c))</w:t>
            </w:r>
          </w:p>
        </w:tc>
        <w:tc>
          <w:tcPr>
            <w:tcW w:w="0" w:type="auto"/>
            <w:shd w:val="clear" w:color="auto" w:fill="auto"/>
            <w:vAlign w:val="center"/>
            <w:hideMark/>
          </w:tcPr>
          <w:p w:rsidR="00A73D65" w:rsidRPr="002452B7" w:rsidRDefault="00A82CCF" w:rsidP="002E0DBA">
            <w:pPr>
              <w:jc w:val="center"/>
              <w:rPr>
                <w:rFonts w:ascii="Times New Roman" w:hAnsi="Times New Roman"/>
                <w:b/>
                <w:bCs/>
                <w:color w:val="000000"/>
                <w:szCs w:val="24"/>
              </w:rPr>
            </w:pPr>
            <w:r w:rsidRPr="00A82CCF">
              <w:rPr>
                <w:rFonts w:ascii="Times New Roman" w:hAnsi="Times New Roman"/>
                <w:b/>
                <w:bCs/>
                <w:color w:val="000000"/>
                <w:szCs w:val="24"/>
              </w:rPr>
              <w:t>Current OMB Inventory (14(d))</w:t>
            </w:r>
          </w:p>
        </w:tc>
        <w:tc>
          <w:tcPr>
            <w:tcW w:w="0" w:type="auto"/>
            <w:shd w:val="clear" w:color="auto" w:fill="auto"/>
            <w:vAlign w:val="center"/>
            <w:hideMark/>
          </w:tcPr>
          <w:p w:rsidR="00A73D65" w:rsidRPr="002452B7" w:rsidRDefault="00A82CCF" w:rsidP="002E0DBA">
            <w:pPr>
              <w:jc w:val="center"/>
              <w:rPr>
                <w:rFonts w:ascii="Times New Roman" w:hAnsi="Times New Roman"/>
                <w:b/>
                <w:bCs/>
                <w:color w:val="000000"/>
                <w:szCs w:val="24"/>
              </w:rPr>
            </w:pPr>
            <w:r w:rsidRPr="00A82CCF">
              <w:rPr>
                <w:rFonts w:ascii="Times New Roman" w:hAnsi="Times New Roman"/>
                <w:b/>
                <w:bCs/>
                <w:color w:val="000000"/>
                <w:szCs w:val="24"/>
              </w:rPr>
              <w:t>Difference (14(e))</w:t>
            </w:r>
          </w:p>
        </w:tc>
        <w:tc>
          <w:tcPr>
            <w:tcW w:w="0" w:type="auto"/>
            <w:shd w:val="clear" w:color="auto" w:fill="auto"/>
            <w:vAlign w:val="center"/>
            <w:hideMark/>
          </w:tcPr>
          <w:p w:rsidR="00A73D65" w:rsidRPr="002452B7" w:rsidRDefault="00A82CCF" w:rsidP="002E0DBA">
            <w:pPr>
              <w:jc w:val="center"/>
              <w:rPr>
                <w:rFonts w:ascii="Times New Roman" w:hAnsi="Times New Roman"/>
                <w:color w:val="000000"/>
                <w:szCs w:val="24"/>
              </w:rPr>
            </w:pPr>
            <w:r w:rsidRPr="00A82CCF">
              <w:rPr>
                <w:rFonts w:ascii="Times New Roman" w:hAnsi="Times New Roman"/>
                <w:color w:val="000000"/>
                <w:szCs w:val="24"/>
              </w:rPr>
              <w:t xml:space="preserve">Average Annual Capital + O&amp;M Costs </w:t>
            </w:r>
          </w:p>
        </w:tc>
      </w:tr>
      <w:tr w:rsidR="00A73D65" w:rsidRPr="002452B7" w:rsidTr="002E0DBA">
        <w:trPr>
          <w:trHeight w:val="300"/>
        </w:trPr>
        <w:tc>
          <w:tcPr>
            <w:tcW w:w="0" w:type="auto"/>
            <w:shd w:val="clear" w:color="auto" w:fill="auto"/>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 xml:space="preserve">Clearing organization reports </w:t>
            </w:r>
          </w:p>
        </w:tc>
        <w:tc>
          <w:tcPr>
            <w:tcW w:w="0" w:type="auto"/>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20.3</w:t>
            </w:r>
          </w:p>
        </w:tc>
        <w:tc>
          <w:tcPr>
            <w:tcW w:w="0" w:type="auto"/>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5</w:t>
            </w:r>
          </w:p>
        </w:tc>
        <w:tc>
          <w:tcPr>
            <w:tcW w:w="0" w:type="auto"/>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$50,000</w:t>
            </w:r>
          </w:p>
        </w:tc>
        <w:tc>
          <w:tcPr>
            <w:tcW w:w="0" w:type="auto"/>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$50,000</w:t>
            </w:r>
          </w:p>
        </w:tc>
        <w:tc>
          <w:tcPr>
            <w:tcW w:w="0" w:type="auto"/>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$100,000</w:t>
            </w:r>
          </w:p>
        </w:tc>
        <w:tc>
          <w:tcPr>
            <w:tcW w:w="0" w:type="auto"/>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$0</w:t>
            </w:r>
          </w:p>
        </w:tc>
        <w:tc>
          <w:tcPr>
            <w:tcW w:w="0" w:type="auto"/>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$100,000</w:t>
            </w:r>
          </w:p>
        </w:tc>
        <w:tc>
          <w:tcPr>
            <w:tcW w:w="0" w:type="auto"/>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$20,000.00</w:t>
            </w:r>
          </w:p>
        </w:tc>
      </w:tr>
      <w:tr w:rsidR="00A73D65" w:rsidRPr="002452B7" w:rsidTr="002E0DBA">
        <w:trPr>
          <w:trHeight w:val="600"/>
        </w:trPr>
        <w:tc>
          <w:tcPr>
            <w:tcW w:w="0" w:type="auto"/>
            <w:shd w:val="clear" w:color="auto" w:fill="auto"/>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Clearing member reporting entity reports</w:t>
            </w:r>
          </w:p>
        </w:tc>
        <w:tc>
          <w:tcPr>
            <w:tcW w:w="0" w:type="auto"/>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20.4</w:t>
            </w:r>
          </w:p>
        </w:tc>
        <w:tc>
          <w:tcPr>
            <w:tcW w:w="0" w:type="auto"/>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100</w:t>
            </w:r>
          </w:p>
        </w:tc>
        <w:tc>
          <w:tcPr>
            <w:tcW w:w="0" w:type="auto"/>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$4,000,000</w:t>
            </w:r>
          </w:p>
        </w:tc>
        <w:tc>
          <w:tcPr>
            <w:tcW w:w="0" w:type="auto"/>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$2,000,000</w:t>
            </w:r>
          </w:p>
        </w:tc>
        <w:tc>
          <w:tcPr>
            <w:tcW w:w="0" w:type="auto"/>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$6,000,000</w:t>
            </w:r>
          </w:p>
        </w:tc>
        <w:tc>
          <w:tcPr>
            <w:tcW w:w="0" w:type="auto"/>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$0</w:t>
            </w:r>
          </w:p>
        </w:tc>
        <w:tc>
          <w:tcPr>
            <w:tcW w:w="0" w:type="auto"/>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$6,000,000</w:t>
            </w:r>
          </w:p>
        </w:tc>
        <w:tc>
          <w:tcPr>
            <w:tcW w:w="0" w:type="auto"/>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$60,000.00</w:t>
            </w:r>
          </w:p>
        </w:tc>
      </w:tr>
      <w:tr w:rsidR="00A73D65" w:rsidRPr="002452B7" w:rsidTr="002E0DBA">
        <w:trPr>
          <w:trHeight w:val="600"/>
        </w:trPr>
        <w:tc>
          <w:tcPr>
            <w:tcW w:w="0" w:type="auto"/>
            <w:shd w:val="clear" w:color="auto" w:fill="auto"/>
            <w:vAlign w:val="center"/>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 xml:space="preserve">Swap dealer non-clearing member </w:t>
            </w:r>
            <w:r w:rsidRPr="00A82CCF">
              <w:rPr>
                <w:rFonts w:ascii="Times New Roman" w:hAnsi="Times New Roman"/>
                <w:color w:val="000000"/>
                <w:szCs w:val="24"/>
              </w:rPr>
              <w:lastRenderedPageBreak/>
              <w:t>reporting entity reports</w:t>
            </w:r>
          </w:p>
        </w:tc>
        <w:tc>
          <w:tcPr>
            <w:tcW w:w="0" w:type="auto"/>
            <w:shd w:val="clear" w:color="auto" w:fill="auto"/>
            <w:noWrap/>
            <w:vAlign w:val="center"/>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lastRenderedPageBreak/>
              <w:t>20.4</w:t>
            </w:r>
          </w:p>
        </w:tc>
        <w:tc>
          <w:tcPr>
            <w:tcW w:w="0" w:type="auto"/>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100</w:t>
            </w:r>
          </w:p>
        </w:tc>
        <w:tc>
          <w:tcPr>
            <w:tcW w:w="0" w:type="auto"/>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$6,000,000</w:t>
            </w:r>
          </w:p>
        </w:tc>
        <w:tc>
          <w:tcPr>
            <w:tcW w:w="0" w:type="auto"/>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$2,000,000</w:t>
            </w:r>
          </w:p>
        </w:tc>
        <w:tc>
          <w:tcPr>
            <w:tcW w:w="0" w:type="auto"/>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$8,000,000</w:t>
            </w:r>
          </w:p>
        </w:tc>
        <w:tc>
          <w:tcPr>
            <w:tcW w:w="0" w:type="auto"/>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$0</w:t>
            </w:r>
          </w:p>
        </w:tc>
        <w:tc>
          <w:tcPr>
            <w:tcW w:w="0" w:type="auto"/>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$8,000,000</w:t>
            </w:r>
          </w:p>
        </w:tc>
        <w:tc>
          <w:tcPr>
            <w:tcW w:w="0" w:type="auto"/>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$80,000.00</w:t>
            </w:r>
          </w:p>
        </w:tc>
      </w:tr>
      <w:tr w:rsidR="00A73D65" w:rsidRPr="002452B7" w:rsidTr="002E0DBA">
        <w:trPr>
          <w:trHeight w:val="300"/>
        </w:trPr>
        <w:tc>
          <w:tcPr>
            <w:tcW w:w="0" w:type="auto"/>
            <w:shd w:val="clear" w:color="auto" w:fill="auto"/>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lastRenderedPageBreak/>
              <w:t> </w:t>
            </w:r>
          </w:p>
        </w:tc>
        <w:tc>
          <w:tcPr>
            <w:tcW w:w="0" w:type="auto"/>
            <w:shd w:val="clear" w:color="auto" w:fill="auto"/>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 </w:t>
            </w:r>
          </w:p>
        </w:tc>
        <w:tc>
          <w:tcPr>
            <w:tcW w:w="0" w:type="auto"/>
            <w:shd w:val="clear" w:color="auto" w:fill="auto"/>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 </w:t>
            </w:r>
          </w:p>
        </w:tc>
        <w:tc>
          <w:tcPr>
            <w:tcW w:w="0" w:type="auto"/>
            <w:shd w:val="clear" w:color="auto" w:fill="auto"/>
            <w:noWrap/>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 </w:t>
            </w:r>
          </w:p>
        </w:tc>
        <w:tc>
          <w:tcPr>
            <w:tcW w:w="0" w:type="auto"/>
            <w:shd w:val="clear" w:color="auto" w:fill="auto"/>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 </w:t>
            </w:r>
          </w:p>
        </w:tc>
        <w:tc>
          <w:tcPr>
            <w:tcW w:w="0" w:type="auto"/>
            <w:shd w:val="clear" w:color="auto" w:fill="auto"/>
            <w:noWrap/>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 </w:t>
            </w:r>
          </w:p>
        </w:tc>
        <w:tc>
          <w:tcPr>
            <w:tcW w:w="0" w:type="auto"/>
            <w:shd w:val="clear" w:color="auto" w:fill="auto"/>
            <w:noWrap/>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 </w:t>
            </w:r>
          </w:p>
        </w:tc>
        <w:tc>
          <w:tcPr>
            <w:tcW w:w="0" w:type="auto"/>
            <w:shd w:val="clear" w:color="auto" w:fill="auto"/>
            <w:noWrap/>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 </w:t>
            </w:r>
          </w:p>
        </w:tc>
        <w:tc>
          <w:tcPr>
            <w:tcW w:w="0" w:type="auto"/>
            <w:shd w:val="clear" w:color="auto" w:fill="auto"/>
            <w:noWrap/>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 </w:t>
            </w:r>
          </w:p>
        </w:tc>
      </w:tr>
      <w:tr w:rsidR="00A73D65" w:rsidRPr="002452B7" w:rsidTr="002E0DBA">
        <w:trPr>
          <w:trHeight w:val="300"/>
        </w:trPr>
        <w:tc>
          <w:tcPr>
            <w:tcW w:w="0" w:type="auto"/>
            <w:shd w:val="clear" w:color="auto" w:fill="auto"/>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Clearing organization recordkeeping</w:t>
            </w:r>
          </w:p>
        </w:tc>
        <w:tc>
          <w:tcPr>
            <w:tcW w:w="0" w:type="auto"/>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20.6(a)</w:t>
            </w:r>
          </w:p>
        </w:tc>
        <w:tc>
          <w:tcPr>
            <w:tcW w:w="0" w:type="auto"/>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5</w:t>
            </w:r>
          </w:p>
        </w:tc>
        <w:tc>
          <w:tcPr>
            <w:tcW w:w="0" w:type="auto"/>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$0</w:t>
            </w:r>
          </w:p>
        </w:tc>
        <w:tc>
          <w:tcPr>
            <w:tcW w:w="0" w:type="auto"/>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$100,000</w:t>
            </w:r>
          </w:p>
        </w:tc>
        <w:tc>
          <w:tcPr>
            <w:tcW w:w="0" w:type="auto"/>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$100,000</w:t>
            </w:r>
          </w:p>
        </w:tc>
        <w:tc>
          <w:tcPr>
            <w:tcW w:w="0" w:type="auto"/>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$0</w:t>
            </w:r>
          </w:p>
        </w:tc>
        <w:tc>
          <w:tcPr>
            <w:tcW w:w="0" w:type="auto"/>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$100,000</w:t>
            </w:r>
          </w:p>
        </w:tc>
        <w:tc>
          <w:tcPr>
            <w:tcW w:w="0" w:type="auto"/>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$20,000.00</w:t>
            </w:r>
          </w:p>
        </w:tc>
      </w:tr>
      <w:tr w:rsidR="00A73D65" w:rsidRPr="002452B7" w:rsidTr="002E0DBA">
        <w:trPr>
          <w:trHeight w:val="600"/>
        </w:trPr>
        <w:tc>
          <w:tcPr>
            <w:tcW w:w="0" w:type="auto"/>
            <w:shd w:val="clear" w:color="auto" w:fill="auto"/>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Clearing member reporting entity recordkeeping</w:t>
            </w:r>
          </w:p>
        </w:tc>
        <w:tc>
          <w:tcPr>
            <w:tcW w:w="0" w:type="auto"/>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20.6(b)</w:t>
            </w:r>
          </w:p>
        </w:tc>
        <w:tc>
          <w:tcPr>
            <w:tcW w:w="0" w:type="auto"/>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100</w:t>
            </w:r>
          </w:p>
        </w:tc>
        <w:tc>
          <w:tcPr>
            <w:tcW w:w="0" w:type="auto"/>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$0</w:t>
            </w:r>
          </w:p>
        </w:tc>
        <w:tc>
          <w:tcPr>
            <w:tcW w:w="0" w:type="auto"/>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$2,000,000</w:t>
            </w:r>
          </w:p>
        </w:tc>
        <w:tc>
          <w:tcPr>
            <w:tcW w:w="0" w:type="auto"/>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$2,000,000</w:t>
            </w:r>
          </w:p>
        </w:tc>
        <w:tc>
          <w:tcPr>
            <w:tcW w:w="0" w:type="auto"/>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$0</w:t>
            </w:r>
          </w:p>
        </w:tc>
        <w:tc>
          <w:tcPr>
            <w:tcW w:w="0" w:type="auto"/>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$2,000,000</w:t>
            </w:r>
          </w:p>
        </w:tc>
        <w:tc>
          <w:tcPr>
            <w:tcW w:w="0" w:type="auto"/>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$20,000.00</w:t>
            </w:r>
          </w:p>
        </w:tc>
      </w:tr>
      <w:tr w:rsidR="00A73D65" w:rsidRPr="002452B7" w:rsidTr="002E0DBA">
        <w:trPr>
          <w:trHeight w:val="600"/>
        </w:trPr>
        <w:tc>
          <w:tcPr>
            <w:tcW w:w="0" w:type="auto"/>
            <w:shd w:val="clear" w:color="auto" w:fill="auto"/>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Swap dealer non-clearing member reporting entity recordkeeping</w:t>
            </w:r>
          </w:p>
        </w:tc>
        <w:tc>
          <w:tcPr>
            <w:tcW w:w="0" w:type="auto"/>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20.6(b)</w:t>
            </w:r>
          </w:p>
        </w:tc>
        <w:tc>
          <w:tcPr>
            <w:tcW w:w="0" w:type="auto"/>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100</w:t>
            </w:r>
          </w:p>
        </w:tc>
        <w:tc>
          <w:tcPr>
            <w:tcW w:w="0" w:type="auto"/>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$0</w:t>
            </w:r>
          </w:p>
        </w:tc>
        <w:tc>
          <w:tcPr>
            <w:tcW w:w="0" w:type="auto"/>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$2,000,000</w:t>
            </w:r>
          </w:p>
        </w:tc>
        <w:tc>
          <w:tcPr>
            <w:tcW w:w="0" w:type="auto"/>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$2,000,000</w:t>
            </w:r>
          </w:p>
        </w:tc>
        <w:tc>
          <w:tcPr>
            <w:tcW w:w="0" w:type="auto"/>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$0</w:t>
            </w:r>
          </w:p>
        </w:tc>
        <w:tc>
          <w:tcPr>
            <w:tcW w:w="0" w:type="auto"/>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$2,000,000</w:t>
            </w:r>
          </w:p>
        </w:tc>
        <w:tc>
          <w:tcPr>
            <w:tcW w:w="0" w:type="auto"/>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$20,000.00</w:t>
            </w:r>
          </w:p>
        </w:tc>
      </w:tr>
      <w:tr w:rsidR="00A73D65" w:rsidRPr="002452B7" w:rsidTr="002E0DBA">
        <w:trPr>
          <w:trHeight w:val="600"/>
        </w:trPr>
        <w:tc>
          <w:tcPr>
            <w:tcW w:w="0" w:type="auto"/>
            <w:shd w:val="clear" w:color="auto" w:fill="auto"/>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Large swap traders</w:t>
            </w:r>
          </w:p>
        </w:tc>
        <w:tc>
          <w:tcPr>
            <w:tcW w:w="0" w:type="auto"/>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20.6(b)</w:t>
            </w:r>
          </w:p>
        </w:tc>
        <w:tc>
          <w:tcPr>
            <w:tcW w:w="0" w:type="auto"/>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500</w:t>
            </w:r>
          </w:p>
        </w:tc>
        <w:tc>
          <w:tcPr>
            <w:tcW w:w="0" w:type="auto"/>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$1,500,000</w:t>
            </w:r>
          </w:p>
        </w:tc>
        <w:tc>
          <w:tcPr>
            <w:tcW w:w="0" w:type="auto"/>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$10,000,000</w:t>
            </w:r>
          </w:p>
        </w:tc>
        <w:tc>
          <w:tcPr>
            <w:tcW w:w="0" w:type="auto"/>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$11,500,000</w:t>
            </w:r>
          </w:p>
        </w:tc>
        <w:tc>
          <w:tcPr>
            <w:tcW w:w="0" w:type="auto"/>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$0</w:t>
            </w:r>
          </w:p>
        </w:tc>
        <w:tc>
          <w:tcPr>
            <w:tcW w:w="0" w:type="auto"/>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$11,500,000</w:t>
            </w:r>
          </w:p>
        </w:tc>
        <w:tc>
          <w:tcPr>
            <w:tcW w:w="0" w:type="auto"/>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$11,500.00</w:t>
            </w:r>
          </w:p>
        </w:tc>
      </w:tr>
      <w:tr w:rsidR="00A73D65" w:rsidRPr="002452B7" w:rsidTr="002E0DBA">
        <w:trPr>
          <w:trHeight w:val="300"/>
        </w:trPr>
        <w:tc>
          <w:tcPr>
            <w:tcW w:w="0" w:type="auto"/>
            <w:shd w:val="clear" w:color="auto" w:fill="auto"/>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 </w:t>
            </w:r>
          </w:p>
        </w:tc>
        <w:tc>
          <w:tcPr>
            <w:tcW w:w="0" w:type="auto"/>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 </w:t>
            </w:r>
          </w:p>
        </w:tc>
        <w:tc>
          <w:tcPr>
            <w:tcW w:w="0" w:type="auto"/>
            <w:shd w:val="clear" w:color="auto" w:fill="auto"/>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 </w:t>
            </w:r>
          </w:p>
        </w:tc>
        <w:tc>
          <w:tcPr>
            <w:tcW w:w="0" w:type="auto"/>
            <w:shd w:val="clear" w:color="auto" w:fill="auto"/>
            <w:noWrap/>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 </w:t>
            </w:r>
          </w:p>
        </w:tc>
        <w:tc>
          <w:tcPr>
            <w:tcW w:w="0" w:type="auto"/>
            <w:shd w:val="clear" w:color="auto" w:fill="auto"/>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 </w:t>
            </w:r>
          </w:p>
        </w:tc>
        <w:tc>
          <w:tcPr>
            <w:tcW w:w="0" w:type="auto"/>
            <w:shd w:val="clear" w:color="auto" w:fill="auto"/>
            <w:noWrap/>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 </w:t>
            </w:r>
          </w:p>
        </w:tc>
        <w:tc>
          <w:tcPr>
            <w:tcW w:w="0" w:type="auto"/>
            <w:shd w:val="clear" w:color="auto" w:fill="auto"/>
            <w:noWrap/>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 </w:t>
            </w:r>
          </w:p>
        </w:tc>
        <w:tc>
          <w:tcPr>
            <w:tcW w:w="0" w:type="auto"/>
            <w:shd w:val="clear" w:color="auto" w:fill="auto"/>
            <w:noWrap/>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 </w:t>
            </w:r>
          </w:p>
        </w:tc>
        <w:tc>
          <w:tcPr>
            <w:tcW w:w="0" w:type="auto"/>
            <w:shd w:val="clear" w:color="auto" w:fill="auto"/>
            <w:noWrap/>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 </w:t>
            </w:r>
          </w:p>
        </w:tc>
      </w:tr>
      <w:tr w:rsidR="00A73D65" w:rsidRPr="002452B7" w:rsidTr="002E0DBA">
        <w:trPr>
          <w:trHeight w:val="300"/>
        </w:trPr>
        <w:tc>
          <w:tcPr>
            <w:tcW w:w="0" w:type="auto"/>
            <w:shd w:val="clear" w:color="auto" w:fill="auto"/>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102S Filings</w:t>
            </w:r>
          </w:p>
        </w:tc>
        <w:tc>
          <w:tcPr>
            <w:tcW w:w="0" w:type="auto"/>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20.5</w:t>
            </w:r>
          </w:p>
        </w:tc>
        <w:tc>
          <w:tcPr>
            <w:tcW w:w="0" w:type="auto"/>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200</w:t>
            </w:r>
          </w:p>
        </w:tc>
        <w:tc>
          <w:tcPr>
            <w:tcW w:w="0" w:type="auto"/>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$0</w:t>
            </w:r>
          </w:p>
        </w:tc>
        <w:tc>
          <w:tcPr>
            <w:tcW w:w="0" w:type="auto"/>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$1,000,000</w:t>
            </w:r>
          </w:p>
        </w:tc>
        <w:tc>
          <w:tcPr>
            <w:tcW w:w="0" w:type="auto"/>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$1,000,000</w:t>
            </w:r>
          </w:p>
        </w:tc>
        <w:tc>
          <w:tcPr>
            <w:tcW w:w="0" w:type="auto"/>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$0</w:t>
            </w:r>
          </w:p>
        </w:tc>
        <w:tc>
          <w:tcPr>
            <w:tcW w:w="0" w:type="auto"/>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$1,000,000</w:t>
            </w:r>
          </w:p>
        </w:tc>
        <w:tc>
          <w:tcPr>
            <w:tcW w:w="0" w:type="auto"/>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$5,000.00</w:t>
            </w:r>
          </w:p>
        </w:tc>
      </w:tr>
      <w:tr w:rsidR="00A73D65" w:rsidRPr="00A73D65" w:rsidTr="002E0DBA">
        <w:trPr>
          <w:trHeight w:val="300"/>
        </w:trPr>
        <w:tc>
          <w:tcPr>
            <w:tcW w:w="0" w:type="auto"/>
            <w:shd w:val="clear" w:color="auto" w:fill="auto"/>
            <w:vAlign w:val="bottom"/>
            <w:hideMark/>
          </w:tcPr>
          <w:p w:rsidR="00A73D65" w:rsidRPr="002452B7" w:rsidRDefault="00A82CCF" w:rsidP="002E0DBA">
            <w:pPr>
              <w:rPr>
                <w:rFonts w:ascii="Times New Roman" w:hAnsi="Times New Roman"/>
                <w:color w:val="000000"/>
                <w:szCs w:val="24"/>
              </w:rPr>
            </w:pPr>
            <w:r w:rsidRPr="00A82CCF">
              <w:rPr>
                <w:rFonts w:ascii="Times New Roman" w:hAnsi="Times New Roman"/>
                <w:color w:val="000000"/>
                <w:szCs w:val="24"/>
              </w:rPr>
              <w:t>40S Filings</w:t>
            </w:r>
          </w:p>
        </w:tc>
        <w:tc>
          <w:tcPr>
            <w:tcW w:w="0" w:type="auto"/>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20.5</w:t>
            </w:r>
          </w:p>
        </w:tc>
        <w:tc>
          <w:tcPr>
            <w:tcW w:w="0" w:type="auto"/>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500</w:t>
            </w:r>
          </w:p>
        </w:tc>
        <w:tc>
          <w:tcPr>
            <w:tcW w:w="0" w:type="auto"/>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$1,500,000</w:t>
            </w:r>
          </w:p>
        </w:tc>
        <w:tc>
          <w:tcPr>
            <w:tcW w:w="0" w:type="auto"/>
            <w:shd w:val="clear" w:color="auto" w:fill="auto"/>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$500,000</w:t>
            </w:r>
          </w:p>
        </w:tc>
        <w:tc>
          <w:tcPr>
            <w:tcW w:w="0" w:type="auto"/>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$2,000,000</w:t>
            </w:r>
          </w:p>
        </w:tc>
        <w:tc>
          <w:tcPr>
            <w:tcW w:w="0" w:type="auto"/>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$0</w:t>
            </w:r>
          </w:p>
        </w:tc>
        <w:tc>
          <w:tcPr>
            <w:tcW w:w="0" w:type="auto"/>
            <w:shd w:val="clear" w:color="auto" w:fill="auto"/>
            <w:noWrap/>
            <w:vAlign w:val="bottom"/>
            <w:hideMark/>
          </w:tcPr>
          <w:p w:rsidR="00A73D65" w:rsidRPr="002452B7" w:rsidRDefault="00A82CCF" w:rsidP="002E0DBA">
            <w:pPr>
              <w:jc w:val="right"/>
              <w:rPr>
                <w:rFonts w:ascii="Times New Roman" w:hAnsi="Times New Roman"/>
                <w:color w:val="000000"/>
                <w:szCs w:val="24"/>
              </w:rPr>
            </w:pPr>
            <w:r w:rsidRPr="00A82CCF">
              <w:rPr>
                <w:rFonts w:ascii="Times New Roman" w:hAnsi="Times New Roman"/>
                <w:color w:val="000000"/>
                <w:szCs w:val="24"/>
              </w:rPr>
              <w:t>$2,000,000</w:t>
            </w:r>
          </w:p>
        </w:tc>
        <w:tc>
          <w:tcPr>
            <w:tcW w:w="0" w:type="auto"/>
            <w:shd w:val="clear" w:color="auto" w:fill="auto"/>
            <w:noWrap/>
            <w:vAlign w:val="bottom"/>
            <w:hideMark/>
          </w:tcPr>
          <w:p w:rsidR="00A73D65" w:rsidRPr="00A73D65" w:rsidRDefault="00A82CCF" w:rsidP="002E0DBA">
            <w:pPr>
              <w:jc w:val="right"/>
              <w:rPr>
                <w:rFonts w:ascii="Times New Roman" w:hAnsi="Times New Roman"/>
                <w:color w:val="000000"/>
                <w:szCs w:val="24"/>
              </w:rPr>
            </w:pPr>
            <w:r w:rsidRPr="00A82CCF">
              <w:rPr>
                <w:rFonts w:ascii="Times New Roman" w:hAnsi="Times New Roman"/>
                <w:color w:val="000000"/>
                <w:szCs w:val="24"/>
              </w:rPr>
              <w:t>$4,000.00</w:t>
            </w:r>
          </w:p>
        </w:tc>
      </w:tr>
    </w:tbl>
    <w:p w:rsidR="00A73D65" w:rsidRPr="00A73D65" w:rsidRDefault="00A73D65" w:rsidP="00A73D65">
      <w:pPr>
        <w:pStyle w:val="Title"/>
        <w:tabs>
          <w:tab w:val="center" w:pos="7200"/>
        </w:tabs>
        <w:spacing w:after="480"/>
        <w:jc w:val="left"/>
        <w:rPr>
          <w:sz w:val="24"/>
          <w:szCs w:val="24"/>
        </w:rPr>
      </w:pPr>
    </w:p>
    <w:p w:rsidR="00585718" w:rsidRPr="00A73D65" w:rsidRDefault="00585718" w:rsidP="007F22A4">
      <w:pPr>
        <w:rPr>
          <w:rFonts w:ascii="Times New Roman" w:hAnsi="Times New Roman"/>
          <w:szCs w:val="24"/>
        </w:rPr>
      </w:pPr>
    </w:p>
    <w:sectPr w:rsidR="00585718" w:rsidRPr="00A73D65" w:rsidSect="002E0DBA">
      <w:footerReference w:type="default" r:id="rId9"/>
      <w:pgSz w:w="15840" w:h="12240" w:orient="landscape"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DF2" w:rsidRDefault="00216DF2" w:rsidP="00A73D65">
      <w:r>
        <w:separator/>
      </w:r>
    </w:p>
  </w:endnote>
  <w:endnote w:type="continuationSeparator" w:id="0">
    <w:p w:rsidR="00216DF2" w:rsidRDefault="00216DF2" w:rsidP="00A73D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DF2" w:rsidRDefault="00A67278">
    <w:pPr>
      <w:pStyle w:val="Footer"/>
      <w:jc w:val="center"/>
    </w:pPr>
    <w:fldSimple w:instr=" PAGE   \* MERGEFORMAT ">
      <w:r w:rsidR="00CB2FAC">
        <w:rPr>
          <w:noProof/>
        </w:rPr>
        <w:t>15</w:t>
      </w:r>
    </w:fldSimple>
  </w:p>
  <w:p w:rsidR="00216DF2" w:rsidRDefault="00216D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DF2" w:rsidRDefault="00A67278">
    <w:pPr>
      <w:pStyle w:val="Footer"/>
      <w:jc w:val="center"/>
    </w:pPr>
    <w:fldSimple w:instr=" PAGE   \* MERGEFORMAT ">
      <w:r w:rsidR="00CB2FAC">
        <w:rPr>
          <w:noProof/>
        </w:rPr>
        <w:t>20</w:t>
      </w:r>
    </w:fldSimple>
  </w:p>
  <w:p w:rsidR="00216DF2" w:rsidRDefault="00216D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DF2" w:rsidRDefault="00216DF2" w:rsidP="00A73D65">
      <w:r>
        <w:separator/>
      </w:r>
    </w:p>
  </w:footnote>
  <w:footnote w:type="continuationSeparator" w:id="0">
    <w:p w:rsidR="00216DF2" w:rsidRDefault="00216DF2" w:rsidP="00A73D65">
      <w:r>
        <w:continuationSeparator/>
      </w:r>
    </w:p>
  </w:footnote>
  <w:footnote w:id="1">
    <w:p w:rsidR="00216DF2" w:rsidRPr="002452B7" w:rsidRDefault="00A82CCF" w:rsidP="00A73D65">
      <w:pPr>
        <w:pStyle w:val="PlainText"/>
        <w:rPr>
          <w:rFonts w:ascii="Times New Roman" w:hAnsi="Times New Roman"/>
          <w:color w:val="auto"/>
          <w:sz w:val="24"/>
          <w:szCs w:val="24"/>
        </w:rPr>
      </w:pPr>
      <w:r w:rsidRPr="00A82CCF">
        <w:rPr>
          <w:rStyle w:val="FootnoteReference"/>
          <w:rFonts w:ascii="Times New Roman" w:hAnsi="Times New Roman"/>
          <w:color w:val="auto"/>
          <w:sz w:val="24"/>
          <w:szCs w:val="24"/>
        </w:rPr>
        <w:footnoteRef/>
      </w:r>
      <w:r w:rsidRPr="00A82CCF">
        <w:rPr>
          <w:rFonts w:ascii="Times New Roman" w:hAnsi="Times New Roman"/>
          <w:color w:val="auto"/>
          <w:sz w:val="24"/>
          <w:szCs w:val="24"/>
        </w:rPr>
        <w:t xml:space="preserve"> </w:t>
      </w:r>
      <w:r w:rsidRPr="00A82CCF">
        <w:rPr>
          <w:rFonts w:ascii="Times New Roman" w:hAnsi="Times New Roman"/>
          <w:i/>
          <w:color w:val="auto"/>
          <w:sz w:val="24"/>
          <w:szCs w:val="24"/>
        </w:rPr>
        <w:t>See</w:t>
      </w:r>
      <w:r w:rsidRPr="00A82CCF">
        <w:rPr>
          <w:rFonts w:ascii="Times New Roman" w:hAnsi="Times New Roman"/>
          <w:color w:val="auto"/>
          <w:sz w:val="24"/>
          <w:szCs w:val="24"/>
        </w:rPr>
        <w:t xml:space="preserve"> Dodd-Frank Wall Street Reform and Consumer Protection Act, Pub. </w:t>
      </w:r>
      <w:proofErr w:type="gramStart"/>
      <w:r w:rsidRPr="00A82CCF">
        <w:rPr>
          <w:rFonts w:ascii="Times New Roman" w:hAnsi="Times New Roman"/>
          <w:color w:val="auto"/>
          <w:sz w:val="24"/>
          <w:szCs w:val="24"/>
        </w:rPr>
        <w:t>L. No. 111-203, 124 Stat. 1376 (2010).</w:t>
      </w:r>
      <w:proofErr w:type="gramEnd"/>
      <w:r w:rsidRPr="00A82CCF">
        <w:rPr>
          <w:rFonts w:ascii="Times New Roman" w:hAnsi="Times New Roman"/>
          <w:color w:val="auto"/>
          <w:sz w:val="24"/>
          <w:szCs w:val="24"/>
        </w:rPr>
        <w:t xml:space="preserve"> </w:t>
      </w:r>
    </w:p>
    <w:p w:rsidR="00216DF2" w:rsidRPr="002452B7" w:rsidRDefault="00A82CCF" w:rsidP="00A73D65">
      <w:pPr>
        <w:pStyle w:val="PlainText"/>
        <w:rPr>
          <w:rFonts w:ascii="Times New Roman" w:hAnsi="Times New Roman"/>
          <w:color w:val="auto"/>
          <w:sz w:val="24"/>
          <w:szCs w:val="24"/>
        </w:rPr>
      </w:pPr>
      <w:r w:rsidRPr="00A82CCF">
        <w:rPr>
          <w:rFonts w:ascii="Times New Roman" w:hAnsi="Times New Roman"/>
          <w:color w:val="auto"/>
          <w:sz w:val="24"/>
          <w:szCs w:val="24"/>
        </w:rPr>
        <w:t xml:space="preserve"> </w:t>
      </w:r>
    </w:p>
  </w:footnote>
  <w:footnote w:id="2">
    <w:p w:rsidR="00216DF2" w:rsidRPr="002452B7" w:rsidRDefault="00A82CCF" w:rsidP="00A73D65">
      <w:pPr>
        <w:pStyle w:val="FootnoteText"/>
        <w:rPr>
          <w:rFonts w:ascii="Times New Roman" w:hAnsi="Times New Roman"/>
          <w:szCs w:val="24"/>
        </w:rPr>
      </w:pPr>
      <w:r w:rsidRPr="00A82CCF">
        <w:rPr>
          <w:rStyle w:val="FootnoteReference"/>
          <w:rFonts w:ascii="Times New Roman" w:hAnsi="Times New Roman"/>
          <w:szCs w:val="24"/>
        </w:rPr>
        <w:footnoteRef/>
      </w:r>
      <w:r w:rsidRPr="00A82CCF">
        <w:rPr>
          <w:rFonts w:ascii="Times New Roman" w:hAnsi="Times New Roman"/>
          <w:szCs w:val="24"/>
        </w:rPr>
        <w:t xml:space="preserve"> </w:t>
      </w:r>
      <w:proofErr w:type="gramStart"/>
      <w:r w:rsidRPr="00A82CCF">
        <w:rPr>
          <w:rFonts w:ascii="Times New Roman" w:hAnsi="Times New Roman"/>
          <w:szCs w:val="24"/>
        </w:rPr>
        <w:t xml:space="preserve">7 U.S.C. 1 </w:t>
      </w:r>
      <w:r w:rsidRPr="00A82CCF">
        <w:rPr>
          <w:rFonts w:ascii="Times New Roman" w:hAnsi="Times New Roman"/>
          <w:i/>
          <w:szCs w:val="24"/>
        </w:rPr>
        <w:t>et seq.</w:t>
      </w:r>
      <w:proofErr w:type="gramEnd"/>
    </w:p>
    <w:p w:rsidR="00216DF2" w:rsidRPr="002452B7" w:rsidRDefault="00216DF2" w:rsidP="00A73D65">
      <w:pPr>
        <w:pStyle w:val="FootnoteText"/>
        <w:rPr>
          <w:rFonts w:ascii="Times New Roman" w:hAnsi="Times New Roman"/>
          <w:szCs w:val="24"/>
        </w:rPr>
      </w:pPr>
    </w:p>
  </w:footnote>
  <w:footnote w:id="3">
    <w:p w:rsidR="00216DF2" w:rsidRPr="002452B7" w:rsidRDefault="00A82CCF" w:rsidP="00DB6EE2">
      <w:pPr>
        <w:pStyle w:val="FootnoteText"/>
        <w:rPr>
          <w:rFonts w:ascii="Times New Roman" w:hAnsi="Times New Roman"/>
          <w:szCs w:val="24"/>
        </w:rPr>
      </w:pPr>
      <w:r w:rsidRPr="00A82CCF">
        <w:rPr>
          <w:rStyle w:val="FootnoteReference"/>
          <w:rFonts w:ascii="Times New Roman" w:hAnsi="Times New Roman"/>
          <w:szCs w:val="24"/>
        </w:rPr>
        <w:footnoteRef/>
      </w:r>
      <w:r w:rsidRPr="00A82CCF">
        <w:rPr>
          <w:rFonts w:ascii="Times New Roman" w:hAnsi="Times New Roman"/>
          <w:szCs w:val="24"/>
        </w:rPr>
        <w:t xml:space="preserve"> 75 FR 67258, November 2, 2010.  Comments and ex parte communications list available at </w:t>
      </w:r>
      <w:hyperlink r:id="rId1" w:history="1">
        <w:r w:rsidRPr="00A82CCF">
          <w:rPr>
            <w:rStyle w:val="Hyperlink"/>
            <w:rFonts w:ascii="Times New Roman" w:hAnsi="Times New Roman"/>
            <w:szCs w:val="24"/>
            <w:u w:val="none"/>
          </w:rPr>
          <w:t>http://comments.cftc.gov/PublicComments/CommentList.aspx?id=889</w:t>
        </w:r>
      </w:hyperlink>
      <w:r w:rsidRPr="00A82CCF">
        <w:rPr>
          <w:rFonts w:ascii="Times New Roman" w:hAnsi="Times New Roman"/>
          <w:szCs w:val="24"/>
        </w:rPr>
        <w:t>.</w:t>
      </w:r>
    </w:p>
    <w:p w:rsidR="00216DF2" w:rsidRPr="002452B7" w:rsidRDefault="00216DF2" w:rsidP="00DB6EE2">
      <w:pPr>
        <w:pStyle w:val="FootnoteText"/>
        <w:rPr>
          <w:rFonts w:ascii="Times New Roman" w:hAnsi="Times New Roman"/>
          <w:szCs w:val="24"/>
        </w:rPr>
      </w:pPr>
    </w:p>
  </w:footnote>
  <w:footnote w:id="4">
    <w:p w:rsidR="002452B7" w:rsidRDefault="00A82CCF">
      <w:pPr>
        <w:pStyle w:val="FootnoteText"/>
      </w:pPr>
      <w:r w:rsidRPr="00A82CCF">
        <w:rPr>
          <w:rStyle w:val="FootnoteReference"/>
          <w:rFonts w:ascii="Times New Roman" w:hAnsi="Times New Roman"/>
        </w:rPr>
        <w:footnoteRef/>
      </w:r>
      <w:r w:rsidRPr="00A82CCF">
        <w:rPr>
          <w:rFonts w:ascii="Times New Roman" w:hAnsi="Times New Roman"/>
        </w:rPr>
        <w:t xml:space="preserve"> </w:t>
      </w:r>
      <w:proofErr w:type="gramStart"/>
      <w:r w:rsidRPr="00A82CCF">
        <w:rPr>
          <w:rFonts w:ascii="Times New Roman" w:hAnsi="Times New Roman"/>
        </w:rPr>
        <w:t>76 FR 43851.</w:t>
      </w:r>
      <w:proofErr w:type="gramEnd"/>
    </w:p>
  </w:footnote>
  <w:footnote w:id="5">
    <w:p w:rsidR="00216DF2" w:rsidRPr="00216DF2" w:rsidRDefault="00A82CCF" w:rsidP="00A73D65">
      <w:pPr>
        <w:pStyle w:val="FootnoteText"/>
        <w:rPr>
          <w:rFonts w:ascii="Times New Roman" w:hAnsi="Times New Roman"/>
          <w:szCs w:val="24"/>
        </w:rPr>
      </w:pPr>
      <w:r w:rsidRPr="00A82CCF">
        <w:rPr>
          <w:rStyle w:val="FootnoteReference"/>
          <w:rFonts w:ascii="Times New Roman" w:hAnsi="Times New Roman"/>
          <w:szCs w:val="24"/>
        </w:rPr>
        <w:footnoteRef/>
      </w:r>
      <w:r w:rsidRPr="00A82CCF">
        <w:rPr>
          <w:rFonts w:ascii="Times New Roman" w:hAnsi="Times New Roman"/>
          <w:szCs w:val="24"/>
        </w:rPr>
        <w:t xml:space="preserve"> 66 FR 45604, 45609 (August 29, 2001).</w:t>
      </w:r>
    </w:p>
    <w:p w:rsidR="00216DF2" w:rsidRPr="00216DF2" w:rsidRDefault="00216DF2" w:rsidP="00A73D65">
      <w:pPr>
        <w:pStyle w:val="FootnoteText"/>
        <w:rPr>
          <w:rFonts w:ascii="Times New Roman" w:hAnsi="Times New Roman"/>
          <w:szCs w:val="24"/>
        </w:rPr>
      </w:pPr>
    </w:p>
  </w:footnote>
  <w:footnote w:id="6">
    <w:p w:rsidR="00216DF2" w:rsidRPr="00216DF2" w:rsidRDefault="00A82CCF" w:rsidP="00A73D65">
      <w:pPr>
        <w:pStyle w:val="FootnoteText"/>
        <w:rPr>
          <w:rFonts w:ascii="Times New Roman" w:hAnsi="Times New Roman"/>
          <w:szCs w:val="24"/>
        </w:rPr>
      </w:pPr>
      <w:r w:rsidRPr="00A82CCF">
        <w:rPr>
          <w:rStyle w:val="FootnoteReference"/>
          <w:rFonts w:ascii="Times New Roman" w:hAnsi="Times New Roman"/>
          <w:szCs w:val="24"/>
        </w:rPr>
        <w:footnoteRef/>
      </w:r>
      <w:r w:rsidRPr="00A82CCF">
        <w:rPr>
          <w:rFonts w:ascii="Times New Roman" w:hAnsi="Times New Roman"/>
          <w:szCs w:val="24"/>
        </w:rPr>
        <w:t xml:space="preserve"> Policy Statement and Establishment of Definitions of “Small Entities” for Purposes of the Regulatory Flexibility Act, 47 Fed. Reg. 18618, 18619 (Apr. 30, 1982).  </w:t>
      </w:r>
    </w:p>
    <w:p w:rsidR="00216DF2" w:rsidRPr="00216DF2" w:rsidRDefault="00216DF2" w:rsidP="00A73D65">
      <w:pPr>
        <w:pStyle w:val="FootnoteText"/>
        <w:rPr>
          <w:rFonts w:ascii="Times New Roman" w:hAnsi="Times New Roman"/>
          <w:szCs w:val="24"/>
        </w:rPr>
      </w:pPr>
    </w:p>
  </w:footnote>
  <w:footnote w:id="7">
    <w:p w:rsidR="00216DF2" w:rsidRPr="00216DF2" w:rsidRDefault="00A82CCF" w:rsidP="00A73D65">
      <w:pPr>
        <w:pStyle w:val="FootnoteText"/>
        <w:rPr>
          <w:rFonts w:ascii="Times New Roman" w:hAnsi="Times New Roman"/>
          <w:szCs w:val="24"/>
        </w:rPr>
      </w:pPr>
      <w:r w:rsidRPr="00A82CCF">
        <w:rPr>
          <w:rStyle w:val="FootnoteReference"/>
          <w:rFonts w:ascii="Times New Roman" w:hAnsi="Times New Roman"/>
          <w:szCs w:val="24"/>
        </w:rPr>
        <w:footnoteRef/>
      </w:r>
      <w:r w:rsidRPr="00A82CCF">
        <w:rPr>
          <w:rFonts w:ascii="Times New Roman" w:hAnsi="Times New Roman"/>
          <w:szCs w:val="24"/>
        </w:rPr>
        <w:t xml:space="preserve"> </w:t>
      </w:r>
      <w:proofErr w:type="gramStart"/>
      <w:r w:rsidRPr="00A82CCF">
        <w:rPr>
          <w:rFonts w:ascii="Times New Roman" w:hAnsi="Times New Roman"/>
          <w:szCs w:val="24"/>
          <w:u w:val="single"/>
        </w:rPr>
        <w:t>Id</w:t>
      </w:r>
      <w:r w:rsidRPr="00A82CCF">
        <w:rPr>
          <w:rFonts w:ascii="Times New Roman" w:hAnsi="Times New Roman"/>
          <w:szCs w:val="24"/>
        </w:rPr>
        <w:t>. at 18620 (excluding large traders from the definition of small entity).</w:t>
      </w:r>
      <w:proofErr w:type="gramEnd"/>
    </w:p>
    <w:p w:rsidR="00216DF2" w:rsidRPr="00216DF2" w:rsidRDefault="00216DF2" w:rsidP="00A73D65">
      <w:pPr>
        <w:pStyle w:val="FootnoteText"/>
        <w:rPr>
          <w:rFonts w:ascii="Times New Roman" w:hAnsi="Times New Roman"/>
          <w:szCs w:val="24"/>
        </w:rPr>
      </w:pPr>
    </w:p>
  </w:footnote>
  <w:footnote w:id="8">
    <w:p w:rsidR="00216DF2" w:rsidRPr="00216DF2" w:rsidRDefault="00A82CCF" w:rsidP="00A73D65">
      <w:pPr>
        <w:pStyle w:val="FootnoteText"/>
        <w:rPr>
          <w:rFonts w:ascii="Times New Roman" w:hAnsi="Times New Roman"/>
          <w:szCs w:val="24"/>
        </w:rPr>
      </w:pPr>
      <w:r w:rsidRPr="00A82CCF">
        <w:rPr>
          <w:rStyle w:val="FootnoteReference"/>
          <w:rFonts w:ascii="Times New Roman" w:hAnsi="Times New Roman"/>
          <w:szCs w:val="24"/>
        </w:rPr>
        <w:footnoteRef/>
      </w:r>
      <w:r w:rsidRPr="00A82CCF">
        <w:rPr>
          <w:rFonts w:ascii="Times New Roman" w:hAnsi="Times New Roman"/>
          <w:szCs w:val="24"/>
        </w:rPr>
        <w:t xml:space="preserve"> The Commission staff's estimates concerning the wage rates are based on salary information for the securities industry compiled by the Securities Industry and Financial Markets Association (“SIFMA”).  The $74.36 per hour is derived from figures from a weighted average of salaries and bonuses across different professions from the SIFMA Report on Management &amp; Professional Earnings in the Securities Industry 2009, modified to account for an 1800-hour work-year and multiplied by 1.3 to account for overhead and other benefits.  The wage rate is a weighted national average of salary and bonuses for professionals with the following titles (and their relative weight); “programmer (senior)” (60% weight), “compliance advisor (intermediate)” (20%), “systems analyst” (10%), and “assistant/associate general counsel” (10%).  </w:t>
      </w:r>
    </w:p>
    <w:p w:rsidR="00216DF2" w:rsidRPr="00216DF2" w:rsidRDefault="00216DF2" w:rsidP="00A73D65">
      <w:pPr>
        <w:pStyle w:val="FootnoteText"/>
        <w:rPr>
          <w:rFonts w:ascii="Times New Roman" w:hAnsi="Times New Roman"/>
          <w:szCs w:val="24"/>
        </w:rPr>
      </w:pPr>
    </w:p>
  </w:footnote>
  <w:footnote w:id="9">
    <w:p w:rsidR="00216DF2" w:rsidRPr="00216DF2" w:rsidRDefault="00A82CCF" w:rsidP="00A73D65">
      <w:pPr>
        <w:pStyle w:val="FootnoteText"/>
        <w:rPr>
          <w:rFonts w:ascii="Times New Roman" w:hAnsi="Times New Roman"/>
          <w:szCs w:val="24"/>
        </w:rPr>
      </w:pPr>
      <w:r w:rsidRPr="00A82CCF">
        <w:rPr>
          <w:rStyle w:val="FootnoteReference"/>
          <w:rFonts w:ascii="Times New Roman" w:hAnsi="Times New Roman"/>
          <w:szCs w:val="24"/>
        </w:rPr>
        <w:footnoteRef/>
      </w:r>
      <w:r w:rsidRPr="00A82CCF">
        <w:rPr>
          <w:rFonts w:ascii="Times New Roman" w:hAnsi="Times New Roman"/>
          <w:szCs w:val="24"/>
        </w:rPr>
        <w:t xml:space="preserve"> All of the capital cost figures are based on a 5 year, straight line depreciation.  </w:t>
      </w:r>
    </w:p>
    <w:p w:rsidR="00216DF2" w:rsidRPr="00216DF2" w:rsidRDefault="00216DF2" w:rsidP="00A73D65">
      <w:pPr>
        <w:pStyle w:val="FootnoteText"/>
        <w:jc w:val="center"/>
        <w:rPr>
          <w:rFonts w:ascii="Times New Roman" w:hAnsi="Times New Roman"/>
          <w:szCs w:val="24"/>
        </w:rPr>
      </w:pPr>
    </w:p>
  </w:footnote>
  <w:footnote w:id="10">
    <w:p w:rsidR="00216DF2" w:rsidRPr="00216DF2" w:rsidRDefault="00A82CCF" w:rsidP="00A73D65">
      <w:pPr>
        <w:pStyle w:val="FootnoteText"/>
        <w:rPr>
          <w:rFonts w:ascii="Times New Roman" w:hAnsi="Times New Roman"/>
          <w:szCs w:val="24"/>
        </w:rPr>
      </w:pPr>
      <w:r w:rsidRPr="00A82CCF">
        <w:rPr>
          <w:rStyle w:val="FootnoteReference"/>
          <w:rFonts w:ascii="Times New Roman" w:hAnsi="Times New Roman"/>
          <w:szCs w:val="24"/>
        </w:rPr>
        <w:footnoteRef/>
      </w:r>
      <w:r w:rsidRPr="00A82CCF">
        <w:rPr>
          <w:rFonts w:ascii="Times New Roman" w:hAnsi="Times New Roman"/>
          <w:szCs w:val="24"/>
        </w:rPr>
        <w:t xml:space="preserve"> Staff tasked with assisting the Commission in developing the proposed regulations made this recommendation after meeting with or speaking to several outside parties, representing clearing members, swap dealers, swap data service providers, and our sister financial regulators.  </w:t>
      </w:r>
      <w:r w:rsidRPr="00A82CCF">
        <w:rPr>
          <w:rFonts w:ascii="Times New Roman" w:hAnsi="Times New Roman"/>
          <w:szCs w:val="24"/>
          <w:u w:val="single"/>
        </w:rPr>
        <w:t>See</w:t>
      </w:r>
      <w:r w:rsidRPr="00A82CCF">
        <w:rPr>
          <w:rFonts w:ascii="Times New Roman" w:hAnsi="Times New Roman"/>
          <w:szCs w:val="24"/>
        </w:rPr>
        <w:t xml:space="preserve"> http://www.cftc.gov/LawRegulation/DoddFrankAct/ExternalMeetings/otc_meetings.html.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C6188"/>
    <w:multiLevelType w:val="hybridMultilevel"/>
    <w:tmpl w:val="A2FE65BA"/>
    <w:lvl w:ilvl="0" w:tplc="04090001">
      <w:start w:val="1"/>
      <w:numFmt w:val="bullet"/>
      <w:lvlText w:val=""/>
      <w:lvlJc w:val="left"/>
      <w:pPr>
        <w:ind w:left="720" w:hanging="360"/>
      </w:pPr>
      <w:rPr>
        <w:rFonts w:ascii="Symbol" w:hAnsi="Symbol" w:hint="default"/>
      </w:rPr>
    </w:lvl>
    <w:lvl w:ilvl="1" w:tplc="7A267B9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8F4D16"/>
    <w:multiLevelType w:val="hybridMultilevel"/>
    <w:tmpl w:val="1818B8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D05C05"/>
    <w:multiLevelType w:val="hybridMultilevel"/>
    <w:tmpl w:val="CAE65A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1705D9E"/>
    <w:multiLevelType w:val="hybridMultilevel"/>
    <w:tmpl w:val="1D303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7C4985"/>
    <w:multiLevelType w:val="hybridMultilevel"/>
    <w:tmpl w:val="0E1A5B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F75B28"/>
    <w:multiLevelType w:val="hybridMultilevel"/>
    <w:tmpl w:val="7F429AFC"/>
    <w:lvl w:ilvl="0" w:tplc="7A267B96">
      <w:start w:val="1"/>
      <w:numFmt w:val="bullet"/>
      <w:lvlText w:val="­"/>
      <w:lvlJc w:val="left"/>
      <w:pPr>
        <w:ind w:left="720" w:hanging="360"/>
      </w:pPr>
      <w:rPr>
        <w:rFonts w:ascii="Courier New" w:hAnsi="Courier New" w:hint="default"/>
      </w:rPr>
    </w:lvl>
    <w:lvl w:ilvl="1" w:tplc="7A267B9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A61B6C"/>
    <w:multiLevelType w:val="hybridMultilevel"/>
    <w:tmpl w:val="7736D8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91103DC"/>
    <w:multiLevelType w:val="hybridMultilevel"/>
    <w:tmpl w:val="2A9C0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606C9E"/>
    <w:multiLevelType w:val="hybridMultilevel"/>
    <w:tmpl w:val="83EEBF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1C7F68"/>
    <w:multiLevelType w:val="hybridMultilevel"/>
    <w:tmpl w:val="D2F8F2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9A3890"/>
    <w:multiLevelType w:val="hybridMultilevel"/>
    <w:tmpl w:val="F1C23E30"/>
    <w:lvl w:ilvl="0" w:tplc="73C0E7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5"/>
  </w:num>
  <w:num w:numId="4">
    <w:abstractNumId w:val="9"/>
  </w:num>
  <w:num w:numId="5">
    <w:abstractNumId w:val="7"/>
  </w:num>
  <w:num w:numId="6">
    <w:abstractNumId w:val="4"/>
  </w:num>
  <w:num w:numId="7">
    <w:abstractNumId w:val="8"/>
  </w:num>
  <w:num w:numId="8">
    <w:abstractNumId w:val="2"/>
  </w:num>
  <w:num w:numId="9">
    <w:abstractNumId w:val="1"/>
  </w:num>
  <w:num w:numId="10">
    <w:abstractNumId w:val="1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7F22A4"/>
    <w:rsid w:val="000576BF"/>
    <w:rsid w:val="00072761"/>
    <w:rsid w:val="000803D6"/>
    <w:rsid w:val="000B52BF"/>
    <w:rsid w:val="001501BF"/>
    <w:rsid w:val="00190F95"/>
    <w:rsid w:val="00216DF2"/>
    <w:rsid w:val="002452B7"/>
    <w:rsid w:val="00264B20"/>
    <w:rsid w:val="002B0E63"/>
    <w:rsid w:val="002E0DBA"/>
    <w:rsid w:val="00306F7A"/>
    <w:rsid w:val="00307E70"/>
    <w:rsid w:val="00312476"/>
    <w:rsid w:val="003625EB"/>
    <w:rsid w:val="0039631F"/>
    <w:rsid w:val="003E6CDB"/>
    <w:rsid w:val="004F660F"/>
    <w:rsid w:val="005075DF"/>
    <w:rsid w:val="00511597"/>
    <w:rsid w:val="00585718"/>
    <w:rsid w:val="00607D38"/>
    <w:rsid w:val="006243BC"/>
    <w:rsid w:val="00624B76"/>
    <w:rsid w:val="0063622E"/>
    <w:rsid w:val="00667CD6"/>
    <w:rsid w:val="00686005"/>
    <w:rsid w:val="006A735D"/>
    <w:rsid w:val="006C6AAC"/>
    <w:rsid w:val="007029A9"/>
    <w:rsid w:val="007B345F"/>
    <w:rsid w:val="007F22A4"/>
    <w:rsid w:val="00907E26"/>
    <w:rsid w:val="009309EC"/>
    <w:rsid w:val="00941E2F"/>
    <w:rsid w:val="00944B85"/>
    <w:rsid w:val="00954561"/>
    <w:rsid w:val="00A416A2"/>
    <w:rsid w:val="00A67278"/>
    <w:rsid w:val="00A73D65"/>
    <w:rsid w:val="00A82CCF"/>
    <w:rsid w:val="00AB45D9"/>
    <w:rsid w:val="00B91704"/>
    <w:rsid w:val="00BB48E4"/>
    <w:rsid w:val="00BE6AC8"/>
    <w:rsid w:val="00BF6E35"/>
    <w:rsid w:val="00C05211"/>
    <w:rsid w:val="00C23A3C"/>
    <w:rsid w:val="00C62EF1"/>
    <w:rsid w:val="00C63E7D"/>
    <w:rsid w:val="00C7580D"/>
    <w:rsid w:val="00CB2FAC"/>
    <w:rsid w:val="00CB52C3"/>
    <w:rsid w:val="00CC2FA5"/>
    <w:rsid w:val="00CD3315"/>
    <w:rsid w:val="00D11749"/>
    <w:rsid w:val="00D27AE8"/>
    <w:rsid w:val="00DB1AD1"/>
    <w:rsid w:val="00DB6EE2"/>
    <w:rsid w:val="00DB7297"/>
    <w:rsid w:val="00E229CB"/>
    <w:rsid w:val="00E87F90"/>
    <w:rsid w:val="00EB0E8A"/>
    <w:rsid w:val="00F378A6"/>
    <w:rsid w:val="00F7590C"/>
    <w:rsid w:val="00F9762E"/>
    <w:rsid w:val="00FA16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2A4"/>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D65"/>
    <w:pPr>
      <w:ind w:left="720"/>
      <w:contextualSpacing/>
    </w:pPr>
    <w:rPr>
      <w:rFonts w:ascii="Times New Roman" w:eastAsia="Calibri" w:hAnsi="Times New Roman"/>
      <w:szCs w:val="22"/>
    </w:rPr>
  </w:style>
  <w:style w:type="paragraph" w:styleId="FootnoteText">
    <w:name w:val="footnote text"/>
    <w:basedOn w:val="Normal"/>
    <w:link w:val="FootnoteTextChar"/>
    <w:rsid w:val="00A73D65"/>
  </w:style>
  <w:style w:type="character" w:customStyle="1" w:styleId="FootnoteTextChar">
    <w:name w:val="Footnote Text Char"/>
    <w:basedOn w:val="DefaultParagraphFont"/>
    <w:link w:val="FootnoteText"/>
    <w:rsid w:val="00A73D65"/>
    <w:rPr>
      <w:rFonts w:ascii="Courier" w:eastAsia="Times New Roman" w:hAnsi="Courier" w:cs="Times New Roman"/>
      <w:sz w:val="24"/>
      <w:szCs w:val="20"/>
    </w:rPr>
  </w:style>
  <w:style w:type="character" w:styleId="FootnoteReference">
    <w:name w:val="footnote reference"/>
    <w:aliases w:val="Style 19,Style 16,fr"/>
    <w:basedOn w:val="DefaultParagraphFont"/>
    <w:semiHidden/>
    <w:rsid w:val="00A73D65"/>
    <w:rPr>
      <w:vertAlign w:val="superscript"/>
    </w:rPr>
  </w:style>
  <w:style w:type="paragraph" w:styleId="PlainText">
    <w:name w:val="Plain Text"/>
    <w:basedOn w:val="Normal"/>
    <w:link w:val="PlainTextChar"/>
    <w:uiPriority w:val="99"/>
    <w:unhideWhenUsed/>
    <w:rsid w:val="00A73D65"/>
    <w:rPr>
      <w:rFonts w:ascii="Calibri" w:hAnsi="Calibri"/>
      <w:color w:val="1F497D"/>
      <w:sz w:val="22"/>
      <w:szCs w:val="21"/>
    </w:rPr>
  </w:style>
  <w:style w:type="character" w:customStyle="1" w:styleId="PlainTextChar">
    <w:name w:val="Plain Text Char"/>
    <w:basedOn w:val="DefaultParagraphFont"/>
    <w:link w:val="PlainText"/>
    <w:uiPriority w:val="99"/>
    <w:rsid w:val="00A73D65"/>
    <w:rPr>
      <w:rFonts w:ascii="Calibri" w:eastAsia="Times New Roman" w:hAnsi="Calibri" w:cs="Times New Roman"/>
      <w:color w:val="1F497D"/>
      <w:szCs w:val="21"/>
    </w:rPr>
  </w:style>
  <w:style w:type="paragraph" w:styleId="Footer">
    <w:name w:val="footer"/>
    <w:basedOn w:val="Normal"/>
    <w:link w:val="FooterChar"/>
    <w:uiPriority w:val="99"/>
    <w:unhideWhenUsed/>
    <w:rsid w:val="00A73D65"/>
    <w:pPr>
      <w:tabs>
        <w:tab w:val="center" w:pos="4680"/>
        <w:tab w:val="right" w:pos="9360"/>
      </w:tabs>
    </w:pPr>
    <w:rPr>
      <w:rFonts w:ascii="Times New Roman" w:eastAsia="Calibri" w:hAnsi="Times New Roman"/>
      <w:szCs w:val="22"/>
    </w:rPr>
  </w:style>
  <w:style w:type="character" w:customStyle="1" w:styleId="FooterChar">
    <w:name w:val="Footer Char"/>
    <w:basedOn w:val="DefaultParagraphFont"/>
    <w:link w:val="Footer"/>
    <w:uiPriority w:val="99"/>
    <w:rsid w:val="00A73D65"/>
    <w:rPr>
      <w:rFonts w:ascii="Times New Roman" w:eastAsia="Calibri" w:hAnsi="Times New Roman" w:cs="Times New Roman"/>
      <w:sz w:val="24"/>
    </w:rPr>
  </w:style>
  <w:style w:type="paragraph" w:styleId="Title">
    <w:name w:val="Title"/>
    <w:basedOn w:val="Normal"/>
    <w:link w:val="TitleChar"/>
    <w:qFormat/>
    <w:rsid w:val="00A73D65"/>
    <w:pPr>
      <w:jc w:val="center"/>
    </w:pPr>
    <w:rPr>
      <w:rFonts w:ascii="Times New Roman" w:hAnsi="Times New Roman"/>
      <w:b/>
      <w:sz w:val="40"/>
    </w:rPr>
  </w:style>
  <w:style w:type="character" w:customStyle="1" w:styleId="TitleChar">
    <w:name w:val="Title Char"/>
    <w:basedOn w:val="DefaultParagraphFont"/>
    <w:link w:val="Title"/>
    <w:rsid w:val="00A73D65"/>
    <w:rPr>
      <w:rFonts w:ascii="Times New Roman" w:eastAsia="Times New Roman" w:hAnsi="Times New Roman" w:cs="Times New Roman"/>
      <w:b/>
      <w:sz w:val="40"/>
      <w:szCs w:val="20"/>
    </w:rPr>
  </w:style>
  <w:style w:type="paragraph" w:styleId="BalloonText">
    <w:name w:val="Balloon Text"/>
    <w:basedOn w:val="Normal"/>
    <w:link w:val="BalloonTextChar"/>
    <w:uiPriority w:val="99"/>
    <w:semiHidden/>
    <w:unhideWhenUsed/>
    <w:rsid w:val="00A416A2"/>
    <w:rPr>
      <w:rFonts w:ascii="Tahoma" w:hAnsi="Tahoma" w:cs="Tahoma"/>
      <w:sz w:val="16"/>
      <w:szCs w:val="16"/>
    </w:rPr>
  </w:style>
  <w:style w:type="character" w:customStyle="1" w:styleId="BalloonTextChar">
    <w:name w:val="Balloon Text Char"/>
    <w:basedOn w:val="DefaultParagraphFont"/>
    <w:link w:val="BalloonText"/>
    <w:uiPriority w:val="99"/>
    <w:semiHidden/>
    <w:rsid w:val="00A416A2"/>
    <w:rPr>
      <w:rFonts w:ascii="Tahoma" w:eastAsia="Times New Roman" w:hAnsi="Tahoma" w:cs="Tahoma"/>
      <w:sz w:val="16"/>
      <w:szCs w:val="16"/>
    </w:rPr>
  </w:style>
  <w:style w:type="character" w:styleId="Hyperlink">
    <w:name w:val="Hyperlink"/>
    <w:basedOn w:val="DefaultParagraphFont"/>
    <w:rsid w:val="00DB6EE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comments.cftc.gov/PublicComments/CommentList.aspx?id=8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99CB4-5117-4002-80F4-930517939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6427</Words>
  <Characters>36639</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42981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VHill</dc:creator>
  <cp:lastModifiedBy>VHill</cp:lastModifiedBy>
  <cp:revision>2</cp:revision>
  <cp:lastPrinted>2011-09-14T17:26:00Z</cp:lastPrinted>
  <dcterms:created xsi:type="dcterms:W3CDTF">2011-09-29T19:05:00Z</dcterms:created>
  <dcterms:modified xsi:type="dcterms:W3CDTF">2011-09-29T19:05:00Z</dcterms:modified>
</cp:coreProperties>
</file>