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6C7" w:rsidRDefault="004B09E2" w:rsidP="004E66C7">
      <w:pPr>
        <w:jc w:val="center"/>
        <w:rPr>
          <w:b/>
          <w:bCs/>
          <w:color w:val="000000"/>
          <w:szCs w:val="24"/>
        </w:rPr>
      </w:pPr>
      <w:r w:rsidRPr="006A08B6">
        <w:rPr>
          <w:szCs w:val="24"/>
          <w:lang w:val="en-CA"/>
        </w:rPr>
        <w:fldChar w:fldCharType="begin"/>
      </w:r>
      <w:r w:rsidR="004E66C7" w:rsidRPr="006A08B6">
        <w:rPr>
          <w:szCs w:val="24"/>
          <w:lang w:val="en-CA"/>
        </w:rPr>
        <w:instrText xml:space="preserve"> SEQ CHAPTER \h \r 1</w:instrText>
      </w:r>
      <w:r w:rsidRPr="006A08B6">
        <w:rPr>
          <w:szCs w:val="24"/>
          <w:lang w:val="en-CA"/>
        </w:rPr>
        <w:fldChar w:fldCharType="end"/>
      </w:r>
      <w:r w:rsidR="004E66C7" w:rsidRPr="006A08B6">
        <w:rPr>
          <w:b/>
          <w:bCs/>
          <w:color w:val="000000"/>
          <w:szCs w:val="24"/>
        </w:rPr>
        <w:t>Supporting Statement for the</w:t>
      </w:r>
      <w:r w:rsidR="004E66C7">
        <w:rPr>
          <w:b/>
          <w:bCs/>
          <w:color w:val="000000"/>
          <w:szCs w:val="24"/>
        </w:rPr>
        <w:t xml:space="preserve"> </w:t>
      </w:r>
    </w:p>
    <w:p w:rsidR="004E66C7" w:rsidRDefault="004E66C7" w:rsidP="004E66C7">
      <w:pPr>
        <w:jc w:val="center"/>
        <w:rPr>
          <w:b/>
          <w:bCs/>
          <w:color w:val="000000"/>
          <w:szCs w:val="24"/>
        </w:rPr>
      </w:pPr>
      <w:r>
        <w:rPr>
          <w:b/>
          <w:bCs/>
          <w:color w:val="000000"/>
          <w:szCs w:val="24"/>
        </w:rPr>
        <w:t xml:space="preserve">Recordkeeping Requirements Associated with </w:t>
      </w:r>
    </w:p>
    <w:p w:rsidR="004E66C7" w:rsidRDefault="004E66C7" w:rsidP="004E66C7">
      <w:pPr>
        <w:jc w:val="center"/>
        <w:rPr>
          <w:b/>
          <w:bCs/>
          <w:color w:val="000000"/>
          <w:szCs w:val="24"/>
        </w:rPr>
      </w:pPr>
      <w:r>
        <w:rPr>
          <w:b/>
          <w:bCs/>
          <w:color w:val="000000"/>
          <w:szCs w:val="24"/>
        </w:rPr>
        <w:t>Regulation GG (</w:t>
      </w:r>
      <w:r w:rsidR="001E7170">
        <w:rPr>
          <w:b/>
          <w:bCs/>
          <w:color w:val="000000"/>
          <w:szCs w:val="24"/>
        </w:rPr>
        <w:t xml:space="preserve">Prohibition on Funding of </w:t>
      </w:r>
      <w:r>
        <w:rPr>
          <w:b/>
          <w:bCs/>
          <w:color w:val="000000"/>
          <w:szCs w:val="24"/>
        </w:rPr>
        <w:t xml:space="preserve">Unlawful Internet Gambling) </w:t>
      </w:r>
    </w:p>
    <w:p w:rsidR="004E66C7" w:rsidRPr="006A08B6" w:rsidRDefault="004E66C7" w:rsidP="004E66C7">
      <w:pPr>
        <w:jc w:val="center"/>
        <w:rPr>
          <w:color w:val="000000"/>
          <w:szCs w:val="24"/>
        </w:rPr>
      </w:pPr>
      <w:r>
        <w:rPr>
          <w:b/>
          <w:bCs/>
          <w:color w:val="000000"/>
          <w:szCs w:val="24"/>
        </w:rPr>
        <w:t xml:space="preserve">(FR 4026; </w:t>
      </w:r>
      <w:r w:rsidRPr="006A08B6">
        <w:rPr>
          <w:b/>
          <w:bCs/>
          <w:color w:val="000000"/>
          <w:szCs w:val="24"/>
        </w:rPr>
        <w:t xml:space="preserve">OMB No. </w:t>
      </w:r>
      <w:r>
        <w:rPr>
          <w:b/>
          <w:bCs/>
          <w:color w:val="000000"/>
          <w:szCs w:val="24"/>
        </w:rPr>
        <w:t>7100-0317</w:t>
      </w:r>
      <w:r w:rsidRPr="006A08B6">
        <w:rPr>
          <w:b/>
          <w:bCs/>
          <w:color w:val="000000"/>
          <w:szCs w:val="24"/>
        </w:rPr>
        <w:t>)</w:t>
      </w:r>
    </w:p>
    <w:p w:rsidR="004E66C7" w:rsidRPr="006A08B6" w:rsidRDefault="004E66C7" w:rsidP="004E66C7">
      <w:pPr>
        <w:jc w:val="both"/>
        <w:rPr>
          <w:color w:val="000000"/>
          <w:szCs w:val="24"/>
        </w:rPr>
      </w:pPr>
    </w:p>
    <w:p w:rsidR="003727D9" w:rsidRDefault="004E66C7" w:rsidP="004E66C7">
      <w:pPr>
        <w:jc w:val="both"/>
        <w:rPr>
          <w:b/>
          <w:bCs/>
          <w:color w:val="000000"/>
          <w:szCs w:val="24"/>
        </w:rPr>
      </w:pPr>
      <w:r w:rsidRPr="006A08B6">
        <w:rPr>
          <w:b/>
          <w:bCs/>
          <w:color w:val="000000"/>
          <w:szCs w:val="24"/>
        </w:rPr>
        <w:t>Summary</w:t>
      </w:r>
    </w:p>
    <w:p w:rsidR="004E66C7" w:rsidRPr="00D6407B" w:rsidRDefault="004E66C7" w:rsidP="004E66C7">
      <w:pPr>
        <w:jc w:val="both"/>
        <w:rPr>
          <w:color w:val="000000"/>
          <w:szCs w:val="24"/>
        </w:rPr>
      </w:pPr>
    </w:p>
    <w:p w:rsidR="00BF0CAF" w:rsidRPr="00D6407B" w:rsidRDefault="003727D9" w:rsidP="00BF0CAF">
      <w:pPr>
        <w:pStyle w:val="Heading2"/>
        <w:ind w:firstLine="360"/>
        <w:jc w:val="left"/>
        <w:rPr>
          <w:rFonts w:ascii="Times New Roman" w:hAnsi="Times New Roman"/>
          <w:b w:val="0"/>
        </w:rPr>
      </w:pPr>
      <w:r w:rsidRPr="004E66C7">
        <w:rPr>
          <w:rFonts w:ascii="Times New Roman" w:hAnsi="Times New Roman"/>
          <w:b w:val="0"/>
        </w:rPr>
        <w:tab/>
      </w:r>
      <w:r w:rsidR="004E66C7" w:rsidRPr="004E66C7">
        <w:rPr>
          <w:b w:val="0"/>
        </w:rPr>
        <w:t>The Board of Governors of the Federal Reserve System, under delegated authority from the Office of Management and Budget (OMB), proposes to</w:t>
      </w:r>
      <w:r w:rsidR="004E66C7" w:rsidRPr="004E66C7">
        <w:rPr>
          <w:rFonts w:ascii="Times New Roman" w:hAnsi="Times New Roman"/>
          <w:b w:val="0"/>
        </w:rPr>
        <w:t xml:space="preserve"> </w:t>
      </w:r>
      <w:r w:rsidR="00BF0CAF" w:rsidRPr="004E66C7">
        <w:rPr>
          <w:rFonts w:ascii="Times New Roman" w:hAnsi="Times New Roman"/>
          <w:b w:val="0"/>
        </w:rPr>
        <w:t xml:space="preserve">extend for three years, without revision, </w:t>
      </w:r>
      <w:r w:rsidRPr="004E66C7">
        <w:rPr>
          <w:rFonts w:ascii="Times New Roman" w:hAnsi="Times New Roman"/>
          <w:b w:val="0"/>
        </w:rPr>
        <w:t xml:space="preserve">the </w:t>
      </w:r>
      <w:r w:rsidR="00284555" w:rsidRPr="004E66C7">
        <w:rPr>
          <w:rFonts w:ascii="Times New Roman" w:hAnsi="Times New Roman"/>
          <w:b w:val="0"/>
          <w:bCs w:val="0"/>
        </w:rPr>
        <w:t>r</w:t>
      </w:r>
      <w:r w:rsidRPr="004E66C7">
        <w:rPr>
          <w:rFonts w:ascii="Times New Roman" w:hAnsi="Times New Roman"/>
          <w:b w:val="0"/>
          <w:bCs w:val="0"/>
        </w:rPr>
        <w:t xml:space="preserve">ecordkeeping </w:t>
      </w:r>
      <w:r w:rsidR="00284555" w:rsidRPr="004E66C7">
        <w:rPr>
          <w:rFonts w:ascii="Times New Roman" w:hAnsi="Times New Roman"/>
          <w:b w:val="0"/>
          <w:bCs w:val="0"/>
        </w:rPr>
        <w:t>r</w:t>
      </w:r>
      <w:r w:rsidRPr="004E66C7">
        <w:rPr>
          <w:rFonts w:ascii="Times New Roman" w:hAnsi="Times New Roman"/>
          <w:b w:val="0"/>
          <w:bCs w:val="0"/>
        </w:rPr>
        <w:t xml:space="preserve">equirements </w:t>
      </w:r>
      <w:r w:rsidR="00284555" w:rsidRPr="004E66C7">
        <w:rPr>
          <w:rFonts w:ascii="Times New Roman" w:hAnsi="Times New Roman"/>
          <w:b w:val="0"/>
          <w:bCs w:val="0"/>
        </w:rPr>
        <w:t>a</w:t>
      </w:r>
      <w:r w:rsidRPr="004E66C7">
        <w:rPr>
          <w:rFonts w:ascii="Times New Roman" w:hAnsi="Times New Roman"/>
          <w:b w:val="0"/>
          <w:bCs w:val="0"/>
        </w:rPr>
        <w:t>ssociated with Regulation GG.</w:t>
      </w:r>
      <w:r w:rsidRPr="004E66C7">
        <w:rPr>
          <w:rFonts w:ascii="Times New Roman" w:hAnsi="Times New Roman"/>
          <w:b w:val="0"/>
        </w:rPr>
        <w:t xml:space="preserve"> </w:t>
      </w:r>
      <w:r w:rsidR="00A43547" w:rsidRPr="004E66C7">
        <w:rPr>
          <w:rFonts w:ascii="Times New Roman" w:hAnsi="Times New Roman"/>
          <w:b w:val="0"/>
        </w:rPr>
        <w:t xml:space="preserve"> </w:t>
      </w:r>
      <w:r w:rsidR="00BF0CAF" w:rsidRPr="004E66C7">
        <w:rPr>
          <w:rFonts w:ascii="Times New Roman" w:hAnsi="Times New Roman"/>
          <w:b w:val="0"/>
        </w:rPr>
        <w:t xml:space="preserve">The </w:t>
      </w:r>
      <w:r w:rsidR="00577807" w:rsidRPr="004E66C7">
        <w:rPr>
          <w:rFonts w:ascii="Times New Roman" w:hAnsi="Times New Roman"/>
          <w:b w:val="0"/>
        </w:rPr>
        <w:t>Board</w:t>
      </w:r>
      <w:r w:rsidR="00BF0CAF" w:rsidRPr="004E66C7">
        <w:rPr>
          <w:rFonts w:ascii="Times New Roman" w:hAnsi="Times New Roman"/>
          <w:b w:val="0"/>
        </w:rPr>
        <w:t xml:space="preserve"> is required to renew these requirements every three years pursuant to the Paperwork Reduction Act of 1995 (PRA), which classifies </w:t>
      </w:r>
      <w:r w:rsidR="00D267AA">
        <w:rPr>
          <w:rFonts w:ascii="Times New Roman" w:hAnsi="Times New Roman"/>
          <w:b w:val="0"/>
        </w:rPr>
        <w:t xml:space="preserve">recordkeeping, reporting, and disclosure requirements contained in </w:t>
      </w:r>
      <w:r w:rsidR="00BF0CAF" w:rsidRPr="004E66C7">
        <w:rPr>
          <w:rFonts w:ascii="Times New Roman" w:hAnsi="Times New Roman"/>
          <w:b w:val="0"/>
        </w:rPr>
        <w:t>regulations</w:t>
      </w:r>
      <w:r w:rsidR="00D267AA">
        <w:rPr>
          <w:rFonts w:ascii="Times New Roman" w:hAnsi="Times New Roman"/>
          <w:b w:val="0"/>
        </w:rPr>
        <w:t>,</w:t>
      </w:r>
      <w:r w:rsidR="00BF0CAF" w:rsidRPr="004E66C7">
        <w:rPr>
          <w:rFonts w:ascii="Times New Roman" w:hAnsi="Times New Roman"/>
          <w:b w:val="0"/>
        </w:rPr>
        <w:t xml:space="preserve"> such as Regulation</w:t>
      </w:r>
      <w:r w:rsidR="00BF0CAF" w:rsidRPr="00D6407B">
        <w:rPr>
          <w:rFonts w:ascii="Times New Roman" w:hAnsi="Times New Roman"/>
          <w:b w:val="0"/>
        </w:rPr>
        <w:t xml:space="preserve"> GG</w:t>
      </w:r>
      <w:r w:rsidR="00D267AA">
        <w:rPr>
          <w:rFonts w:ascii="Times New Roman" w:hAnsi="Times New Roman"/>
          <w:b w:val="0"/>
        </w:rPr>
        <w:t>,</w:t>
      </w:r>
      <w:r w:rsidR="00BF0CAF" w:rsidRPr="00D6407B">
        <w:rPr>
          <w:rFonts w:ascii="Times New Roman" w:hAnsi="Times New Roman"/>
          <w:b w:val="0"/>
        </w:rPr>
        <w:t xml:space="preserve"> as “required information collections.”</w:t>
      </w:r>
      <w:r w:rsidR="00BF0CAF" w:rsidRPr="00D6407B">
        <w:rPr>
          <w:rStyle w:val="FootnoteReference"/>
          <w:rFonts w:ascii="Times New Roman" w:hAnsi="Times New Roman"/>
          <w:b w:val="0"/>
        </w:rPr>
        <w:footnoteReference w:id="1"/>
      </w:r>
      <w:r w:rsidR="00BF0CAF" w:rsidRPr="00D6407B">
        <w:rPr>
          <w:rFonts w:ascii="Times New Roman" w:hAnsi="Times New Roman"/>
          <w:b w:val="0"/>
        </w:rPr>
        <w:t xml:space="preserve">  </w:t>
      </w:r>
    </w:p>
    <w:p w:rsidR="00BF0CAF" w:rsidRPr="00D6407B" w:rsidRDefault="00BF0CAF" w:rsidP="00566034">
      <w:pPr>
        <w:rPr>
          <w:szCs w:val="24"/>
        </w:rPr>
      </w:pPr>
    </w:p>
    <w:p w:rsidR="00B036E2" w:rsidRPr="00D6407B" w:rsidRDefault="00ED67F7" w:rsidP="00BF0CAF">
      <w:pPr>
        <w:ind w:firstLine="720"/>
        <w:rPr>
          <w:szCs w:val="24"/>
        </w:rPr>
      </w:pPr>
      <w:r w:rsidRPr="00D6407B">
        <w:rPr>
          <w:szCs w:val="24"/>
        </w:rPr>
        <w:t>On</w:t>
      </w:r>
      <w:r w:rsidR="005D1E3E" w:rsidRPr="00D6407B">
        <w:rPr>
          <w:szCs w:val="24"/>
        </w:rPr>
        <w:t xml:space="preserve"> </w:t>
      </w:r>
      <w:r w:rsidR="00DC124F" w:rsidRPr="00D6407B">
        <w:rPr>
          <w:szCs w:val="24"/>
        </w:rPr>
        <w:t>November 18</w:t>
      </w:r>
      <w:r w:rsidR="005D1E3E" w:rsidRPr="00D6407B">
        <w:rPr>
          <w:szCs w:val="24"/>
        </w:rPr>
        <w:t xml:space="preserve">, </w:t>
      </w:r>
      <w:r w:rsidR="00DC124F" w:rsidRPr="00D6407B">
        <w:rPr>
          <w:szCs w:val="24"/>
        </w:rPr>
        <w:t>2008</w:t>
      </w:r>
      <w:r w:rsidRPr="00D6407B">
        <w:rPr>
          <w:szCs w:val="24"/>
        </w:rPr>
        <w:t xml:space="preserve">, the </w:t>
      </w:r>
      <w:r w:rsidR="00852A28" w:rsidRPr="00D6407B">
        <w:rPr>
          <w:szCs w:val="24"/>
        </w:rPr>
        <w:t xml:space="preserve">Board </w:t>
      </w:r>
      <w:r w:rsidR="00284555" w:rsidRPr="00D6407B">
        <w:rPr>
          <w:szCs w:val="24"/>
        </w:rPr>
        <w:t>and the Secretary of the Treasury</w:t>
      </w:r>
      <w:r w:rsidR="00BC2CC6">
        <w:rPr>
          <w:szCs w:val="24"/>
        </w:rPr>
        <w:t xml:space="preserve"> (the Agencies)</w:t>
      </w:r>
      <w:r w:rsidR="00284555" w:rsidRPr="00D6407B">
        <w:rPr>
          <w:szCs w:val="24"/>
        </w:rPr>
        <w:t xml:space="preserve"> </w:t>
      </w:r>
      <w:r w:rsidRPr="00D6407B">
        <w:rPr>
          <w:szCs w:val="24"/>
        </w:rPr>
        <w:t>published a</w:t>
      </w:r>
      <w:r w:rsidR="00284555" w:rsidRPr="00D6407B">
        <w:rPr>
          <w:szCs w:val="24"/>
        </w:rPr>
        <w:t xml:space="preserve"> joint</w:t>
      </w:r>
      <w:r w:rsidRPr="00D6407B">
        <w:rPr>
          <w:szCs w:val="24"/>
        </w:rPr>
        <w:t xml:space="preserve"> notice</w:t>
      </w:r>
      <w:r w:rsidR="00284555" w:rsidRPr="00D6407B">
        <w:rPr>
          <w:szCs w:val="24"/>
        </w:rPr>
        <w:t xml:space="preserve"> of </w:t>
      </w:r>
      <w:r w:rsidR="009A2176" w:rsidRPr="00D6407B">
        <w:rPr>
          <w:szCs w:val="24"/>
        </w:rPr>
        <w:t xml:space="preserve">final </w:t>
      </w:r>
      <w:r w:rsidR="00284555" w:rsidRPr="00D6407B">
        <w:rPr>
          <w:szCs w:val="24"/>
        </w:rPr>
        <w:t>rulemaking</w:t>
      </w:r>
      <w:r w:rsidRPr="00D6407B">
        <w:rPr>
          <w:szCs w:val="24"/>
        </w:rPr>
        <w:t xml:space="preserve"> in the </w:t>
      </w:r>
      <w:r w:rsidRPr="00D6407B">
        <w:rPr>
          <w:i/>
          <w:szCs w:val="24"/>
        </w:rPr>
        <w:t>Federal Register</w:t>
      </w:r>
      <w:r w:rsidRPr="00D6407B">
        <w:rPr>
          <w:szCs w:val="24"/>
        </w:rPr>
        <w:t xml:space="preserve"> (</w:t>
      </w:r>
      <w:r w:rsidR="005D1E3E" w:rsidRPr="00D6407B">
        <w:rPr>
          <w:szCs w:val="24"/>
        </w:rPr>
        <w:t>7</w:t>
      </w:r>
      <w:r w:rsidR="00DC124F" w:rsidRPr="00D6407B">
        <w:rPr>
          <w:szCs w:val="24"/>
        </w:rPr>
        <w:t>3</w:t>
      </w:r>
      <w:r w:rsidR="005D1E3E" w:rsidRPr="00D6407B">
        <w:rPr>
          <w:szCs w:val="24"/>
        </w:rPr>
        <w:t xml:space="preserve"> FR </w:t>
      </w:r>
      <w:r w:rsidR="00DC124F" w:rsidRPr="00D6407B">
        <w:rPr>
          <w:szCs w:val="24"/>
        </w:rPr>
        <w:t>69382</w:t>
      </w:r>
      <w:r w:rsidRPr="00D6407B">
        <w:rPr>
          <w:szCs w:val="24"/>
        </w:rPr>
        <w:t xml:space="preserve">) </w:t>
      </w:r>
      <w:r w:rsidR="00AD7B88" w:rsidRPr="00D6407B">
        <w:rPr>
          <w:szCs w:val="24"/>
        </w:rPr>
        <w:t>adopting</w:t>
      </w:r>
      <w:r w:rsidR="006E3E02">
        <w:rPr>
          <w:szCs w:val="24"/>
        </w:rPr>
        <w:t xml:space="preserve"> joint regulations (the Board’s requirements are contained in</w:t>
      </w:r>
      <w:r w:rsidR="00AD7B88" w:rsidRPr="00D6407B">
        <w:rPr>
          <w:szCs w:val="24"/>
        </w:rPr>
        <w:t xml:space="preserve"> </w:t>
      </w:r>
      <w:r w:rsidR="00284555" w:rsidRPr="00D6407B">
        <w:rPr>
          <w:szCs w:val="24"/>
        </w:rPr>
        <w:t>Regulation GG</w:t>
      </w:r>
      <w:r w:rsidR="006E3E02">
        <w:rPr>
          <w:szCs w:val="24"/>
        </w:rPr>
        <w:t>)</w:t>
      </w:r>
      <w:r w:rsidR="00B87C82" w:rsidRPr="00D6407B">
        <w:rPr>
          <w:szCs w:val="24"/>
        </w:rPr>
        <w:t>.</w:t>
      </w:r>
      <w:r w:rsidR="006E3E02" w:rsidRPr="00D6407B">
        <w:rPr>
          <w:rStyle w:val="FootnoteReference"/>
        </w:rPr>
        <w:footnoteReference w:id="2"/>
      </w:r>
      <w:r w:rsidR="00B87C82" w:rsidRPr="00D6407B">
        <w:rPr>
          <w:szCs w:val="24"/>
        </w:rPr>
        <w:t xml:space="preserve">  </w:t>
      </w:r>
      <w:r w:rsidR="00DD6A09" w:rsidRPr="00D6407B">
        <w:rPr>
          <w:szCs w:val="24"/>
        </w:rPr>
        <w:t>The</w:t>
      </w:r>
      <w:r w:rsidR="00B87C82" w:rsidRPr="00D6407B">
        <w:rPr>
          <w:szCs w:val="24"/>
        </w:rPr>
        <w:t xml:space="preserve"> compliance date for Regulation GG was </w:t>
      </w:r>
      <w:r w:rsidR="00DD6A09" w:rsidRPr="00D6407B">
        <w:rPr>
          <w:szCs w:val="24"/>
        </w:rPr>
        <w:t>June 1, 2010 (74 FR 62687).</w:t>
      </w:r>
      <w:r w:rsidR="00AD7B88" w:rsidRPr="00D6407B">
        <w:rPr>
          <w:szCs w:val="24"/>
        </w:rPr>
        <w:t xml:space="preserve">  </w:t>
      </w:r>
      <w:r w:rsidR="009A2176" w:rsidRPr="00D6407B">
        <w:rPr>
          <w:szCs w:val="24"/>
        </w:rPr>
        <w:t xml:space="preserve">Regulation GG includes requirements </w:t>
      </w:r>
      <w:r w:rsidR="00ED16F1" w:rsidRPr="00D6407B">
        <w:rPr>
          <w:szCs w:val="24"/>
        </w:rPr>
        <w:t>implementing</w:t>
      </w:r>
      <w:r w:rsidR="009A2176" w:rsidRPr="00D6407B">
        <w:rPr>
          <w:szCs w:val="24"/>
        </w:rPr>
        <w:t xml:space="preserve"> applicable provisions </w:t>
      </w:r>
      <w:r w:rsidR="00ED16F1" w:rsidRPr="00D6407B">
        <w:rPr>
          <w:szCs w:val="24"/>
        </w:rPr>
        <w:t>of</w:t>
      </w:r>
      <w:r w:rsidR="009A2176" w:rsidRPr="00D6407B">
        <w:rPr>
          <w:szCs w:val="24"/>
        </w:rPr>
        <w:t xml:space="preserve"> section 802 of the Unlawful Internet Gambling Enforcement Act of 2006 (the Act).</w:t>
      </w:r>
      <w:r w:rsidR="004043FD">
        <w:rPr>
          <w:rStyle w:val="FootnoteReference"/>
          <w:szCs w:val="24"/>
        </w:rPr>
        <w:footnoteReference w:id="3"/>
      </w:r>
      <w:r w:rsidR="009A2176" w:rsidRPr="00D6407B">
        <w:rPr>
          <w:szCs w:val="24"/>
        </w:rPr>
        <w:t xml:space="preserve">  </w:t>
      </w:r>
      <w:r w:rsidR="009A2176" w:rsidRPr="00D6407B">
        <w:t>Regulation GG</w:t>
      </w:r>
      <w:r w:rsidR="00101AE7" w:rsidRPr="00D6407B">
        <w:t>, as required by the Act,</w:t>
      </w:r>
      <w:r w:rsidR="002123B2" w:rsidRPr="00D6407B">
        <w:t xml:space="preserve"> requires participants in designated payment systems to establish written policies and procedures reasonably designed to identify and block or otherwise prevent or prohibit transactions in connection with unlawful Internet gambling.</w:t>
      </w:r>
      <w:r w:rsidR="002123B2" w:rsidRPr="00D6407B">
        <w:rPr>
          <w:rStyle w:val="FootnoteReference"/>
        </w:rPr>
        <w:footnoteReference w:id="4"/>
      </w:r>
      <w:r w:rsidR="002123B2" w:rsidRPr="00D6407B">
        <w:t xml:space="preserve">  The collection of information is</w:t>
      </w:r>
      <w:r w:rsidR="00101AE7" w:rsidRPr="00D6407B">
        <w:t xml:space="preserve"> set out</w:t>
      </w:r>
      <w:r w:rsidR="002123B2" w:rsidRPr="00D6407B">
        <w:t xml:space="preserve"> in </w:t>
      </w:r>
      <w:r w:rsidR="00B87C82" w:rsidRPr="00D6407B">
        <w:t>s</w:t>
      </w:r>
      <w:r w:rsidR="002123B2" w:rsidRPr="00D6407B">
        <w:t>ections 5 and 6</w:t>
      </w:r>
      <w:r w:rsidR="00B87C82" w:rsidRPr="00D6407B">
        <w:t xml:space="preserve"> of Regulation GG</w:t>
      </w:r>
      <w:r w:rsidR="002123B2" w:rsidRPr="00D6407B">
        <w:t>.</w:t>
      </w:r>
    </w:p>
    <w:p w:rsidR="00F61135" w:rsidRPr="00D6407B" w:rsidRDefault="00F61135" w:rsidP="00566034">
      <w:pPr>
        <w:rPr>
          <w:szCs w:val="24"/>
        </w:rPr>
      </w:pPr>
    </w:p>
    <w:p w:rsidR="00D267AA" w:rsidRDefault="00495423" w:rsidP="00D267AA">
      <w:pPr>
        <w:ind w:firstLine="720"/>
      </w:pPr>
      <w:r>
        <w:rPr>
          <w:szCs w:val="24"/>
        </w:rPr>
        <w:t xml:space="preserve">Section 5 </w:t>
      </w:r>
      <w:r>
        <w:t xml:space="preserve">requires all non-exempt participants in the designated payment systems to establish and implement policies and procedures </w:t>
      </w:r>
      <w:r w:rsidR="00101AE7">
        <w:t>reasonably designed</w:t>
      </w:r>
      <w:r>
        <w:t xml:space="preserve"> to identify and block, or otherwise prevent or prohibit, transactions</w:t>
      </w:r>
      <w:r w:rsidR="00101AE7">
        <w:t xml:space="preserve"> restricted by the Act</w:t>
      </w:r>
      <w:r>
        <w:t xml:space="preserve">.  </w:t>
      </w:r>
      <w:r w:rsidR="00F61135">
        <w:t xml:space="preserve">In addition, section 5 states that a participant in a designated payment system </w:t>
      </w:r>
      <w:r w:rsidR="00101AE7">
        <w:t>may</w:t>
      </w:r>
      <w:r w:rsidR="00743DC4">
        <w:t xml:space="preserve"> rely on policies </w:t>
      </w:r>
      <w:proofErr w:type="gramStart"/>
      <w:r w:rsidR="00743DC4">
        <w:t>and</w:t>
      </w:r>
      <w:proofErr w:type="gramEnd"/>
      <w:r w:rsidR="00743DC4">
        <w:t xml:space="preserve"> procedures established by the </w:t>
      </w:r>
      <w:r w:rsidR="002123B2">
        <w:t xml:space="preserve">designated </w:t>
      </w:r>
      <w:r w:rsidR="00743DC4">
        <w:t>payment system if the system’s policies and procedures otherwise comply with the requirements of the regulation.</w:t>
      </w:r>
      <w:r w:rsidR="006E3E02">
        <w:t xml:space="preserve"> </w:t>
      </w:r>
      <w:r w:rsidR="00743DC4">
        <w:t xml:space="preserve"> </w:t>
      </w:r>
      <w:r>
        <w:rPr>
          <w:szCs w:val="24"/>
        </w:rPr>
        <w:t xml:space="preserve">Section 6 </w:t>
      </w:r>
      <w:r w:rsidR="00F61135">
        <w:t xml:space="preserve">sets out </w:t>
      </w:r>
      <w:r w:rsidR="00DD4ADF">
        <w:t xml:space="preserve">non-exclusive </w:t>
      </w:r>
      <w:r w:rsidR="00F61135">
        <w:t>examples of policies and procedures</w:t>
      </w:r>
      <w:r w:rsidR="00101AE7" w:rsidRPr="00101AE7">
        <w:t xml:space="preserve"> </w:t>
      </w:r>
      <w:r w:rsidR="00101AE7">
        <w:t>for each designated payment system that</w:t>
      </w:r>
      <w:r w:rsidR="00F61135">
        <w:t xml:space="preserve"> the Agencies believe are reasonably designed to prevent or prohibit restricted transactions for non-exempt participants in the system.  </w:t>
      </w:r>
    </w:p>
    <w:p w:rsidR="00D267AA" w:rsidRDefault="00D267AA" w:rsidP="004E66C7">
      <w:pPr>
        <w:ind w:firstLine="720"/>
      </w:pPr>
    </w:p>
    <w:p w:rsidR="004B0B62" w:rsidRPr="00FE49A7" w:rsidRDefault="0097783F" w:rsidP="004E66C7">
      <w:pPr>
        <w:ind w:firstLine="720"/>
        <w:rPr>
          <w:szCs w:val="24"/>
        </w:rPr>
      </w:pPr>
      <w:r w:rsidRPr="006A08B6">
        <w:rPr>
          <w:szCs w:val="24"/>
        </w:rPr>
        <w:t>The Federal Reserve</w:t>
      </w:r>
      <w:r w:rsidR="00ED67F7">
        <w:rPr>
          <w:szCs w:val="24"/>
        </w:rPr>
        <w:t xml:space="preserve"> </w:t>
      </w:r>
      <w:r w:rsidR="00521206">
        <w:rPr>
          <w:szCs w:val="24"/>
        </w:rPr>
        <w:t xml:space="preserve">is </w:t>
      </w:r>
      <w:r w:rsidR="003C23F7">
        <w:rPr>
          <w:szCs w:val="24"/>
        </w:rPr>
        <w:t xml:space="preserve">estimating </w:t>
      </w:r>
      <w:r w:rsidR="00521206">
        <w:rPr>
          <w:szCs w:val="24"/>
        </w:rPr>
        <w:t>paperwork burden for a</w:t>
      </w:r>
      <w:r w:rsidR="003C23F7">
        <w:rPr>
          <w:szCs w:val="24"/>
        </w:rPr>
        <w:t>pproximately</w:t>
      </w:r>
      <w:r w:rsidR="009176B5">
        <w:rPr>
          <w:szCs w:val="24"/>
        </w:rPr>
        <w:t xml:space="preserve"> </w:t>
      </w:r>
      <w:r w:rsidR="00AD7B88">
        <w:t>7,</w:t>
      </w:r>
      <w:r w:rsidR="004E2E95">
        <w:t>01</w:t>
      </w:r>
      <w:r w:rsidR="00BF5AFF">
        <w:t>5</w:t>
      </w:r>
      <w:r w:rsidR="004E2E95">
        <w:t xml:space="preserve"> </w:t>
      </w:r>
      <w:r w:rsidR="00EA03F8">
        <w:rPr>
          <w:szCs w:val="24"/>
        </w:rPr>
        <w:t xml:space="preserve">depository </w:t>
      </w:r>
      <w:r w:rsidR="00ED67F7">
        <w:rPr>
          <w:szCs w:val="24"/>
        </w:rPr>
        <w:t>institutions</w:t>
      </w:r>
      <w:r w:rsidR="001132A5">
        <w:rPr>
          <w:szCs w:val="24"/>
        </w:rPr>
        <w:t>, card system operators, and money transmitting business operators</w:t>
      </w:r>
      <w:r w:rsidR="00ED67F7">
        <w:rPr>
          <w:szCs w:val="24"/>
        </w:rPr>
        <w:t xml:space="preserve"> </w:t>
      </w:r>
      <w:r w:rsidR="003C23F7">
        <w:rPr>
          <w:szCs w:val="24"/>
        </w:rPr>
        <w:lastRenderedPageBreak/>
        <w:t>required</w:t>
      </w:r>
      <w:r w:rsidR="00521206">
        <w:rPr>
          <w:szCs w:val="24"/>
        </w:rPr>
        <w:t xml:space="preserve"> to</w:t>
      </w:r>
      <w:r w:rsidR="00ED67F7">
        <w:rPr>
          <w:szCs w:val="24"/>
        </w:rPr>
        <w:t xml:space="preserve"> establish and maintain </w:t>
      </w:r>
      <w:r w:rsidR="00ED67F7">
        <w:t xml:space="preserve">the policies and procedures </w:t>
      </w:r>
      <w:r w:rsidR="003C23F7">
        <w:t>under</w:t>
      </w:r>
      <w:r w:rsidR="00ED67F7">
        <w:t xml:space="preserve"> </w:t>
      </w:r>
      <w:r w:rsidR="00D267AA">
        <w:t>s</w:t>
      </w:r>
      <w:r w:rsidR="00ED67F7">
        <w:t>ection</w:t>
      </w:r>
      <w:r w:rsidR="001132A5">
        <w:t>s</w:t>
      </w:r>
      <w:r w:rsidR="00ED67F7">
        <w:t xml:space="preserve"> 5 and 6 of </w:t>
      </w:r>
      <w:r w:rsidR="00521206">
        <w:t>Regulation GG</w:t>
      </w:r>
      <w:r w:rsidR="00ED67F7">
        <w:t>.</w:t>
      </w:r>
      <w:r w:rsidRPr="006A08B6">
        <w:rPr>
          <w:szCs w:val="24"/>
        </w:rPr>
        <w:t xml:space="preserve">  </w:t>
      </w:r>
      <w:r w:rsidR="004B0B62">
        <w:rPr>
          <w:szCs w:val="24"/>
        </w:rPr>
        <w:t xml:space="preserve">The annual recordkeeping burden for establishing and maintaining these policies and procedures is estimated to be </w:t>
      </w:r>
      <w:r w:rsidR="004E2E95">
        <w:t>56,</w:t>
      </w:r>
      <w:r w:rsidR="00BF5AFF">
        <w:t>3</w:t>
      </w:r>
      <w:r w:rsidR="004E2E95">
        <w:t>96</w:t>
      </w:r>
      <w:r w:rsidR="004B0B62">
        <w:t xml:space="preserve"> hours.</w:t>
      </w:r>
    </w:p>
    <w:p w:rsidR="00EA03F8" w:rsidRDefault="00EA03F8" w:rsidP="00EA03F8">
      <w:pPr>
        <w:rPr>
          <w:bCs/>
        </w:rPr>
      </w:pPr>
    </w:p>
    <w:p w:rsidR="0097783F" w:rsidRPr="006A08B6" w:rsidRDefault="0097783F">
      <w:pPr>
        <w:jc w:val="both"/>
        <w:rPr>
          <w:color w:val="000000"/>
          <w:szCs w:val="24"/>
        </w:rPr>
      </w:pPr>
      <w:r w:rsidRPr="006A08B6">
        <w:rPr>
          <w:b/>
          <w:bCs/>
          <w:color w:val="000000"/>
          <w:szCs w:val="24"/>
        </w:rPr>
        <w:t>Background and Justification</w:t>
      </w:r>
    </w:p>
    <w:p w:rsidR="0097783F" w:rsidRPr="006A08B6" w:rsidRDefault="0097783F">
      <w:pPr>
        <w:jc w:val="both"/>
        <w:rPr>
          <w:color w:val="000000"/>
          <w:szCs w:val="24"/>
        </w:rPr>
      </w:pPr>
    </w:p>
    <w:p w:rsidR="003B639F" w:rsidRDefault="00650048" w:rsidP="00852A28">
      <w:pPr>
        <w:ind w:firstLine="720"/>
        <w:rPr>
          <w:rFonts w:eastAsia="Arial Unicode MS"/>
        </w:rPr>
      </w:pPr>
      <w:r>
        <w:rPr>
          <w:snapToGrid/>
          <w:szCs w:val="24"/>
        </w:rPr>
        <w:t xml:space="preserve">In general, the </w:t>
      </w:r>
      <w:r w:rsidR="004B0B62">
        <w:t xml:space="preserve">Act prohibits any person engaged in the business of betting or wagering (as defined in the Act) from knowingly accepting payments in connection with the participation of another person in unlawful Internet gambling.  Such transactions are termed “restricted transactions.”  </w:t>
      </w:r>
      <w:r w:rsidR="005E020C">
        <w:t>The Act generally defines “unlawful Internet gambling” as placing, receiving, or otherwise knowingly transmitting a bet or wager by any means which involves the use, at least in part, of the Internet where such bet or wager is unlawful under any applicable Federal or State law in the State or Tribal lands in which the bet or wager is initiated, received, or otherwise made.</w:t>
      </w:r>
      <w:r w:rsidR="005E020C">
        <w:rPr>
          <w:rStyle w:val="FootnoteReference"/>
        </w:rPr>
        <w:footnoteReference w:id="5"/>
      </w:r>
      <w:r w:rsidR="005E020C">
        <w:t xml:space="preserve">   </w:t>
      </w:r>
      <w:r w:rsidR="004B0B62">
        <w:t xml:space="preserve">The Act states that its provisions should not be construed to alter, limit, or extend any Federal or State law or Tribal-State compact prohibiting, permitting, or regulating gambling within the </w:t>
      </w:r>
      <w:smartTag w:uri="urn:schemas-microsoft-com:office:smarttags" w:element="country-region">
        <w:smartTag w:uri="urn:schemas-microsoft-com:office:smarttags" w:element="place">
          <w:r w:rsidR="004B0B62">
            <w:t>United States</w:t>
          </w:r>
        </w:smartTag>
      </w:smartTag>
      <w:r w:rsidR="004B0B62">
        <w:t>.</w:t>
      </w:r>
      <w:r w:rsidR="004B0B62">
        <w:rPr>
          <w:rStyle w:val="FootnoteReference"/>
        </w:rPr>
        <w:footnoteReference w:id="6"/>
      </w:r>
      <w:r w:rsidR="004B0B62">
        <w:t xml:space="preserve">  The Act does not spell out which activities are legal and which are illegal, but rather relies on the underlying substantive Federal and State laws.  </w:t>
      </w:r>
    </w:p>
    <w:p w:rsidR="006A03A9" w:rsidRDefault="006A03A9" w:rsidP="007506C8">
      <w:pPr>
        <w:rPr>
          <w:b/>
          <w:bCs/>
          <w:color w:val="000000"/>
          <w:szCs w:val="24"/>
        </w:rPr>
      </w:pPr>
      <w:bookmarkStart w:id="0" w:name="_DV_M127"/>
      <w:bookmarkEnd w:id="0"/>
    </w:p>
    <w:p w:rsidR="0097783F" w:rsidRPr="006A08B6" w:rsidRDefault="0097783F" w:rsidP="007506C8">
      <w:pPr>
        <w:rPr>
          <w:color w:val="000000"/>
          <w:szCs w:val="24"/>
        </w:rPr>
      </w:pPr>
      <w:r w:rsidRPr="006A08B6">
        <w:rPr>
          <w:b/>
          <w:bCs/>
          <w:color w:val="000000"/>
          <w:szCs w:val="24"/>
        </w:rPr>
        <w:t>Description of Information Collection</w:t>
      </w:r>
    </w:p>
    <w:p w:rsidR="0097783F" w:rsidRDefault="0097783F" w:rsidP="00814CF7">
      <w:pPr>
        <w:jc w:val="both"/>
        <w:rPr>
          <w:color w:val="000000"/>
          <w:szCs w:val="24"/>
        </w:rPr>
      </w:pPr>
    </w:p>
    <w:p w:rsidR="00650048" w:rsidRDefault="00650048" w:rsidP="00FA110E">
      <w:r>
        <w:rPr>
          <w:color w:val="000000"/>
          <w:szCs w:val="24"/>
        </w:rPr>
        <w:tab/>
      </w:r>
      <w:r>
        <w:t>The Act requires the Agencies</w:t>
      </w:r>
      <w:r w:rsidR="005778B3">
        <w:t>,</w:t>
      </w:r>
      <w:r>
        <w:t xml:space="preserve"> in consultation with the U.S. Attorney General</w:t>
      </w:r>
      <w:r w:rsidR="005778B3">
        <w:t>,</w:t>
      </w:r>
      <w:r>
        <w:t xml:space="preserve"> to designate payment systems that could be used in connection with or to facilitate restricted transactions.  Such a designation makes the payment system and </w:t>
      </w:r>
      <w:r w:rsidR="005778B3">
        <w:t xml:space="preserve">non-exempt </w:t>
      </w:r>
      <w:r>
        <w:t>financial transaction providers participating in the system subject to the requirements of the regulation</w:t>
      </w:r>
      <w:r w:rsidR="003C23F7">
        <w:t>s</w:t>
      </w:r>
      <w:r>
        <w:t>.</w:t>
      </w:r>
      <w:r>
        <w:rPr>
          <w:rStyle w:val="FootnoteReference"/>
        </w:rPr>
        <w:footnoteReference w:id="7"/>
      </w:r>
      <w:r>
        <w:t xml:space="preserve">  The Act further requires the Agencies</w:t>
      </w:r>
      <w:r w:rsidR="005778B3">
        <w:t>,</w:t>
      </w:r>
      <w:r>
        <w:t xml:space="preserve"> in consultation with the U.S. Attorney General</w:t>
      </w:r>
      <w:r w:rsidR="005778B3">
        <w:t>,</w:t>
      </w:r>
      <w:r>
        <w:t xml:space="preserve"> to prescribe regulations requiring designated payment systems and financial transaction providers participating in each designated payment system to establish policies and procedures reasonably designed to identify and block or otherwise prevent or prohibit restricted transactions.  The regulations must identify types of policies </w:t>
      </w:r>
      <w:r>
        <w:lastRenderedPageBreak/>
        <w:t>and procedures</w:t>
      </w:r>
      <w:r w:rsidRPr="005A3DCA">
        <w:t xml:space="preserve"> </w:t>
      </w:r>
      <w:r>
        <w:t>that would be deemed to be reasonably designed to achieve this objective, including non-exclusive examples.  The Act also requires the Agencies to exempt certain restricted transactions or designated payment systems from any requirement imposed by the regulations if the Agencies jointly determine that it is not reasonably practical to identify and block, or otherwise prevent or prohibit the acceptance of, such transactions.</w:t>
      </w:r>
    </w:p>
    <w:p w:rsidR="00650048" w:rsidRDefault="00650048" w:rsidP="00814CF7">
      <w:pPr>
        <w:jc w:val="both"/>
        <w:rPr>
          <w:color w:val="000000"/>
          <w:szCs w:val="24"/>
        </w:rPr>
      </w:pPr>
    </w:p>
    <w:p w:rsidR="00650048" w:rsidRDefault="00650048" w:rsidP="00650048">
      <w:pPr>
        <w:ind w:firstLine="720"/>
      </w:pPr>
      <w:r>
        <w:t xml:space="preserve">Under the Act, a participant in a designated payment system is considered to be in compliance with the regulations if it relies on and complies with the policies and procedures of the designated payment system and such policies and procedures comply with the requirements of the Agencies’ regulations.  The Act also directs the Agencies to ensure that transactions in connection with any activity excluded from the Act’s definition of unlawful Internet gambling </w:t>
      </w:r>
      <w:r w:rsidR="009A2B09">
        <w:t>(</w:t>
      </w:r>
      <w:r>
        <w:t>qualifying intrastate transactions, intratribal transactions, or interstate horseracing transactions</w:t>
      </w:r>
      <w:r w:rsidR="009A2B09">
        <w:t>)</w:t>
      </w:r>
      <w:r>
        <w:t xml:space="preserve"> are not blocked or otherwise prevented or prohibited by the prescribed regulations.  </w:t>
      </w:r>
    </w:p>
    <w:p w:rsidR="005E020C" w:rsidRDefault="005E020C" w:rsidP="00650048">
      <w:pPr>
        <w:ind w:firstLine="720"/>
      </w:pPr>
    </w:p>
    <w:p w:rsidR="0097783F" w:rsidRPr="00054307" w:rsidRDefault="005E020C" w:rsidP="00054307">
      <w:pPr>
        <w:ind w:firstLine="720"/>
        <w:rPr>
          <w:szCs w:val="24"/>
        </w:rPr>
      </w:pPr>
      <w:r>
        <w:rPr>
          <w:szCs w:val="24"/>
        </w:rPr>
        <w:t>Section</w:t>
      </w:r>
      <w:r w:rsidR="001132A5">
        <w:rPr>
          <w:szCs w:val="24"/>
        </w:rPr>
        <w:t>s</w:t>
      </w:r>
      <w:r>
        <w:rPr>
          <w:szCs w:val="24"/>
        </w:rPr>
        <w:t xml:space="preserve"> 5 and 6 </w:t>
      </w:r>
      <w:r w:rsidR="00054307">
        <w:rPr>
          <w:szCs w:val="24"/>
        </w:rPr>
        <w:t>contain information collection requirements</w:t>
      </w:r>
      <w:r w:rsidR="00831943">
        <w:rPr>
          <w:szCs w:val="24"/>
        </w:rPr>
        <w:t xml:space="preserve">.  </w:t>
      </w:r>
      <w:r w:rsidR="00814CF7">
        <w:t>Details of</w:t>
      </w:r>
      <w:r w:rsidR="005D7A89">
        <w:t xml:space="preserve"> </w:t>
      </w:r>
      <w:r w:rsidR="00814CF7">
        <w:t xml:space="preserve">the requirements for </w:t>
      </w:r>
      <w:r w:rsidR="005D7A89">
        <w:t>each section are provided below.</w:t>
      </w:r>
    </w:p>
    <w:p w:rsidR="005D7A89" w:rsidRDefault="005D7A89" w:rsidP="005D7A89">
      <w:pPr>
        <w:pStyle w:val="BodyText"/>
      </w:pPr>
    </w:p>
    <w:p w:rsidR="001505DF" w:rsidRPr="00D6407B" w:rsidRDefault="00F61135" w:rsidP="001505DF">
      <w:pPr>
        <w:widowControl w:val="0"/>
        <w:adjustRightInd w:val="0"/>
        <w:ind w:firstLine="720"/>
        <w:textAlignment w:val="baseline"/>
      </w:pPr>
      <w:proofErr w:type="gramStart"/>
      <w:r>
        <w:rPr>
          <w:b/>
        </w:rPr>
        <w:t>Section 5</w:t>
      </w:r>
      <w:r w:rsidR="003935D5">
        <w:rPr>
          <w:b/>
        </w:rPr>
        <w:t>.</w:t>
      </w:r>
      <w:proofErr w:type="gramEnd"/>
      <w:r w:rsidR="003935D5">
        <w:rPr>
          <w:b/>
        </w:rPr>
        <w:t xml:space="preserve">  </w:t>
      </w:r>
      <w:r w:rsidR="00A47E24">
        <w:t xml:space="preserve">Section 5 of the regulations requires all non-exempt participants in the designated payment systems to establish and implement written policies and procedures </w:t>
      </w:r>
      <w:r w:rsidR="005778B3">
        <w:t xml:space="preserve">reasonably </w:t>
      </w:r>
      <w:r w:rsidR="00156736">
        <w:t>designed</w:t>
      </w:r>
      <w:r w:rsidR="00A47E24">
        <w:t xml:space="preserve"> to identify and block, or otherwise prevent or prohibit, restricted transactions.  In accordance with the Act, section 5 states that a </w:t>
      </w:r>
      <w:r w:rsidR="00156736">
        <w:t xml:space="preserve">non-exempt </w:t>
      </w:r>
      <w:r w:rsidR="00A47E24">
        <w:t xml:space="preserve">participant in a designated payment system shall be considered in compliance with this requirement if </w:t>
      </w:r>
      <w:r w:rsidR="00156736">
        <w:t>(1) it</w:t>
      </w:r>
      <w:r w:rsidR="00A47E24">
        <w:t xml:space="preserve"> relies on, and complies with, the </w:t>
      </w:r>
      <w:r w:rsidR="00156736">
        <w:t xml:space="preserve">written </w:t>
      </w:r>
      <w:r w:rsidR="00A47E24">
        <w:t>policies and procedures of the designated payment system</w:t>
      </w:r>
      <w:r w:rsidR="00156736">
        <w:t xml:space="preserve"> that are reasonably designed to identify and block restricted transactions or otherwise prevent or prohibit the acceptance of the products or services of the designated payment system in connection with restricted transactions and (2) such policies and procedures of the designated payment system comply with the requirements of this section</w:t>
      </w:r>
      <w:r w:rsidR="00A47E24">
        <w:t xml:space="preserve">.  </w:t>
      </w:r>
      <w:r w:rsidR="00151F35">
        <w:t>Regulation GG provides that, u</w:t>
      </w:r>
      <w:r w:rsidR="005778B3">
        <w:t>nless notified otherwise by its regulator, a</w:t>
      </w:r>
      <w:r w:rsidR="00156736">
        <w:t xml:space="preserve"> participant may rely on a written statement or notice by the operator of the designated payment system to </w:t>
      </w:r>
      <w:r w:rsidR="00156736" w:rsidRPr="00D6407B">
        <w:t xml:space="preserve">its participants that </w:t>
      </w:r>
      <w:r w:rsidR="005778B3" w:rsidRPr="00D6407B">
        <w:t>the operator</w:t>
      </w:r>
      <w:r w:rsidR="00156736" w:rsidRPr="00D6407B">
        <w:t xml:space="preserve"> has </w:t>
      </w:r>
      <w:r w:rsidR="001505DF" w:rsidRPr="00D6407B">
        <w:t xml:space="preserve">designed or structured the system's policies and procedures for identifying and blocking or otherwise preventing or prohibiting restricted transactions to comply with the requirements of </w:t>
      </w:r>
      <w:r w:rsidR="005778B3" w:rsidRPr="00D6407B">
        <w:t>Regulation GG</w:t>
      </w:r>
      <w:r w:rsidR="001505DF" w:rsidRPr="00D6407B">
        <w:t>.</w:t>
      </w:r>
    </w:p>
    <w:p w:rsidR="001505DF" w:rsidRPr="00D6407B" w:rsidRDefault="001505DF" w:rsidP="001505DF">
      <w:pPr>
        <w:keepNext/>
        <w:keepLines/>
        <w:rPr>
          <w:szCs w:val="24"/>
        </w:rPr>
      </w:pPr>
    </w:p>
    <w:p w:rsidR="00FE0EEF" w:rsidRPr="00D6407B" w:rsidRDefault="00E7177C" w:rsidP="00FE0EEF">
      <w:pPr>
        <w:pStyle w:val="CommentText"/>
        <w:rPr>
          <w:sz w:val="24"/>
          <w:szCs w:val="24"/>
        </w:rPr>
      </w:pPr>
      <w:r w:rsidRPr="00D6407B">
        <w:rPr>
          <w:b/>
          <w:sz w:val="24"/>
          <w:szCs w:val="24"/>
        </w:rPr>
        <w:tab/>
      </w:r>
      <w:proofErr w:type="gramStart"/>
      <w:r w:rsidRPr="00D6407B">
        <w:rPr>
          <w:b/>
          <w:sz w:val="24"/>
          <w:szCs w:val="24"/>
        </w:rPr>
        <w:t>Section 6.</w:t>
      </w:r>
      <w:proofErr w:type="gramEnd"/>
      <w:r w:rsidRPr="00D6407B">
        <w:rPr>
          <w:b/>
          <w:sz w:val="24"/>
          <w:szCs w:val="24"/>
        </w:rPr>
        <w:t xml:space="preserve">  </w:t>
      </w:r>
      <w:r w:rsidRPr="00D6407B">
        <w:rPr>
          <w:sz w:val="24"/>
          <w:szCs w:val="24"/>
        </w:rPr>
        <w:t>Section 6 of the regulations sets out non-exclusive examples of policies and procedures the Agencies believe are reasonably designed to prevent or prohibit restricted transactions for non-exempt participants in each designated payment system.  Under Regulation GG, non-exempt participants in each design</w:t>
      </w:r>
      <w:r w:rsidR="00F71862" w:rsidRPr="00D6407B">
        <w:rPr>
          <w:sz w:val="24"/>
          <w:szCs w:val="24"/>
        </w:rPr>
        <w:t xml:space="preserve">ated payment system should maintain policies and procedures that (1) address methods for conducting due diligence in establishing a commercial customer relationship designed to ensure that the commercial customer does not originate or receive restricted transactions through the customer relationship and (2) include procedures reasonably designed to prevent or prohibit restricted transactions, including procedures to be followed with respect to a customer if the participant discovers the customer has been engaging in restricted transactions through its customer relationship. Also, the participant may notify all of its commercial customers, through provisions in the account or commercial customer </w:t>
      </w:r>
      <w:r w:rsidR="00F71862" w:rsidRPr="00D6407B">
        <w:rPr>
          <w:sz w:val="24"/>
          <w:szCs w:val="24"/>
        </w:rPr>
        <w:lastRenderedPageBreak/>
        <w:t xml:space="preserve">relationship agreement or otherwise, that restricted transactions are prohibited from being processed through the account or relationship.  </w:t>
      </w:r>
    </w:p>
    <w:p w:rsidR="00F61135" w:rsidRPr="00D6407B" w:rsidRDefault="00F61135" w:rsidP="00C232CC">
      <w:pPr>
        <w:ind w:firstLine="720"/>
      </w:pPr>
    </w:p>
    <w:p w:rsidR="0097783F" w:rsidRPr="00D6407B" w:rsidRDefault="0097783F">
      <w:pPr>
        <w:jc w:val="both"/>
        <w:rPr>
          <w:color w:val="000000"/>
          <w:szCs w:val="24"/>
        </w:rPr>
      </w:pPr>
      <w:r w:rsidRPr="00D6407B">
        <w:rPr>
          <w:b/>
          <w:bCs/>
          <w:color w:val="000000"/>
          <w:szCs w:val="24"/>
        </w:rPr>
        <w:t>Time Schedule for Information Collection</w:t>
      </w:r>
    </w:p>
    <w:p w:rsidR="007732A1" w:rsidRPr="00D6407B" w:rsidRDefault="007732A1" w:rsidP="0005001F">
      <w:pPr>
        <w:ind w:firstLine="720"/>
      </w:pPr>
    </w:p>
    <w:p w:rsidR="0005001F" w:rsidRPr="00D6407B" w:rsidRDefault="003C23F7" w:rsidP="0005001F">
      <w:pPr>
        <w:ind w:firstLine="720"/>
      </w:pPr>
      <w:r>
        <w:t>Regulation GG does</w:t>
      </w:r>
      <w:r w:rsidR="0005001F" w:rsidRPr="00D6407B">
        <w:t xml:space="preserve"> not include a specific time period for record retention, however, non-exempt participants would be required to maintain the policies and procedures for a particular designated payment system as long as they participate in that system.</w:t>
      </w:r>
    </w:p>
    <w:p w:rsidR="0005001F" w:rsidRPr="00D6407B" w:rsidRDefault="0005001F" w:rsidP="0005001F">
      <w:pPr>
        <w:ind w:firstLine="720"/>
      </w:pPr>
    </w:p>
    <w:p w:rsidR="00921519" w:rsidRPr="00D6407B" w:rsidRDefault="00921519" w:rsidP="00921519">
      <w:pPr>
        <w:jc w:val="both"/>
        <w:rPr>
          <w:b/>
          <w:bCs/>
          <w:color w:val="000000"/>
          <w:szCs w:val="24"/>
        </w:rPr>
      </w:pPr>
      <w:r w:rsidRPr="00D6407B">
        <w:rPr>
          <w:b/>
          <w:bCs/>
          <w:color w:val="000000"/>
          <w:szCs w:val="24"/>
        </w:rPr>
        <w:t xml:space="preserve">Consultation </w:t>
      </w:r>
      <w:proofErr w:type="gramStart"/>
      <w:r w:rsidRPr="00D6407B">
        <w:rPr>
          <w:b/>
          <w:bCs/>
          <w:color w:val="000000"/>
          <w:szCs w:val="24"/>
        </w:rPr>
        <w:t>Outside</w:t>
      </w:r>
      <w:proofErr w:type="gramEnd"/>
      <w:r w:rsidRPr="00D6407B">
        <w:rPr>
          <w:b/>
          <w:bCs/>
          <w:color w:val="000000"/>
          <w:szCs w:val="24"/>
        </w:rPr>
        <w:t xml:space="preserve"> the Agency </w:t>
      </w:r>
    </w:p>
    <w:p w:rsidR="00E75E90" w:rsidRPr="00D6407B" w:rsidRDefault="00E75E90" w:rsidP="00921519">
      <w:pPr>
        <w:jc w:val="both"/>
        <w:rPr>
          <w:color w:val="000000"/>
          <w:szCs w:val="24"/>
        </w:rPr>
      </w:pPr>
    </w:p>
    <w:p w:rsidR="004E66C7" w:rsidRPr="00307C2E" w:rsidRDefault="00BF0CAF" w:rsidP="00C31141">
      <w:pPr>
        <w:ind w:firstLine="720"/>
        <w:rPr>
          <w:b/>
          <w:bCs/>
          <w:color w:val="000000"/>
          <w:szCs w:val="24"/>
        </w:rPr>
      </w:pPr>
      <w:r w:rsidRPr="00D6407B">
        <w:rPr>
          <w:color w:val="000000"/>
          <w:szCs w:val="24"/>
        </w:rPr>
        <w:t xml:space="preserve">Regulation </w:t>
      </w:r>
      <w:r w:rsidR="00D23087" w:rsidRPr="00D6407B">
        <w:rPr>
          <w:color w:val="000000"/>
          <w:szCs w:val="24"/>
        </w:rPr>
        <w:t>GG</w:t>
      </w:r>
      <w:r w:rsidR="00372765" w:rsidRPr="00D6407B">
        <w:rPr>
          <w:color w:val="000000"/>
          <w:szCs w:val="24"/>
        </w:rPr>
        <w:t>, including the collection of information and paperwork burden estimate,</w:t>
      </w:r>
      <w:r w:rsidRPr="00D6407B">
        <w:rPr>
          <w:color w:val="000000"/>
          <w:szCs w:val="24"/>
        </w:rPr>
        <w:t xml:space="preserve"> </w:t>
      </w:r>
      <w:r w:rsidR="00372765" w:rsidRPr="00D6407B">
        <w:rPr>
          <w:color w:val="000000"/>
          <w:szCs w:val="24"/>
        </w:rPr>
        <w:t>was promulgated</w:t>
      </w:r>
      <w:r w:rsidR="00F85F87">
        <w:rPr>
          <w:color w:val="000000"/>
          <w:szCs w:val="24"/>
        </w:rPr>
        <w:t xml:space="preserve"> jointly with the Department of the Treasury</w:t>
      </w:r>
      <w:r w:rsidR="00372765" w:rsidRPr="00D6407B">
        <w:rPr>
          <w:color w:val="000000"/>
          <w:szCs w:val="24"/>
        </w:rPr>
        <w:t xml:space="preserve"> </w:t>
      </w:r>
      <w:r w:rsidR="00D111D0" w:rsidRPr="00D6407B">
        <w:rPr>
          <w:color w:val="000000"/>
          <w:szCs w:val="24"/>
        </w:rPr>
        <w:t>in accordance with</w:t>
      </w:r>
      <w:r w:rsidR="00372765" w:rsidRPr="00D6407B">
        <w:rPr>
          <w:color w:val="000000"/>
          <w:szCs w:val="24"/>
        </w:rPr>
        <w:t xml:space="preserve"> </w:t>
      </w:r>
      <w:r w:rsidRPr="00D6407B">
        <w:rPr>
          <w:color w:val="000000"/>
          <w:szCs w:val="24"/>
        </w:rPr>
        <w:t xml:space="preserve">the notice and comment </w:t>
      </w:r>
      <w:r w:rsidR="00372765" w:rsidRPr="00D6407B">
        <w:rPr>
          <w:color w:val="000000"/>
          <w:szCs w:val="24"/>
        </w:rPr>
        <w:t xml:space="preserve">procedures </w:t>
      </w:r>
      <w:r w:rsidRPr="00D6407B">
        <w:rPr>
          <w:color w:val="000000"/>
          <w:szCs w:val="24"/>
        </w:rPr>
        <w:t xml:space="preserve">of the Administrative Procedure Act. </w:t>
      </w:r>
      <w:proofErr w:type="gramStart"/>
      <w:r w:rsidRPr="00D6407B">
        <w:rPr>
          <w:color w:val="000000"/>
          <w:szCs w:val="24"/>
        </w:rPr>
        <w:t xml:space="preserve">5 U.S.C. § 551 </w:t>
      </w:r>
      <w:r w:rsidRPr="00D6407B">
        <w:rPr>
          <w:color w:val="000000"/>
          <w:szCs w:val="24"/>
          <w:u w:val="single"/>
        </w:rPr>
        <w:t>et</w:t>
      </w:r>
      <w:r w:rsidRPr="00D6407B">
        <w:rPr>
          <w:color w:val="000000"/>
          <w:szCs w:val="24"/>
        </w:rPr>
        <w:t xml:space="preserve"> </w:t>
      </w:r>
      <w:r w:rsidRPr="00D6407B">
        <w:rPr>
          <w:color w:val="000000"/>
          <w:szCs w:val="24"/>
          <w:u w:val="single"/>
        </w:rPr>
        <w:t>seq</w:t>
      </w:r>
      <w:r w:rsidRPr="00D6407B">
        <w:rPr>
          <w:color w:val="000000"/>
          <w:szCs w:val="24"/>
        </w:rPr>
        <w:t>.</w:t>
      </w:r>
      <w:proofErr w:type="gramEnd"/>
      <w:r w:rsidR="006A03A9" w:rsidRPr="00D6407B">
        <w:rPr>
          <w:color w:val="000000"/>
          <w:szCs w:val="24"/>
        </w:rPr>
        <w:t xml:space="preserve">  In addition, the </w:t>
      </w:r>
      <w:r w:rsidR="00F85F87">
        <w:rPr>
          <w:color w:val="000000"/>
          <w:szCs w:val="24"/>
        </w:rPr>
        <w:t>Agencies</w:t>
      </w:r>
      <w:r w:rsidR="006A03A9" w:rsidRPr="00D6407B">
        <w:rPr>
          <w:color w:val="000000"/>
          <w:szCs w:val="24"/>
        </w:rPr>
        <w:t xml:space="preserve"> consulted with the Department of </w:t>
      </w:r>
      <w:r w:rsidR="00F85F87">
        <w:rPr>
          <w:color w:val="000000"/>
          <w:szCs w:val="24"/>
        </w:rPr>
        <w:t>Justice</w:t>
      </w:r>
      <w:r w:rsidR="006A03A9" w:rsidRPr="00D6407B">
        <w:rPr>
          <w:color w:val="000000"/>
          <w:szCs w:val="24"/>
        </w:rPr>
        <w:t>.</w:t>
      </w:r>
      <w:r w:rsidR="004E66C7">
        <w:rPr>
          <w:color w:val="000000"/>
          <w:szCs w:val="24"/>
        </w:rPr>
        <w:t xml:space="preserve">  </w:t>
      </w:r>
      <w:r w:rsidR="004E66C7" w:rsidRPr="006A08B6">
        <w:rPr>
          <w:color w:val="000000"/>
          <w:szCs w:val="24"/>
        </w:rPr>
        <w:t>On</w:t>
      </w:r>
      <w:r w:rsidR="004E66C7">
        <w:rPr>
          <w:color w:val="000000"/>
          <w:szCs w:val="24"/>
        </w:rPr>
        <w:t xml:space="preserve"> September 23, 2011, the Agencies p</w:t>
      </w:r>
      <w:r w:rsidR="004E66C7" w:rsidRPr="006A08B6">
        <w:rPr>
          <w:color w:val="000000"/>
          <w:szCs w:val="24"/>
        </w:rPr>
        <w:t xml:space="preserve">ublished </w:t>
      </w:r>
      <w:r w:rsidR="004E66C7" w:rsidRPr="006A08B6">
        <w:rPr>
          <w:szCs w:val="24"/>
        </w:rPr>
        <w:t>a</w:t>
      </w:r>
      <w:r w:rsidR="004E66C7">
        <w:rPr>
          <w:szCs w:val="24"/>
        </w:rPr>
        <w:t xml:space="preserve"> joint notice </w:t>
      </w:r>
      <w:r w:rsidR="004E66C7" w:rsidRPr="006A08B6">
        <w:rPr>
          <w:szCs w:val="24"/>
        </w:rPr>
        <w:t xml:space="preserve">in the </w:t>
      </w:r>
      <w:r w:rsidR="004E66C7" w:rsidRPr="006A08B6">
        <w:rPr>
          <w:i/>
          <w:szCs w:val="24"/>
        </w:rPr>
        <w:t>Federal Register</w:t>
      </w:r>
      <w:r w:rsidR="004E66C7">
        <w:rPr>
          <w:szCs w:val="24"/>
        </w:rPr>
        <w:t xml:space="preserve"> (76 FR 59188) </w:t>
      </w:r>
      <w:r w:rsidR="004E66C7" w:rsidRPr="00AA6B65">
        <w:t xml:space="preserve">requesting public comment for 60 days on the extension, without revision, of </w:t>
      </w:r>
      <w:r w:rsidR="004E66C7">
        <w:t>this information collection</w:t>
      </w:r>
      <w:r w:rsidR="004E66C7" w:rsidRPr="00AA6B65">
        <w:t>.  The comment period for this notice expire</w:t>
      </w:r>
      <w:r w:rsidR="00B34ABB">
        <w:t>d</w:t>
      </w:r>
      <w:r w:rsidR="004E66C7" w:rsidRPr="00AA6B65">
        <w:t xml:space="preserve"> on </w:t>
      </w:r>
      <w:r w:rsidR="004E66C7">
        <w:t xml:space="preserve">November </w:t>
      </w:r>
      <w:r w:rsidR="00CB3AF4">
        <w:t>22</w:t>
      </w:r>
      <w:r w:rsidR="004E66C7" w:rsidRPr="002A6657">
        <w:t>, 2011</w:t>
      </w:r>
      <w:r w:rsidR="004E66C7">
        <w:t>.</w:t>
      </w:r>
      <w:r w:rsidR="00B34ABB">
        <w:t xml:space="preserve">  The Federal Reserve did not receive any comments.  </w:t>
      </w:r>
      <w:r w:rsidR="00970FCB" w:rsidRPr="00EB4241">
        <w:t xml:space="preserve">On </w:t>
      </w:r>
      <w:r w:rsidR="00B433AE">
        <w:t>February 10, 2012</w:t>
      </w:r>
      <w:r w:rsidR="00970FCB" w:rsidRPr="00EB4241">
        <w:t xml:space="preserve">, the </w:t>
      </w:r>
      <w:r w:rsidR="00970FCB">
        <w:t xml:space="preserve">Agencies </w:t>
      </w:r>
      <w:r w:rsidR="00970FCB" w:rsidRPr="00EB4241">
        <w:t xml:space="preserve">published a </w:t>
      </w:r>
      <w:r w:rsidR="00970FCB">
        <w:t xml:space="preserve">joint </w:t>
      </w:r>
      <w:r w:rsidR="00970FCB" w:rsidRPr="00EB4241">
        <w:t xml:space="preserve">final notice in the </w:t>
      </w:r>
      <w:r w:rsidR="00970FCB" w:rsidRPr="00EB4241">
        <w:rPr>
          <w:i/>
        </w:rPr>
        <w:t>Federal Register</w:t>
      </w:r>
      <w:r w:rsidR="00970FCB" w:rsidRPr="00EB4241">
        <w:t xml:space="preserve"> </w:t>
      </w:r>
      <w:r w:rsidR="00970FCB" w:rsidRPr="00B433AE">
        <w:t>(77 FR </w:t>
      </w:r>
      <w:r w:rsidR="00B433AE">
        <w:t>7162).</w:t>
      </w:r>
    </w:p>
    <w:p w:rsidR="00BF0CAF" w:rsidRPr="00D6407B" w:rsidRDefault="00BF0CAF" w:rsidP="00BF0CAF">
      <w:pPr>
        <w:ind w:firstLine="360"/>
        <w:rPr>
          <w:color w:val="000000"/>
          <w:szCs w:val="24"/>
        </w:rPr>
      </w:pPr>
    </w:p>
    <w:p w:rsidR="0097783F" w:rsidRPr="00D6407B" w:rsidRDefault="0097783F">
      <w:pPr>
        <w:jc w:val="both"/>
        <w:rPr>
          <w:color w:val="000000"/>
          <w:szCs w:val="24"/>
        </w:rPr>
      </w:pPr>
      <w:r w:rsidRPr="00D6407B">
        <w:rPr>
          <w:b/>
          <w:bCs/>
          <w:color w:val="000000"/>
          <w:szCs w:val="24"/>
        </w:rPr>
        <w:t xml:space="preserve">Legal Status </w:t>
      </w:r>
    </w:p>
    <w:p w:rsidR="0097783F" w:rsidRPr="00D6407B" w:rsidRDefault="0097783F">
      <w:pPr>
        <w:jc w:val="both"/>
        <w:rPr>
          <w:color w:val="000000"/>
          <w:szCs w:val="24"/>
        </w:rPr>
      </w:pPr>
    </w:p>
    <w:p w:rsidR="00751BF6" w:rsidRDefault="0097783F" w:rsidP="004E66C7">
      <w:pPr>
        <w:ind w:firstLine="720"/>
      </w:pPr>
      <w:r w:rsidRPr="00D6407B">
        <w:t xml:space="preserve">The Board's Legal Division </w:t>
      </w:r>
      <w:r w:rsidR="00386C6C" w:rsidRPr="00D6407B">
        <w:t>has determined that 31 U.S.C. § 5364 (a) authorizes the Board to require the information collection under the terms of Section 802 of the Act</w:t>
      </w:r>
      <w:r w:rsidR="00FA110E" w:rsidRPr="00D6407B">
        <w:t xml:space="preserve">.  </w:t>
      </w:r>
      <w:r w:rsidR="00386C6C" w:rsidRPr="00D6407B">
        <w:t>The rule requires covered payment system participants to adopt policies and procedures, but does not require them to be submitted to the Board, so normally no confidentiality issues would be implicated.  To the extent the policies and procedures were obtained by the Board through the examination process, they could be afforded confidential treatment, 5 U.S.C. §</w:t>
      </w:r>
      <w:r w:rsidR="00803E7B" w:rsidRPr="00D6407B">
        <w:t xml:space="preserve"> </w:t>
      </w:r>
      <w:r w:rsidR="00386C6C" w:rsidRPr="00D6407B">
        <w:t>552(b</w:t>
      </w:r>
      <w:proofErr w:type="gramStart"/>
      <w:r w:rsidR="00386C6C" w:rsidRPr="00D6407B">
        <w:t>)(</w:t>
      </w:r>
      <w:proofErr w:type="gramEnd"/>
      <w:r w:rsidR="00386C6C" w:rsidRPr="00D6407B">
        <w:t xml:space="preserve">8).  </w:t>
      </w:r>
    </w:p>
    <w:p w:rsidR="004E66C7" w:rsidRDefault="004E66C7" w:rsidP="004E66C7">
      <w:pPr>
        <w:ind w:firstLine="720"/>
        <w:rPr>
          <w:b/>
          <w:bCs/>
          <w:color w:val="000000"/>
          <w:szCs w:val="24"/>
        </w:rPr>
      </w:pPr>
    </w:p>
    <w:p w:rsidR="0097783F" w:rsidRPr="00D6407B" w:rsidRDefault="0097783F">
      <w:pPr>
        <w:jc w:val="both"/>
        <w:rPr>
          <w:color w:val="000000"/>
          <w:szCs w:val="24"/>
        </w:rPr>
      </w:pPr>
      <w:r w:rsidRPr="00D6407B">
        <w:rPr>
          <w:b/>
          <w:bCs/>
          <w:color w:val="000000"/>
          <w:szCs w:val="24"/>
        </w:rPr>
        <w:t>Estimate of Respondent Burden</w:t>
      </w:r>
    </w:p>
    <w:p w:rsidR="0097783F" w:rsidRPr="00D6407B" w:rsidRDefault="0097783F">
      <w:pPr>
        <w:jc w:val="both"/>
        <w:rPr>
          <w:color w:val="000000"/>
          <w:szCs w:val="24"/>
        </w:rPr>
      </w:pPr>
    </w:p>
    <w:p w:rsidR="00A43547" w:rsidRPr="003012ED" w:rsidRDefault="00A43547" w:rsidP="00A43547">
      <w:pPr>
        <w:ind w:firstLine="720"/>
        <w:rPr>
          <w:szCs w:val="24"/>
        </w:rPr>
      </w:pPr>
      <w:r w:rsidRPr="003012ED">
        <w:rPr>
          <w:szCs w:val="24"/>
        </w:rPr>
        <w:t>The total annual burden for the Reg</w:t>
      </w:r>
      <w:r w:rsidR="001E7170">
        <w:rPr>
          <w:szCs w:val="24"/>
        </w:rPr>
        <w:t>ulation</w:t>
      </w:r>
      <w:r w:rsidRPr="003012ED">
        <w:rPr>
          <w:szCs w:val="24"/>
        </w:rPr>
        <w:t xml:space="preserve"> GG is 56,396 hours, as shown in the table below.  The total burden represents less than 1 percent of the total Federal Reserve System paperwork burden.</w:t>
      </w:r>
    </w:p>
    <w:p w:rsidR="00A43547" w:rsidRPr="003012ED" w:rsidRDefault="00A43547" w:rsidP="00A43547">
      <w:pPr>
        <w:ind w:firstLine="720"/>
        <w:rPr>
          <w:szCs w:val="24"/>
        </w:rPr>
      </w:pPr>
    </w:p>
    <w:p w:rsidR="00BF5AFF" w:rsidRDefault="00A43547" w:rsidP="006E7AC2">
      <w:pPr>
        <w:ind w:firstLine="720"/>
      </w:pPr>
      <w:r w:rsidRPr="003012ED">
        <w:t>The Federal Reserve estimates that approximately</w:t>
      </w:r>
      <w:r w:rsidRPr="003012ED">
        <w:rPr>
          <w:szCs w:val="24"/>
        </w:rPr>
        <w:t xml:space="preserve"> </w:t>
      </w:r>
      <w:r w:rsidRPr="003012ED">
        <w:t xml:space="preserve">3,300 </w:t>
      </w:r>
      <w:r w:rsidR="00EA03F8">
        <w:t>depository institutions</w:t>
      </w:r>
      <w:r w:rsidRPr="003012ED">
        <w:t>, 3,701 credit unions, 3 card system operators, and 8 money transmitting business operators</w:t>
      </w:r>
      <w:r w:rsidRPr="003012ED" w:rsidDel="002E40DA">
        <w:rPr>
          <w:szCs w:val="24"/>
        </w:rPr>
        <w:t xml:space="preserve"> </w:t>
      </w:r>
      <w:r w:rsidR="003C23F7">
        <w:rPr>
          <w:szCs w:val="24"/>
        </w:rPr>
        <w:t>are</w:t>
      </w:r>
      <w:r w:rsidRPr="003012ED">
        <w:t xml:space="preserve"> required to maintain policies and procedures under </w:t>
      </w:r>
      <w:r w:rsidR="001E7170">
        <w:t>s</w:t>
      </w:r>
      <w:r w:rsidRPr="003012ED">
        <w:t xml:space="preserve">ections 5 and 6. </w:t>
      </w:r>
      <w:r w:rsidR="001E7170">
        <w:t xml:space="preserve"> </w:t>
      </w:r>
      <w:r w:rsidRPr="003012ED">
        <w:rPr>
          <w:color w:val="000000"/>
        </w:rPr>
        <w:t>T</w:t>
      </w:r>
      <w:r w:rsidRPr="003012ED">
        <w:t xml:space="preserve">he Federal Reserve estimates that the burden of maintaining the policies and procedures once they are established </w:t>
      </w:r>
      <w:r w:rsidR="001E7170">
        <w:t>is</w:t>
      </w:r>
      <w:r w:rsidRPr="003012ED">
        <w:t xml:space="preserve"> 8 hours per year for all recordkeepers.</w:t>
      </w:r>
      <w:r>
        <w:t xml:space="preserve">  </w:t>
      </w:r>
      <w:r w:rsidRPr="003012ED">
        <w:t>The Federal Reserve estimates that, o</w:t>
      </w:r>
      <w:r w:rsidRPr="003012ED">
        <w:rPr>
          <w:color w:val="000000"/>
          <w:szCs w:val="24"/>
        </w:rPr>
        <w:t xml:space="preserve">n an annual basis, </w:t>
      </w:r>
      <w:r w:rsidR="001E7170">
        <w:rPr>
          <w:color w:val="000000"/>
          <w:szCs w:val="24"/>
        </w:rPr>
        <w:t>3</w:t>
      </w:r>
      <w:r w:rsidR="001E7170" w:rsidRPr="003012ED">
        <w:rPr>
          <w:color w:val="000000"/>
          <w:szCs w:val="24"/>
        </w:rPr>
        <w:t xml:space="preserve"> </w:t>
      </w:r>
      <w:r w:rsidRPr="003012ED">
        <w:rPr>
          <w:color w:val="000000"/>
          <w:szCs w:val="24"/>
        </w:rPr>
        <w:t>new</w:t>
      </w:r>
      <w:r w:rsidRPr="003012ED">
        <w:t xml:space="preserve"> (de novo) institutions would take, on average, 100 hours to </w:t>
      </w:r>
      <w:r w:rsidR="00F85F87">
        <w:t>establish</w:t>
      </w:r>
      <w:r w:rsidRPr="003012ED">
        <w:t xml:space="preserve"> policies and procedures under </w:t>
      </w:r>
      <w:r w:rsidR="001E7170">
        <w:t>s</w:t>
      </w:r>
      <w:r w:rsidRPr="003012ED">
        <w:t xml:space="preserve">ections 5 and 6.  The Agencies have agreed to split equally the total number of recordkeepers not subject to examination </w:t>
      </w:r>
      <w:r w:rsidRPr="003012ED">
        <w:lastRenderedPageBreak/>
        <w:t>and supervision by either the Board or the Treasury’s Office of the Comptroller of the Currency.</w:t>
      </w:r>
    </w:p>
    <w:p w:rsidR="005D1E3E" w:rsidRPr="00D6407B" w:rsidRDefault="005D1E3E" w:rsidP="00D6407B">
      <w:pPr>
        <w:autoSpaceDE w:val="0"/>
        <w:autoSpaceDN w:val="0"/>
        <w:adjustRightInd w:val="0"/>
        <w:ind w:firstLine="720"/>
      </w:pPr>
    </w:p>
    <w:tbl>
      <w:tblPr>
        <w:tblW w:w="8640" w:type="dxa"/>
        <w:tblInd w:w="139" w:type="dxa"/>
        <w:tblBorders>
          <w:top w:val="single" w:sz="4" w:space="0" w:color="auto"/>
          <w:bottom w:val="single" w:sz="4" w:space="0" w:color="auto"/>
        </w:tblBorders>
        <w:tblLayout w:type="fixed"/>
        <w:tblCellMar>
          <w:left w:w="139" w:type="dxa"/>
          <w:right w:w="139" w:type="dxa"/>
        </w:tblCellMar>
        <w:tblLook w:val="0000"/>
      </w:tblPr>
      <w:tblGrid>
        <w:gridCol w:w="3150"/>
        <w:gridCol w:w="270"/>
        <w:gridCol w:w="1440"/>
        <w:gridCol w:w="1260"/>
        <w:gridCol w:w="1260"/>
        <w:gridCol w:w="1260"/>
      </w:tblGrid>
      <w:tr w:rsidR="00A43547" w:rsidRPr="006E7AC2" w:rsidTr="002927C4">
        <w:trPr>
          <w:cantSplit/>
        </w:trPr>
        <w:tc>
          <w:tcPr>
            <w:tcW w:w="3150" w:type="dxa"/>
            <w:vAlign w:val="center"/>
          </w:tcPr>
          <w:p w:rsidR="00A43547" w:rsidRPr="006E7AC2" w:rsidRDefault="00A43547" w:rsidP="00BC2CC6">
            <w:pPr>
              <w:tabs>
                <w:tab w:val="left" w:pos="-1440"/>
                <w:tab w:val="left" w:pos="-720"/>
                <w:tab w:val="left" w:pos="0"/>
                <w:tab w:val="left" w:pos="240"/>
                <w:tab w:val="left" w:pos="720"/>
                <w:tab w:val="left" w:pos="1440"/>
                <w:tab w:val="left" w:pos="2160"/>
                <w:tab w:val="left" w:pos="2880"/>
              </w:tabs>
              <w:spacing w:before="163" w:after="19"/>
              <w:rPr>
                <w:szCs w:val="24"/>
              </w:rPr>
            </w:pPr>
            <w:r w:rsidRPr="006E7AC2">
              <w:rPr>
                <w:i/>
                <w:szCs w:val="24"/>
              </w:rPr>
              <w:t>Recordkeeping</w:t>
            </w:r>
          </w:p>
        </w:tc>
        <w:tc>
          <w:tcPr>
            <w:tcW w:w="1710" w:type="dxa"/>
            <w:gridSpan w:val="2"/>
            <w:vAlign w:val="center"/>
          </w:tcPr>
          <w:p w:rsidR="00A43547" w:rsidRPr="006E7AC2" w:rsidRDefault="00A43547" w:rsidP="00BC2CC6">
            <w:pPr>
              <w:jc w:val="center"/>
              <w:rPr>
                <w:i/>
                <w:szCs w:val="24"/>
              </w:rPr>
            </w:pPr>
            <w:r w:rsidRPr="006E7AC2">
              <w:rPr>
                <w:i/>
                <w:szCs w:val="24"/>
              </w:rPr>
              <w:t>Number</w:t>
            </w:r>
          </w:p>
          <w:p w:rsidR="00A43547" w:rsidRPr="006E7AC2" w:rsidRDefault="00A43547" w:rsidP="00BC2CC6">
            <w:pPr>
              <w:jc w:val="center"/>
              <w:rPr>
                <w:i/>
                <w:szCs w:val="24"/>
              </w:rPr>
            </w:pPr>
            <w:r w:rsidRPr="006E7AC2">
              <w:rPr>
                <w:i/>
                <w:szCs w:val="24"/>
              </w:rPr>
              <w:t>of respondents</w:t>
            </w:r>
            <w:r w:rsidR="002927C4">
              <w:rPr>
                <w:rStyle w:val="FootnoteReference"/>
                <w:i/>
                <w:szCs w:val="24"/>
              </w:rPr>
              <w:footnoteReference w:id="8"/>
            </w:r>
          </w:p>
        </w:tc>
        <w:tc>
          <w:tcPr>
            <w:tcW w:w="1260" w:type="dxa"/>
            <w:vAlign w:val="center"/>
          </w:tcPr>
          <w:p w:rsidR="00A43547" w:rsidRPr="006E7AC2" w:rsidRDefault="00A43547" w:rsidP="00BC2CC6">
            <w:pPr>
              <w:jc w:val="center"/>
              <w:rPr>
                <w:i/>
                <w:szCs w:val="24"/>
              </w:rPr>
            </w:pPr>
            <w:r w:rsidRPr="006E7AC2">
              <w:rPr>
                <w:i/>
                <w:szCs w:val="24"/>
              </w:rPr>
              <w:t>Estimated annual frequency</w:t>
            </w:r>
          </w:p>
        </w:tc>
        <w:tc>
          <w:tcPr>
            <w:tcW w:w="1260" w:type="dxa"/>
            <w:vAlign w:val="center"/>
          </w:tcPr>
          <w:p w:rsidR="00A43547" w:rsidRPr="006E7AC2" w:rsidRDefault="00A43547" w:rsidP="00BC2CC6">
            <w:pPr>
              <w:jc w:val="center"/>
              <w:rPr>
                <w:i/>
                <w:szCs w:val="24"/>
              </w:rPr>
            </w:pPr>
            <w:r w:rsidRPr="006E7AC2">
              <w:rPr>
                <w:i/>
                <w:szCs w:val="24"/>
              </w:rPr>
              <w:t>Estimated average time per   response</w:t>
            </w:r>
          </w:p>
        </w:tc>
        <w:tc>
          <w:tcPr>
            <w:tcW w:w="1260" w:type="dxa"/>
            <w:vAlign w:val="center"/>
          </w:tcPr>
          <w:p w:rsidR="00A43547" w:rsidRPr="006E7AC2" w:rsidRDefault="00A43547" w:rsidP="00BC2CC6">
            <w:pPr>
              <w:jc w:val="center"/>
              <w:rPr>
                <w:i/>
                <w:szCs w:val="24"/>
              </w:rPr>
            </w:pPr>
            <w:r w:rsidRPr="006E7AC2">
              <w:rPr>
                <w:i/>
                <w:szCs w:val="24"/>
              </w:rPr>
              <w:t>Estimated annual burden hours</w:t>
            </w:r>
          </w:p>
        </w:tc>
      </w:tr>
      <w:tr w:rsidR="00A43547" w:rsidRPr="006E7AC2" w:rsidTr="006E7AC2">
        <w:trPr>
          <w:cantSplit/>
          <w:trHeight w:val="332"/>
        </w:trPr>
        <w:tc>
          <w:tcPr>
            <w:tcW w:w="3420" w:type="dxa"/>
            <w:gridSpan w:val="2"/>
            <w:vAlign w:val="bottom"/>
          </w:tcPr>
          <w:p w:rsidR="00A43547" w:rsidRPr="006E7AC2" w:rsidRDefault="006E7AC2" w:rsidP="00BC2CC6">
            <w:pPr>
              <w:tabs>
                <w:tab w:val="left" w:pos="-1440"/>
                <w:tab w:val="left" w:pos="-720"/>
                <w:tab w:val="left" w:pos="0"/>
                <w:tab w:val="left" w:pos="240"/>
                <w:tab w:val="left" w:pos="720"/>
                <w:tab w:val="left" w:pos="1440"/>
                <w:tab w:val="left" w:pos="2160"/>
                <w:tab w:val="left" w:pos="2880"/>
              </w:tabs>
              <w:spacing w:before="163" w:after="19"/>
              <w:rPr>
                <w:szCs w:val="24"/>
              </w:rPr>
            </w:pPr>
            <w:r w:rsidRPr="006E7AC2">
              <w:rPr>
                <w:szCs w:val="24"/>
              </w:rPr>
              <w:t>D</w:t>
            </w:r>
            <w:r w:rsidR="00EA03F8" w:rsidRPr="006E7AC2">
              <w:rPr>
                <w:szCs w:val="24"/>
              </w:rPr>
              <w:t>epository institutions</w:t>
            </w:r>
          </w:p>
        </w:tc>
        <w:tc>
          <w:tcPr>
            <w:tcW w:w="1440" w:type="dxa"/>
            <w:vAlign w:val="bottom"/>
          </w:tcPr>
          <w:p w:rsidR="00A43547" w:rsidRPr="006E7AC2" w:rsidRDefault="00A43547" w:rsidP="00BC2CC6">
            <w:pPr>
              <w:tabs>
                <w:tab w:val="left" w:pos="-1440"/>
                <w:tab w:val="left" w:pos="-720"/>
                <w:tab w:val="left" w:pos="0"/>
                <w:tab w:val="left" w:pos="240"/>
                <w:tab w:val="left" w:pos="720"/>
                <w:tab w:val="left" w:pos="1440"/>
              </w:tabs>
              <w:spacing w:before="163" w:after="19"/>
              <w:jc w:val="center"/>
              <w:rPr>
                <w:szCs w:val="24"/>
              </w:rPr>
            </w:pPr>
            <w:r w:rsidRPr="006E7AC2">
              <w:rPr>
                <w:szCs w:val="24"/>
              </w:rPr>
              <w:t>3,300</w:t>
            </w:r>
          </w:p>
        </w:tc>
        <w:tc>
          <w:tcPr>
            <w:tcW w:w="1260" w:type="dxa"/>
            <w:vAlign w:val="bottom"/>
          </w:tcPr>
          <w:p w:rsidR="00A43547" w:rsidRPr="006E7AC2" w:rsidRDefault="00A43547" w:rsidP="00BC2CC6">
            <w:pPr>
              <w:tabs>
                <w:tab w:val="left" w:pos="-1440"/>
                <w:tab w:val="left" w:pos="-720"/>
                <w:tab w:val="left" w:pos="0"/>
                <w:tab w:val="left" w:pos="240"/>
                <w:tab w:val="left" w:pos="720"/>
              </w:tabs>
              <w:spacing w:before="163" w:after="19"/>
              <w:jc w:val="center"/>
              <w:rPr>
                <w:szCs w:val="24"/>
              </w:rPr>
            </w:pPr>
            <w:r w:rsidRPr="006E7AC2">
              <w:rPr>
                <w:szCs w:val="24"/>
              </w:rPr>
              <w:t>1</w:t>
            </w:r>
          </w:p>
        </w:tc>
        <w:tc>
          <w:tcPr>
            <w:tcW w:w="1260" w:type="dxa"/>
            <w:vAlign w:val="bottom"/>
          </w:tcPr>
          <w:p w:rsidR="00A43547" w:rsidRPr="006E7AC2" w:rsidRDefault="00A43547" w:rsidP="00BC2CC6">
            <w:pPr>
              <w:tabs>
                <w:tab w:val="left" w:pos="-1440"/>
                <w:tab w:val="left" w:pos="-720"/>
                <w:tab w:val="left" w:pos="0"/>
                <w:tab w:val="left" w:pos="240"/>
                <w:tab w:val="left" w:pos="720"/>
              </w:tabs>
              <w:spacing w:before="163" w:after="19"/>
              <w:jc w:val="center"/>
              <w:rPr>
                <w:szCs w:val="24"/>
              </w:rPr>
            </w:pPr>
            <w:r w:rsidRPr="006E7AC2">
              <w:rPr>
                <w:szCs w:val="24"/>
              </w:rPr>
              <w:t>8</w:t>
            </w:r>
            <w:r w:rsidR="004E66C7">
              <w:rPr>
                <w:szCs w:val="24"/>
              </w:rPr>
              <w:t xml:space="preserve"> </w:t>
            </w:r>
            <w:r w:rsidRPr="006E7AC2">
              <w:rPr>
                <w:szCs w:val="24"/>
              </w:rPr>
              <w:t>hours</w:t>
            </w:r>
          </w:p>
        </w:tc>
        <w:tc>
          <w:tcPr>
            <w:tcW w:w="1260" w:type="dxa"/>
            <w:vAlign w:val="bottom"/>
          </w:tcPr>
          <w:p w:rsidR="00A43547" w:rsidRPr="006E7AC2" w:rsidRDefault="00A43547" w:rsidP="00BC2CC6">
            <w:pPr>
              <w:tabs>
                <w:tab w:val="left" w:pos="-1440"/>
                <w:tab w:val="left" w:pos="-720"/>
                <w:tab w:val="left" w:pos="0"/>
                <w:tab w:val="left" w:pos="240"/>
                <w:tab w:val="left" w:pos="720"/>
                <w:tab w:val="left" w:pos="1440"/>
              </w:tabs>
              <w:spacing w:before="163" w:after="19"/>
              <w:jc w:val="right"/>
              <w:rPr>
                <w:szCs w:val="24"/>
              </w:rPr>
            </w:pPr>
            <w:r w:rsidRPr="006E7AC2">
              <w:rPr>
                <w:szCs w:val="24"/>
              </w:rPr>
              <w:t>26,400</w:t>
            </w:r>
          </w:p>
        </w:tc>
      </w:tr>
      <w:tr w:rsidR="00A43547" w:rsidRPr="006E7AC2" w:rsidTr="006E7AC2">
        <w:trPr>
          <w:cantSplit/>
          <w:trHeight w:val="143"/>
        </w:trPr>
        <w:tc>
          <w:tcPr>
            <w:tcW w:w="3420" w:type="dxa"/>
            <w:gridSpan w:val="2"/>
            <w:vAlign w:val="bottom"/>
          </w:tcPr>
          <w:p w:rsidR="00A43547" w:rsidRPr="006E7AC2" w:rsidRDefault="00A43547" w:rsidP="00BC2CC6">
            <w:pPr>
              <w:tabs>
                <w:tab w:val="left" w:pos="-1440"/>
                <w:tab w:val="left" w:pos="-720"/>
                <w:tab w:val="left" w:pos="0"/>
                <w:tab w:val="left" w:pos="240"/>
                <w:tab w:val="left" w:pos="720"/>
                <w:tab w:val="left" w:pos="1440"/>
                <w:tab w:val="left" w:pos="2160"/>
                <w:tab w:val="left" w:pos="2880"/>
              </w:tabs>
              <w:spacing w:before="163" w:after="19"/>
              <w:rPr>
                <w:szCs w:val="24"/>
              </w:rPr>
            </w:pPr>
            <w:r w:rsidRPr="006E7AC2">
              <w:rPr>
                <w:szCs w:val="24"/>
              </w:rPr>
              <w:t xml:space="preserve">Card system operators </w:t>
            </w:r>
          </w:p>
        </w:tc>
        <w:tc>
          <w:tcPr>
            <w:tcW w:w="1440" w:type="dxa"/>
            <w:vAlign w:val="bottom"/>
          </w:tcPr>
          <w:p w:rsidR="00A43547" w:rsidRPr="006E7AC2" w:rsidRDefault="00A43547" w:rsidP="00BC2CC6">
            <w:pPr>
              <w:tabs>
                <w:tab w:val="left" w:pos="-1440"/>
                <w:tab w:val="left" w:pos="-720"/>
                <w:tab w:val="left" w:pos="0"/>
                <w:tab w:val="left" w:pos="240"/>
                <w:tab w:val="left" w:pos="720"/>
                <w:tab w:val="left" w:pos="1440"/>
              </w:tabs>
              <w:spacing w:before="163" w:after="19"/>
              <w:jc w:val="center"/>
              <w:rPr>
                <w:szCs w:val="24"/>
              </w:rPr>
            </w:pPr>
            <w:r w:rsidRPr="006E7AC2">
              <w:rPr>
                <w:szCs w:val="24"/>
              </w:rPr>
              <w:t>3</w:t>
            </w:r>
          </w:p>
        </w:tc>
        <w:tc>
          <w:tcPr>
            <w:tcW w:w="1260" w:type="dxa"/>
            <w:vAlign w:val="bottom"/>
          </w:tcPr>
          <w:p w:rsidR="00A43547" w:rsidRPr="006E7AC2" w:rsidRDefault="00A43547" w:rsidP="00BC2CC6">
            <w:pPr>
              <w:tabs>
                <w:tab w:val="left" w:pos="-1440"/>
                <w:tab w:val="left" w:pos="-720"/>
                <w:tab w:val="left" w:pos="0"/>
                <w:tab w:val="left" w:pos="240"/>
                <w:tab w:val="left" w:pos="720"/>
              </w:tabs>
              <w:spacing w:before="163" w:after="19"/>
              <w:jc w:val="center"/>
              <w:rPr>
                <w:szCs w:val="24"/>
              </w:rPr>
            </w:pPr>
            <w:r w:rsidRPr="006E7AC2">
              <w:rPr>
                <w:szCs w:val="24"/>
              </w:rPr>
              <w:t>1</w:t>
            </w:r>
          </w:p>
        </w:tc>
        <w:tc>
          <w:tcPr>
            <w:tcW w:w="1260" w:type="dxa"/>
            <w:vAlign w:val="bottom"/>
          </w:tcPr>
          <w:p w:rsidR="00A43547" w:rsidRPr="006E7AC2" w:rsidRDefault="00A43547" w:rsidP="00BC2CC6">
            <w:pPr>
              <w:tabs>
                <w:tab w:val="left" w:pos="-1440"/>
                <w:tab w:val="left" w:pos="-720"/>
                <w:tab w:val="left" w:pos="0"/>
                <w:tab w:val="left" w:pos="240"/>
                <w:tab w:val="left" w:pos="720"/>
              </w:tabs>
              <w:spacing w:before="163" w:after="19"/>
              <w:jc w:val="center"/>
              <w:rPr>
                <w:szCs w:val="24"/>
              </w:rPr>
            </w:pPr>
            <w:r w:rsidRPr="006E7AC2">
              <w:rPr>
                <w:szCs w:val="24"/>
              </w:rPr>
              <w:t>8 hours</w:t>
            </w:r>
          </w:p>
        </w:tc>
        <w:tc>
          <w:tcPr>
            <w:tcW w:w="1260" w:type="dxa"/>
            <w:vAlign w:val="bottom"/>
          </w:tcPr>
          <w:p w:rsidR="00A43547" w:rsidRPr="006E7AC2" w:rsidRDefault="00A43547" w:rsidP="00BC2CC6">
            <w:pPr>
              <w:tabs>
                <w:tab w:val="left" w:pos="-1440"/>
                <w:tab w:val="left" w:pos="-720"/>
                <w:tab w:val="left" w:pos="0"/>
                <w:tab w:val="left" w:pos="240"/>
                <w:tab w:val="left" w:pos="720"/>
                <w:tab w:val="left" w:pos="1440"/>
              </w:tabs>
              <w:spacing w:before="163" w:after="19"/>
              <w:jc w:val="right"/>
              <w:rPr>
                <w:szCs w:val="24"/>
              </w:rPr>
            </w:pPr>
            <w:r w:rsidRPr="006E7AC2">
              <w:rPr>
                <w:szCs w:val="24"/>
              </w:rPr>
              <w:t>24</w:t>
            </w:r>
          </w:p>
        </w:tc>
      </w:tr>
      <w:tr w:rsidR="00A43547" w:rsidRPr="006E7AC2" w:rsidTr="006E7AC2">
        <w:trPr>
          <w:cantSplit/>
          <w:trHeight w:val="206"/>
        </w:trPr>
        <w:tc>
          <w:tcPr>
            <w:tcW w:w="3420" w:type="dxa"/>
            <w:gridSpan w:val="2"/>
            <w:vAlign w:val="bottom"/>
          </w:tcPr>
          <w:p w:rsidR="00A43547" w:rsidRPr="006E7AC2" w:rsidDel="002E40DA" w:rsidRDefault="00A43547" w:rsidP="00BC2CC6">
            <w:pPr>
              <w:tabs>
                <w:tab w:val="left" w:pos="-1440"/>
                <w:tab w:val="left" w:pos="-720"/>
                <w:tab w:val="left" w:pos="0"/>
                <w:tab w:val="left" w:pos="240"/>
                <w:tab w:val="left" w:pos="720"/>
                <w:tab w:val="left" w:pos="1440"/>
                <w:tab w:val="left" w:pos="2160"/>
                <w:tab w:val="left" w:pos="2880"/>
              </w:tabs>
              <w:spacing w:before="163" w:after="19"/>
              <w:rPr>
                <w:szCs w:val="24"/>
              </w:rPr>
            </w:pPr>
            <w:r w:rsidRPr="006E7AC2">
              <w:rPr>
                <w:szCs w:val="24"/>
              </w:rPr>
              <w:t>Credit unions</w:t>
            </w:r>
          </w:p>
        </w:tc>
        <w:tc>
          <w:tcPr>
            <w:tcW w:w="1440" w:type="dxa"/>
            <w:vAlign w:val="bottom"/>
          </w:tcPr>
          <w:p w:rsidR="00A43547" w:rsidRPr="006E7AC2" w:rsidDel="002E40DA" w:rsidRDefault="00A43547" w:rsidP="00BC2CC6">
            <w:pPr>
              <w:tabs>
                <w:tab w:val="left" w:pos="-1440"/>
                <w:tab w:val="left" w:pos="-720"/>
                <w:tab w:val="left" w:pos="0"/>
                <w:tab w:val="left" w:pos="240"/>
                <w:tab w:val="left" w:pos="720"/>
                <w:tab w:val="left" w:pos="1440"/>
              </w:tabs>
              <w:spacing w:before="163" w:after="19"/>
              <w:jc w:val="center"/>
              <w:rPr>
                <w:szCs w:val="24"/>
              </w:rPr>
            </w:pPr>
            <w:r w:rsidRPr="006E7AC2">
              <w:rPr>
                <w:szCs w:val="24"/>
              </w:rPr>
              <w:t>3,701</w:t>
            </w:r>
          </w:p>
        </w:tc>
        <w:tc>
          <w:tcPr>
            <w:tcW w:w="1260" w:type="dxa"/>
            <w:vAlign w:val="bottom"/>
          </w:tcPr>
          <w:p w:rsidR="00A43547" w:rsidRPr="006E7AC2" w:rsidDel="002E40DA" w:rsidRDefault="00A43547" w:rsidP="00BC2CC6">
            <w:pPr>
              <w:tabs>
                <w:tab w:val="left" w:pos="-1440"/>
                <w:tab w:val="left" w:pos="-720"/>
                <w:tab w:val="left" w:pos="0"/>
                <w:tab w:val="left" w:pos="240"/>
                <w:tab w:val="left" w:pos="720"/>
              </w:tabs>
              <w:spacing w:before="163" w:after="19"/>
              <w:jc w:val="center"/>
              <w:rPr>
                <w:szCs w:val="24"/>
              </w:rPr>
            </w:pPr>
            <w:r w:rsidRPr="006E7AC2">
              <w:rPr>
                <w:szCs w:val="24"/>
              </w:rPr>
              <w:t>1</w:t>
            </w:r>
          </w:p>
        </w:tc>
        <w:tc>
          <w:tcPr>
            <w:tcW w:w="1260" w:type="dxa"/>
            <w:vAlign w:val="bottom"/>
          </w:tcPr>
          <w:p w:rsidR="00A43547" w:rsidRPr="006E7AC2" w:rsidDel="002E40DA" w:rsidRDefault="00A43547" w:rsidP="00BC2CC6">
            <w:pPr>
              <w:tabs>
                <w:tab w:val="left" w:pos="-1440"/>
                <w:tab w:val="left" w:pos="-720"/>
                <w:tab w:val="left" w:pos="0"/>
                <w:tab w:val="left" w:pos="240"/>
                <w:tab w:val="left" w:pos="720"/>
              </w:tabs>
              <w:spacing w:before="163" w:after="19"/>
              <w:jc w:val="center"/>
              <w:rPr>
                <w:szCs w:val="24"/>
              </w:rPr>
            </w:pPr>
            <w:r w:rsidRPr="006E7AC2">
              <w:rPr>
                <w:szCs w:val="24"/>
              </w:rPr>
              <w:t>8 hours</w:t>
            </w:r>
          </w:p>
        </w:tc>
        <w:tc>
          <w:tcPr>
            <w:tcW w:w="1260" w:type="dxa"/>
            <w:vAlign w:val="bottom"/>
          </w:tcPr>
          <w:p w:rsidR="00A43547" w:rsidRPr="006E7AC2" w:rsidRDefault="00A43547" w:rsidP="00BC2CC6">
            <w:pPr>
              <w:tabs>
                <w:tab w:val="left" w:pos="-1440"/>
                <w:tab w:val="left" w:pos="-720"/>
                <w:tab w:val="left" w:pos="0"/>
                <w:tab w:val="left" w:pos="240"/>
                <w:tab w:val="left" w:pos="720"/>
                <w:tab w:val="left" w:pos="1440"/>
              </w:tabs>
              <w:spacing w:before="163" w:after="19"/>
              <w:jc w:val="right"/>
              <w:rPr>
                <w:szCs w:val="24"/>
              </w:rPr>
            </w:pPr>
            <w:r w:rsidRPr="006E7AC2">
              <w:rPr>
                <w:szCs w:val="24"/>
              </w:rPr>
              <w:t>29,608</w:t>
            </w:r>
          </w:p>
        </w:tc>
      </w:tr>
      <w:tr w:rsidR="00A43547" w:rsidRPr="006E7AC2" w:rsidTr="006E7AC2">
        <w:trPr>
          <w:cantSplit/>
          <w:trHeight w:val="377"/>
        </w:trPr>
        <w:tc>
          <w:tcPr>
            <w:tcW w:w="3420" w:type="dxa"/>
            <w:gridSpan w:val="2"/>
            <w:vAlign w:val="bottom"/>
          </w:tcPr>
          <w:p w:rsidR="00A43547" w:rsidRPr="006E7AC2" w:rsidRDefault="00A43547" w:rsidP="00BC2CC6">
            <w:pPr>
              <w:tabs>
                <w:tab w:val="left" w:pos="-1440"/>
                <w:tab w:val="left" w:pos="-720"/>
                <w:tab w:val="left" w:pos="0"/>
                <w:tab w:val="left" w:pos="240"/>
                <w:tab w:val="left" w:pos="720"/>
                <w:tab w:val="left" w:pos="1440"/>
                <w:tab w:val="left" w:pos="2160"/>
                <w:tab w:val="left" w:pos="2880"/>
              </w:tabs>
              <w:spacing w:before="163" w:after="19"/>
              <w:rPr>
                <w:szCs w:val="24"/>
              </w:rPr>
            </w:pPr>
            <w:r w:rsidRPr="006E7AC2">
              <w:rPr>
                <w:szCs w:val="24"/>
              </w:rPr>
              <w:t>Money transmitting business       operators</w:t>
            </w:r>
          </w:p>
        </w:tc>
        <w:tc>
          <w:tcPr>
            <w:tcW w:w="1440" w:type="dxa"/>
            <w:vAlign w:val="bottom"/>
          </w:tcPr>
          <w:p w:rsidR="00A43547" w:rsidRPr="006E7AC2" w:rsidRDefault="00A43547" w:rsidP="00BC2CC6">
            <w:pPr>
              <w:tabs>
                <w:tab w:val="left" w:pos="-1440"/>
                <w:tab w:val="left" w:pos="-720"/>
                <w:tab w:val="left" w:pos="0"/>
                <w:tab w:val="left" w:pos="240"/>
                <w:tab w:val="left" w:pos="720"/>
                <w:tab w:val="left" w:pos="1440"/>
              </w:tabs>
              <w:spacing w:before="163" w:after="19"/>
              <w:jc w:val="center"/>
              <w:rPr>
                <w:szCs w:val="24"/>
              </w:rPr>
            </w:pPr>
            <w:r w:rsidRPr="006E7AC2">
              <w:rPr>
                <w:szCs w:val="24"/>
              </w:rPr>
              <w:t>8</w:t>
            </w:r>
          </w:p>
        </w:tc>
        <w:tc>
          <w:tcPr>
            <w:tcW w:w="1260" w:type="dxa"/>
            <w:vAlign w:val="bottom"/>
          </w:tcPr>
          <w:p w:rsidR="00A43547" w:rsidRPr="006E7AC2" w:rsidRDefault="00A43547" w:rsidP="00BC2CC6">
            <w:pPr>
              <w:tabs>
                <w:tab w:val="left" w:pos="-1440"/>
                <w:tab w:val="left" w:pos="-720"/>
                <w:tab w:val="left" w:pos="0"/>
                <w:tab w:val="left" w:pos="240"/>
                <w:tab w:val="left" w:pos="720"/>
              </w:tabs>
              <w:spacing w:before="163" w:after="19"/>
              <w:jc w:val="center"/>
              <w:rPr>
                <w:szCs w:val="24"/>
              </w:rPr>
            </w:pPr>
            <w:r w:rsidRPr="006E7AC2">
              <w:rPr>
                <w:szCs w:val="24"/>
              </w:rPr>
              <w:t>1</w:t>
            </w:r>
          </w:p>
        </w:tc>
        <w:tc>
          <w:tcPr>
            <w:tcW w:w="1260" w:type="dxa"/>
            <w:vAlign w:val="bottom"/>
          </w:tcPr>
          <w:p w:rsidR="00A43547" w:rsidRPr="006E7AC2" w:rsidRDefault="00A43547" w:rsidP="00BC2CC6">
            <w:pPr>
              <w:tabs>
                <w:tab w:val="left" w:pos="-1440"/>
                <w:tab w:val="left" w:pos="-720"/>
                <w:tab w:val="left" w:pos="0"/>
                <w:tab w:val="left" w:pos="240"/>
                <w:tab w:val="left" w:pos="720"/>
              </w:tabs>
              <w:spacing w:before="163" w:after="19"/>
              <w:jc w:val="center"/>
              <w:rPr>
                <w:szCs w:val="24"/>
              </w:rPr>
            </w:pPr>
            <w:r w:rsidRPr="006E7AC2">
              <w:rPr>
                <w:szCs w:val="24"/>
              </w:rPr>
              <w:t>8 hours</w:t>
            </w:r>
          </w:p>
        </w:tc>
        <w:tc>
          <w:tcPr>
            <w:tcW w:w="1260" w:type="dxa"/>
            <w:vAlign w:val="bottom"/>
          </w:tcPr>
          <w:p w:rsidR="00A43547" w:rsidRPr="006E7AC2" w:rsidRDefault="00A43547" w:rsidP="00BC2CC6">
            <w:pPr>
              <w:tabs>
                <w:tab w:val="left" w:pos="-1440"/>
                <w:tab w:val="left" w:pos="-720"/>
                <w:tab w:val="left" w:pos="0"/>
                <w:tab w:val="left" w:pos="240"/>
                <w:tab w:val="left" w:pos="720"/>
                <w:tab w:val="left" w:pos="1440"/>
              </w:tabs>
              <w:spacing w:before="163" w:after="19"/>
              <w:jc w:val="right"/>
              <w:rPr>
                <w:szCs w:val="24"/>
              </w:rPr>
            </w:pPr>
            <w:r w:rsidRPr="006E7AC2">
              <w:rPr>
                <w:szCs w:val="24"/>
              </w:rPr>
              <w:t>64</w:t>
            </w:r>
          </w:p>
        </w:tc>
      </w:tr>
      <w:tr w:rsidR="00A43547" w:rsidRPr="006E7AC2" w:rsidTr="006E7AC2">
        <w:trPr>
          <w:cantSplit/>
          <w:trHeight w:val="341"/>
        </w:trPr>
        <w:tc>
          <w:tcPr>
            <w:tcW w:w="3420" w:type="dxa"/>
            <w:gridSpan w:val="2"/>
            <w:vAlign w:val="bottom"/>
          </w:tcPr>
          <w:p w:rsidR="00A43547" w:rsidRPr="006E7AC2" w:rsidRDefault="00A43547" w:rsidP="00BC2CC6">
            <w:pPr>
              <w:rPr>
                <w:szCs w:val="24"/>
              </w:rPr>
            </w:pPr>
            <w:r w:rsidRPr="006E7AC2">
              <w:rPr>
                <w:szCs w:val="24"/>
              </w:rPr>
              <w:t>De novo institutions</w:t>
            </w:r>
          </w:p>
        </w:tc>
        <w:tc>
          <w:tcPr>
            <w:tcW w:w="1440" w:type="dxa"/>
            <w:vAlign w:val="bottom"/>
          </w:tcPr>
          <w:p w:rsidR="00A43547" w:rsidRPr="006E7AC2" w:rsidRDefault="00A43547" w:rsidP="00BC2CC6">
            <w:pPr>
              <w:tabs>
                <w:tab w:val="left" w:pos="-1440"/>
                <w:tab w:val="left" w:pos="-720"/>
                <w:tab w:val="left" w:pos="0"/>
                <w:tab w:val="left" w:pos="240"/>
                <w:tab w:val="left" w:pos="720"/>
                <w:tab w:val="left" w:pos="1440"/>
              </w:tabs>
              <w:spacing w:before="144"/>
              <w:jc w:val="center"/>
              <w:rPr>
                <w:szCs w:val="24"/>
              </w:rPr>
            </w:pPr>
            <w:r w:rsidRPr="006E7AC2">
              <w:rPr>
                <w:szCs w:val="24"/>
              </w:rPr>
              <w:t>3</w:t>
            </w:r>
          </w:p>
        </w:tc>
        <w:tc>
          <w:tcPr>
            <w:tcW w:w="1260" w:type="dxa"/>
          </w:tcPr>
          <w:p w:rsidR="00A43547" w:rsidRPr="006E7AC2" w:rsidRDefault="00A43547" w:rsidP="00BC2CC6">
            <w:pPr>
              <w:tabs>
                <w:tab w:val="left" w:pos="-1440"/>
                <w:tab w:val="left" w:pos="-720"/>
                <w:tab w:val="left" w:pos="0"/>
                <w:tab w:val="left" w:pos="240"/>
                <w:tab w:val="left" w:pos="720"/>
              </w:tabs>
              <w:spacing w:before="163" w:after="19"/>
              <w:jc w:val="center"/>
              <w:rPr>
                <w:szCs w:val="24"/>
              </w:rPr>
            </w:pPr>
            <w:r w:rsidRPr="006E7AC2">
              <w:rPr>
                <w:szCs w:val="24"/>
              </w:rPr>
              <w:t>1</w:t>
            </w:r>
          </w:p>
        </w:tc>
        <w:tc>
          <w:tcPr>
            <w:tcW w:w="1260" w:type="dxa"/>
            <w:vAlign w:val="bottom"/>
          </w:tcPr>
          <w:p w:rsidR="00A43547" w:rsidRPr="006E7AC2" w:rsidRDefault="00A43547" w:rsidP="00BC2CC6">
            <w:pPr>
              <w:tabs>
                <w:tab w:val="left" w:pos="-1440"/>
                <w:tab w:val="left" w:pos="-720"/>
                <w:tab w:val="left" w:pos="0"/>
                <w:tab w:val="left" w:pos="240"/>
                <w:tab w:val="left" w:pos="720"/>
              </w:tabs>
              <w:spacing w:before="163" w:after="19"/>
              <w:jc w:val="center"/>
              <w:rPr>
                <w:szCs w:val="24"/>
              </w:rPr>
            </w:pPr>
            <w:r w:rsidRPr="006E7AC2">
              <w:rPr>
                <w:szCs w:val="24"/>
              </w:rPr>
              <w:t>100 hours</w:t>
            </w:r>
          </w:p>
        </w:tc>
        <w:tc>
          <w:tcPr>
            <w:tcW w:w="1260" w:type="dxa"/>
            <w:vAlign w:val="bottom"/>
          </w:tcPr>
          <w:p w:rsidR="00A43547" w:rsidRPr="006E7AC2" w:rsidRDefault="00A43547" w:rsidP="00BC2CC6">
            <w:pPr>
              <w:tabs>
                <w:tab w:val="left" w:pos="-1440"/>
                <w:tab w:val="left" w:pos="-720"/>
                <w:tab w:val="left" w:pos="0"/>
                <w:tab w:val="left" w:pos="240"/>
                <w:tab w:val="left" w:pos="720"/>
                <w:tab w:val="left" w:pos="1440"/>
              </w:tabs>
              <w:spacing w:before="163" w:after="19"/>
              <w:jc w:val="right"/>
              <w:rPr>
                <w:szCs w:val="24"/>
                <w:u w:val="single"/>
              </w:rPr>
            </w:pPr>
            <w:r w:rsidRPr="006E7AC2">
              <w:rPr>
                <w:szCs w:val="24"/>
                <w:u w:val="single"/>
              </w:rPr>
              <w:t>300</w:t>
            </w:r>
          </w:p>
        </w:tc>
      </w:tr>
      <w:tr w:rsidR="00A43547" w:rsidRPr="006E7AC2" w:rsidTr="006E7AC2">
        <w:trPr>
          <w:cantSplit/>
          <w:trHeight w:val="152"/>
        </w:trPr>
        <w:tc>
          <w:tcPr>
            <w:tcW w:w="3420" w:type="dxa"/>
            <w:gridSpan w:val="2"/>
            <w:vAlign w:val="bottom"/>
          </w:tcPr>
          <w:p w:rsidR="00A43547" w:rsidRPr="006E7AC2" w:rsidRDefault="00A43547" w:rsidP="00BC2CC6">
            <w:pPr>
              <w:jc w:val="right"/>
              <w:rPr>
                <w:i/>
                <w:szCs w:val="24"/>
              </w:rPr>
            </w:pPr>
            <w:r w:rsidRPr="006E7AC2">
              <w:rPr>
                <w:i/>
                <w:szCs w:val="24"/>
              </w:rPr>
              <w:t>Total</w:t>
            </w:r>
          </w:p>
        </w:tc>
        <w:tc>
          <w:tcPr>
            <w:tcW w:w="1440" w:type="dxa"/>
            <w:vAlign w:val="bottom"/>
          </w:tcPr>
          <w:p w:rsidR="00A43547" w:rsidRPr="006E7AC2" w:rsidRDefault="00A43547" w:rsidP="00BC2CC6">
            <w:pPr>
              <w:tabs>
                <w:tab w:val="left" w:pos="-1440"/>
                <w:tab w:val="left" w:pos="-720"/>
                <w:tab w:val="left" w:pos="0"/>
                <w:tab w:val="left" w:pos="240"/>
                <w:tab w:val="left" w:pos="720"/>
                <w:tab w:val="left" w:pos="1440"/>
              </w:tabs>
              <w:spacing w:before="144"/>
              <w:jc w:val="center"/>
              <w:rPr>
                <w:szCs w:val="24"/>
              </w:rPr>
            </w:pPr>
            <w:r w:rsidRPr="006E7AC2">
              <w:rPr>
                <w:szCs w:val="24"/>
              </w:rPr>
              <w:t>7,015</w:t>
            </w:r>
          </w:p>
        </w:tc>
        <w:tc>
          <w:tcPr>
            <w:tcW w:w="1260" w:type="dxa"/>
          </w:tcPr>
          <w:p w:rsidR="00A43547" w:rsidRPr="006E7AC2" w:rsidRDefault="00A43547" w:rsidP="00BC2CC6">
            <w:pPr>
              <w:tabs>
                <w:tab w:val="left" w:pos="-1440"/>
                <w:tab w:val="left" w:pos="-720"/>
                <w:tab w:val="left" w:pos="0"/>
                <w:tab w:val="left" w:pos="240"/>
                <w:tab w:val="left" w:pos="720"/>
              </w:tabs>
              <w:spacing w:before="163" w:after="19"/>
              <w:jc w:val="center"/>
              <w:rPr>
                <w:szCs w:val="24"/>
              </w:rPr>
            </w:pPr>
          </w:p>
        </w:tc>
        <w:tc>
          <w:tcPr>
            <w:tcW w:w="1260" w:type="dxa"/>
            <w:vAlign w:val="bottom"/>
          </w:tcPr>
          <w:p w:rsidR="00A43547" w:rsidRPr="006E7AC2" w:rsidRDefault="00A43547" w:rsidP="00BC2CC6">
            <w:pPr>
              <w:tabs>
                <w:tab w:val="left" w:pos="-1440"/>
                <w:tab w:val="left" w:pos="-720"/>
                <w:tab w:val="left" w:pos="0"/>
                <w:tab w:val="left" w:pos="240"/>
                <w:tab w:val="left" w:pos="720"/>
              </w:tabs>
              <w:spacing w:before="163" w:after="19"/>
              <w:jc w:val="center"/>
              <w:rPr>
                <w:szCs w:val="24"/>
              </w:rPr>
            </w:pPr>
          </w:p>
        </w:tc>
        <w:tc>
          <w:tcPr>
            <w:tcW w:w="1260" w:type="dxa"/>
            <w:vAlign w:val="bottom"/>
          </w:tcPr>
          <w:p w:rsidR="00A43547" w:rsidRPr="006E7AC2" w:rsidRDefault="00A43547" w:rsidP="00BC2CC6">
            <w:pPr>
              <w:tabs>
                <w:tab w:val="left" w:pos="-1440"/>
                <w:tab w:val="left" w:pos="-720"/>
                <w:tab w:val="left" w:pos="0"/>
                <w:tab w:val="left" w:pos="240"/>
                <w:tab w:val="left" w:pos="720"/>
                <w:tab w:val="left" w:pos="1440"/>
              </w:tabs>
              <w:spacing w:before="163" w:after="19"/>
              <w:jc w:val="right"/>
              <w:rPr>
                <w:szCs w:val="24"/>
              </w:rPr>
            </w:pPr>
            <w:r w:rsidRPr="006E7AC2">
              <w:rPr>
                <w:szCs w:val="24"/>
              </w:rPr>
              <w:t>56,396</w:t>
            </w:r>
          </w:p>
        </w:tc>
      </w:tr>
    </w:tbl>
    <w:p w:rsidR="006E7AC2" w:rsidRDefault="006E7AC2" w:rsidP="00A43547">
      <w:pPr>
        <w:pStyle w:val="Footer"/>
        <w:tabs>
          <w:tab w:val="clear" w:pos="4320"/>
          <w:tab w:val="clear" w:pos="8640"/>
        </w:tabs>
      </w:pPr>
    </w:p>
    <w:p w:rsidR="00A43547" w:rsidRPr="006A08B6" w:rsidRDefault="00A43547" w:rsidP="00A43547">
      <w:pPr>
        <w:pStyle w:val="Footer"/>
        <w:tabs>
          <w:tab w:val="clear" w:pos="4320"/>
          <w:tab w:val="clear" w:pos="8640"/>
        </w:tabs>
        <w:rPr>
          <w:szCs w:val="24"/>
        </w:rPr>
      </w:pPr>
      <w:r w:rsidRPr="00E76C76">
        <w:t xml:space="preserve">The total cost to </w:t>
      </w:r>
      <w:r>
        <w:t xml:space="preserve">the public </w:t>
      </w:r>
      <w:r w:rsidRPr="00E76C76">
        <w:t>is estimated to be</w:t>
      </w:r>
      <w:r w:rsidRPr="006A08B6">
        <w:rPr>
          <w:szCs w:val="24"/>
        </w:rPr>
        <w:t xml:space="preserve"> $</w:t>
      </w:r>
      <w:r>
        <w:rPr>
          <w:szCs w:val="24"/>
        </w:rPr>
        <w:t>1,695,900</w:t>
      </w:r>
      <w:r w:rsidRPr="006A08B6">
        <w:rPr>
          <w:szCs w:val="24"/>
        </w:rPr>
        <w:t>.</w:t>
      </w:r>
      <w:r>
        <w:rPr>
          <w:rStyle w:val="FootnoteReference"/>
          <w:szCs w:val="24"/>
        </w:rPr>
        <w:footnoteReference w:id="9"/>
      </w:r>
    </w:p>
    <w:p w:rsidR="0097783F" w:rsidRPr="006A08B6" w:rsidRDefault="0097783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D07641" w:rsidRDefault="0097783F" w:rsidP="00751BF6">
      <w:pPr>
        <w:rPr>
          <w:color w:val="000000"/>
          <w:szCs w:val="24"/>
        </w:rPr>
      </w:pPr>
      <w:r w:rsidRPr="006A08B6">
        <w:rPr>
          <w:b/>
          <w:bCs/>
          <w:color w:val="000000"/>
          <w:szCs w:val="24"/>
        </w:rPr>
        <w:t>Estimate of Cost to the Federal Reserve System</w:t>
      </w:r>
    </w:p>
    <w:p w:rsidR="00D07641" w:rsidRDefault="00D07641" w:rsidP="00D0764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97783F" w:rsidRDefault="00D07641" w:rsidP="00751BF6">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color w:val="000000"/>
          <w:szCs w:val="24"/>
        </w:rPr>
        <w:tab/>
      </w:r>
      <w:r>
        <w:rPr>
          <w:color w:val="000000"/>
          <w:szCs w:val="24"/>
        </w:rPr>
        <w:tab/>
      </w:r>
      <w:r w:rsidR="004F3E0C" w:rsidRPr="00323808">
        <w:t>The annual cost to the Federal Reserve System for collecting this information is negligible.</w:t>
      </w:r>
    </w:p>
    <w:p w:rsidR="004E66C7" w:rsidRDefault="004E66C7" w:rsidP="00751BF6">
      <w:pPr>
        <w:rPr>
          <w:b/>
        </w:rPr>
      </w:pPr>
    </w:p>
    <w:p w:rsidR="006E7AC2" w:rsidRPr="00D6407B" w:rsidRDefault="006E7AC2" w:rsidP="00751BF6">
      <w:pPr>
        <w:rPr>
          <w:b/>
        </w:rPr>
      </w:pPr>
      <w:r w:rsidRPr="00D6407B">
        <w:rPr>
          <w:b/>
        </w:rPr>
        <w:t>Sensitive Questions</w:t>
      </w:r>
    </w:p>
    <w:p w:rsidR="006E7AC2" w:rsidRPr="00D6407B" w:rsidRDefault="006E7AC2" w:rsidP="006E7AC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6E7AC2" w:rsidRPr="00D6407B" w:rsidRDefault="006E7AC2" w:rsidP="006E7AC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D6407B">
        <w:rPr>
          <w:color w:val="000000"/>
          <w:szCs w:val="24"/>
        </w:rPr>
        <w:tab/>
      </w:r>
      <w:r w:rsidRPr="00D6407B">
        <w:rPr>
          <w:color w:val="000000"/>
          <w:szCs w:val="24"/>
        </w:rPr>
        <w:tab/>
        <w:t>This collection of information contains no questions of a sensitive nature, as defined by OMB guidelines</w:t>
      </w:r>
      <w:r w:rsidR="00751BF6">
        <w:rPr>
          <w:color w:val="000000"/>
          <w:szCs w:val="24"/>
        </w:rPr>
        <w:t xml:space="preserve"> </w:t>
      </w:r>
      <w:r w:rsidR="00751BF6">
        <w:t>(e.g., ethnicity, sexual relationships, etc.)</w:t>
      </w:r>
      <w:r w:rsidR="00751BF6" w:rsidRPr="005540C2">
        <w:t>.</w:t>
      </w:r>
    </w:p>
    <w:p w:rsidR="006E7AC2" w:rsidRPr="006A08B6" w:rsidRDefault="006E7AC2">
      <w:pPr>
        <w:rPr>
          <w:szCs w:val="24"/>
        </w:rPr>
      </w:pPr>
    </w:p>
    <w:sectPr w:rsidR="006E7AC2" w:rsidRPr="006A08B6" w:rsidSect="00001053">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31E" w:rsidRDefault="0035331E" w:rsidP="00FF02CA">
      <w:r>
        <w:separator/>
      </w:r>
    </w:p>
  </w:endnote>
  <w:endnote w:type="continuationSeparator" w:id="0">
    <w:p w:rsidR="0035331E" w:rsidRDefault="0035331E" w:rsidP="00FF0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1E" w:rsidRDefault="004B09E2" w:rsidP="00001053">
    <w:pPr>
      <w:pStyle w:val="Footer"/>
      <w:framePr w:wrap="around" w:vAnchor="text" w:hAnchor="margin" w:xAlign="center" w:y="1"/>
      <w:rPr>
        <w:rStyle w:val="PageNumber"/>
      </w:rPr>
    </w:pPr>
    <w:r>
      <w:rPr>
        <w:rStyle w:val="PageNumber"/>
      </w:rPr>
      <w:fldChar w:fldCharType="begin"/>
    </w:r>
    <w:r w:rsidR="0035331E">
      <w:rPr>
        <w:rStyle w:val="PageNumber"/>
      </w:rPr>
      <w:instrText xml:space="preserve">PAGE  </w:instrText>
    </w:r>
    <w:r>
      <w:rPr>
        <w:rStyle w:val="PageNumber"/>
      </w:rPr>
      <w:fldChar w:fldCharType="end"/>
    </w:r>
  </w:p>
  <w:p w:rsidR="0035331E" w:rsidRDefault="0035331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1E" w:rsidRDefault="004B09E2" w:rsidP="00123189">
    <w:pPr>
      <w:pStyle w:val="Footer"/>
      <w:framePr w:wrap="around" w:vAnchor="text" w:hAnchor="margin" w:xAlign="center" w:y="1"/>
      <w:rPr>
        <w:rStyle w:val="PageNumber"/>
      </w:rPr>
    </w:pPr>
    <w:r>
      <w:rPr>
        <w:rStyle w:val="PageNumber"/>
      </w:rPr>
      <w:fldChar w:fldCharType="begin"/>
    </w:r>
    <w:r w:rsidR="0035331E">
      <w:rPr>
        <w:rStyle w:val="PageNumber"/>
      </w:rPr>
      <w:instrText xml:space="preserve">PAGE  </w:instrText>
    </w:r>
    <w:r>
      <w:rPr>
        <w:rStyle w:val="PageNumber"/>
      </w:rPr>
      <w:fldChar w:fldCharType="separate"/>
    </w:r>
    <w:r w:rsidR="002927C4">
      <w:rPr>
        <w:rStyle w:val="PageNumber"/>
        <w:noProof/>
      </w:rPr>
      <w:t>5</w:t>
    </w:r>
    <w:r>
      <w:rPr>
        <w:rStyle w:val="PageNumber"/>
      </w:rPr>
      <w:fldChar w:fldCharType="end"/>
    </w:r>
  </w:p>
  <w:p w:rsidR="0035331E" w:rsidRDefault="0035331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31E" w:rsidRDefault="0035331E" w:rsidP="00FF02CA">
      <w:r>
        <w:separator/>
      </w:r>
    </w:p>
  </w:footnote>
  <w:footnote w:type="continuationSeparator" w:id="0">
    <w:p w:rsidR="0035331E" w:rsidRDefault="0035331E" w:rsidP="00FF02CA">
      <w:r>
        <w:continuationSeparator/>
      </w:r>
    </w:p>
  </w:footnote>
  <w:footnote w:id="1">
    <w:p w:rsidR="0035331E" w:rsidRPr="00BC3E8D" w:rsidRDefault="0035331E" w:rsidP="00BC3E8D">
      <w:pPr>
        <w:rPr>
          <w:sz w:val="20"/>
        </w:rPr>
      </w:pPr>
      <w:r w:rsidRPr="00BC3E8D">
        <w:rPr>
          <w:rStyle w:val="FootnoteReference"/>
          <w:sz w:val="20"/>
        </w:rPr>
        <w:footnoteRef/>
      </w:r>
      <w:r w:rsidRPr="00BC3E8D">
        <w:rPr>
          <w:sz w:val="20"/>
        </w:rPr>
        <w:t xml:space="preserve">  </w:t>
      </w:r>
      <w:proofErr w:type="gramStart"/>
      <w:r w:rsidRPr="00BC3E8D">
        <w:rPr>
          <w:sz w:val="20"/>
        </w:rPr>
        <w:t xml:space="preserve">44 U.S.C. § 3501 </w:t>
      </w:r>
      <w:r w:rsidRPr="00BC3E8D">
        <w:rPr>
          <w:sz w:val="20"/>
          <w:u w:val="single"/>
        </w:rPr>
        <w:t>et</w:t>
      </w:r>
      <w:r w:rsidRPr="00BC3E8D">
        <w:rPr>
          <w:sz w:val="20"/>
        </w:rPr>
        <w:t xml:space="preserve"> </w:t>
      </w:r>
      <w:r w:rsidRPr="00BC3E8D">
        <w:rPr>
          <w:sz w:val="20"/>
          <w:u w:val="single"/>
        </w:rPr>
        <w:t>seq.</w:t>
      </w:r>
      <w:proofErr w:type="gramEnd"/>
    </w:p>
  </w:footnote>
  <w:footnote w:id="2">
    <w:p w:rsidR="0035331E" w:rsidRPr="00BC3E8D" w:rsidRDefault="0035331E" w:rsidP="00BC3E8D">
      <w:pPr>
        <w:rPr>
          <w:sz w:val="20"/>
        </w:rPr>
      </w:pPr>
      <w:r w:rsidRPr="00BC3E8D">
        <w:rPr>
          <w:rStyle w:val="FootnoteReference"/>
          <w:sz w:val="20"/>
        </w:rPr>
        <w:footnoteRef/>
      </w:r>
      <w:r w:rsidRPr="00BC3E8D">
        <w:rPr>
          <w:sz w:val="20"/>
        </w:rPr>
        <w:t xml:space="preserve"> Section 802 of the Act requires the Agencies to prescribe joint regulations requiring each designated payment system, and all participants in such systems, to identify and block or otherwise prevent or prohibit restricted transactions through the establishment of policies and procedures reasonably designed to identify and block or otherwise prevent or prohibit the acceptance of restricted transactions.</w:t>
      </w:r>
      <w:r w:rsidR="00BC3E8D" w:rsidRPr="00BC3E8D">
        <w:rPr>
          <w:sz w:val="20"/>
        </w:rPr>
        <w:t xml:space="preserve">  Treasury</w:t>
      </w:r>
      <w:r w:rsidR="00BC3E8D">
        <w:rPr>
          <w:sz w:val="20"/>
        </w:rPr>
        <w:t>’s requirements are contained in Title 31 Money and Finance</w:t>
      </w:r>
      <w:r w:rsidR="00BC3E8D" w:rsidRPr="00BC3E8D">
        <w:rPr>
          <w:sz w:val="20"/>
        </w:rPr>
        <w:t xml:space="preserve"> Part</w:t>
      </w:r>
      <w:r w:rsidR="00BC3E8D">
        <w:rPr>
          <w:sz w:val="20"/>
        </w:rPr>
        <w:t xml:space="preserve"> </w:t>
      </w:r>
      <w:r w:rsidR="00BC3E8D" w:rsidRPr="00BC3E8D">
        <w:rPr>
          <w:sz w:val="20"/>
        </w:rPr>
        <w:t>132</w:t>
      </w:r>
      <w:r w:rsidR="00BC3E8D">
        <w:rPr>
          <w:sz w:val="20"/>
        </w:rPr>
        <w:t>-</w:t>
      </w:r>
      <w:r w:rsidR="00BC3E8D" w:rsidRPr="00BC3E8D">
        <w:rPr>
          <w:sz w:val="20"/>
        </w:rPr>
        <w:t>Prohibition on Funding of Unlawful Internet Gambling (</w:t>
      </w:r>
      <w:r w:rsidR="00BC3E8D" w:rsidRPr="00BC3E8D">
        <w:rPr>
          <w:snapToGrid/>
          <w:sz w:val="20"/>
        </w:rPr>
        <w:t xml:space="preserve">31 CFR </w:t>
      </w:r>
      <w:proofErr w:type="gramStart"/>
      <w:r w:rsidR="00BC3E8D" w:rsidRPr="00BC3E8D">
        <w:rPr>
          <w:snapToGrid/>
          <w:sz w:val="20"/>
        </w:rPr>
        <w:t>part</w:t>
      </w:r>
      <w:proofErr w:type="gramEnd"/>
      <w:r w:rsidR="00BC3E8D" w:rsidRPr="00BC3E8D">
        <w:rPr>
          <w:snapToGrid/>
          <w:sz w:val="20"/>
        </w:rPr>
        <w:t xml:space="preserve"> 132</w:t>
      </w:r>
      <w:r w:rsidR="00BC3E8D" w:rsidRPr="00BC3E8D">
        <w:rPr>
          <w:sz w:val="20"/>
        </w:rPr>
        <w:t>).</w:t>
      </w:r>
    </w:p>
  </w:footnote>
  <w:footnote w:id="3">
    <w:p w:rsidR="0035331E" w:rsidRPr="00BC3E8D" w:rsidRDefault="0035331E" w:rsidP="00BC3E8D">
      <w:pPr>
        <w:rPr>
          <w:sz w:val="20"/>
        </w:rPr>
      </w:pPr>
      <w:r w:rsidRPr="00BC3E8D">
        <w:rPr>
          <w:rStyle w:val="FootnoteReference"/>
          <w:sz w:val="20"/>
        </w:rPr>
        <w:footnoteRef/>
      </w:r>
      <w:r w:rsidRPr="00BC3E8D">
        <w:rPr>
          <w:sz w:val="20"/>
        </w:rPr>
        <w:t xml:space="preserve"> </w:t>
      </w:r>
      <w:proofErr w:type="gramStart"/>
      <w:r w:rsidRPr="00BC3E8D">
        <w:rPr>
          <w:sz w:val="20"/>
        </w:rPr>
        <w:t xml:space="preserve">31 U.S.C. § 5361 </w:t>
      </w:r>
      <w:r w:rsidRPr="00BC3E8D">
        <w:rPr>
          <w:sz w:val="20"/>
          <w:u w:val="single"/>
        </w:rPr>
        <w:t>et</w:t>
      </w:r>
      <w:r w:rsidRPr="00BC3E8D">
        <w:rPr>
          <w:sz w:val="20"/>
        </w:rPr>
        <w:t xml:space="preserve"> </w:t>
      </w:r>
      <w:r w:rsidRPr="00BC3E8D">
        <w:rPr>
          <w:sz w:val="20"/>
          <w:u w:val="single"/>
        </w:rPr>
        <w:t>seq.</w:t>
      </w:r>
      <w:proofErr w:type="gramEnd"/>
    </w:p>
  </w:footnote>
  <w:footnote w:id="4">
    <w:p w:rsidR="0035331E" w:rsidRPr="00BC3E8D" w:rsidRDefault="0035331E" w:rsidP="00BC3E8D">
      <w:pPr>
        <w:rPr>
          <w:sz w:val="20"/>
        </w:rPr>
      </w:pPr>
      <w:r w:rsidRPr="00BC3E8D">
        <w:rPr>
          <w:rStyle w:val="FootnoteReference"/>
          <w:sz w:val="20"/>
        </w:rPr>
        <w:footnoteRef/>
      </w:r>
      <w:r w:rsidRPr="00BC3E8D">
        <w:rPr>
          <w:sz w:val="20"/>
        </w:rPr>
        <w:t xml:space="preserve"> </w:t>
      </w:r>
      <w:proofErr w:type="gramStart"/>
      <w:r w:rsidRPr="00BC3E8D">
        <w:rPr>
          <w:sz w:val="20"/>
        </w:rPr>
        <w:t>12 CFR 233.5 and 233.6.</w:t>
      </w:r>
      <w:proofErr w:type="gramEnd"/>
      <w:r w:rsidRPr="00BC3E8D">
        <w:rPr>
          <w:sz w:val="20"/>
        </w:rPr>
        <w:t xml:space="preserve"> </w:t>
      </w:r>
    </w:p>
  </w:footnote>
  <w:footnote w:id="5">
    <w:p w:rsidR="0035331E" w:rsidRDefault="0035331E" w:rsidP="00085491">
      <w:pPr>
        <w:pStyle w:val="FootnoteText"/>
      </w:pPr>
      <w:r>
        <w:rPr>
          <w:rStyle w:val="FootnoteReference"/>
        </w:rPr>
        <w:footnoteRef/>
      </w:r>
      <w:r>
        <w:t xml:space="preserve"> From the general definition, the Act exempts three categories of transactions:  (i) intrastate transactions (a bet or wager made exclusively within a single State, whose State law or regulation contains certain safeguards regarding such transactions and expressly authorizes the bet or wager and the method by which the bet or wager is made, and which does not violate any provision of applicable Federal gaming statutes); (ii) intratribal transactions (a bet or wager made exclusively within the Indian lands of a single Indian tribe or between the Indian lands of two or more Indian tribes as authorized by Federal law, if the bet or wager and the method by which the bet or wager is made is expressly authorized by and complies with applicable Tribal ordinance or resolution (and Tribal-State Compact, if applicable) and includes certain safeguards regarding such transaction, and if the bet or wager does not violate applicable Federal gaming statutes); and (iii) interstate horseracing transactions (any activity that is allowed under the Interstate Horseracing Act of 1978, 15 U.S.C. 3001 </w:t>
      </w:r>
      <w:r w:rsidRPr="00C91A1B">
        <w:rPr>
          <w:i/>
        </w:rPr>
        <w:t>et seq.</w:t>
      </w:r>
      <w:r>
        <w:t>).</w:t>
      </w:r>
    </w:p>
  </w:footnote>
  <w:footnote w:id="6">
    <w:p w:rsidR="0035331E" w:rsidRDefault="0035331E" w:rsidP="004B0B62">
      <w:pPr>
        <w:pStyle w:val="FootnoteText"/>
        <w:spacing w:before="120" w:after="120"/>
      </w:pPr>
      <w:r>
        <w:rPr>
          <w:rStyle w:val="FootnoteReference"/>
        </w:rPr>
        <w:footnoteRef/>
      </w:r>
      <w:r>
        <w:t xml:space="preserve"> </w:t>
      </w:r>
      <w:proofErr w:type="gramStart"/>
      <w:r>
        <w:t>31 U.S.C. 5361(b).</w:t>
      </w:r>
      <w:proofErr w:type="gramEnd"/>
      <w:r>
        <w:t xml:space="preserve">    </w:t>
      </w:r>
    </w:p>
  </w:footnote>
  <w:footnote w:id="7">
    <w:p w:rsidR="0035331E" w:rsidRDefault="0035331E" w:rsidP="00650048">
      <w:pPr>
        <w:pStyle w:val="FootnoteText"/>
        <w:spacing w:before="120" w:after="120"/>
      </w:pPr>
      <w:r>
        <w:rPr>
          <w:rStyle w:val="FootnoteReference"/>
        </w:rPr>
        <w:footnoteRef/>
      </w:r>
      <w:r>
        <w:t xml:space="preserve"> The Act defines “financial transaction provider” as a creditor, credit card issuer, financial institution, operator of a terminal at which an electronic fund transfer may be initiated, money transmitting business, or international, national, regional, or local payment network utilized to effect a credit transaction, electronic fund transfer, stored value product transaction, or money transmitting service, or a participant in such network or other participant in a designated payment system.</w:t>
      </w:r>
    </w:p>
  </w:footnote>
  <w:footnote w:id="8">
    <w:p w:rsidR="002927C4" w:rsidRDefault="002927C4">
      <w:pPr>
        <w:pStyle w:val="FootnoteText"/>
      </w:pPr>
      <w:r>
        <w:rPr>
          <w:rStyle w:val="FootnoteReference"/>
        </w:rPr>
        <w:footnoteRef/>
      </w:r>
      <w:r>
        <w:t xml:space="preserve"> </w:t>
      </w:r>
      <w:r w:rsidRPr="00BC2D1A">
        <w:t xml:space="preserve">Of the </w:t>
      </w:r>
      <w:r>
        <w:t>7,015</w:t>
      </w:r>
      <w:r w:rsidRPr="00BC2D1A">
        <w:t xml:space="preserve"> respondents required to comply with th</w:t>
      </w:r>
      <w:r>
        <w:t xml:space="preserve">is information collection, </w:t>
      </w:r>
      <w:r>
        <w:t>5,187</w:t>
      </w:r>
      <w:r w:rsidRPr="00BC2D1A">
        <w:t xml:space="preserve"> are small entities as defined by the Small Business Administration (</w:t>
      </w:r>
      <w:r w:rsidRPr="006905D8">
        <w:rPr>
          <w:i/>
        </w:rPr>
        <w:t>i.e.,</w:t>
      </w:r>
      <w:r w:rsidRPr="00BC2D1A">
        <w:t xml:space="preserve"> entities with less than $175 million in total assets) </w:t>
      </w:r>
      <w:hyperlink r:id="rId1" w:history="1">
        <w:r w:rsidRPr="00BC2D1A">
          <w:rPr>
            <w:rStyle w:val="Hyperlink"/>
          </w:rPr>
          <w:t>www.sba.gov/contractingopportunities/officials/size/table/index.html</w:t>
        </w:r>
      </w:hyperlink>
      <w:r w:rsidRPr="00BC2D1A">
        <w:t xml:space="preserve">.  </w:t>
      </w:r>
    </w:p>
  </w:footnote>
  <w:footnote w:id="9">
    <w:p w:rsidR="0035331E" w:rsidRPr="00A7255B" w:rsidRDefault="0035331E" w:rsidP="00A43547">
      <w:pPr>
        <w:rPr>
          <w:b/>
          <w:sz w:val="18"/>
          <w:szCs w:val="18"/>
        </w:rPr>
      </w:pPr>
      <w:r w:rsidRPr="00A7255B">
        <w:rPr>
          <w:sz w:val="18"/>
          <w:szCs w:val="18"/>
          <w:vertAlign w:val="superscript"/>
        </w:rPr>
        <w:footnoteRef/>
      </w:r>
      <w:r w:rsidRPr="00A7255B">
        <w:rPr>
          <w:sz w:val="18"/>
          <w:szCs w:val="18"/>
          <w:vertAlign w:val="superscript"/>
        </w:rPr>
        <w:t xml:space="preserve"> </w:t>
      </w:r>
      <w:r w:rsidRPr="00A7255B">
        <w:rPr>
          <w:sz w:val="18"/>
          <w:szCs w:val="18"/>
        </w:rPr>
        <w:t>The cost for commercial banks, credit unions, card system operators, and money transmitting business operators,</w:t>
      </w:r>
      <w:r w:rsidRPr="00A7255B" w:rsidDel="002E40DA">
        <w:rPr>
          <w:sz w:val="18"/>
          <w:szCs w:val="18"/>
        </w:rPr>
        <w:t xml:space="preserve"> </w:t>
      </w:r>
      <w:r w:rsidRPr="00A7255B">
        <w:rPr>
          <w:sz w:val="18"/>
          <w:szCs w:val="18"/>
        </w:rPr>
        <w:t>was estimated using the following formula: percent of staff time, multiplied by annual burden hours, multiplied by hourly rate (100% Compliance Officer @ $30</w:t>
      </w:r>
      <w:r>
        <w:rPr>
          <w:sz w:val="18"/>
          <w:szCs w:val="18"/>
        </w:rPr>
        <w:t>)</w:t>
      </w:r>
      <w:r w:rsidRPr="00A7255B">
        <w:rPr>
          <w:sz w:val="18"/>
          <w:szCs w:val="18"/>
        </w:rPr>
        <w:t xml:space="preserve">.  The cost for de novo institutions was estimated using the following formula: percent of staff time, multiplied by annual burden hours, multiplied by hourly rate (30% Office &amp; Administrative Support @ $16, 45% Financial Managers @ $50, 15% Legal Counsel @ $54, and 10% Chief Executives @ $80).  The hourly rate is the median hourly wages (rounded up) from the Bureau of Labor and Statistics (BLS), Occupational Employment and Wages 2010, </w:t>
      </w:r>
      <w:hyperlink r:id="rId2" w:history="1">
        <w:r w:rsidRPr="00A7255B">
          <w:rPr>
            <w:rStyle w:val="Hyperlink"/>
            <w:sz w:val="18"/>
            <w:szCs w:val="18"/>
          </w:rPr>
          <w:t>www.bls.gov/news.release/ocwage.nr0.htm</w:t>
        </w:r>
      </w:hyperlink>
      <w:r w:rsidRPr="00A7255B">
        <w:rPr>
          <w:sz w:val="18"/>
          <w:szCs w:val="18"/>
        </w:rPr>
        <w:t xml:space="preserve">.  Occupations are defined using the BLS Occupational Classification System, </w:t>
      </w:r>
      <w:hyperlink r:id="rId3" w:history="1">
        <w:r w:rsidRPr="00A7255B">
          <w:rPr>
            <w:rStyle w:val="Hyperlink"/>
            <w:sz w:val="18"/>
            <w:szCs w:val="18"/>
          </w:rPr>
          <w:t>www.bls.gov/soc/</w:t>
        </w:r>
      </w:hyperlink>
      <w:r w:rsidRPr="00A7255B">
        <w:rPr>
          <w:sz w:val="18"/>
          <w:szCs w:val="18"/>
        </w:rPr>
        <w:t xml:space="preserve">.    </w:t>
      </w:r>
    </w:p>
    <w:p w:rsidR="0035331E" w:rsidRPr="00A7255B" w:rsidRDefault="0035331E" w:rsidP="00A43547">
      <w:pPr>
        <w:pStyle w:val="FootnoteText"/>
        <w:rPr>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D1135"/>
    <w:multiLevelType w:val="multilevel"/>
    <w:tmpl w:val="E3BA1CDE"/>
    <w:lvl w:ilvl="0">
      <w:start w:val="1"/>
      <w:numFmt w:val="decimal"/>
      <w:lvlText w:val="§__.%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584"/>
        </w:tabs>
        <w:ind w:left="1584" w:hanging="504"/>
      </w:pPr>
      <w:rPr>
        <w:rFonts w:hint="default"/>
      </w:rPr>
    </w:lvl>
    <w:lvl w:ilvl="4">
      <w:start w:val="1"/>
      <w:numFmt w:val="upperLetter"/>
      <w:lvlText w:val="(%5)"/>
      <w:lvlJc w:val="left"/>
      <w:pPr>
        <w:tabs>
          <w:tab w:val="num" w:pos="1800"/>
        </w:tabs>
        <w:ind w:left="1800" w:hanging="360"/>
      </w:pPr>
      <w:rPr>
        <w:rFonts w:hint="default"/>
      </w:rPr>
    </w:lvl>
    <w:lvl w:ilvl="5">
      <w:start w:val="1"/>
      <w:numFmt w:val="decimal"/>
      <w:lvlText w:val="(%6 )"/>
      <w:lvlJc w:val="left"/>
      <w:pPr>
        <w:tabs>
          <w:tab w:val="num" w:pos="2160"/>
        </w:tabs>
        <w:ind w:left="2160" w:hanging="360"/>
      </w:pPr>
      <w:rPr>
        <w:rFonts w:hint="default"/>
        <w:u w:val="singl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2520"/>
        </w:tabs>
        <w:ind w:left="2520" w:hanging="360"/>
      </w:pPr>
      <w:rPr>
        <w:rFonts w:hint="default"/>
        <w:u w:val="single"/>
      </w:rPr>
    </w:lvl>
  </w:abstractNum>
  <w:abstractNum w:abstractNumId="1">
    <w:nsid w:val="6D035A11"/>
    <w:multiLevelType w:val="hybridMultilevel"/>
    <w:tmpl w:val="96C21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32C9E"/>
    <w:rsid w:val="00001053"/>
    <w:rsid w:val="00001577"/>
    <w:rsid w:val="000034D5"/>
    <w:rsid w:val="000238FC"/>
    <w:rsid w:val="0005001F"/>
    <w:rsid w:val="00054307"/>
    <w:rsid w:val="00085491"/>
    <w:rsid w:val="00094CE8"/>
    <w:rsid w:val="0009744F"/>
    <w:rsid w:val="00097766"/>
    <w:rsid w:val="000B401A"/>
    <w:rsid w:val="000B50B3"/>
    <w:rsid w:val="000B5C01"/>
    <w:rsid w:val="000C1A12"/>
    <w:rsid w:val="000C5FDD"/>
    <w:rsid w:val="000E7016"/>
    <w:rsid w:val="00101AE7"/>
    <w:rsid w:val="00107609"/>
    <w:rsid w:val="001132A5"/>
    <w:rsid w:val="001201F3"/>
    <w:rsid w:val="00122A73"/>
    <w:rsid w:val="00123189"/>
    <w:rsid w:val="00123261"/>
    <w:rsid w:val="0012553E"/>
    <w:rsid w:val="00126492"/>
    <w:rsid w:val="00131C95"/>
    <w:rsid w:val="00134CC1"/>
    <w:rsid w:val="00140AD0"/>
    <w:rsid w:val="00140B6B"/>
    <w:rsid w:val="001464A7"/>
    <w:rsid w:val="001505DF"/>
    <w:rsid w:val="00151F35"/>
    <w:rsid w:val="00156736"/>
    <w:rsid w:val="001612C7"/>
    <w:rsid w:val="00164734"/>
    <w:rsid w:val="00180690"/>
    <w:rsid w:val="001A2406"/>
    <w:rsid w:val="001B1098"/>
    <w:rsid w:val="001D3381"/>
    <w:rsid w:val="001E676A"/>
    <w:rsid w:val="001E7170"/>
    <w:rsid w:val="001F2AAC"/>
    <w:rsid w:val="001F2E3E"/>
    <w:rsid w:val="00211F1A"/>
    <w:rsid w:val="00212098"/>
    <w:rsid w:val="002123B2"/>
    <w:rsid w:val="00214838"/>
    <w:rsid w:val="00222D9D"/>
    <w:rsid w:val="0023261F"/>
    <w:rsid w:val="00237EB5"/>
    <w:rsid w:val="002430C2"/>
    <w:rsid w:val="0025023A"/>
    <w:rsid w:val="00284555"/>
    <w:rsid w:val="002906B0"/>
    <w:rsid w:val="002927C4"/>
    <w:rsid w:val="00292CF4"/>
    <w:rsid w:val="002A5159"/>
    <w:rsid w:val="002B4B7B"/>
    <w:rsid w:val="002C3037"/>
    <w:rsid w:val="002D2B27"/>
    <w:rsid w:val="002E40DA"/>
    <w:rsid w:val="00330FB3"/>
    <w:rsid w:val="00333E46"/>
    <w:rsid w:val="00337746"/>
    <w:rsid w:val="00341F36"/>
    <w:rsid w:val="003514BE"/>
    <w:rsid w:val="0035331E"/>
    <w:rsid w:val="0035779F"/>
    <w:rsid w:val="0036182C"/>
    <w:rsid w:val="00371FA7"/>
    <w:rsid w:val="00372765"/>
    <w:rsid w:val="003727D9"/>
    <w:rsid w:val="00375AA4"/>
    <w:rsid w:val="003844B4"/>
    <w:rsid w:val="00386C6C"/>
    <w:rsid w:val="00387450"/>
    <w:rsid w:val="00391A6A"/>
    <w:rsid w:val="003935D5"/>
    <w:rsid w:val="00395501"/>
    <w:rsid w:val="003B639F"/>
    <w:rsid w:val="003C034E"/>
    <w:rsid w:val="003C23F7"/>
    <w:rsid w:val="003C27F3"/>
    <w:rsid w:val="003C2C9F"/>
    <w:rsid w:val="003E239A"/>
    <w:rsid w:val="003F07E8"/>
    <w:rsid w:val="003F5AF5"/>
    <w:rsid w:val="004003F1"/>
    <w:rsid w:val="004043FD"/>
    <w:rsid w:val="0041009C"/>
    <w:rsid w:val="00416897"/>
    <w:rsid w:val="00424957"/>
    <w:rsid w:val="00427C3E"/>
    <w:rsid w:val="0043291C"/>
    <w:rsid w:val="00436831"/>
    <w:rsid w:val="00436AFC"/>
    <w:rsid w:val="004454D9"/>
    <w:rsid w:val="0046361E"/>
    <w:rsid w:val="004730BC"/>
    <w:rsid w:val="004732D4"/>
    <w:rsid w:val="00474B11"/>
    <w:rsid w:val="004924C1"/>
    <w:rsid w:val="00495423"/>
    <w:rsid w:val="004B09E2"/>
    <w:rsid w:val="004B0B62"/>
    <w:rsid w:val="004C6F19"/>
    <w:rsid w:val="004E2E95"/>
    <w:rsid w:val="004E66C7"/>
    <w:rsid w:val="004F3E0C"/>
    <w:rsid w:val="004F702C"/>
    <w:rsid w:val="00500648"/>
    <w:rsid w:val="00521206"/>
    <w:rsid w:val="00527647"/>
    <w:rsid w:val="00531269"/>
    <w:rsid w:val="0053251B"/>
    <w:rsid w:val="0054327C"/>
    <w:rsid w:val="00553AE2"/>
    <w:rsid w:val="00566034"/>
    <w:rsid w:val="00566B56"/>
    <w:rsid w:val="0057738B"/>
    <w:rsid w:val="00577807"/>
    <w:rsid w:val="005778B3"/>
    <w:rsid w:val="0058309C"/>
    <w:rsid w:val="005869DD"/>
    <w:rsid w:val="005A2A23"/>
    <w:rsid w:val="005A5CA6"/>
    <w:rsid w:val="005D1E3E"/>
    <w:rsid w:val="005D50A8"/>
    <w:rsid w:val="005D65D4"/>
    <w:rsid w:val="005D6F87"/>
    <w:rsid w:val="005D7A89"/>
    <w:rsid w:val="005E020C"/>
    <w:rsid w:val="00613F94"/>
    <w:rsid w:val="00617BE7"/>
    <w:rsid w:val="0063625D"/>
    <w:rsid w:val="0063723E"/>
    <w:rsid w:val="0064102B"/>
    <w:rsid w:val="00644C7C"/>
    <w:rsid w:val="00646A3E"/>
    <w:rsid w:val="0064719D"/>
    <w:rsid w:val="00650048"/>
    <w:rsid w:val="00662F66"/>
    <w:rsid w:val="00681108"/>
    <w:rsid w:val="006A03A9"/>
    <w:rsid w:val="006A08B6"/>
    <w:rsid w:val="006B0827"/>
    <w:rsid w:val="006B40A9"/>
    <w:rsid w:val="006B7643"/>
    <w:rsid w:val="006C1FDA"/>
    <w:rsid w:val="006D6567"/>
    <w:rsid w:val="006E3E02"/>
    <w:rsid w:val="006E7AC2"/>
    <w:rsid w:val="006E7C17"/>
    <w:rsid w:val="006F5AFE"/>
    <w:rsid w:val="006F7EB5"/>
    <w:rsid w:val="00700D37"/>
    <w:rsid w:val="00717EA3"/>
    <w:rsid w:val="00726504"/>
    <w:rsid w:val="00727380"/>
    <w:rsid w:val="00730EB4"/>
    <w:rsid w:val="007372FE"/>
    <w:rsid w:val="00741050"/>
    <w:rsid w:val="00743DC4"/>
    <w:rsid w:val="007506C8"/>
    <w:rsid w:val="00751BF6"/>
    <w:rsid w:val="00754495"/>
    <w:rsid w:val="007732A1"/>
    <w:rsid w:val="00774BC6"/>
    <w:rsid w:val="00777226"/>
    <w:rsid w:val="007834AC"/>
    <w:rsid w:val="007C63E6"/>
    <w:rsid w:val="007C7DFB"/>
    <w:rsid w:val="007E2EEE"/>
    <w:rsid w:val="007F25E6"/>
    <w:rsid w:val="007F7C46"/>
    <w:rsid w:val="00803E7B"/>
    <w:rsid w:val="00805D16"/>
    <w:rsid w:val="00814737"/>
    <w:rsid w:val="00814CF7"/>
    <w:rsid w:val="00820F04"/>
    <w:rsid w:val="008265F7"/>
    <w:rsid w:val="00831943"/>
    <w:rsid w:val="00841B71"/>
    <w:rsid w:val="00846E0C"/>
    <w:rsid w:val="00847283"/>
    <w:rsid w:val="00847DCF"/>
    <w:rsid w:val="00852A28"/>
    <w:rsid w:val="00854277"/>
    <w:rsid w:val="00864520"/>
    <w:rsid w:val="0088299B"/>
    <w:rsid w:val="008B6DEF"/>
    <w:rsid w:val="008C4895"/>
    <w:rsid w:val="008F1A64"/>
    <w:rsid w:val="008F6C2B"/>
    <w:rsid w:val="009176B5"/>
    <w:rsid w:val="00921519"/>
    <w:rsid w:val="00924369"/>
    <w:rsid w:val="009269CF"/>
    <w:rsid w:val="00932E95"/>
    <w:rsid w:val="009410AC"/>
    <w:rsid w:val="00944AFA"/>
    <w:rsid w:val="009537C3"/>
    <w:rsid w:val="0095773E"/>
    <w:rsid w:val="009617F2"/>
    <w:rsid w:val="00970FCB"/>
    <w:rsid w:val="0097783F"/>
    <w:rsid w:val="00977E45"/>
    <w:rsid w:val="0098288E"/>
    <w:rsid w:val="009A2176"/>
    <w:rsid w:val="009A2B09"/>
    <w:rsid w:val="009C7ECA"/>
    <w:rsid w:val="009D503A"/>
    <w:rsid w:val="009F48AA"/>
    <w:rsid w:val="009F6BDA"/>
    <w:rsid w:val="00A01859"/>
    <w:rsid w:val="00A0226C"/>
    <w:rsid w:val="00A03F8B"/>
    <w:rsid w:val="00A30D03"/>
    <w:rsid w:val="00A42997"/>
    <w:rsid w:val="00A43547"/>
    <w:rsid w:val="00A46FB1"/>
    <w:rsid w:val="00A47E24"/>
    <w:rsid w:val="00A675FB"/>
    <w:rsid w:val="00A75AB4"/>
    <w:rsid w:val="00AC2139"/>
    <w:rsid w:val="00AD14C2"/>
    <w:rsid w:val="00AD7B88"/>
    <w:rsid w:val="00AF4326"/>
    <w:rsid w:val="00B0307C"/>
    <w:rsid w:val="00B036E2"/>
    <w:rsid w:val="00B1543B"/>
    <w:rsid w:val="00B231FD"/>
    <w:rsid w:val="00B34ABB"/>
    <w:rsid w:val="00B433AE"/>
    <w:rsid w:val="00B450D9"/>
    <w:rsid w:val="00B450F1"/>
    <w:rsid w:val="00B61E56"/>
    <w:rsid w:val="00B654F3"/>
    <w:rsid w:val="00B70D60"/>
    <w:rsid w:val="00B87C82"/>
    <w:rsid w:val="00BC2CC6"/>
    <w:rsid w:val="00BC3E8D"/>
    <w:rsid w:val="00BF0CAF"/>
    <w:rsid w:val="00BF22A4"/>
    <w:rsid w:val="00BF5AFF"/>
    <w:rsid w:val="00C1584E"/>
    <w:rsid w:val="00C22F75"/>
    <w:rsid w:val="00C232CC"/>
    <w:rsid w:val="00C31141"/>
    <w:rsid w:val="00C32C9E"/>
    <w:rsid w:val="00C348D6"/>
    <w:rsid w:val="00C3632E"/>
    <w:rsid w:val="00C40F87"/>
    <w:rsid w:val="00C4564C"/>
    <w:rsid w:val="00C54676"/>
    <w:rsid w:val="00C64016"/>
    <w:rsid w:val="00C675CA"/>
    <w:rsid w:val="00C908B1"/>
    <w:rsid w:val="00C94BB7"/>
    <w:rsid w:val="00CA64E6"/>
    <w:rsid w:val="00CB3AF4"/>
    <w:rsid w:val="00CC102F"/>
    <w:rsid w:val="00CC2D16"/>
    <w:rsid w:val="00CC3BD6"/>
    <w:rsid w:val="00CE3169"/>
    <w:rsid w:val="00D07641"/>
    <w:rsid w:val="00D079E5"/>
    <w:rsid w:val="00D107BA"/>
    <w:rsid w:val="00D111D0"/>
    <w:rsid w:val="00D14C10"/>
    <w:rsid w:val="00D21D59"/>
    <w:rsid w:val="00D23087"/>
    <w:rsid w:val="00D24927"/>
    <w:rsid w:val="00D267AA"/>
    <w:rsid w:val="00D50637"/>
    <w:rsid w:val="00D52B51"/>
    <w:rsid w:val="00D62AC9"/>
    <w:rsid w:val="00D63563"/>
    <w:rsid w:val="00D635EB"/>
    <w:rsid w:val="00D6407B"/>
    <w:rsid w:val="00D6689F"/>
    <w:rsid w:val="00D85C0D"/>
    <w:rsid w:val="00D95665"/>
    <w:rsid w:val="00DA2468"/>
    <w:rsid w:val="00DA5774"/>
    <w:rsid w:val="00DB039B"/>
    <w:rsid w:val="00DC124F"/>
    <w:rsid w:val="00DC195A"/>
    <w:rsid w:val="00DD4ADF"/>
    <w:rsid w:val="00DD648C"/>
    <w:rsid w:val="00DD6A09"/>
    <w:rsid w:val="00DE4496"/>
    <w:rsid w:val="00E061E0"/>
    <w:rsid w:val="00E232A6"/>
    <w:rsid w:val="00E26E2E"/>
    <w:rsid w:val="00E308A9"/>
    <w:rsid w:val="00E41C17"/>
    <w:rsid w:val="00E63E28"/>
    <w:rsid w:val="00E70B83"/>
    <w:rsid w:val="00E716E9"/>
    <w:rsid w:val="00E7177C"/>
    <w:rsid w:val="00E720B8"/>
    <w:rsid w:val="00E7422E"/>
    <w:rsid w:val="00E75D49"/>
    <w:rsid w:val="00E75E90"/>
    <w:rsid w:val="00E77490"/>
    <w:rsid w:val="00E850D3"/>
    <w:rsid w:val="00E87F81"/>
    <w:rsid w:val="00E90DF4"/>
    <w:rsid w:val="00EA03F8"/>
    <w:rsid w:val="00EC3D31"/>
    <w:rsid w:val="00EC52B2"/>
    <w:rsid w:val="00ED1243"/>
    <w:rsid w:val="00ED13DF"/>
    <w:rsid w:val="00ED16F1"/>
    <w:rsid w:val="00ED67F7"/>
    <w:rsid w:val="00EF362C"/>
    <w:rsid w:val="00F11B0A"/>
    <w:rsid w:val="00F13060"/>
    <w:rsid w:val="00F25713"/>
    <w:rsid w:val="00F379CC"/>
    <w:rsid w:val="00F443B8"/>
    <w:rsid w:val="00F47908"/>
    <w:rsid w:val="00F61135"/>
    <w:rsid w:val="00F66437"/>
    <w:rsid w:val="00F71862"/>
    <w:rsid w:val="00F76157"/>
    <w:rsid w:val="00F76D34"/>
    <w:rsid w:val="00F85F87"/>
    <w:rsid w:val="00FA110E"/>
    <w:rsid w:val="00FB0B9D"/>
    <w:rsid w:val="00FB5387"/>
    <w:rsid w:val="00FD6BF1"/>
    <w:rsid w:val="00FD700E"/>
    <w:rsid w:val="00FE0EEF"/>
    <w:rsid w:val="00FE48C8"/>
    <w:rsid w:val="00FE49A7"/>
    <w:rsid w:val="00FF0280"/>
    <w:rsid w:val="00FF02CA"/>
    <w:rsid w:val="00FF40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5CA"/>
    <w:rPr>
      <w:snapToGrid w:val="0"/>
      <w:sz w:val="24"/>
    </w:rPr>
  </w:style>
  <w:style w:type="paragraph" w:styleId="Heading2">
    <w:name w:val="heading 2"/>
    <w:basedOn w:val="Normal"/>
    <w:next w:val="Normal"/>
    <w:link w:val="Heading2Char"/>
    <w:qFormat/>
    <w:rsid w:val="00BF0CAF"/>
    <w:pPr>
      <w:keepNext/>
      <w:jc w:val="both"/>
      <w:outlineLvl w:val="1"/>
    </w:pPr>
    <w:rPr>
      <w:rFonts w:ascii="Times" w:hAnsi="Times"/>
      <w:b/>
      <w:bCs/>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
    <w:basedOn w:val="Normal"/>
    <w:semiHidden/>
    <w:rsid w:val="00C675CA"/>
    <w:rPr>
      <w:snapToGrid/>
      <w:sz w:val="20"/>
    </w:rPr>
  </w:style>
  <w:style w:type="character" w:styleId="FootnoteReference">
    <w:name w:val="footnote reference"/>
    <w:aliases w:val="fr"/>
    <w:basedOn w:val="DefaultParagraphFont"/>
    <w:semiHidden/>
    <w:rsid w:val="00C675CA"/>
    <w:rPr>
      <w:vertAlign w:val="superscript"/>
    </w:rPr>
  </w:style>
  <w:style w:type="paragraph" w:styleId="BodyTextIndent">
    <w:name w:val="Body Text Indent"/>
    <w:basedOn w:val="Normal"/>
    <w:rsid w:val="00C675CA"/>
    <w:pPr>
      <w:ind w:firstLine="720"/>
      <w:jc w:val="both"/>
    </w:pPr>
    <w:rPr>
      <w:rFonts w:ascii="Times" w:hAnsi="Times"/>
    </w:rPr>
  </w:style>
  <w:style w:type="paragraph" w:styleId="BodyTextIndent2">
    <w:name w:val="Body Text Indent 2"/>
    <w:basedOn w:val="Normal"/>
    <w:rsid w:val="00C675CA"/>
    <w:pPr>
      <w:ind w:firstLine="720"/>
    </w:pPr>
    <w:rPr>
      <w:rFonts w:ascii="Times" w:hAnsi="Times"/>
      <w:color w:val="000000"/>
      <w:szCs w:val="24"/>
    </w:rPr>
  </w:style>
  <w:style w:type="paragraph" w:styleId="Footer">
    <w:name w:val="footer"/>
    <w:basedOn w:val="Normal"/>
    <w:rsid w:val="00C675CA"/>
    <w:pPr>
      <w:tabs>
        <w:tab w:val="center" w:pos="4320"/>
        <w:tab w:val="right" w:pos="8640"/>
      </w:tabs>
    </w:pPr>
  </w:style>
  <w:style w:type="character" w:styleId="PageNumber">
    <w:name w:val="page number"/>
    <w:basedOn w:val="DefaultParagraphFont"/>
    <w:rsid w:val="00C675CA"/>
  </w:style>
  <w:style w:type="paragraph" w:styleId="BodyText">
    <w:name w:val="Body Text"/>
    <w:basedOn w:val="Normal"/>
    <w:rsid w:val="00C675CA"/>
    <w:rPr>
      <w:rFonts w:ascii="Times" w:hAnsi="Times"/>
      <w:color w:val="000000"/>
      <w:szCs w:val="24"/>
    </w:rPr>
  </w:style>
  <w:style w:type="paragraph" w:styleId="BalloonText">
    <w:name w:val="Balloon Text"/>
    <w:basedOn w:val="Normal"/>
    <w:semiHidden/>
    <w:rsid w:val="00C32C9E"/>
    <w:rPr>
      <w:rFonts w:ascii="Tahoma" w:hAnsi="Tahoma" w:cs="Tahoma"/>
      <w:sz w:val="16"/>
      <w:szCs w:val="16"/>
    </w:rPr>
  </w:style>
  <w:style w:type="character" w:styleId="CommentReference">
    <w:name w:val="annotation reference"/>
    <w:basedOn w:val="DefaultParagraphFont"/>
    <w:semiHidden/>
    <w:rsid w:val="00C32C9E"/>
    <w:rPr>
      <w:sz w:val="16"/>
      <w:szCs w:val="16"/>
    </w:rPr>
  </w:style>
  <w:style w:type="paragraph" w:styleId="CommentText">
    <w:name w:val="annotation text"/>
    <w:basedOn w:val="Normal"/>
    <w:semiHidden/>
    <w:rsid w:val="004F702C"/>
    <w:rPr>
      <w:sz w:val="20"/>
    </w:rPr>
  </w:style>
  <w:style w:type="paragraph" w:styleId="CommentSubject">
    <w:name w:val="annotation subject"/>
    <w:basedOn w:val="CommentText"/>
    <w:next w:val="CommentText"/>
    <w:semiHidden/>
    <w:rsid w:val="00C32C9E"/>
    <w:rPr>
      <w:b/>
      <w:bCs/>
    </w:rPr>
  </w:style>
  <w:style w:type="character" w:styleId="FollowedHyperlink">
    <w:name w:val="FollowedHyperlink"/>
    <w:basedOn w:val="DefaultParagraphFont"/>
    <w:rsid w:val="006A08B6"/>
    <w:rPr>
      <w:color w:val="800080"/>
      <w:u w:val="single"/>
    </w:rPr>
  </w:style>
  <w:style w:type="character" w:customStyle="1" w:styleId="DeltaViewInsertion">
    <w:name w:val="DeltaView Insertion"/>
    <w:rsid w:val="003B639F"/>
    <w:rPr>
      <w:color w:val="0000FF"/>
      <w:spacing w:val="0"/>
      <w:u w:val="double"/>
    </w:rPr>
  </w:style>
  <w:style w:type="paragraph" w:styleId="NormalWeb">
    <w:name w:val="Normal (Web)"/>
    <w:basedOn w:val="Normal"/>
    <w:link w:val="NormalWebChar"/>
    <w:rsid w:val="00C232CC"/>
    <w:pPr>
      <w:autoSpaceDE w:val="0"/>
      <w:autoSpaceDN w:val="0"/>
      <w:adjustRightInd w:val="0"/>
      <w:spacing w:before="100" w:beforeAutospacing="1" w:after="100" w:afterAutospacing="1"/>
    </w:pPr>
    <w:rPr>
      <w:rFonts w:ascii="Arial Unicode MS" w:eastAsia="Arial Unicode MS" w:hAnsi="Arial Unicode MS" w:cs="Arial Unicode MS"/>
      <w:szCs w:val="24"/>
    </w:rPr>
  </w:style>
  <w:style w:type="character" w:customStyle="1" w:styleId="NormalWebChar">
    <w:name w:val="Normal (Web) Char"/>
    <w:basedOn w:val="DefaultParagraphFont"/>
    <w:link w:val="NormalWeb"/>
    <w:rsid w:val="00C232CC"/>
    <w:rPr>
      <w:rFonts w:ascii="Arial Unicode MS" w:eastAsia="Arial Unicode MS" w:hAnsi="Arial Unicode MS" w:cs="Arial Unicode MS"/>
      <w:snapToGrid w:val="0"/>
      <w:sz w:val="24"/>
      <w:szCs w:val="24"/>
      <w:lang w:val="en-US" w:eastAsia="en-US" w:bidi="ar-SA"/>
    </w:rPr>
  </w:style>
  <w:style w:type="paragraph" w:styleId="Header">
    <w:name w:val="header"/>
    <w:basedOn w:val="Normal"/>
    <w:link w:val="HeaderChar"/>
    <w:uiPriority w:val="99"/>
    <w:rsid w:val="00646A3E"/>
    <w:pPr>
      <w:tabs>
        <w:tab w:val="center" w:pos="4320"/>
        <w:tab w:val="right" w:pos="8640"/>
      </w:tabs>
    </w:pPr>
  </w:style>
  <w:style w:type="character" w:customStyle="1" w:styleId="HeaderChar">
    <w:name w:val="Header Char"/>
    <w:basedOn w:val="DefaultParagraphFont"/>
    <w:link w:val="Header"/>
    <w:uiPriority w:val="99"/>
    <w:rsid w:val="00BF0CAF"/>
    <w:rPr>
      <w:snapToGrid w:val="0"/>
      <w:sz w:val="24"/>
    </w:rPr>
  </w:style>
  <w:style w:type="character" w:customStyle="1" w:styleId="Heading2Char">
    <w:name w:val="Heading 2 Char"/>
    <w:basedOn w:val="DefaultParagraphFont"/>
    <w:link w:val="Heading2"/>
    <w:rsid w:val="00BF0CAF"/>
    <w:rPr>
      <w:rFonts w:ascii="Times" w:hAnsi="Times"/>
      <w:b/>
      <w:bCs/>
      <w:snapToGrid w:val="0"/>
      <w:color w:val="000000"/>
      <w:sz w:val="24"/>
      <w:szCs w:val="24"/>
    </w:rPr>
  </w:style>
  <w:style w:type="character" w:styleId="Hyperlink">
    <w:name w:val="Hyperlink"/>
    <w:basedOn w:val="DefaultParagraphFont"/>
    <w:uiPriority w:val="99"/>
    <w:rsid w:val="00BF0CAF"/>
    <w:rPr>
      <w:color w:val="006666"/>
      <w:u w:val="single"/>
    </w:rPr>
  </w:style>
  <w:style w:type="paragraph" w:customStyle="1" w:styleId="part">
    <w:name w:val="part"/>
    <w:basedOn w:val="Normal"/>
    <w:rsid w:val="00BC3E8D"/>
    <w:pPr>
      <w:spacing w:before="100" w:beforeAutospacing="1" w:after="100" w:afterAutospacing="1"/>
    </w:pPr>
    <w:rPr>
      <w:b/>
      <w:bCs/>
      <w:snapToGrid/>
      <w:szCs w:val="24"/>
    </w:rPr>
  </w:style>
</w:styles>
</file>

<file path=word/webSettings.xml><?xml version="1.0" encoding="utf-8"?>
<w:webSettings xmlns:r="http://schemas.openxmlformats.org/officeDocument/2006/relationships" xmlns:w="http://schemas.openxmlformats.org/wordprocessingml/2006/main">
  <w:divs>
    <w:div w:id="11501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oc/" TargetMode="External"/><Relationship Id="rId2" Type="http://schemas.openxmlformats.org/officeDocument/2006/relationships/hyperlink" Target="http://www.bls.gov/news.release/ocwage.nr0.htm" TargetMode="External"/><Relationship Id="rId1" Type="http://schemas.openxmlformats.org/officeDocument/2006/relationships/hyperlink" Target="file:///\\drslx1\fr-misc\fr_documents\proposals\Legal\FR%204025%20(Reg%20R)\www.sba.gov\contractingopportunities\officials\size\tab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A36B8-3A2F-463D-9ED6-BB89E1E75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1706</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11704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subject/>
  <dc:creator>m1mel00</dc:creator>
  <cp:keywords/>
  <dc:description/>
  <cp:lastModifiedBy>frbuser</cp:lastModifiedBy>
  <cp:revision>5</cp:revision>
  <cp:lastPrinted>2012-02-16T12:55:00Z</cp:lastPrinted>
  <dcterms:created xsi:type="dcterms:W3CDTF">2012-02-16T12:31:00Z</dcterms:created>
  <dcterms:modified xsi:type="dcterms:W3CDTF">2012-02-16T15:29:00Z</dcterms:modified>
</cp:coreProperties>
</file>