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16F94" w:rsidRPr="009B4A51" w:rsidRDefault="00375A42" w:rsidP="009B4A51">
      <w:pPr>
        <w:spacing w:after="0"/>
        <w:jc w:val="center"/>
        <w:rPr>
          <w:rFonts w:asciiTheme="majorHAnsi" w:hAnsiTheme="majorHAnsi"/>
          <w:b/>
          <w:sz w:val="40"/>
        </w:rPr>
      </w:pPr>
      <w:bookmarkStart w:id="0" w:name="_GoBack"/>
      <w:r>
        <w:rPr>
          <w:rFonts w:asciiTheme="majorHAnsi" w:hAnsiTheme="majorHAnsi"/>
          <w:b/>
          <w:sz w:val="40"/>
        </w:rPr>
        <w:t>Public Health Law</w:t>
      </w:r>
      <w:r w:rsidRPr="00FC284A">
        <w:rPr>
          <w:rFonts w:asciiTheme="majorHAnsi" w:hAnsiTheme="majorHAnsi"/>
          <w:b/>
          <w:sz w:val="40"/>
        </w:rPr>
        <w:t xml:space="preserve"> </w:t>
      </w:r>
      <w:r>
        <w:rPr>
          <w:rFonts w:asciiTheme="majorHAnsi" w:hAnsiTheme="majorHAnsi"/>
          <w:b/>
          <w:sz w:val="40"/>
        </w:rPr>
        <w:t>Training and Technical Assistance</w:t>
      </w:r>
      <w:r w:rsidRPr="00FC284A">
        <w:rPr>
          <w:rFonts w:asciiTheme="majorHAnsi" w:hAnsiTheme="majorHAnsi"/>
          <w:b/>
          <w:sz w:val="40"/>
        </w:rPr>
        <w:t xml:space="preserve"> </w:t>
      </w:r>
      <w:r>
        <w:rPr>
          <w:rFonts w:asciiTheme="majorHAnsi" w:hAnsiTheme="majorHAnsi"/>
          <w:b/>
          <w:sz w:val="40"/>
        </w:rPr>
        <w:t xml:space="preserve">Needs Assessment of State, Tribal, Local, and Territorial Health Department Staff </w:t>
      </w:r>
    </w:p>
    <w:bookmarkEnd w:id="0"/>
    <w:p w:rsidR="00AA3192" w:rsidRDefault="00AA3192" w:rsidP="00484011">
      <w:pPr>
        <w:spacing w:after="0"/>
        <w:jc w:val="center"/>
        <w:rPr>
          <w:rFonts w:asciiTheme="majorHAnsi" w:hAnsiTheme="majorHAnsi"/>
          <w:b/>
        </w:rPr>
      </w:pPr>
    </w:p>
    <w:p w:rsidR="00716F94" w:rsidRPr="00AA3192" w:rsidRDefault="00484011" w:rsidP="00484011">
      <w:pPr>
        <w:spacing w:after="0"/>
        <w:jc w:val="center"/>
        <w:rPr>
          <w:rFonts w:asciiTheme="majorHAnsi" w:hAnsiTheme="majorHAnsi"/>
        </w:rPr>
      </w:pPr>
      <w:r w:rsidRPr="00AA3192">
        <w:rPr>
          <w:rFonts w:asciiTheme="majorHAnsi" w:hAnsiTheme="majorHAnsi"/>
        </w:rPr>
        <w:t>OSTL</w:t>
      </w:r>
      <w:r w:rsidR="00316F00">
        <w:rPr>
          <w:rFonts w:asciiTheme="majorHAnsi" w:hAnsiTheme="majorHAnsi"/>
        </w:rPr>
        <w:t>TS Generic Information Collection</w:t>
      </w:r>
      <w:r w:rsidRPr="00AA3192">
        <w:rPr>
          <w:rFonts w:asciiTheme="majorHAnsi" w:hAnsiTheme="majorHAnsi"/>
        </w:rPr>
        <w:t xml:space="preserve"> Request</w:t>
      </w:r>
    </w:p>
    <w:p w:rsidR="00484011" w:rsidRPr="00AA3192" w:rsidRDefault="00484011" w:rsidP="00484011">
      <w:pPr>
        <w:pStyle w:val="Header"/>
        <w:tabs>
          <w:tab w:val="clear" w:pos="4680"/>
        </w:tabs>
        <w:jc w:val="center"/>
      </w:pPr>
      <w:r w:rsidRPr="00AA3192">
        <w:t>OMB No. 0920-0879</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9E1554">
        <w:rPr>
          <w:rFonts w:asciiTheme="majorHAnsi" w:hAnsiTheme="majorHAnsi"/>
        </w:rPr>
        <w:t>May 16, 2012</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43AA9" w:rsidRDefault="00716F94" w:rsidP="000B0962">
      <w:pPr>
        <w:spacing w:after="0"/>
      </w:pPr>
      <w:r w:rsidRPr="00667C89">
        <w:rPr>
          <w:rFonts w:asciiTheme="majorHAnsi" w:hAnsiTheme="majorHAnsi"/>
          <w:b/>
          <w:u w:val="single"/>
        </w:rPr>
        <w:t>P</w:t>
      </w:r>
      <w:r w:rsidR="00667C89" w:rsidRPr="00667C89">
        <w:rPr>
          <w:rFonts w:asciiTheme="majorHAnsi" w:hAnsiTheme="majorHAnsi"/>
          <w:b/>
          <w:u w:val="single"/>
        </w:rPr>
        <w:t>rogram Official/Project Officer</w:t>
      </w:r>
      <w:r w:rsidR="000B0962">
        <w:tab/>
      </w:r>
    </w:p>
    <w:p w:rsidR="00321B51" w:rsidRPr="00442AAD" w:rsidRDefault="00442AAD" w:rsidP="000B0962">
      <w:pPr>
        <w:spacing w:after="0" w:line="240" w:lineRule="auto"/>
        <w:rPr>
          <w:rFonts w:ascii="Times New Roman" w:hAnsi="Times New Roman" w:cs="Times New Roman"/>
          <w:bCs/>
        </w:rPr>
      </w:pPr>
      <w:r w:rsidRPr="00442AAD">
        <w:rPr>
          <w:rFonts w:ascii="Times New Roman" w:hAnsi="Times New Roman" w:cs="Times New Roman"/>
          <w:bCs/>
        </w:rPr>
        <w:t>Lindsay Culp</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Public Health Analyst</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Office for State, Tribal, Local, and Territorial Support</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4770 Buford Highway, MS E-70, Atlanta, GA 30341</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404-498-0456</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404-498-6882</w:t>
      </w:r>
    </w:p>
    <w:p w:rsidR="00321B51" w:rsidRPr="00442AAD" w:rsidRDefault="00442AAD" w:rsidP="000B0962">
      <w:pPr>
        <w:spacing w:after="0" w:line="240" w:lineRule="auto"/>
        <w:rPr>
          <w:rFonts w:ascii="Times New Roman" w:hAnsi="Times New Roman" w:cs="Times New Roman"/>
        </w:rPr>
      </w:pPr>
      <w:r w:rsidRPr="00442AAD">
        <w:rPr>
          <w:rFonts w:ascii="Times New Roman" w:hAnsi="Times New Roman" w:cs="Times New Roman"/>
        </w:rPr>
        <w:t>Lvc9@cdc.gov</w:t>
      </w:r>
    </w:p>
    <w:p w:rsidR="000B0962" w:rsidRDefault="000B0962" w:rsidP="00716F94">
      <w:pPr>
        <w:spacing w:after="0"/>
        <w:rPr>
          <w:rFonts w:asciiTheme="majorHAnsi" w:hAnsiTheme="majorHAnsi"/>
        </w:rPr>
      </w:pPr>
    </w:p>
    <w:p w:rsidR="000B0962" w:rsidRDefault="000B0962" w:rsidP="00716F94">
      <w:pPr>
        <w:spacing w:after="0"/>
        <w:rPr>
          <w:rFonts w:asciiTheme="majorHAnsi" w:hAnsiTheme="majorHAnsi"/>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Section A</w:t>
      </w:r>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p>
    <w:p w:rsidR="009252DC" w:rsidRDefault="004F67A8" w:rsidP="00484011">
      <w:pPr>
        <w:pStyle w:val="Header"/>
        <w:tabs>
          <w:tab w:val="clear" w:pos="4680"/>
        </w:tabs>
        <w:spacing w:line="276" w:lineRule="auto"/>
        <w:ind w:left="720"/>
        <w:rPr>
          <w:rFonts w:asciiTheme="majorHAnsi" w:hAnsiTheme="majorHAnsi"/>
        </w:rPr>
      </w:pPr>
      <w:r>
        <w:rPr>
          <w:rFonts w:asciiTheme="majorHAnsi" w:hAnsiTheme="majorHAnsi"/>
        </w:rPr>
        <w:t>This data collection</w:t>
      </w:r>
      <w:r w:rsidR="00484011">
        <w:rPr>
          <w:rFonts w:asciiTheme="majorHAnsi" w:hAnsiTheme="majorHAnsi"/>
        </w:rPr>
        <w:t xml:space="preserve"> is being conducted </w:t>
      </w:r>
      <w:r w:rsidR="009252DC">
        <w:rPr>
          <w:rFonts w:asciiTheme="majorHAnsi" w:hAnsiTheme="majorHAnsi"/>
        </w:rPr>
        <w:t>using</w:t>
      </w:r>
      <w:r w:rsidR="00484011">
        <w:rPr>
          <w:rFonts w:asciiTheme="majorHAnsi" w:hAnsiTheme="majorHAnsi"/>
        </w:rPr>
        <w:t xml:space="preserve"> the Generic Information Collection mechanism </w:t>
      </w:r>
      <w:r w:rsidR="009252DC">
        <w:rPr>
          <w:rFonts w:asciiTheme="majorHAnsi" w:hAnsiTheme="majorHAnsi"/>
        </w:rPr>
        <w:t xml:space="preserve">of the OSTLTS Survey Center (OSC) </w:t>
      </w:r>
      <w:r w:rsidR="00484011">
        <w:rPr>
          <w:rFonts w:asciiTheme="majorHAnsi" w:hAnsiTheme="majorHAnsi"/>
        </w:rPr>
        <w:t>– OMB No. 0920-0879</w:t>
      </w:r>
      <w:r>
        <w:rPr>
          <w:rFonts w:asciiTheme="majorHAnsi" w:hAnsiTheme="majorHAnsi"/>
        </w:rPr>
        <w:t>.</w:t>
      </w:r>
      <w:r w:rsidR="009252DC">
        <w:rPr>
          <w:rFonts w:asciiTheme="majorHAnsi" w:hAnsiTheme="majorHAnsi"/>
        </w:rPr>
        <w:t xml:space="preserve"> The respondent universe for this data collection aligns with that of the OSC. Data will be collected from</w:t>
      </w:r>
      <w:r w:rsidR="00B75BAE">
        <w:rPr>
          <w:rFonts w:asciiTheme="majorHAnsi" w:hAnsiTheme="majorHAnsi"/>
        </w:rPr>
        <w:t xml:space="preserve"> state, </w:t>
      </w:r>
      <w:r w:rsidR="00026C26">
        <w:rPr>
          <w:rFonts w:asciiTheme="majorHAnsi" w:hAnsiTheme="majorHAnsi"/>
        </w:rPr>
        <w:t>T</w:t>
      </w:r>
      <w:r w:rsidR="00B75BAE">
        <w:rPr>
          <w:rFonts w:asciiTheme="majorHAnsi" w:hAnsiTheme="majorHAnsi"/>
        </w:rPr>
        <w:t xml:space="preserve">ribal, local, and territorial </w:t>
      </w:r>
      <w:r w:rsidR="00B75BAE" w:rsidRPr="00B75BAE">
        <w:rPr>
          <w:rFonts w:asciiTheme="majorHAnsi" w:hAnsiTheme="majorHAnsi"/>
        </w:rPr>
        <w:t>(STLT) government officials and employees, across occupational and functional groups, employed by a public health agency</w:t>
      </w:r>
      <w:r w:rsidR="00B75BAE">
        <w:rPr>
          <w:rFonts w:asciiTheme="majorHAnsi" w:hAnsiTheme="majorHAnsi"/>
        </w:rPr>
        <w:t xml:space="preserve"> and </w:t>
      </w:r>
      <w:r w:rsidR="009252DC">
        <w:rPr>
          <w:rFonts w:asciiTheme="majorHAnsi" w:hAnsiTheme="majorHAnsi"/>
        </w:rPr>
        <w:t xml:space="preserve"> acting in their official capacities.</w:t>
      </w:r>
    </w:p>
    <w:p w:rsidR="009252DC" w:rsidRDefault="009252DC" w:rsidP="00484011">
      <w:pPr>
        <w:pStyle w:val="Header"/>
        <w:tabs>
          <w:tab w:val="clear" w:pos="4680"/>
        </w:tabs>
        <w:spacing w:line="276" w:lineRule="auto"/>
        <w:ind w:left="720"/>
        <w:rPr>
          <w:rFonts w:asciiTheme="majorHAnsi" w:hAnsiTheme="majorHAnsi"/>
        </w:rPr>
      </w:pPr>
    </w:p>
    <w:p w:rsidR="00350C8C" w:rsidRDefault="00350C8C" w:rsidP="00350C8C">
      <w:pPr>
        <w:spacing w:after="0"/>
        <w:ind w:left="720"/>
        <w:rPr>
          <w:rFonts w:asciiTheme="majorHAnsi" w:hAnsiTheme="majorHAnsi"/>
        </w:rPr>
      </w:pPr>
      <w:r>
        <w:rPr>
          <w:rFonts w:asciiTheme="majorHAnsi" w:hAnsiTheme="majorHAnsi"/>
        </w:rPr>
        <w:t xml:space="preserve">This data collection is authorized by Section 301 of the Public Health Service Act (42 U.S.C. </w:t>
      </w:r>
      <w:r w:rsidRPr="001A28F6">
        <w:rPr>
          <w:rFonts w:asciiTheme="majorHAnsi" w:hAnsiTheme="majorHAnsi"/>
        </w:rPr>
        <w:t>241).</w:t>
      </w:r>
    </w:p>
    <w:p w:rsidR="00B75BAE" w:rsidRDefault="00B75BAE" w:rsidP="00350C8C">
      <w:pPr>
        <w:spacing w:after="0"/>
        <w:ind w:left="720"/>
        <w:rPr>
          <w:rFonts w:asciiTheme="majorHAnsi" w:hAnsiTheme="majorHAnsi"/>
        </w:rPr>
      </w:pPr>
    </w:p>
    <w:p w:rsidR="0003280C" w:rsidRDefault="001369B5" w:rsidP="0003280C">
      <w:pPr>
        <w:spacing w:after="0"/>
        <w:ind w:left="720"/>
        <w:rPr>
          <w:rFonts w:asciiTheme="majorHAnsi" w:hAnsiTheme="majorHAnsi"/>
        </w:rPr>
      </w:pPr>
      <w:r w:rsidRPr="001369B5">
        <w:rPr>
          <w:rFonts w:asciiTheme="majorHAnsi" w:hAnsiTheme="majorHAnsi"/>
        </w:rPr>
        <w:t xml:space="preserve">The Public Health Law Program (PHLP) at the </w:t>
      </w:r>
      <w:r>
        <w:rPr>
          <w:rFonts w:asciiTheme="majorHAnsi" w:hAnsiTheme="majorHAnsi"/>
        </w:rPr>
        <w:t xml:space="preserve">CDC Office for State, Tribal, Local, and Territorial Support </w:t>
      </w:r>
      <w:r w:rsidRPr="001369B5">
        <w:rPr>
          <w:rFonts w:asciiTheme="majorHAnsi" w:hAnsiTheme="majorHAnsi"/>
        </w:rPr>
        <w:t xml:space="preserve">works to improve the health of the public by developing law-related tools and providing legal </w:t>
      </w:r>
      <w:r w:rsidR="004A3E29">
        <w:rPr>
          <w:rFonts w:asciiTheme="majorHAnsi" w:hAnsiTheme="majorHAnsi"/>
        </w:rPr>
        <w:t xml:space="preserve">training and </w:t>
      </w:r>
      <w:r w:rsidRPr="001369B5">
        <w:rPr>
          <w:rFonts w:asciiTheme="majorHAnsi" w:hAnsiTheme="majorHAnsi"/>
        </w:rPr>
        <w:t xml:space="preserve">technical assistance to public health practitioners and policy makers in </w:t>
      </w:r>
      <w:r>
        <w:rPr>
          <w:rFonts w:asciiTheme="majorHAnsi" w:hAnsiTheme="majorHAnsi"/>
        </w:rPr>
        <w:t>STLT</w:t>
      </w:r>
      <w:r w:rsidRPr="001369B5">
        <w:rPr>
          <w:rFonts w:asciiTheme="majorHAnsi" w:hAnsiTheme="majorHAnsi"/>
        </w:rPr>
        <w:t xml:space="preserve"> jurisdictions</w:t>
      </w:r>
      <w:r w:rsidR="003535BC">
        <w:rPr>
          <w:rFonts w:asciiTheme="majorHAnsi" w:hAnsiTheme="majorHAnsi"/>
        </w:rPr>
        <w:t xml:space="preserve"> </w:t>
      </w:r>
      <w:r w:rsidR="003535BC" w:rsidRPr="001A28F6">
        <w:rPr>
          <w:rFonts w:asciiTheme="majorHAnsi" w:hAnsiTheme="majorHAnsi"/>
        </w:rPr>
        <w:t>(</w:t>
      </w:r>
      <w:r w:rsidR="003535BC" w:rsidRPr="008229E4">
        <w:rPr>
          <w:rFonts w:asciiTheme="majorHAnsi" w:hAnsiTheme="majorHAnsi"/>
          <w:b/>
        </w:rPr>
        <w:t xml:space="preserve">see Attachment </w:t>
      </w:r>
      <w:r w:rsidR="003535BC">
        <w:rPr>
          <w:rFonts w:asciiTheme="majorHAnsi" w:hAnsiTheme="majorHAnsi"/>
          <w:b/>
        </w:rPr>
        <w:t>A</w:t>
      </w:r>
      <w:r w:rsidR="003535BC" w:rsidRPr="008229E4">
        <w:rPr>
          <w:rFonts w:asciiTheme="majorHAnsi" w:hAnsiTheme="majorHAnsi"/>
          <w:b/>
        </w:rPr>
        <w:t xml:space="preserve"> – </w:t>
      </w:r>
      <w:r w:rsidR="003535BC">
        <w:rPr>
          <w:rFonts w:asciiTheme="majorHAnsi" w:hAnsiTheme="majorHAnsi"/>
          <w:b/>
        </w:rPr>
        <w:t>Public Health Law Program brochure)</w:t>
      </w:r>
      <w:r w:rsidRPr="001369B5">
        <w:rPr>
          <w:rFonts w:asciiTheme="majorHAnsi" w:hAnsiTheme="majorHAnsi"/>
        </w:rPr>
        <w:t>.</w:t>
      </w:r>
      <w:r w:rsidR="00026C26">
        <w:rPr>
          <w:rFonts w:asciiTheme="majorHAnsi" w:hAnsiTheme="majorHAnsi"/>
        </w:rPr>
        <w:t xml:space="preserve"> </w:t>
      </w:r>
      <w:r w:rsidR="0003280C">
        <w:rPr>
          <w:rFonts w:asciiTheme="majorHAnsi" w:hAnsiTheme="majorHAnsi"/>
        </w:rPr>
        <w:t>This work includes researching laws that impact public health; conducting comparative analyses of laws across jurisdictions; drafting guidance, articles, reports, and toolkits; and developing and disseminating public health law curricula.</w:t>
      </w:r>
    </w:p>
    <w:p w:rsidR="00D028E1" w:rsidRDefault="00D028E1" w:rsidP="0003280C">
      <w:pPr>
        <w:spacing w:after="0"/>
        <w:ind w:left="720"/>
        <w:rPr>
          <w:rFonts w:asciiTheme="majorHAnsi" w:hAnsiTheme="majorHAnsi"/>
        </w:rPr>
      </w:pPr>
    </w:p>
    <w:p w:rsidR="00D028E1" w:rsidRDefault="00C17615" w:rsidP="00000A2A">
      <w:pPr>
        <w:spacing w:after="0"/>
        <w:ind w:left="720"/>
        <w:rPr>
          <w:rFonts w:asciiTheme="majorHAnsi" w:hAnsiTheme="majorHAnsi"/>
        </w:rPr>
      </w:pPr>
      <w:r>
        <w:rPr>
          <w:rFonts w:asciiTheme="majorHAnsi" w:hAnsiTheme="majorHAnsi"/>
        </w:rPr>
        <w:t xml:space="preserve">Currently, </w:t>
      </w:r>
      <w:r w:rsidR="00D028E1">
        <w:rPr>
          <w:rFonts w:asciiTheme="majorHAnsi" w:hAnsiTheme="majorHAnsi"/>
        </w:rPr>
        <w:t xml:space="preserve">PHLP offers </w:t>
      </w:r>
      <w:r w:rsidR="00BE1E4D">
        <w:rPr>
          <w:rFonts w:asciiTheme="majorHAnsi" w:hAnsiTheme="majorHAnsi"/>
        </w:rPr>
        <w:t>three</w:t>
      </w:r>
      <w:r w:rsidR="00262884">
        <w:rPr>
          <w:rFonts w:asciiTheme="majorHAnsi" w:hAnsiTheme="majorHAnsi"/>
        </w:rPr>
        <w:t xml:space="preserve"> </w:t>
      </w:r>
      <w:r w:rsidR="00C426DE">
        <w:rPr>
          <w:rFonts w:asciiTheme="majorHAnsi" w:hAnsiTheme="majorHAnsi"/>
        </w:rPr>
        <w:t xml:space="preserve">training courses in public health law </w:t>
      </w:r>
      <w:r w:rsidR="001F5104">
        <w:rPr>
          <w:rFonts w:asciiTheme="majorHAnsi" w:hAnsiTheme="majorHAnsi"/>
        </w:rPr>
        <w:t xml:space="preserve">in an effort to improve </w:t>
      </w:r>
      <w:r w:rsidR="002650B0">
        <w:rPr>
          <w:rFonts w:asciiTheme="majorHAnsi" w:hAnsiTheme="majorHAnsi"/>
        </w:rPr>
        <w:t>practitioners’</w:t>
      </w:r>
      <w:r w:rsidR="001F5104">
        <w:rPr>
          <w:rFonts w:asciiTheme="majorHAnsi" w:hAnsiTheme="majorHAnsi"/>
        </w:rPr>
        <w:t xml:space="preserve"> understanding of the role of law in public health practice</w:t>
      </w:r>
      <w:r w:rsidR="00C426DE">
        <w:rPr>
          <w:rFonts w:asciiTheme="majorHAnsi" w:hAnsiTheme="majorHAnsi"/>
        </w:rPr>
        <w:t xml:space="preserve">. </w:t>
      </w:r>
      <w:r w:rsidR="00BE1E4D">
        <w:rPr>
          <w:rFonts w:asciiTheme="majorHAnsi" w:hAnsiTheme="majorHAnsi"/>
        </w:rPr>
        <w:t xml:space="preserve">Public Health Law 101, a foundational course consisting of nine individual units, </w:t>
      </w:r>
      <w:r w:rsidR="00BE1E4D" w:rsidRPr="00BE1E4D">
        <w:rPr>
          <w:rFonts w:asciiTheme="majorHAnsi" w:hAnsiTheme="majorHAnsi"/>
        </w:rPr>
        <w:t>provides an introduction to fundamental principles of law, ethics, and the legal system as they frame public health practice in the United States.</w:t>
      </w:r>
      <w:r w:rsidR="00BE1E4D">
        <w:rPr>
          <w:rFonts w:asciiTheme="majorHAnsi" w:hAnsiTheme="majorHAnsi"/>
        </w:rPr>
        <w:t xml:space="preserve"> Public Health Emergency Law </w:t>
      </w:r>
      <w:r w:rsidR="00BF3E9F" w:rsidRPr="00BF3E9F">
        <w:rPr>
          <w:rFonts w:asciiTheme="majorHAnsi" w:hAnsiTheme="majorHAnsi"/>
        </w:rPr>
        <w:t xml:space="preserve">is </w:t>
      </w:r>
      <w:r w:rsidR="006501F1">
        <w:rPr>
          <w:rFonts w:asciiTheme="majorHAnsi" w:hAnsiTheme="majorHAnsi"/>
        </w:rPr>
        <w:t xml:space="preserve">designed to improve </w:t>
      </w:r>
      <w:r w:rsidR="00BF3E9F" w:rsidRPr="00BF3E9F">
        <w:rPr>
          <w:rFonts w:asciiTheme="majorHAnsi" w:hAnsiTheme="majorHAnsi"/>
        </w:rPr>
        <w:t>understanding of the role of law in public health emergency response</w:t>
      </w:r>
      <w:r w:rsidR="006501F1">
        <w:rPr>
          <w:rFonts w:asciiTheme="majorHAnsi" w:hAnsiTheme="majorHAnsi"/>
        </w:rPr>
        <w:t xml:space="preserve">, and </w:t>
      </w:r>
      <w:r w:rsidR="00836EF0">
        <w:rPr>
          <w:rFonts w:asciiTheme="majorHAnsi" w:hAnsiTheme="majorHAnsi"/>
        </w:rPr>
        <w:t>Forensic Epidemiology</w:t>
      </w:r>
      <w:r w:rsidR="006501F1">
        <w:rPr>
          <w:rFonts w:asciiTheme="majorHAnsi" w:hAnsiTheme="majorHAnsi"/>
        </w:rPr>
        <w:t xml:space="preserve"> guides</w:t>
      </w:r>
      <w:r w:rsidR="006501F1" w:rsidRPr="006501F1">
        <w:rPr>
          <w:rFonts w:asciiTheme="majorHAnsi" w:hAnsiTheme="majorHAnsi"/>
        </w:rPr>
        <w:t xml:space="preserve"> public health and law enforcement agencies </w:t>
      </w:r>
      <w:r w:rsidR="006501F1">
        <w:rPr>
          <w:rFonts w:asciiTheme="majorHAnsi" w:hAnsiTheme="majorHAnsi"/>
        </w:rPr>
        <w:t xml:space="preserve">in </w:t>
      </w:r>
      <w:r w:rsidR="006501F1" w:rsidRPr="006501F1">
        <w:rPr>
          <w:rFonts w:asciiTheme="majorHAnsi" w:hAnsiTheme="majorHAnsi"/>
        </w:rPr>
        <w:t>strengthen</w:t>
      </w:r>
      <w:r w:rsidR="006501F1">
        <w:rPr>
          <w:rFonts w:asciiTheme="majorHAnsi" w:hAnsiTheme="majorHAnsi"/>
        </w:rPr>
        <w:t>ing</w:t>
      </w:r>
      <w:r w:rsidR="006501F1" w:rsidRPr="006501F1">
        <w:rPr>
          <w:rFonts w:asciiTheme="majorHAnsi" w:hAnsiTheme="majorHAnsi"/>
        </w:rPr>
        <w:t xml:space="preserve"> their coordinated response to pandemic influenza and similar disease outbreaks</w:t>
      </w:r>
      <w:r w:rsidR="00836EF0">
        <w:rPr>
          <w:rFonts w:asciiTheme="majorHAnsi" w:hAnsiTheme="majorHAnsi"/>
        </w:rPr>
        <w:t xml:space="preserve">. In addition to offering these courses on </w:t>
      </w:r>
      <w:r w:rsidR="001F1221">
        <w:rPr>
          <w:rFonts w:asciiTheme="majorHAnsi" w:hAnsiTheme="majorHAnsi"/>
        </w:rPr>
        <w:t>the PHLP</w:t>
      </w:r>
      <w:r w:rsidR="00836EF0">
        <w:rPr>
          <w:rFonts w:asciiTheme="majorHAnsi" w:hAnsiTheme="majorHAnsi"/>
        </w:rPr>
        <w:t xml:space="preserve"> website for either self-study or for presentation by </w:t>
      </w:r>
      <w:r w:rsidR="001F1221">
        <w:rPr>
          <w:rFonts w:asciiTheme="majorHAnsi" w:hAnsiTheme="majorHAnsi"/>
        </w:rPr>
        <w:t>an outside instructor</w:t>
      </w:r>
      <w:r w:rsidR="00836EF0">
        <w:rPr>
          <w:rFonts w:asciiTheme="majorHAnsi" w:hAnsiTheme="majorHAnsi"/>
        </w:rPr>
        <w:t>, the Public Health Law Program presents workshops</w:t>
      </w:r>
      <w:r w:rsidR="001F1221">
        <w:rPr>
          <w:rFonts w:asciiTheme="majorHAnsi" w:hAnsiTheme="majorHAnsi"/>
        </w:rPr>
        <w:t xml:space="preserve"> on these topics</w:t>
      </w:r>
      <w:r w:rsidR="00836EF0">
        <w:rPr>
          <w:rFonts w:asciiTheme="majorHAnsi" w:hAnsiTheme="majorHAnsi"/>
        </w:rPr>
        <w:t xml:space="preserve"> at various public health conferences.</w:t>
      </w:r>
      <w:r w:rsidR="00000A2A">
        <w:rPr>
          <w:rFonts w:asciiTheme="majorHAnsi" w:hAnsiTheme="majorHAnsi"/>
        </w:rPr>
        <w:t xml:space="preserve"> In 2012 PHLP has presented Public Health Law 101 at two Brownbag Lecture Series for CDC</w:t>
      </w:r>
      <w:r w:rsidR="00000A2A" w:rsidRPr="00000A2A">
        <w:rPr>
          <w:rFonts w:asciiTheme="majorHAnsi" w:hAnsiTheme="majorHAnsi"/>
        </w:rPr>
        <w:t xml:space="preserve"> Project Officer</w:t>
      </w:r>
      <w:r w:rsidR="00000A2A">
        <w:rPr>
          <w:rFonts w:asciiTheme="majorHAnsi" w:hAnsiTheme="majorHAnsi"/>
        </w:rPr>
        <w:t xml:space="preserve">s, via teleconference for Local Health Officials, and for CDC </w:t>
      </w:r>
      <w:r w:rsidR="00000A2A" w:rsidRPr="00000A2A">
        <w:rPr>
          <w:rFonts w:asciiTheme="majorHAnsi" w:hAnsiTheme="majorHAnsi"/>
        </w:rPr>
        <w:t>Public Health Prevention Specialists</w:t>
      </w:r>
      <w:r w:rsidR="00000A2A">
        <w:rPr>
          <w:rFonts w:asciiTheme="majorHAnsi" w:hAnsiTheme="majorHAnsi"/>
        </w:rPr>
        <w:t>.</w:t>
      </w:r>
    </w:p>
    <w:p w:rsidR="0004747D" w:rsidRDefault="0004747D" w:rsidP="0003280C">
      <w:pPr>
        <w:spacing w:after="0"/>
        <w:ind w:left="720"/>
        <w:rPr>
          <w:rFonts w:asciiTheme="majorHAnsi" w:hAnsiTheme="majorHAnsi"/>
        </w:rPr>
      </w:pPr>
    </w:p>
    <w:p w:rsidR="004003DB" w:rsidRPr="004003DB" w:rsidRDefault="0004747D" w:rsidP="0063520E">
      <w:pPr>
        <w:spacing w:after="0"/>
        <w:ind w:left="720"/>
        <w:rPr>
          <w:rFonts w:asciiTheme="majorHAnsi" w:hAnsiTheme="majorHAnsi"/>
        </w:rPr>
      </w:pPr>
      <w:r>
        <w:rPr>
          <w:rFonts w:asciiTheme="majorHAnsi" w:hAnsiTheme="majorHAnsi"/>
        </w:rPr>
        <w:t xml:space="preserve">PHLP </w:t>
      </w:r>
      <w:r w:rsidR="004003DB">
        <w:rPr>
          <w:rFonts w:asciiTheme="majorHAnsi" w:hAnsiTheme="majorHAnsi"/>
        </w:rPr>
        <w:t xml:space="preserve">provides legal technical assistance in response </w:t>
      </w:r>
      <w:r>
        <w:rPr>
          <w:rFonts w:asciiTheme="majorHAnsi" w:hAnsiTheme="majorHAnsi"/>
        </w:rPr>
        <w:t>to queries from STLT public health department officials and employees</w:t>
      </w:r>
      <w:r w:rsidR="004003DB">
        <w:rPr>
          <w:rFonts w:asciiTheme="majorHAnsi" w:hAnsiTheme="majorHAnsi"/>
        </w:rPr>
        <w:t xml:space="preserve">. Although PHLP does not provide legal advice, the program </w:t>
      </w:r>
      <w:r w:rsidR="004003DB" w:rsidRPr="004003DB">
        <w:rPr>
          <w:rFonts w:asciiTheme="majorHAnsi" w:hAnsiTheme="majorHAnsi"/>
        </w:rPr>
        <w:t xml:space="preserve">can provide guidance, research, and analysis to health departments </w:t>
      </w:r>
      <w:r w:rsidR="0063520E">
        <w:rPr>
          <w:rFonts w:asciiTheme="majorHAnsi" w:hAnsiTheme="majorHAnsi"/>
        </w:rPr>
        <w:t>on</w:t>
      </w:r>
      <w:r w:rsidR="004003DB" w:rsidRPr="004003DB">
        <w:rPr>
          <w:rFonts w:asciiTheme="majorHAnsi" w:hAnsiTheme="majorHAnsi"/>
        </w:rPr>
        <w:t xml:space="preserve"> </w:t>
      </w:r>
      <w:r w:rsidR="0063520E" w:rsidRPr="0063520E">
        <w:rPr>
          <w:rFonts w:asciiTheme="majorHAnsi" w:hAnsiTheme="majorHAnsi"/>
        </w:rPr>
        <w:t>legal matters</w:t>
      </w:r>
      <w:r w:rsidR="0063520E">
        <w:rPr>
          <w:rFonts w:asciiTheme="majorHAnsi" w:hAnsiTheme="majorHAnsi"/>
        </w:rPr>
        <w:t>, such as a survey of state laws</w:t>
      </w:r>
      <w:r w:rsidR="008301B3" w:rsidRPr="008301B3">
        <w:rPr>
          <w:rFonts w:asciiTheme="majorHAnsi" w:hAnsiTheme="majorHAnsi"/>
        </w:rPr>
        <w:t xml:space="preserve"> </w:t>
      </w:r>
      <w:r w:rsidR="008301B3" w:rsidRPr="0063520E">
        <w:rPr>
          <w:rFonts w:asciiTheme="majorHAnsi" w:hAnsiTheme="majorHAnsi"/>
        </w:rPr>
        <w:t xml:space="preserve">pertaining to </w:t>
      </w:r>
      <w:r w:rsidR="008301B3">
        <w:rPr>
          <w:rFonts w:asciiTheme="majorHAnsi" w:hAnsiTheme="majorHAnsi"/>
        </w:rPr>
        <w:t>diverse</w:t>
      </w:r>
      <w:r w:rsidR="008301B3" w:rsidRPr="0063520E">
        <w:rPr>
          <w:rFonts w:asciiTheme="majorHAnsi" w:hAnsiTheme="majorHAnsi"/>
        </w:rPr>
        <w:t xml:space="preserve"> aspects of public health</w:t>
      </w:r>
      <w:r w:rsidR="0063520E">
        <w:rPr>
          <w:rFonts w:asciiTheme="majorHAnsi" w:hAnsiTheme="majorHAnsi"/>
        </w:rPr>
        <w:t xml:space="preserve">, </w:t>
      </w:r>
      <w:r w:rsidR="004003DB" w:rsidRPr="004003DB">
        <w:rPr>
          <w:rFonts w:asciiTheme="majorHAnsi" w:hAnsiTheme="majorHAnsi"/>
        </w:rPr>
        <w:t xml:space="preserve">data sharing and other cross jurisdiction agreements, health information privacy, and emergency </w:t>
      </w:r>
      <w:r w:rsidR="004003DB" w:rsidRPr="004003DB">
        <w:rPr>
          <w:rFonts w:asciiTheme="majorHAnsi" w:hAnsiTheme="majorHAnsi"/>
        </w:rPr>
        <w:lastRenderedPageBreak/>
        <w:t>preparedness.</w:t>
      </w:r>
      <w:r w:rsidR="008301B3">
        <w:rPr>
          <w:rFonts w:asciiTheme="majorHAnsi" w:hAnsiTheme="majorHAnsi"/>
        </w:rPr>
        <w:t xml:space="preserve"> Furthermore, PHLP </w:t>
      </w:r>
      <w:r w:rsidR="001612A9">
        <w:rPr>
          <w:rFonts w:asciiTheme="majorHAnsi" w:hAnsiTheme="majorHAnsi"/>
        </w:rPr>
        <w:t>can contact CDC subject matter experts for scientific expertise related to the legal question.</w:t>
      </w:r>
      <w:r w:rsidR="00E42CDC">
        <w:rPr>
          <w:rFonts w:asciiTheme="majorHAnsi" w:hAnsiTheme="majorHAnsi"/>
        </w:rPr>
        <w:t xml:space="preserve"> </w:t>
      </w:r>
      <w:r w:rsidR="00674322">
        <w:rPr>
          <w:rFonts w:asciiTheme="majorHAnsi" w:hAnsiTheme="majorHAnsi"/>
        </w:rPr>
        <w:t xml:space="preserve">Recently, </w:t>
      </w:r>
      <w:r w:rsidR="00E42CDC">
        <w:rPr>
          <w:rFonts w:asciiTheme="majorHAnsi" w:hAnsiTheme="majorHAnsi"/>
        </w:rPr>
        <w:t>PHLP has provided technical assist</w:t>
      </w:r>
      <w:r w:rsidR="00C825F0">
        <w:rPr>
          <w:rFonts w:asciiTheme="majorHAnsi" w:hAnsiTheme="majorHAnsi"/>
        </w:rPr>
        <w:t>ance to a</w:t>
      </w:r>
      <w:r w:rsidR="00D75F91">
        <w:rPr>
          <w:rFonts w:asciiTheme="majorHAnsi" w:hAnsiTheme="majorHAnsi"/>
        </w:rPr>
        <w:t>n Alaskan</w:t>
      </w:r>
      <w:r w:rsidR="00C825F0">
        <w:rPr>
          <w:rFonts w:asciiTheme="majorHAnsi" w:hAnsiTheme="majorHAnsi"/>
        </w:rPr>
        <w:t xml:space="preserve"> </w:t>
      </w:r>
      <w:r w:rsidR="00D75F91">
        <w:rPr>
          <w:rFonts w:asciiTheme="majorHAnsi" w:hAnsiTheme="majorHAnsi"/>
        </w:rPr>
        <w:t xml:space="preserve">Tribal </w:t>
      </w:r>
      <w:r w:rsidR="00C825F0">
        <w:rPr>
          <w:rFonts w:asciiTheme="majorHAnsi" w:hAnsiTheme="majorHAnsi"/>
        </w:rPr>
        <w:t xml:space="preserve">consortium on healthcare worker immunization requirements, the New Orleans Department of Health on </w:t>
      </w:r>
      <w:r w:rsidR="00DB50D9" w:rsidRPr="00DB50D9">
        <w:rPr>
          <w:rFonts w:asciiTheme="majorHAnsi" w:hAnsiTheme="majorHAnsi"/>
        </w:rPr>
        <w:t>a complete, systematic review of their enabling and programmatic ordinances</w:t>
      </w:r>
      <w:r w:rsidR="009C6020">
        <w:rPr>
          <w:rFonts w:asciiTheme="majorHAnsi" w:hAnsiTheme="majorHAnsi"/>
        </w:rPr>
        <w:t xml:space="preserve">, and </w:t>
      </w:r>
      <w:r w:rsidR="009C6020" w:rsidRPr="009C6020">
        <w:rPr>
          <w:rFonts w:asciiTheme="majorHAnsi" w:hAnsiTheme="majorHAnsi"/>
        </w:rPr>
        <w:t>Multnomah County</w:t>
      </w:r>
      <w:r w:rsidR="009C6020">
        <w:rPr>
          <w:rFonts w:asciiTheme="majorHAnsi" w:hAnsiTheme="majorHAnsi"/>
        </w:rPr>
        <w:t>,</w:t>
      </w:r>
      <w:r w:rsidR="009C6020" w:rsidRPr="009C6020">
        <w:rPr>
          <w:rFonts w:asciiTheme="majorHAnsi" w:hAnsiTheme="majorHAnsi"/>
        </w:rPr>
        <w:t xml:space="preserve"> Oregon</w:t>
      </w:r>
      <w:r w:rsidR="009C6020">
        <w:rPr>
          <w:rFonts w:asciiTheme="majorHAnsi" w:hAnsiTheme="majorHAnsi"/>
        </w:rPr>
        <w:t>,</w:t>
      </w:r>
      <w:r w:rsidR="009C6020" w:rsidRPr="009C6020">
        <w:rPr>
          <w:rFonts w:asciiTheme="majorHAnsi" w:hAnsiTheme="majorHAnsi"/>
        </w:rPr>
        <w:t xml:space="preserve"> on the impact that federal </w:t>
      </w:r>
      <w:r w:rsidR="009C6020">
        <w:rPr>
          <w:rFonts w:asciiTheme="majorHAnsi" w:hAnsiTheme="majorHAnsi"/>
        </w:rPr>
        <w:t>Affordable Care Organization</w:t>
      </w:r>
      <w:r w:rsidR="009C6020" w:rsidRPr="009C6020">
        <w:rPr>
          <w:rFonts w:asciiTheme="majorHAnsi" w:hAnsiTheme="majorHAnsi"/>
        </w:rPr>
        <w:t xml:space="preserve"> legislation and similar state legislation may have on public health departments and how public health may interact with the new entities</w:t>
      </w:r>
      <w:r w:rsidR="00C825F0">
        <w:rPr>
          <w:rFonts w:asciiTheme="majorHAnsi" w:hAnsiTheme="majorHAnsi"/>
        </w:rPr>
        <w:t>.</w:t>
      </w:r>
    </w:p>
    <w:p w:rsidR="0004747D" w:rsidRPr="0003280C" w:rsidRDefault="0004747D" w:rsidP="004003DB">
      <w:pPr>
        <w:spacing w:after="0"/>
        <w:ind w:left="720"/>
        <w:rPr>
          <w:rFonts w:asciiTheme="majorHAnsi" w:hAnsiTheme="majorHAnsi"/>
        </w:rPr>
      </w:pPr>
    </w:p>
    <w:p w:rsidR="00671D2D" w:rsidRDefault="00671D2D" w:rsidP="00350C8C">
      <w:pPr>
        <w:spacing w:after="0"/>
        <w:ind w:left="720"/>
        <w:rPr>
          <w:rFonts w:asciiTheme="majorHAnsi" w:hAnsiTheme="majorHAnsi"/>
        </w:rPr>
      </w:pPr>
      <w:r w:rsidRPr="00671D2D">
        <w:rPr>
          <w:rFonts w:asciiTheme="majorHAnsi" w:hAnsiTheme="majorHAnsi"/>
        </w:rPr>
        <w:t>In developing public health law training materials and providing related technical assistance, one of PHLP’s main goals is to ensure that public health professionals</w:t>
      </w:r>
      <w:r>
        <w:rPr>
          <w:rFonts w:asciiTheme="majorHAnsi" w:hAnsiTheme="majorHAnsi"/>
        </w:rPr>
        <w:t>, their legal counsel</w:t>
      </w:r>
      <w:r w:rsidRPr="00671D2D">
        <w:rPr>
          <w:rFonts w:asciiTheme="majorHAnsi" w:hAnsiTheme="majorHAnsi"/>
        </w:rPr>
        <w:t xml:space="preserve">, and relevant partners understand the legal framework in which they operate and are competent in applying legal authorities to public health issues.  The </w:t>
      </w:r>
      <w:r w:rsidRPr="003630EA">
        <w:rPr>
          <w:rFonts w:asciiTheme="majorHAnsi" w:hAnsiTheme="majorHAnsi"/>
          <w:i/>
        </w:rPr>
        <w:t>Core Legal Competencies for Public Health Professionals</w:t>
      </w:r>
      <w:r w:rsidRPr="00671D2D">
        <w:rPr>
          <w:rFonts w:asciiTheme="majorHAnsi" w:hAnsiTheme="majorHAnsi"/>
        </w:rPr>
        <w:t>, were developed in 2001 by the Center for Law and the Public’s Health</w:t>
      </w:r>
      <w:r>
        <w:rPr>
          <w:rFonts w:asciiTheme="majorHAnsi" w:hAnsiTheme="majorHAnsi"/>
        </w:rPr>
        <w:t>,</w:t>
      </w:r>
      <w:r w:rsidRPr="00671D2D">
        <w:rPr>
          <w:rFonts w:asciiTheme="majorHAnsi" w:hAnsiTheme="majorHAnsi"/>
        </w:rPr>
        <w:t xml:space="preserve"> and represent a set of seven domains of law-specific skills and legal knowledge desirable for the practice of public health</w:t>
      </w:r>
      <w:r>
        <w:rPr>
          <w:rFonts w:asciiTheme="majorHAnsi" w:hAnsiTheme="majorHAnsi"/>
        </w:rPr>
        <w:t xml:space="preserve"> </w:t>
      </w:r>
      <w:r w:rsidRPr="001A28F6">
        <w:rPr>
          <w:rFonts w:asciiTheme="majorHAnsi" w:hAnsiTheme="majorHAnsi"/>
        </w:rPr>
        <w:t>(</w:t>
      </w:r>
      <w:r w:rsidRPr="008229E4">
        <w:rPr>
          <w:rFonts w:asciiTheme="majorHAnsi" w:hAnsiTheme="majorHAnsi"/>
          <w:b/>
        </w:rPr>
        <w:t xml:space="preserve">see Attachment </w:t>
      </w:r>
      <w:r>
        <w:rPr>
          <w:rFonts w:asciiTheme="majorHAnsi" w:hAnsiTheme="majorHAnsi"/>
          <w:b/>
        </w:rPr>
        <w:t>B</w:t>
      </w:r>
      <w:r w:rsidRPr="008229E4">
        <w:rPr>
          <w:rFonts w:asciiTheme="majorHAnsi" w:hAnsiTheme="majorHAnsi"/>
          <w:b/>
        </w:rPr>
        <w:t xml:space="preserve"> – </w:t>
      </w:r>
      <w:r w:rsidRPr="00736FAD">
        <w:rPr>
          <w:rFonts w:asciiTheme="majorHAnsi" w:hAnsiTheme="majorHAnsi"/>
          <w:b/>
          <w:i/>
        </w:rPr>
        <w:t>Core Legal Competencies for Public Health Professionals</w:t>
      </w:r>
      <w:r>
        <w:rPr>
          <w:rFonts w:asciiTheme="majorHAnsi" w:hAnsiTheme="majorHAnsi"/>
          <w:b/>
        </w:rPr>
        <w:t>)</w:t>
      </w:r>
      <w:r w:rsidRPr="00671D2D">
        <w:rPr>
          <w:rFonts w:asciiTheme="majorHAnsi" w:hAnsiTheme="majorHAnsi"/>
        </w:rPr>
        <w:t>. These competencies are intended to serve as guides to workforce development and technical assistance efforts. Because public health practitioners should have knowledge in these areas, measuring competency levels is critical to the effective development of appropriate public health law curricula and training materials, and to identify technical assistance needs.</w:t>
      </w:r>
    </w:p>
    <w:p w:rsidR="00646E2D" w:rsidRDefault="00646E2D" w:rsidP="00646E2D">
      <w:pPr>
        <w:spacing w:after="0"/>
        <w:ind w:left="720"/>
        <w:rPr>
          <w:rFonts w:asciiTheme="majorHAnsi" w:hAnsiTheme="majorHAnsi" w:cs="Arial"/>
        </w:rPr>
      </w:pPr>
    </w:p>
    <w:p w:rsidR="00B43261" w:rsidRDefault="00646E2D" w:rsidP="00646E2D">
      <w:pPr>
        <w:spacing w:after="0"/>
        <w:ind w:left="720"/>
        <w:rPr>
          <w:rFonts w:asciiTheme="majorHAnsi" w:hAnsiTheme="majorHAnsi"/>
        </w:rPr>
      </w:pPr>
      <w:r>
        <w:rPr>
          <w:rFonts w:asciiTheme="majorHAnsi" w:hAnsiTheme="majorHAnsi"/>
        </w:rPr>
        <w:t>Although PHLP provides public health law-related training and technical assistance to STLT health department employees, the program has only anecdotal evidence about STLT law-related training and technical assistance needs</w:t>
      </w:r>
      <w:r w:rsidR="00B43261">
        <w:rPr>
          <w:rFonts w:asciiTheme="majorHAnsi" w:hAnsiTheme="majorHAnsi"/>
        </w:rPr>
        <w:t>, and has no systematic method of measuring and evaluating those needs</w:t>
      </w:r>
      <w:r>
        <w:rPr>
          <w:rFonts w:asciiTheme="majorHAnsi" w:hAnsiTheme="majorHAnsi"/>
        </w:rPr>
        <w:t xml:space="preserve">. </w:t>
      </w:r>
      <w:r w:rsidR="00B43261" w:rsidRPr="00B725F0">
        <w:rPr>
          <w:rFonts w:asciiTheme="majorHAnsi" w:hAnsiTheme="majorHAnsi"/>
        </w:rPr>
        <w:t>The purpose of this assessment is to identify</w:t>
      </w:r>
      <w:r w:rsidR="001668CE">
        <w:rPr>
          <w:rFonts w:asciiTheme="majorHAnsi" w:hAnsiTheme="majorHAnsi"/>
        </w:rPr>
        <w:t xml:space="preserve"> STLT</w:t>
      </w:r>
      <w:r w:rsidR="00B43261" w:rsidRPr="00B725F0">
        <w:rPr>
          <w:rFonts w:asciiTheme="majorHAnsi" w:hAnsiTheme="majorHAnsi"/>
        </w:rPr>
        <w:t xml:space="preserve"> public health law-related training and technical assistance needs.</w:t>
      </w:r>
      <w:r w:rsidR="00B43261">
        <w:rPr>
          <w:rFonts w:asciiTheme="majorHAnsi" w:hAnsiTheme="majorHAnsi"/>
        </w:rPr>
        <w:t xml:space="preserve"> </w:t>
      </w:r>
      <w:r w:rsidR="007B0115">
        <w:rPr>
          <w:rFonts w:asciiTheme="majorHAnsi" w:hAnsiTheme="majorHAnsi"/>
        </w:rPr>
        <w:t>PHLP will use d</w:t>
      </w:r>
      <w:r>
        <w:rPr>
          <w:rFonts w:asciiTheme="majorHAnsi" w:hAnsiTheme="majorHAnsi"/>
        </w:rPr>
        <w:t xml:space="preserve">ata from this survey </w:t>
      </w:r>
      <w:r w:rsidR="007B0115">
        <w:rPr>
          <w:rFonts w:asciiTheme="majorHAnsi" w:hAnsiTheme="majorHAnsi"/>
        </w:rPr>
        <w:t>to</w:t>
      </w:r>
      <w:r>
        <w:rPr>
          <w:rFonts w:asciiTheme="majorHAnsi" w:hAnsiTheme="majorHAnsi"/>
        </w:rPr>
        <w:t xml:space="preserve"> </w:t>
      </w:r>
      <w:r w:rsidR="00FC4DBF">
        <w:rPr>
          <w:rFonts w:asciiTheme="majorHAnsi" w:hAnsiTheme="majorHAnsi"/>
        </w:rPr>
        <w:t>streamline</w:t>
      </w:r>
      <w:r w:rsidR="007B0115">
        <w:rPr>
          <w:rFonts w:asciiTheme="majorHAnsi" w:hAnsiTheme="majorHAnsi"/>
        </w:rPr>
        <w:t xml:space="preserve"> program</w:t>
      </w:r>
      <w:r w:rsidR="00FC4DBF">
        <w:rPr>
          <w:rFonts w:asciiTheme="majorHAnsi" w:hAnsiTheme="majorHAnsi"/>
        </w:rPr>
        <w:t xml:space="preserve"> operations by </w:t>
      </w:r>
      <w:r>
        <w:rPr>
          <w:rFonts w:asciiTheme="majorHAnsi" w:hAnsiTheme="majorHAnsi"/>
        </w:rPr>
        <w:t>inform</w:t>
      </w:r>
      <w:r w:rsidR="00FC4DBF">
        <w:rPr>
          <w:rFonts w:asciiTheme="majorHAnsi" w:hAnsiTheme="majorHAnsi"/>
        </w:rPr>
        <w:t>ing</w:t>
      </w:r>
      <w:r>
        <w:rPr>
          <w:rFonts w:asciiTheme="majorHAnsi" w:hAnsiTheme="majorHAnsi"/>
        </w:rPr>
        <w:t xml:space="preserve"> the development of resources, tools, a</w:t>
      </w:r>
      <w:r w:rsidR="00FC4DBF">
        <w:rPr>
          <w:rFonts w:asciiTheme="majorHAnsi" w:hAnsiTheme="majorHAnsi"/>
        </w:rPr>
        <w:t>nd curricula that are most needed by STLTs</w:t>
      </w:r>
      <w:r>
        <w:rPr>
          <w:rFonts w:asciiTheme="majorHAnsi" w:hAnsiTheme="majorHAnsi"/>
        </w:rPr>
        <w:t xml:space="preserve">. </w:t>
      </w:r>
    </w:p>
    <w:p w:rsidR="00B43261" w:rsidRDefault="00B43261" w:rsidP="00646E2D">
      <w:pPr>
        <w:spacing w:after="0"/>
        <w:ind w:left="720"/>
        <w:rPr>
          <w:rFonts w:asciiTheme="majorHAnsi" w:hAnsiTheme="majorHAnsi"/>
        </w:rPr>
      </w:pPr>
    </w:p>
    <w:p w:rsidR="00713A5A" w:rsidRDefault="000761F1" w:rsidP="000761F1">
      <w:pPr>
        <w:spacing w:after="0"/>
        <w:ind w:left="720"/>
        <w:rPr>
          <w:rFonts w:asciiTheme="majorHAnsi" w:hAnsiTheme="majorHAnsi" w:cs="Arial"/>
        </w:rPr>
      </w:pPr>
      <w:r w:rsidRPr="004240A8">
        <w:rPr>
          <w:rFonts w:asciiTheme="majorHAnsi" w:hAnsiTheme="majorHAnsi" w:cs="Arial"/>
        </w:rPr>
        <w:t xml:space="preserve">After an extensive search, </w:t>
      </w:r>
      <w:r w:rsidR="008846D9">
        <w:rPr>
          <w:rFonts w:asciiTheme="majorHAnsi" w:hAnsiTheme="majorHAnsi" w:cs="Arial"/>
        </w:rPr>
        <w:t>PHLP</w:t>
      </w:r>
      <w:r w:rsidRPr="004240A8">
        <w:rPr>
          <w:rFonts w:asciiTheme="majorHAnsi" w:hAnsiTheme="majorHAnsi" w:cs="Arial"/>
        </w:rPr>
        <w:t xml:space="preserve"> </w:t>
      </w:r>
      <w:r>
        <w:rPr>
          <w:rFonts w:asciiTheme="majorHAnsi" w:hAnsiTheme="majorHAnsi" w:cs="Arial"/>
        </w:rPr>
        <w:t>determined</w:t>
      </w:r>
      <w:r w:rsidRPr="004240A8">
        <w:rPr>
          <w:rFonts w:asciiTheme="majorHAnsi" w:hAnsiTheme="majorHAnsi" w:cs="Arial"/>
        </w:rPr>
        <w:t xml:space="preserve"> </w:t>
      </w:r>
      <w:r>
        <w:rPr>
          <w:rFonts w:asciiTheme="majorHAnsi" w:hAnsiTheme="majorHAnsi" w:cs="Arial"/>
        </w:rPr>
        <w:t>a number of trade</w:t>
      </w:r>
      <w:r w:rsidRPr="004240A8">
        <w:rPr>
          <w:rFonts w:asciiTheme="majorHAnsi" w:hAnsiTheme="majorHAnsi" w:cs="Arial"/>
        </w:rPr>
        <w:t xml:space="preserve"> organizations</w:t>
      </w:r>
      <w:r>
        <w:rPr>
          <w:rFonts w:asciiTheme="majorHAnsi" w:hAnsiTheme="majorHAnsi" w:cs="Arial"/>
        </w:rPr>
        <w:t xml:space="preserve">, </w:t>
      </w:r>
      <w:r w:rsidR="008846D9">
        <w:rPr>
          <w:rFonts w:asciiTheme="majorHAnsi" w:hAnsiTheme="majorHAnsi" w:cs="Arial"/>
        </w:rPr>
        <w:t>including</w:t>
      </w:r>
      <w:r>
        <w:rPr>
          <w:rFonts w:asciiTheme="majorHAnsi" w:hAnsiTheme="majorHAnsi" w:cs="Arial"/>
        </w:rPr>
        <w:t xml:space="preserve"> the Council on Education for Public Health, the Association of Schools of Public Health, and the Association for State and Territorial Health Officials, </w:t>
      </w:r>
      <w:r w:rsidRPr="004240A8">
        <w:rPr>
          <w:rFonts w:asciiTheme="majorHAnsi" w:hAnsiTheme="majorHAnsi" w:cs="Arial"/>
        </w:rPr>
        <w:t xml:space="preserve"> </w:t>
      </w:r>
      <w:r>
        <w:rPr>
          <w:rFonts w:asciiTheme="majorHAnsi" w:hAnsiTheme="majorHAnsi" w:cs="Arial"/>
        </w:rPr>
        <w:t>had</w:t>
      </w:r>
      <w:r w:rsidRPr="004240A8">
        <w:rPr>
          <w:rFonts w:asciiTheme="majorHAnsi" w:hAnsiTheme="majorHAnsi" w:cs="Arial"/>
        </w:rPr>
        <w:t xml:space="preserve"> conducted </w:t>
      </w:r>
      <w:r>
        <w:rPr>
          <w:rFonts w:asciiTheme="majorHAnsi" w:hAnsiTheme="majorHAnsi" w:cs="Arial"/>
        </w:rPr>
        <w:t>public health work</w:t>
      </w:r>
      <w:r w:rsidRPr="004240A8">
        <w:rPr>
          <w:rFonts w:asciiTheme="majorHAnsi" w:hAnsiTheme="majorHAnsi" w:cs="Arial"/>
        </w:rPr>
        <w:t>force training and technical assistan</w:t>
      </w:r>
      <w:r>
        <w:rPr>
          <w:rFonts w:asciiTheme="majorHAnsi" w:hAnsiTheme="majorHAnsi" w:cs="Arial"/>
        </w:rPr>
        <w:t>ce needs assessments</w:t>
      </w:r>
      <w:r w:rsidRPr="004240A8">
        <w:rPr>
          <w:rFonts w:asciiTheme="majorHAnsi" w:hAnsiTheme="majorHAnsi" w:cs="Arial"/>
        </w:rPr>
        <w:t>.  The findings of several assessments indicated that public health law was among the top areas in which public health practitioners wanted training and technical assistance. For example, the Northwest Center for Public Health Practice found that 40% of respondents were interested in learning about public health law, and another 42% were interested in receiving legal technical assistance</w:t>
      </w:r>
      <w:r w:rsidR="00921208">
        <w:rPr>
          <w:rFonts w:asciiTheme="majorHAnsi" w:hAnsiTheme="majorHAnsi" w:cs="Arial"/>
        </w:rPr>
        <w:t>.</w:t>
      </w:r>
      <w:r w:rsidR="00752561">
        <w:rPr>
          <w:rStyle w:val="FootnoteReference"/>
          <w:rFonts w:asciiTheme="majorHAnsi" w:hAnsiTheme="majorHAnsi" w:cs="Arial"/>
        </w:rPr>
        <w:footnoteReference w:id="1"/>
      </w:r>
      <w:r w:rsidRPr="004240A8">
        <w:rPr>
          <w:rFonts w:asciiTheme="majorHAnsi" w:hAnsiTheme="majorHAnsi" w:cs="Arial"/>
        </w:rPr>
        <w:t xml:space="preserve"> </w:t>
      </w:r>
      <w:r w:rsidR="00713A5A">
        <w:rPr>
          <w:rFonts w:asciiTheme="majorHAnsi" w:hAnsiTheme="majorHAnsi" w:cs="Arial"/>
        </w:rPr>
        <w:t>A</w:t>
      </w:r>
      <w:r w:rsidR="009C07C2">
        <w:rPr>
          <w:rFonts w:asciiTheme="majorHAnsi" w:hAnsiTheme="majorHAnsi" w:cs="Arial"/>
        </w:rPr>
        <w:t>nother</w:t>
      </w:r>
      <w:r w:rsidR="00713A5A">
        <w:rPr>
          <w:rFonts w:asciiTheme="majorHAnsi" w:hAnsiTheme="majorHAnsi" w:cs="Arial"/>
        </w:rPr>
        <w:t xml:space="preserve"> survey of 78 state and local health agency supervisors from six states </w:t>
      </w:r>
      <w:r w:rsidR="00E045AA">
        <w:rPr>
          <w:rFonts w:asciiTheme="majorHAnsi" w:hAnsiTheme="majorHAnsi" w:cs="Arial"/>
        </w:rPr>
        <w:t xml:space="preserve">found the supervisors considered “an understanding of the . . . laws that characterize the public health field” to be “important not only for newly hired and clerical personnel but also </w:t>
      </w:r>
      <w:r w:rsidR="00E045AA">
        <w:rPr>
          <w:rFonts w:asciiTheme="majorHAnsi" w:hAnsiTheme="majorHAnsi" w:cs="Arial"/>
        </w:rPr>
        <w:lastRenderedPageBreak/>
        <w:t>for professional workers.”</w:t>
      </w:r>
      <w:r w:rsidR="00921208">
        <w:rPr>
          <w:rStyle w:val="FootnoteReference"/>
          <w:rFonts w:asciiTheme="majorHAnsi" w:hAnsiTheme="majorHAnsi" w:cs="Arial"/>
        </w:rPr>
        <w:footnoteReference w:id="2"/>
      </w:r>
      <w:r w:rsidR="009C07C2">
        <w:rPr>
          <w:rFonts w:asciiTheme="majorHAnsi" w:hAnsiTheme="majorHAnsi" w:cs="Arial"/>
        </w:rPr>
        <w:t xml:space="preserve"> Further, </w:t>
      </w:r>
      <w:r w:rsidR="008A6626">
        <w:rPr>
          <w:rFonts w:asciiTheme="majorHAnsi" w:hAnsiTheme="majorHAnsi" w:cs="Arial"/>
        </w:rPr>
        <w:t>several comprehensive training needs assessment studies</w:t>
      </w:r>
      <w:r w:rsidR="009C07C2">
        <w:rPr>
          <w:rFonts w:asciiTheme="majorHAnsi" w:hAnsiTheme="majorHAnsi" w:cs="Arial"/>
        </w:rPr>
        <w:t xml:space="preserve"> by the South Central Public Health Training Center </w:t>
      </w:r>
      <w:r w:rsidR="008A6626">
        <w:rPr>
          <w:rFonts w:asciiTheme="majorHAnsi" w:hAnsiTheme="majorHAnsi" w:cs="Arial"/>
        </w:rPr>
        <w:t>of public health practitioners in a four-state region identified an ability to “enforce laws and regulations that protect health and ensure safety” as a priority training need.</w:t>
      </w:r>
      <w:r w:rsidR="00187024">
        <w:rPr>
          <w:rStyle w:val="FootnoteReference"/>
          <w:rFonts w:asciiTheme="majorHAnsi" w:hAnsiTheme="majorHAnsi" w:cs="Arial"/>
        </w:rPr>
        <w:footnoteReference w:id="3"/>
      </w:r>
    </w:p>
    <w:p w:rsidR="00713A5A" w:rsidRDefault="00713A5A" w:rsidP="000761F1">
      <w:pPr>
        <w:spacing w:after="0"/>
        <w:ind w:left="720"/>
        <w:rPr>
          <w:rFonts w:asciiTheme="majorHAnsi" w:hAnsiTheme="majorHAnsi" w:cs="Arial"/>
        </w:rPr>
      </w:pPr>
    </w:p>
    <w:p w:rsidR="000761F1" w:rsidRDefault="005469AE" w:rsidP="000761F1">
      <w:pPr>
        <w:spacing w:after="0"/>
        <w:ind w:left="720"/>
        <w:rPr>
          <w:rFonts w:asciiTheme="majorHAnsi" w:hAnsiTheme="majorHAnsi" w:cs="Arial"/>
        </w:rPr>
      </w:pPr>
      <w:r>
        <w:rPr>
          <w:rFonts w:asciiTheme="majorHAnsi" w:hAnsiTheme="majorHAnsi" w:cs="Arial"/>
        </w:rPr>
        <w:t>Although the literature demonstrates a desire for public law-related training in general</w:t>
      </w:r>
      <w:r w:rsidR="000761F1" w:rsidRPr="004240A8">
        <w:rPr>
          <w:rFonts w:asciiTheme="majorHAnsi" w:hAnsiTheme="majorHAnsi" w:cs="Arial"/>
        </w:rPr>
        <w:t xml:space="preserve">, none of the identified assessments focused specifically on the public health law related training and technical assistance needs of </w:t>
      </w:r>
      <w:r>
        <w:rPr>
          <w:rFonts w:asciiTheme="majorHAnsi" w:hAnsiTheme="majorHAnsi" w:cs="Arial"/>
        </w:rPr>
        <w:t xml:space="preserve">the public health workforce. </w:t>
      </w:r>
      <w:r w:rsidR="000761F1" w:rsidRPr="004240A8">
        <w:rPr>
          <w:rFonts w:asciiTheme="majorHAnsi" w:hAnsiTheme="majorHAnsi" w:cs="Arial"/>
        </w:rPr>
        <w:t xml:space="preserve">This proposed needs assessment </w:t>
      </w:r>
      <w:r w:rsidR="000761F1">
        <w:rPr>
          <w:rFonts w:asciiTheme="majorHAnsi" w:hAnsiTheme="majorHAnsi" w:cs="Arial"/>
        </w:rPr>
        <w:t>expands on</w:t>
      </w:r>
      <w:r w:rsidR="000761F1" w:rsidRPr="004240A8">
        <w:rPr>
          <w:rFonts w:asciiTheme="majorHAnsi" w:hAnsiTheme="majorHAnsi" w:cs="Arial"/>
        </w:rPr>
        <w:t xml:space="preserve"> these previous surveys by assessing competency levels, priority topics, and delivery methods specific to training and technical assistance in public health law.</w:t>
      </w:r>
      <w:r w:rsidR="007B13AA" w:rsidRPr="007B13AA">
        <w:rPr>
          <w:rFonts w:asciiTheme="majorHAnsi" w:hAnsiTheme="majorHAnsi" w:cs="Arial"/>
        </w:rPr>
        <w:t xml:space="preserve"> </w:t>
      </w:r>
      <w:r w:rsidR="007B13AA">
        <w:rPr>
          <w:rFonts w:asciiTheme="majorHAnsi" w:hAnsiTheme="majorHAnsi" w:cs="Arial"/>
        </w:rPr>
        <w:t>Furthermore, t</w:t>
      </w:r>
      <w:r w:rsidR="000761F1" w:rsidRPr="004240A8">
        <w:rPr>
          <w:rFonts w:asciiTheme="majorHAnsi" w:hAnsiTheme="majorHAnsi" w:cs="Arial"/>
        </w:rPr>
        <w:t>h</w:t>
      </w:r>
      <w:r w:rsidR="007B13AA">
        <w:rPr>
          <w:rFonts w:asciiTheme="majorHAnsi" w:hAnsiTheme="majorHAnsi" w:cs="Arial"/>
        </w:rPr>
        <w:t>e</w:t>
      </w:r>
      <w:r w:rsidR="000761F1" w:rsidRPr="004240A8">
        <w:rPr>
          <w:rFonts w:asciiTheme="majorHAnsi" w:hAnsiTheme="majorHAnsi" w:cs="Arial"/>
        </w:rPr>
        <w:t xml:space="preserve"> proposed assessment will be the first to use the </w:t>
      </w:r>
      <w:r w:rsidR="000761F1" w:rsidRPr="004240A8">
        <w:rPr>
          <w:rFonts w:asciiTheme="majorHAnsi" w:hAnsiTheme="majorHAnsi" w:cs="Arial"/>
          <w:i/>
        </w:rPr>
        <w:t xml:space="preserve">Core Legal Competencies for Public Health Professionals </w:t>
      </w:r>
      <w:r w:rsidR="000761F1" w:rsidRPr="004240A8">
        <w:rPr>
          <w:rFonts w:asciiTheme="majorHAnsi" w:hAnsiTheme="majorHAnsi" w:cs="Arial"/>
        </w:rPr>
        <w:t>to identify the public health law-related training and technical assistance needs of state, Tribal, local, and territorial (STLT) government officials and employees, across occupational and functional groups, employed by a public health agency.</w:t>
      </w:r>
      <w:r w:rsidR="000761F1">
        <w:rPr>
          <w:rFonts w:asciiTheme="majorHAnsi" w:hAnsiTheme="majorHAnsi" w:cs="Arial"/>
        </w:rPr>
        <w:t xml:space="preserve"> </w:t>
      </w:r>
    </w:p>
    <w:p w:rsidR="004F67A8" w:rsidRPr="001A28F6" w:rsidRDefault="004F67A8" w:rsidP="00F52BCC">
      <w:pPr>
        <w:spacing w:after="0"/>
        <w:ind w:left="720"/>
        <w:rPr>
          <w:rFonts w:asciiTheme="majorHAnsi" w:hAnsiTheme="majorHAnsi"/>
        </w:rPr>
      </w:pPr>
    </w:p>
    <w:p w:rsidR="006102DA" w:rsidRPr="001A28F6" w:rsidRDefault="006102DA" w:rsidP="00F52BCC">
      <w:pPr>
        <w:spacing w:after="0"/>
        <w:ind w:left="720"/>
        <w:rPr>
          <w:rFonts w:asciiTheme="majorHAnsi" w:hAnsiTheme="majorHAnsi"/>
          <w:b/>
        </w:rPr>
      </w:pPr>
      <w:r w:rsidRPr="001A28F6">
        <w:rPr>
          <w:rFonts w:asciiTheme="majorHAnsi" w:hAnsiTheme="majorHAnsi"/>
          <w:b/>
        </w:rPr>
        <w:t>Privacy Impact Assessment</w:t>
      </w:r>
    </w:p>
    <w:p w:rsidR="004024F8" w:rsidRPr="00DB39A3" w:rsidRDefault="006102DA" w:rsidP="004024F8">
      <w:pPr>
        <w:spacing w:after="0"/>
        <w:ind w:left="720"/>
        <w:rPr>
          <w:rFonts w:asciiTheme="majorHAnsi" w:hAnsiTheme="majorHAnsi"/>
        </w:rPr>
      </w:pPr>
      <w:r w:rsidRPr="001A28F6">
        <w:rPr>
          <w:rFonts w:asciiTheme="majorHAnsi" w:hAnsiTheme="majorHAnsi"/>
          <w:u w:val="single"/>
        </w:rPr>
        <w:t>Overview of the Data Collection System</w:t>
      </w:r>
      <w:r w:rsidR="00151567" w:rsidRPr="001A28F6">
        <w:rPr>
          <w:rFonts w:asciiTheme="majorHAnsi" w:hAnsiTheme="majorHAnsi"/>
        </w:rPr>
        <w:t xml:space="preserve"> – </w:t>
      </w:r>
      <w:r w:rsidR="00B1129F" w:rsidRPr="001A28F6">
        <w:rPr>
          <w:rFonts w:asciiTheme="majorHAnsi" w:hAnsiTheme="majorHAnsi"/>
        </w:rPr>
        <w:t xml:space="preserve">The data collection system consists of </w:t>
      </w:r>
      <w:r w:rsidR="00D5367E" w:rsidRPr="001A28F6">
        <w:rPr>
          <w:rFonts w:asciiTheme="majorHAnsi" w:hAnsiTheme="majorHAnsi"/>
        </w:rPr>
        <w:t xml:space="preserve">a </w:t>
      </w:r>
      <w:r w:rsidR="00B1129F" w:rsidRPr="001A28F6">
        <w:rPr>
          <w:rFonts w:asciiTheme="majorHAnsi" w:hAnsiTheme="majorHAnsi"/>
        </w:rPr>
        <w:t xml:space="preserve">web-based </w:t>
      </w:r>
      <w:r w:rsidR="00D5367E" w:rsidRPr="001A28F6">
        <w:rPr>
          <w:rFonts w:asciiTheme="majorHAnsi" w:hAnsiTheme="majorHAnsi"/>
        </w:rPr>
        <w:t>questionnaire</w:t>
      </w:r>
      <w:r w:rsidR="00E23568" w:rsidRPr="001A28F6">
        <w:rPr>
          <w:rFonts w:asciiTheme="majorHAnsi" w:hAnsiTheme="majorHAnsi"/>
        </w:rPr>
        <w:t xml:space="preserve"> (</w:t>
      </w:r>
      <w:r w:rsidR="00E23568" w:rsidRPr="008229E4">
        <w:rPr>
          <w:rFonts w:asciiTheme="majorHAnsi" w:hAnsiTheme="majorHAnsi"/>
          <w:b/>
        </w:rPr>
        <w:t xml:space="preserve">see Attachment </w:t>
      </w:r>
      <w:r w:rsidR="00736FAD">
        <w:rPr>
          <w:rFonts w:asciiTheme="majorHAnsi" w:hAnsiTheme="majorHAnsi"/>
          <w:b/>
        </w:rPr>
        <w:t>C</w:t>
      </w:r>
      <w:r w:rsidR="008229E4" w:rsidRPr="008229E4">
        <w:rPr>
          <w:rFonts w:asciiTheme="majorHAnsi" w:hAnsiTheme="majorHAnsi"/>
          <w:b/>
        </w:rPr>
        <w:t xml:space="preserve"> – Survey Instrument: MS Word version</w:t>
      </w:r>
      <w:r w:rsidR="004674E7" w:rsidRPr="008229E4">
        <w:rPr>
          <w:rFonts w:asciiTheme="majorHAnsi" w:hAnsiTheme="majorHAnsi"/>
          <w:b/>
        </w:rPr>
        <w:t xml:space="preserve"> and </w:t>
      </w:r>
      <w:r w:rsidR="008229E4" w:rsidRPr="008229E4">
        <w:rPr>
          <w:rFonts w:asciiTheme="majorHAnsi" w:hAnsiTheme="majorHAnsi"/>
          <w:b/>
        </w:rPr>
        <w:t xml:space="preserve">Attachment </w:t>
      </w:r>
      <w:r w:rsidR="00736FAD">
        <w:rPr>
          <w:rFonts w:asciiTheme="majorHAnsi" w:hAnsiTheme="majorHAnsi"/>
          <w:b/>
        </w:rPr>
        <w:t>D</w:t>
      </w:r>
      <w:r w:rsidR="008229E4" w:rsidRPr="008229E4">
        <w:rPr>
          <w:rFonts w:asciiTheme="majorHAnsi" w:hAnsiTheme="majorHAnsi"/>
          <w:b/>
        </w:rPr>
        <w:t xml:space="preserve"> – Survey Instrument: Web version</w:t>
      </w:r>
      <w:r w:rsidR="00E23568" w:rsidRPr="001A28F6">
        <w:rPr>
          <w:rFonts w:asciiTheme="majorHAnsi" w:hAnsiTheme="majorHAnsi"/>
        </w:rPr>
        <w:t>)</w:t>
      </w:r>
      <w:r w:rsidR="00D5367E" w:rsidRPr="001A28F6">
        <w:rPr>
          <w:rFonts w:asciiTheme="majorHAnsi" w:hAnsiTheme="majorHAnsi"/>
        </w:rPr>
        <w:t xml:space="preserve"> designed to survey </w:t>
      </w:r>
      <w:r w:rsidR="00BB08D6">
        <w:rPr>
          <w:rFonts w:asciiTheme="majorHAnsi" w:hAnsiTheme="majorHAnsi"/>
        </w:rPr>
        <w:t xml:space="preserve">STLT </w:t>
      </w:r>
      <w:r w:rsidR="00BB08D6" w:rsidRPr="00B75BAE">
        <w:rPr>
          <w:rFonts w:asciiTheme="majorHAnsi" w:hAnsiTheme="majorHAnsi"/>
        </w:rPr>
        <w:t>government officials and employees</w:t>
      </w:r>
      <w:r w:rsidR="00BB08D6" w:rsidRPr="001A28F6">
        <w:rPr>
          <w:rFonts w:asciiTheme="majorHAnsi" w:hAnsiTheme="majorHAnsi"/>
        </w:rPr>
        <w:t xml:space="preserve"> </w:t>
      </w:r>
      <w:r w:rsidR="00D5367E" w:rsidRPr="001A28F6">
        <w:rPr>
          <w:rFonts w:asciiTheme="majorHAnsi" w:hAnsiTheme="majorHAnsi"/>
        </w:rPr>
        <w:t>regarding</w:t>
      </w:r>
      <w:r w:rsidR="00BB08D6">
        <w:rPr>
          <w:rFonts w:asciiTheme="majorHAnsi" w:hAnsiTheme="majorHAnsi"/>
        </w:rPr>
        <w:t xml:space="preserve"> their public health law-related training and technical assistance needs.</w:t>
      </w:r>
      <w:r w:rsidR="004C4464">
        <w:rPr>
          <w:rFonts w:asciiTheme="majorHAnsi" w:hAnsiTheme="majorHAnsi"/>
        </w:rPr>
        <w:t xml:space="preserve"> </w:t>
      </w:r>
      <w:r w:rsidR="00AB3608">
        <w:rPr>
          <w:rFonts w:asciiTheme="majorHAnsi" w:hAnsiTheme="majorHAnsi"/>
        </w:rPr>
        <w:t>T</w:t>
      </w:r>
      <w:r w:rsidR="004024F8">
        <w:rPr>
          <w:rFonts w:asciiTheme="majorHAnsi" w:hAnsiTheme="majorHAnsi"/>
        </w:rPr>
        <w:t xml:space="preserve">he </w:t>
      </w:r>
      <w:r w:rsidR="00AB3608">
        <w:rPr>
          <w:rFonts w:asciiTheme="majorHAnsi" w:hAnsiTheme="majorHAnsi"/>
        </w:rPr>
        <w:t>data collection</w:t>
      </w:r>
      <w:r w:rsidR="004024F8">
        <w:rPr>
          <w:rFonts w:asciiTheme="majorHAnsi" w:hAnsiTheme="majorHAnsi"/>
        </w:rPr>
        <w:t xml:space="preserve"> instrument </w:t>
      </w:r>
      <w:r w:rsidR="00AB3608">
        <w:rPr>
          <w:rFonts w:asciiTheme="majorHAnsi" w:hAnsiTheme="majorHAnsi"/>
        </w:rPr>
        <w:t>will be administered as a web-based survey.</w:t>
      </w:r>
      <w:r w:rsidR="004024F8">
        <w:rPr>
          <w:rFonts w:asciiTheme="majorHAnsi" w:hAnsiTheme="majorHAnsi"/>
        </w:rPr>
        <w:t xml:space="preserve"> </w:t>
      </w:r>
      <w:r w:rsidR="00E8736B">
        <w:rPr>
          <w:rFonts w:asciiTheme="majorHAnsi" w:hAnsiTheme="majorHAnsi"/>
        </w:rPr>
        <w:t>The survey was pilot tested</w:t>
      </w:r>
      <w:r w:rsidR="004024F8">
        <w:rPr>
          <w:rFonts w:asciiTheme="majorHAnsi" w:hAnsiTheme="majorHAnsi"/>
        </w:rPr>
        <w:t xml:space="preserve"> </w:t>
      </w:r>
      <w:r w:rsidR="002C0877">
        <w:rPr>
          <w:rFonts w:asciiTheme="majorHAnsi" w:hAnsiTheme="majorHAnsi"/>
        </w:rPr>
        <w:t>by</w:t>
      </w:r>
      <w:r w:rsidR="004024F8">
        <w:rPr>
          <w:rFonts w:asciiTheme="majorHAnsi" w:hAnsiTheme="majorHAnsi"/>
        </w:rPr>
        <w:t xml:space="preserve"> </w:t>
      </w:r>
      <w:r w:rsidR="009E1554">
        <w:rPr>
          <w:rFonts w:asciiTheme="majorHAnsi" w:hAnsiTheme="majorHAnsi"/>
        </w:rPr>
        <w:t>five</w:t>
      </w:r>
      <w:r w:rsidR="004024F8" w:rsidRPr="00FE6A5C">
        <w:rPr>
          <w:rFonts w:asciiTheme="majorHAnsi" w:hAnsiTheme="majorHAnsi"/>
        </w:rPr>
        <w:t xml:space="preserve"> public health </w:t>
      </w:r>
      <w:r w:rsidR="009E1554">
        <w:rPr>
          <w:rFonts w:asciiTheme="majorHAnsi" w:hAnsiTheme="majorHAnsi"/>
        </w:rPr>
        <w:t>practitioners</w:t>
      </w:r>
      <w:r w:rsidR="002C0877" w:rsidRPr="00FE6A5C">
        <w:rPr>
          <w:rFonts w:asciiTheme="majorHAnsi" w:hAnsiTheme="majorHAnsi"/>
        </w:rPr>
        <w:t xml:space="preserve">. </w:t>
      </w:r>
      <w:r w:rsidR="004024F8">
        <w:rPr>
          <w:rFonts w:asciiTheme="majorHAnsi" w:hAnsiTheme="majorHAnsi"/>
        </w:rPr>
        <w:t xml:space="preserve">Feedback from this group </w:t>
      </w:r>
      <w:r w:rsidR="002C0877">
        <w:rPr>
          <w:rFonts w:asciiTheme="majorHAnsi" w:hAnsiTheme="majorHAnsi"/>
        </w:rPr>
        <w:t>was</w:t>
      </w:r>
      <w:r w:rsidR="004024F8">
        <w:rPr>
          <w:rFonts w:asciiTheme="majorHAnsi" w:hAnsiTheme="majorHAnsi"/>
        </w:rPr>
        <w:t xml:space="preserve"> used to refine questions as needed, ensure accurate programming and skip patterns and establish the estimated time required to complete the survey.</w:t>
      </w:r>
    </w:p>
    <w:p w:rsidR="00FF5EFB" w:rsidRDefault="00FF5EFB" w:rsidP="00F52BCC">
      <w:pPr>
        <w:spacing w:after="0"/>
        <w:ind w:left="720"/>
        <w:rPr>
          <w:rFonts w:asciiTheme="majorHAnsi" w:hAnsiTheme="majorHAnsi"/>
          <w:u w:val="single"/>
        </w:rPr>
      </w:pPr>
    </w:p>
    <w:p w:rsidR="00DB7F78" w:rsidRDefault="006102DA" w:rsidP="00F52BCC">
      <w:pPr>
        <w:spacing w:after="0"/>
        <w:ind w:left="720"/>
        <w:rPr>
          <w:rFonts w:asciiTheme="majorHAnsi" w:hAnsiTheme="majorHAnsi"/>
        </w:rPr>
      </w:pPr>
      <w:r w:rsidRPr="00D5367E">
        <w:rPr>
          <w:rFonts w:asciiTheme="majorHAnsi" w:hAnsiTheme="majorHAnsi"/>
          <w:u w:val="single"/>
        </w:rPr>
        <w:t>Items of Information to be Collected</w:t>
      </w:r>
      <w:r w:rsidR="00B1129F" w:rsidRPr="00D5367E">
        <w:rPr>
          <w:rFonts w:asciiTheme="majorHAnsi" w:hAnsiTheme="majorHAnsi"/>
        </w:rPr>
        <w:t xml:space="preserve"> –</w:t>
      </w:r>
      <w:r w:rsidR="000B0962">
        <w:rPr>
          <w:rFonts w:asciiTheme="majorHAnsi" w:hAnsiTheme="majorHAnsi"/>
        </w:rPr>
        <w:t xml:space="preserve">   </w:t>
      </w:r>
      <w:r w:rsidR="009252DC">
        <w:rPr>
          <w:rFonts w:asciiTheme="majorHAnsi" w:hAnsiTheme="majorHAnsi"/>
        </w:rPr>
        <w:t xml:space="preserve"> </w:t>
      </w:r>
    </w:p>
    <w:p w:rsidR="00DB7F78" w:rsidRDefault="00324B7E" w:rsidP="00F52BCC">
      <w:pPr>
        <w:spacing w:after="0"/>
        <w:ind w:left="720"/>
        <w:rPr>
          <w:rFonts w:asciiTheme="majorHAnsi" w:hAnsiTheme="majorHAnsi"/>
        </w:rPr>
      </w:pPr>
      <w:r>
        <w:rPr>
          <w:rFonts w:asciiTheme="majorHAnsi" w:hAnsiTheme="majorHAnsi"/>
        </w:rPr>
        <w:t xml:space="preserve">The survey consists of </w:t>
      </w:r>
      <w:r w:rsidR="00932721">
        <w:rPr>
          <w:rFonts w:asciiTheme="majorHAnsi" w:hAnsiTheme="majorHAnsi"/>
        </w:rPr>
        <w:t>38</w:t>
      </w:r>
      <w:r>
        <w:rPr>
          <w:rFonts w:asciiTheme="majorHAnsi" w:hAnsiTheme="majorHAnsi"/>
        </w:rPr>
        <w:t xml:space="preserve"> questions of various types including single response, multiple response, interval, filter, and open-ended. An effort was made to limit questions requiring narrative responses from respondents (</w:t>
      </w:r>
      <w:r w:rsidR="009E1554">
        <w:rPr>
          <w:rFonts w:asciiTheme="majorHAnsi" w:hAnsiTheme="majorHAnsi"/>
        </w:rPr>
        <w:t>two</w:t>
      </w:r>
      <w:r>
        <w:rPr>
          <w:rFonts w:asciiTheme="majorHAnsi" w:hAnsiTheme="majorHAnsi"/>
        </w:rPr>
        <w:t xml:space="preserve"> open-ended question</w:t>
      </w:r>
      <w:r w:rsidR="009E1554">
        <w:rPr>
          <w:rFonts w:asciiTheme="majorHAnsi" w:hAnsiTheme="majorHAnsi"/>
        </w:rPr>
        <w:t>s</w:t>
      </w:r>
      <w:r>
        <w:rPr>
          <w:rFonts w:asciiTheme="majorHAnsi" w:hAnsiTheme="majorHAnsi"/>
        </w:rPr>
        <w:t xml:space="preserve"> and </w:t>
      </w:r>
      <w:r w:rsidR="009E1554">
        <w:rPr>
          <w:rFonts w:asciiTheme="majorHAnsi" w:hAnsiTheme="majorHAnsi"/>
        </w:rPr>
        <w:t>four</w:t>
      </w:r>
      <w:r w:rsidR="00FF5EFB">
        <w:rPr>
          <w:rFonts w:asciiTheme="majorHAnsi" w:hAnsiTheme="majorHAnsi"/>
        </w:rPr>
        <w:t xml:space="preserve"> questions with an “other, please describe” option on multiple response questions). The survey will collect information on the following:</w:t>
      </w:r>
    </w:p>
    <w:p w:rsidR="00FF5EFB" w:rsidRDefault="00FF5EFB" w:rsidP="00F52BCC">
      <w:pPr>
        <w:spacing w:after="0"/>
        <w:ind w:left="720"/>
        <w:rPr>
          <w:rFonts w:asciiTheme="majorHAnsi" w:hAnsiTheme="majorHAnsi"/>
        </w:rPr>
      </w:pPr>
    </w:p>
    <w:p w:rsidR="00FF5EFB" w:rsidRDefault="00432643" w:rsidP="00432643">
      <w:pPr>
        <w:pStyle w:val="ListParagraph"/>
        <w:numPr>
          <w:ilvl w:val="0"/>
          <w:numId w:val="22"/>
        </w:numPr>
        <w:spacing w:after="0"/>
        <w:rPr>
          <w:rFonts w:asciiTheme="majorHAnsi" w:hAnsiTheme="majorHAnsi"/>
        </w:rPr>
      </w:pPr>
      <w:r>
        <w:rPr>
          <w:rFonts w:asciiTheme="majorHAnsi" w:hAnsiTheme="majorHAnsi"/>
        </w:rPr>
        <w:t xml:space="preserve">Respondent characteristics: employer type (state, </w:t>
      </w:r>
      <w:r w:rsidR="009E1554">
        <w:rPr>
          <w:rFonts w:asciiTheme="majorHAnsi" w:hAnsiTheme="majorHAnsi"/>
        </w:rPr>
        <w:t>t</w:t>
      </w:r>
      <w:r>
        <w:rPr>
          <w:rFonts w:asciiTheme="majorHAnsi" w:hAnsiTheme="majorHAnsi"/>
        </w:rPr>
        <w:t>ribal, local, or territorial), primary field of practice;</w:t>
      </w:r>
    </w:p>
    <w:p w:rsidR="00432643" w:rsidRDefault="00432643" w:rsidP="00432643">
      <w:pPr>
        <w:pStyle w:val="ListParagraph"/>
        <w:numPr>
          <w:ilvl w:val="0"/>
          <w:numId w:val="22"/>
        </w:numPr>
        <w:spacing w:after="0"/>
        <w:rPr>
          <w:rFonts w:asciiTheme="majorHAnsi" w:hAnsiTheme="majorHAnsi"/>
        </w:rPr>
      </w:pPr>
      <w:r>
        <w:rPr>
          <w:rFonts w:asciiTheme="majorHAnsi" w:hAnsiTheme="majorHAnsi"/>
        </w:rPr>
        <w:t>Training needs: topic areas, preferred delivery format;</w:t>
      </w:r>
    </w:p>
    <w:p w:rsidR="00432643" w:rsidRDefault="00432643" w:rsidP="00432643">
      <w:pPr>
        <w:pStyle w:val="ListParagraph"/>
        <w:numPr>
          <w:ilvl w:val="0"/>
          <w:numId w:val="22"/>
        </w:numPr>
        <w:spacing w:after="0"/>
        <w:rPr>
          <w:rFonts w:asciiTheme="majorHAnsi" w:hAnsiTheme="majorHAnsi"/>
        </w:rPr>
      </w:pPr>
      <w:r>
        <w:rPr>
          <w:rFonts w:asciiTheme="majorHAnsi" w:hAnsiTheme="majorHAnsi"/>
        </w:rPr>
        <w:t>Technical Assistance needs: topic areas;</w:t>
      </w:r>
    </w:p>
    <w:p w:rsidR="00432643" w:rsidRPr="00432643" w:rsidRDefault="00432643" w:rsidP="00432643">
      <w:pPr>
        <w:pStyle w:val="ListParagraph"/>
        <w:numPr>
          <w:ilvl w:val="0"/>
          <w:numId w:val="22"/>
        </w:numPr>
        <w:spacing w:after="0"/>
        <w:rPr>
          <w:rFonts w:asciiTheme="majorHAnsi" w:hAnsiTheme="majorHAnsi"/>
        </w:rPr>
      </w:pPr>
      <w:r>
        <w:rPr>
          <w:rFonts w:asciiTheme="majorHAnsi" w:hAnsiTheme="majorHAnsi"/>
        </w:rPr>
        <w:lastRenderedPageBreak/>
        <w:t>Core Legal Competencies: familiarity with competencies, confidence level in ability to perform tasks related to each competency, perceived need for training related to each competency area.</w:t>
      </w:r>
    </w:p>
    <w:p w:rsidR="00DB7F78" w:rsidRDefault="00DB7F78" w:rsidP="00F52BCC">
      <w:pPr>
        <w:spacing w:after="0"/>
        <w:ind w:left="720"/>
        <w:rPr>
          <w:rFonts w:asciiTheme="majorHAnsi" w:hAnsiTheme="majorHAnsi"/>
        </w:rPr>
      </w:pPr>
    </w:p>
    <w:p w:rsidR="006102DA" w:rsidRPr="005869D6" w:rsidRDefault="006102DA" w:rsidP="00F52BCC">
      <w:pPr>
        <w:spacing w:after="0"/>
        <w:ind w:left="720"/>
        <w:rPr>
          <w:rFonts w:asciiTheme="majorHAnsi" w:hAnsiTheme="majorHAnsi"/>
        </w:rPr>
      </w:pPr>
      <w:r w:rsidRPr="006102DA">
        <w:rPr>
          <w:rFonts w:asciiTheme="majorHAnsi" w:hAnsiTheme="majorHAnsi"/>
          <w:u w:val="single"/>
        </w:rPr>
        <w:t xml:space="preserve">Identification of Website(s) and Website Content Directed at Children Under 13 Years of </w:t>
      </w:r>
      <w:r w:rsidRPr="005869D6">
        <w:rPr>
          <w:rFonts w:asciiTheme="majorHAnsi" w:hAnsiTheme="majorHAnsi"/>
          <w:u w:val="single"/>
        </w:rPr>
        <w:t>Age</w:t>
      </w:r>
      <w:r w:rsidR="00D13B13" w:rsidRPr="005869D6">
        <w:rPr>
          <w:rFonts w:asciiTheme="majorHAnsi" w:hAnsiTheme="majorHAnsi"/>
        </w:rPr>
        <w:t xml:space="preserve"> – </w:t>
      </w:r>
      <w:r w:rsidR="005869D6" w:rsidRPr="005869D6">
        <w:rPr>
          <w:rFonts w:asciiTheme="majorHAnsi" w:hAnsiTheme="majorHAnsi"/>
        </w:rPr>
        <w:t xml:space="preserve">The data </w:t>
      </w:r>
      <w:r w:rsidR="005869D6">
        <w:rPr>
          <w:rFonts w:asciiTheme="majorHAnsi" w:hAnsiTheme="majorHAnsi"/>
        </w:rPr>
        <w:t>collection system involve</w:t>
      </w:r>
      <w:r w:rsidR="00E23568">
        <w:rPr>
          <w:rFonts w:asciiTheme="majorHAnsi" w:hAnsiTheme="majorHAnsi"/>
        </w:rPr>
        <w:t>s</w:t>
      </w:r>
      <w:r w:rsidR="005869D6">
        <w:rPr>
          <w:rFonts w:asciiTheme="majorHAnsi" w:hAnsiTheme="majorHAnsi"/>
        </w:rPr>
        <w:t xml:space="preserve"> using a web-based survey. Respondents will be sent a link directing them to the online survey only (i.e., not a website). No website content will be directed at children.</w:t>
      </w:r>
    </w:p>
    <w:p w:rsidR="00F52BCC" w:rsidRPr="00F52BCC" w:rsidRDefault="00F52BCC" w:rsidP="00F52BCC">
      <w:pPr>
        <w:spacing w:after="0"/>
        <w:ind w:left="720"/>
        <w:rPr>
          <w:rFonts w:asciiTheme="majorHAnsi" w:hAnsiTheme="majorHAnsi"/>
        </w:rPr>
      </w:pPr>
    </w:p>
    <w:p w:rsidR="00B12F51" w:rsidRPr="00014361" w:rsidRDefault="00B12F51" w:rsidP="00B12F51">
      <w:pPr>
        <w:pStyle w:val="ListParagraph"/>
        <w:numPr>
          <w:ilvl w:val="0"/>
          <w:numId w:val="2"/>
        </w:numPr>
        <w:spacing w:after="0"/>
        <w:rPr>
          <w:rFonts w:asciiTheme="majorHAnsi" w:hAnsiTheme="majorHAnsi"/>
          <w:b/>
        </w:rPr>
      </w:pPr>
      <w:r w:rsidRPr="00014361">
        <w:rPr>
          <w:rFonts w:asciiTheme="majorHAnsi" w:hAnsiTheme="majorHAnsi"/>
          <w:b/>
        </w:rPr>
        <w:t>Purpose and Use of the Information Collection</w:t>
      </w:r>
    </w:p>
    <w:p w:rsidR="00BE738E" w:rsidRDefault="00BE738E" w:rsidP="00F52BCC">
      <w:pPr>
        <w:pStyle w:val="ListParagraph"/>
        <w:spacing w:after="0"/>
        <w:rPr>
          <w:rFonts w:asciiTheme="majorHAnsi" w:hAnsiTheme="majorHAnsi"/>
        </w:rPr>
      </w:pPr>
    </w:p>
    <w:p w:rsidR="00B725F0" w:rsidRDefault="00B725F0" w:rsidP="00F52BCC">
      <w:pPr>
        <w:pStyle w:val="ListParagraph"/>
        <w:spacing w:after="0"/>
        <w:rPr>
          <w:rFonts w:asciiTheme="majorHAnsi" w:hAnsiTheme="majorHAnsi"/>
        </w:rPr>
      </w:pPr>
      <w:r w:rsidRPr="00B725F0">
        <w:rPr>
          <w:rFonts w:asciiTheme="majorHAnsi" w:hAnsiTheme="majorHAnsi"/>
        </w:rPr>
        <w:t>The purpose of this assessment is to assist the Public Health Law Program (PHLP) in identifying public health law-related training and technical assistance needs of state, Tribal, local, and territorial (STLT) government officials and employees, across occupational and functional groups, employed by a public health agency.</w:t>
      </w:r>
      <w:r w:rsidR="00932721">
        <w:rPr>
          <w:rFonts w:asciiTheme="majorHAnsi" w:hAnsiTheme="majorHAnsi"/>
        </w:rPr>
        <w:t xml:space="preserve"> </w:t>
      </w:r>
      <w:r w:rsidRPr="00B725F0">
        <w:rPr>
          <w:rFonts w:asciiTheme="majorHAnsi" w:hAnsiTheme="majorHAnsi"/>
        </w:rPr>
        <w:t xml:space="preserve">PHLP aims to develop an online  survey instrument which focuses on an assessment of 1) the existing and desired competency levels of respondents in each of the seven domain and skill areas as identified in the </w:t>
      </w:r>
      <w:r w:rsidRPr="00FA5CB7">
        <w:rPr>
          <w:rFonts w:asciiTheme="majorHAnsi" w:hAnsiTheme="majorHAnsi"/>
          <w:i/>
        </w:rPr>
        <w:t>Core Legal Competencies for Public Health Professionals</w:t>
      </w:r>
      <w:r w:rsidRPr="00B725F0">
        <w:rPr>
          <w:rFonts w:asciiTheme="majorHAnsi" w:hAnsiTheme="majorHAnsi"/>
        </w:rPr>
        <w:t xml:space="preserve"> developed by The Center for Law and the Public’s Health; 2) the top 5-10 subject areas in public health law where training is needed; 3) the preferred delivery methods for training; and 4) current and emerging legal issues where technical assistance is of the greatest demand.</w:t>
      </w:r>
    </w:p>
    <w:p w:rsidR="00FA5CB7" w:rsidRDefault="00FA5CB7" w:rsidP="00F52BCC">
      <w:pPr>
        <w:pStyle w:val="ListParagraph"/>
        <w:spacing w:after="0"/>
        <w:rPr>
          <w:rFonts w:asciiTheme="majorHAnsi" w:hAnsiTheme="majorHAnsi"/>
        </w:rPr>
      </w:pPr>
    </w:p>
    <w:p w:rsidR="00681A93" w:rsidRDefault="00681A93" w:rsidP="00681A93">
      <w:pPr>
        <w:pStyle w:val="ListParagraph"/>
        <w:spacing w:after="0"/>
        <w:rPr>
          <w:rFonts w:asciiTheme="majorHAnsi" w:hAnsiTheme="majorHAnsi"/>
        </w:rPr>
      </w:pPr>
      <w:r w:rsidRPr="00681A93">
        <w:rPr>
          <w:rFonts w:asciiTheme="majorHAnsi" w:hAnsiTheme="majorHAnsi"/>
        </w:rPr>
        <w:t>Respondents will complete a one-time web-based survey designed to assess CDC and STLT staff perceptions of public health law curriculum and legal technical assistance needs. As described below, PHLP will use the data collected to set program priorities, facilitate development of technical assistance resources for CDC programs, and to collaborate with PHLP’s national public health law partners.</w:t>
      </w:r>
    </w:p>
    <w:p w:rsidR="00681A93" w:rsidRDefault="00681A93" w:rsidP="00F52BCC">
      <w:pPr>
        <w:pStyle w:val="ListParagraph"/>
        <w:spacing w:after="0"/>
        <w:rPr>
          <w:rFonts w:asciiTheme="majorHAnsi" w:hAnsiTheme="majorHAnsi"/>
        </w:rPr>
      </w:pPr>
    </w:p>
    <w:p w:rsidR="00FA5CB7" w:rsidRPr="00FA5CB7" w:rsidRDefault="00FA5CB7" w:rsidP="00FA5CB7">
      <w:pPr>
        <w:pStyle w:val="ListParagraph"/>
        <w:rPr>
          <w:rFonts w:asciiTheme="majorHAnsi" w:hAnsiTheme="majorHAnsi"/>
        </w:rPr>
      </w:pPr>
      <w:r w:rsidRPr="00FA5CB7">
        <w:rPr>
          <w:rFonts w:asciiTheme="majorHAnsi" w:hAnsiTheme="majorHAnsi"/>
        </w:rPr>
        <w:t xml:space="preserve">Results from the needs assessment will be reviewed and synthesized into a report identifying the common and recurring priority legal training and technical assistance needs of the public health workforce.  This report will serve to inform the proactive development and evaluation of appropriate training and technical assistance resources and tools by PHLP and our partners.  In addition, the results will be used to:  </w:t>
      </w:r>
    </w:p>
    <w:p w:rsidR="00FA5CB7" w:rsidRPr="00FA5CB7" w:rsidRDefault="00FA5CB7" w:rsidP="00FA5CB7">
      <w:pPr>
        <w:pStyle w:val="ListParagraph"/>
        <w:rPr>
          <w:rFonts w:asciiTheme="majorHAnsi" w:hAnsiTheme="majorHAnsi"/>
        </w:rPr>
      </w:pPr>
    </w:p>
    <w:p w:rsidR="00FA5CB7" w:rsidRPr="00FA5CB7" w:rsidRDefault="00FA5CB7" w:rsidP="00FA5CB7">
      <w:pPr>
        <w:pStyle w:val="ListParagraph"/>
        <w:numPr>
          <w:ilvl w:val="0"/>
          <w:numId w:val="23"/>
        </w:numPr>
        <w:rPr>
          <w:rFonts w:asciiTheme="majorHAnsi" w:hAnsiTheme="majorHAnsi"/>
        </w:rPr>
      </w:pPr>
      <w:r w:rsidRPr="00FA5CB7">
        <w:rPr>
          <w:rFonts w:asciiTheme="majorHAnsi" w:hAnsiTheme="majorHAnsi"/>
        </w:rPr>
        <w:t xml:space="preserve">Proactively direct staff and other resources to technical assistance areas of greatest demand;  </w:t>
      </w:r>
    </w:p>
    <w:p w:rsidR="00FA5CB7" w:rsidRPr="00FA5CB7" w:rsidRDefault="00FA5CB7" w:rsidP="00FA5CB7">
      <w:pPr>
        <w:pStyle w:val="ListParagraph"/>
        <w:numPr>
          <w:ilvl w:val="0"/>
          <w:numId w:val="23"/>
        </w:numPr>
        <w:rPr>
          <w:rFonts w:asciiTheme="majorHAnsi" w:hAnsiTheme="majorHAnsi"/>
        </w:rPr>
      </w:pPr>
      <w:r w:rsidRPr="00FA5CB7">
        <w:rPr>
          <w:rFonts w:asciiTheme="majorHAnsi" w:hAnsiTheme="majorHAnsi"/>
        </w:rPr>
        <w:t xml:space="preserve">Provide an evidence base for a 3-5 year public health law training agenda;  </w:t>
      </w:r>
    </w:p>
    <w:p w:rsidR="00FA5CB7" w:rsidRDefault="005230EB" w:rsidP="005230EB">
      <w:pPr>
        <w:pStyle w:val="ListParagraph"/>
        <w:numPr>
          <w:ilvl w:val="0"/>
          <w:numId w:val="23"/>
        </w:numPr>
        <w:rPr>
          <w:rFonts w:asciiTheme="majorHAnsi" w:hAnsiTheme="majorHAnsi"/>
        </w:rPr>
      </w:pPr>
      <w:r>
        <w:rPr>
          <w:rFonts w:asciiTheme="majorHAnsi" w:hAnsiTheme="majorHAnsi"/>
        </w:rPr>
        <w:t xml:space="preserve">Determine whether baseline data indicates a need for further information gathering, such as focus groups, </w:t>
      </w:r>
      <w:r w:rsidR="00FA5CB7" w:rsidRPr="00FA5CB7">
        <w:rPr>
          <w:rFonts w:asciiTheme="majorHAnsi" w:hAnsiTheme="majorHAnsi"/>
        </w:rPr>
        <w:t xml:space="preserve">to identify the training and technical needs of specific occupational and functional groups; and </w:t>
      </w:r>
    </w:p>
    <w:p w:rsidR="00FA5CB7" w:rsidRPr="00FA5CB7" w:rsidRDefault="00FA5CB7" w:rsidP="00FA5CB7">
      <w:pPr>
        <w:pStyle w:val="ListParagraph"/>
        <w:numPr>
          <w:ilvl w:val="0"/>
          <w:numId w:val="23"/>
        </w:numPr>
        <w:rPr>
          <w:rFonts w:asciiTheme="majorHAnsi" w:hAnsiTheme="majorHAnsi"/>
        </w:rPr>
      </w:pPr>
      <w:r w:rsidRPr="00FA5CB7">
        <w:rPr>
          <w:rFonts w:asciiTheme="majorHAnsi" w:hAnsiTheme="majorHAnsi"/>
        </w:rPr>
        <w:t>Delineate the best methods for the provision of public health training and technical assistance to STLT health departments.</w:t>
      </w:r>
    </w:p>
    <w:p w:rsidR="00B725F0" w:rsidRDefault="00B725F0" w:rsidP="00F52BCC">
      <w:pPr>
        <w:pStyle w:val="ListParagraph"/>
        <w:spacing w:after="0"/>
        <w:rPr>
          <w:rFonts w:asciiTheme="majorHAnsi" w:hAnsiTheme="majorHAnsi"/>
        </w:rPr>
      </w:pPr>
    </w:p>
    <w:p w:rsidR="006102DA" w:rsidRDefault="006102DA" w:rsidP="006102DA">
      <w:pPr>
        <w:spacing w:after="0"/>
        <w:ind w:left="720"/>
        <w:rPr>
          <w:rFonts w:asciiTheme="majorHAnsi" w:hAnsiTheme="majorHAnsi"/>
        </w:rPr>
      </w:pPr>
      <w:r>
        <w:rPr>
          <w:rFonts w:asciiTheme="majorHAnsi" w:hAnsiTheme="majorHAnsi"/>
          <w:u w:val="single"/>
        </w:rPr>
        <w:lastRenderedPageBreak/>
        <w:t>Privacy Impact Assessment</w:t>
      </w:r>
      <w:r w:rsidR="00DB7F78">
        <w:rPr>
          <w:rFonts w:asciiTheme="majorHAnsi" w:hAnsiTheme="majorHAnsi"/>
          <w:u w:val="single"/>
        </w:rPr>
        <w:t xml:space="preserve"> </w:t>
      </w:r>
    </w:p>
    <w:p w:rsidR="006102DA" w:rsidRDefault="00FB62BC" w:rsidP="00F52BCC">
      <w:pPr>
        <w:pStyle w:val="ListParagraph"/>
        <w:spacing w:after="0"/>
        <w:rPr>
          <w:rFonts w:asciiTheme="majorHAnsi" w:hAnsiTheme="majorHAnsi"/>
        </w:rPr>
      </w:pPr>
      <w:r>
        <w:rPr>
          <w:rFonts w:asciiTheme="majorHAnsi" w:hAnsiTheme="majorHAnsi"/>
        </w:rPr>
        <w:t xml:space="preserve"> </w:t>
      </w:r>
      <w:r w:rsidR="000162BC">
        <w:rPr>
          <w:rFonts w:asciiTheme="majorHAnsi" w:hAnsiTheme="majorHAnsi"/>
        </w:rPr>
        <w:t>No sensitive information is being collected. The proposed data collection will have little or no effect on respondent privacy because respondents are participating in their official capacity as staff in state, Tribal, local, or territorial departments of health.</w:t>
      </w:r>
    </w:p>
    <w:p w:rsidR="00F52BCC" w:rsidRDefault="00F52BCC" w:rsidP="00F52BCC">
      <w:pPr>
        <w:pStyle w:val="ListParagraph"/>
        <w:spacing w:after="0"/>
        <w:rPr>
          <w:rFonts w:asciiTheme="majorHAnsi" w:hAnsiTheme="majorHAnsi"/>
        </w:rPr>
      </w:pPr>
    </w:p>
    <w:p w:rsidR="00B12F51" w:rsidRPr="00DC79CC" w:rsidRDefault="00D95FBF" w:rsidP="00B12F51">
      <w:pPr>
        <w:pStyle w:val="ListParagraph"/>
        <w:numPr>
          <w:ilvl w:val="0"/>
          <w:numId w:val="2"/>
        </w:numPr>
        <w:spacing w:after="0"/>
        <w:rPr>
          <w:rFonts w:asciiTheme="majorHAnsi" w:hAnsiTheme="majorHAnsi"/>
          <w:b/>
        </w:rPr>
      </w:pPr>
      <w:r>
        <w:rPr>
          <w:rFonts w:asciiTheme="majorHAnsi" w:hAnsiTheme="majorHAnsi"/>
          <w:b/>
        </w:rPr>
        <w:t>Considerations Given to Information Technology</w:t>
      </w:r>
    </w:p>
    <w:p w:rsidR="00F52BCC" w:rsidRDefault="00DC79CC" w:rsidP="00F52BCC">
      <w:pPr>
        <w:pStyle w:val="ListParagraph"/>
        <w:spacing w:after="0"/>
        <w:rPr>
          <w:rFonts w:asciiTheme="majorHAnsi" w:hAnsiTheme="majorHAnsi"/>
        </w:rPr>
      </w:pPr>
      <w:r>
        <w:rPr>
          <w:rFonts w:asciiTheme="majorHAnsi" w:hAnsiTheme="majorHAnsi"/>
        </w:rPr>
        <w:t xml:space="preserve">Data will be collected via </w:t>
      </w:r>
      <w:r w:rsidR="000D0C15">
        <w:rPr>
          <w:rFonts w:asciiTheme="majorHAnsi" w:hAnsiTheme="majorHAnsi"/>
        </w:rPr>
        <w:t xml:space="preserve">Survey Monkey, </w:t>
      </w:r>
      <w:r>
        <w:rPr>
          <w:rFonts w:asciiTheme="majorHAnsi" w:hAnsiTheme="majorHAnsi"/>
        </w:rPr>
        <w:t xml:space="preserve">a web-based questionnaire allowing respondents to complete and submit their responses electronically. This method was chosen to reduce the overall burden on respondents. The survey was designed to collect the minimum information necessary for the purposes of this project (i.e., limited to </w:t>
      </w:r>
      <w:r w:rsidR="000B01F9">
        <w:rPr>
          <w:rFonts w:asciiTheme="majorHAnsi" w:hAnsiTheme="majorHAnsi"/>
        </w:rPr>
        <w:t>38</w:t>
      </w:r>
      <w:r w:rsidR="000D0C15">
        <w:rPr>
          <w:rFonts w:asciiTheme="majorHAnsi" w:hAnsiTheme="majorHAnsi"/>
        </w:rPr>
        <w:t xml:space="preserve"> </w:t>
      </w:r>
      <w:r>
        <w:rPr>
          <w:rFonts w:asciiTheme="majorHAnsi" w:hAnsiTheme="majorHAnsi"/>
        </w:rPr>
        <w:t xml:space="preserve">survey </w:t>
      </w:r>
      <w:r w:rsidR="008414AD">
        <w:rPr>
          <w:rFonts w:asciiTheme="majorHAnsi" w:hAnsiTheme="majorHAnsi"/>
        </w:rPr>
        <w:t>questions</w:t>
      </w:r>
      <w:r>
        <w:rPr>
          <w:rFonts w:asciiTheme="majorHAnsi" w:hAnsiTheme="majorHAnsi"/>
        </w:rPr>
        <w:t>).</w:t>
      </w:r>
      <w:r w:rsidR="00AB251E">
        <w:rPr>
          <w:rFonts w:asciiTheme="majorHAnsi" w:hAnsiTheme="majorHAnsi"/>
        </w:rPr>
        <w:t xml:space="preserve"> </w:t>
      </w:r>
    </w:p>
    <w:p w:rsidR="00E8736B" w:rsidRDefault="00E8736B" w:rsidP="00F52BCC">
      <w:pPr>
        <w:pStyle w:val="ListParagraph"/>
        <w:spacing w:after="0"/>
        <w:rPr>
          <w:rFonts w:asciiTheme="majorHAnsi" w:hAnsiTheme="majorHAnsi"/>
        </w:rPr>
      </w:pPr>
    </w:p>
    <w:p w:rsidR="00B12F51" w:rsidRPr="00D26A64" w:rsidRDefault="00D95FBF" w:rsidP="00B12F51">
      <w:pPr>
        <w:pStyle w:val="ListParagraph"/>
        <w:numPr>
          <w:ilvl w:val="0"/>
          <w:numId w:val="2"/>
        </w:numPr>
        <w:spacing w:after="0"/>
        <w:rPr>
          <w:rFonts w:asciiTheme="majorHAnsi" w:hAnsiTheme="majorHAnsi"/>
          <w:b/>
        </w:rPr>
      </w:pPr>
      <w:r>
        <w:rPr>
          <w:rFonts w:asciiTheme="majorHAnsi" w:hAnsiTheme="majorHAnsi"/>
          <w:b/>
        </w:rPr>
        <w:t>Duplication of</w:t>
      </w:r>
      <w:r w:rsidR="00B12F51" w:rsidRPr="00D26A64">
        <w:rPr>
          <w:rFonts w:asciiTheme="majorHAnsi" w:hAnsiTheme="majorHAnsi"/>
          <w:b/>
        </w:rPr>
        <w:t xml:space="preserve"> Information</w:t>
      </w:r>
    </w:p>
    <w:p w:rsidR="001315FC" w:rsidRPr="004240A8" w:rsidRDefault="001878E0" w:rsidP="004240A8">
      <w:pPr>
        <w:spacing w:after="0"/>
        <w:ind w:left="720"/>
        <w:rPr>
          <w:rFonts w:asciiTheme="majorHAnsi" w:hAnsiTheme="majorHAnsi" w:cs="Arial"/>
        </w:rPr>
      </w:pPr>
      <w:r>
        <w:rPr>
          <w:rFonts w:asciiTheme="majorHAnsi" w:hAnsiTheme="majorHAnsi" w:cs="Arial"/>
        </w:rPr>
        <w:t>After an extensive literature search, we have concluded t</w:t>
      </w:r>
      <w:r w:rsidR="001315FC">
        <w:rPr>
          <w:rFonts w:asciiTheme="majorHAnsi" w:hAnsiTheme="majorHAnsi" w:cs="Arial"/>
        </w:rPr>
        <w:t xml:space="preserve">here is </w:t>
      </w:r>
      <w:r w:rsidR="00283767">
        <w:rPr>
          <w:rFonts w:asciiTheme="majorHAnsi" w:hAnsiTheme="majorHAnsi" w:cs="Arial"/>
        </w:rPr>
        <w:t>currently no information available that can substitute for survey responses</w:t>
      </w:r>
      <w:r w:rsidR="001315FC">
        <w:rPr>
          <w:rFonts w:asciiTheme="majorHAnsi" w:hAnsiTheme="majorHAnsi" w:cs="Arial"/>
        </w:rPr>
        <w:t xml:space="preserve">. </w:t>
      </w:r>
      <w:r>
        <w:rPr>
          <w:rFonts w:asciiTheme="majorHAnsi" w:hAnsiTheme="majorHAnsi" w:cs="Arial"/>
        </w:rPr>
        <w:t xml:space="preserve">The Public Health Law Program currently does not </w:t>
      </w:r>
      <w:r w:rsidR="00147509">
        <w:rPr>
          <w:rFonts w:asciiTheme="majorHAnsi" w:hAnsiTheme="majorHAnsi" w:cs="Arial"/>
        </w:rPr>
        <w:t xml:space="preserve">systematically </w:t>
      </w:r>
      <w:r>
        <w:rPr>
          <w:rFonts w:asciiTheme="majorHAnsi" w:hAnsiTheme="majorHAnsi" w:cs="Arial"/>
        </w:rPr>
        <w:t>collect information on law-related training and technical assistance needs of STLTs and</w:t>
      </w:r>
      <w:r w:rsidR="009652B9">
        <w:rPr>
          <w:rFonts w:asciiTheme="majorHAnsi" w:hAnsiTheme="majorHAnsi" w:cs="Arial"/>
        </w:rPr>
        <w:t xml:space="preserve">, while </w:t>
      </w:r>
      <w:r>
        <w:rPr>
          <w:rFonts w:asciiTheme="majorHAnsi" w:hAnsiTheme="majorHAnsi" w:cs="Arial"/>
        </w:rPr>
        <w:t>other organization</w:t>
      </w:r>
      <w:r w:rsidR="009652B9">
        <w:rPr>
          <w:rFonts w:asciiTheme="majorHAnsi" w:hAnsiTheme="majorHAnsi" w:cs="Arial"/>
        </w:rPr>
        <w:t xml:space="preserve">s have </w:t>
      </w:r>
      <w:r w:rsidR="00EE3C97">
        <w:rPr>
          <w:rFonts w:asciiTheme="majorHAnsi" w:hAnsiTheme="majorHAnsi" w:cs="Arial"/>
        </w:rPr>
        <w:t>conducted training needs assessments, none have focused</w:t>
      </w:r>
      <w:r w:rsidR="00EE3C97" w:rsidRPr="004240A8">
        <w:rPr>
          <w:rFonts w:asciiTheme="majorHAnsi" w:hAnsiTheme="majorHAnsi" w:cs="Arial"/>
        </w:rPr>
        <w:t xml:space="preserve"> specifically o</w:t>
      </w:r>
      <w:r w:rsidR="00EE3C97">
        <w:rPr>
          <w:rFonts w:asciiTheme="majorHAnsi" w:hAnsiTheme="majorHAnsi" w:cs="Arial"/>
        </w:rPr>
        <w:t>n the public health law-</w:t>
      </w:r>
      <w:r w:rsidR="00EE3C97" w:rsidRPr="004240A8">
        <w:rPr>
          <w:rFonts w:asciiTheme="majorHAnsi" w:hAnsiTheme="majorHAnsi" w:cs="Arial"/>
        </w:rPr>
        <w:t>related training and technical assistance needs of the public health workforce</w:t>
      </w:r>
      <w:r w:rsidR="003C6041">
        <w:rPr>
          <w:rFonts w:asciiTheme="majorHAnsi" w:hAnsiTheme="majorHAnsi" w:cs="Arial"/>
        </w:rPr>
        <w:t>.</w:t>
      </w:r>
    </w:p>
    <w:p w:rsidR="00D90DBA" w:rsidRPr="00283767" w:rsidRDefault="00D90DBA" w:rsidP="00283767">
      <w:pPr>
        <w:spacing w:after="0"/>
        <w:rPr>
          <w:rFonts w:asciiTheme="majorHAnsi" w:hAnsiTheme="majorHAnsi"/>
        </w:rPr>
      </w:pPr>
    </w:p>
    <w:p w:rsidR="00B12F51" w:rsidRPr="00D26A64" w:rsidRDefault="00D95FBF" w:rsidP="00B12F51">
      <w:pPr>
        <w:pStyle w:val="ListParagraph"/>
        <w:numPr>
          <w:ilvl w:val="0"/>
          <w:numId w:val="2"/>
        </w:numPr>
        <w:spacing w:after="0"/>
        <w:rPr>
          <w:rFonts w:asciiTheme="majorHAnsi" w:hAnsiTheme="majorHAnsi"/>
          <w:b/>
        </w:rPr>
      </w:pPr>
      <w:r>
        <w:rPr>
          <w:rFonts w:asciiTheme="majorHAnsi" w:hAnsiTheme="majorHAnsi"/>
          <w:b/>
        </w:rPr>
        <w:t>Reducing the Burden on Small</w:t>
      </w:r>
      <w:r w:rsidR="00B12F51" w:rsidRPr="00D26A64">
        <w:rPr>
          <w:rFonts w:asciiTheme="majorHAnsi" w:hAnsiTheme="majorHAnsi"/>
          <w:b/>
        </w:rPr>
        <w:t xml:space="preserve"> Entities</w:t>
      </w:r>
    </w:p>
    <w:p w:rsidR="0053557D" w:rsidRDefault="00D26A64" w:rsidP="00D95FBF">
      <w:pPr>
        <w:pStyle w:val="ListParagraph"/>
        <w:spacing w:after="0"/>
        <w:rPr>
          <w:rFonts w:asciiTheme="majorHAnsi" w:hAnsiTheme="majorHAnsi"/>
        </w:rPr>
      </w:pPr>
      <w:r>
        <w:rPr>
          <w:rFonts w:asciiTheme="majorHAnsi" w:hAnsiTheme="majorHAnsi"/>
        </w:rPr>
        <w:t>N</w:t>
      </w:r>
      <w:r w:rsidR="00AF2252">
        <w:rPr>
          <w:rFonts w:asciiTheme="majorHAnsi" w:hAnsiTheme="majorHAnsi"/>
        </w:rPr>
        <w:t>o small businesses will be involved in this data collection</w:t>
      </w:r>
      <w:r>
        <w:rPr>
          <w:rFonts w:asciiTheme="majorHAnsi" w:hAnsiTheme="majorHAnsi"/>
        </w:rPr>
        <w:t>.</w:t>
      </w:r>
    </w:p>
    <w:p w:rsidR="006057CA" w:rsidRPr="00D95FBF" w:rsidRDefault="006057CA" w:rsidP="00D95FBF">
      <w:pPr>
        <w:pStyle w:val="ListParagraph"/>
        <w:spacing w:after="0"/>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 xml:space="preserve">Consequences of </w:t>
      </w:r>
      <w:r w:rsidR="00D95FBF">
        <w:rPr>
          <w:rFonts w:asciiTheme="majorHAnsi" w:hAnsiTheme="majorHAnsi"/>
          <w:b/>
        </w:rPr>
        <w:t xml:space="preserve">Not Conducting Collection   </w:t>
      </w:r>
    </w:p>
    <w:p w:rsidR="00E125F4" w:rsidRDefault="00607F7C" w:rsidP="00C51E30">
      <w:pPr>
        <w:spacing w:after="0"/>
        <w:ind w:left="720"/>
        <w:rPr>
          <w:rFonts w:asciiTheme="majorHAnsi" w:hAnsiTheme="majorHAnsi"/>
        </w:rPr>
      </w:pPr>
      <w:r w:rsidRPr="00DE34B1">
        <w:rPr>
          <w:rFonts w:asciiTheme="majorHAnsi" w:hAnsiTheme="majorHAnsi"/>
        </w:rPr>
        <w:t xml:space="preserve">This request is for </w:t>
      </w:r>
      <w:r w:rsidR="00667C89" w:rsidRPr="00DE34B1">
        <w:rPr>
          <w:rFonts w:asciiTheme="majorHAnsi" w:hAnsiTheme="majorHAnsi"/>
        </w:rPr>
        <w:t xml:space="preserve">a </w:t>
      </w:r>
      <w:r w:rsidR="00BC5BB2" w:rsidRPr="00DE34B1">
        <w:rPr>
          <w:rFonts w:asciiTheme="majorHAnsi" w:hAnsiTheme="majorHAnsi"/>
        </w:rPr>
        <w:t>one time data collection.</w:t>
      </w:r>
      <w:r w:rsidR="0053557D" w:rsidRPr="00DE34B1">
        <w:rPr>
          <w:rFonts w:asciiTheme="majorHAnsi" w:hAnsiTheme="majorHAnsi"/>
        </w:rPr>
        <w:t xml:space="preserve">  </w:t>
      </w:r>
      <w:r w:rsidRPr="00DE34B1">
        <w:rPr>
          <w:rFonts w:asciiTheme="majorHAnsi" w:hAnsiTheme="majorHAnsi"/>
        </w:rPr>
        <w:t>There are no legal obstacles to reduce the burden.</w:t>
      </w:r>
      <w:r w:rsidR="00DE34B1">
        <w:rPr>
          <w:rFonts w:asciiTheme="majorHAnsi" w:hAnsiTheme="majorHAnsi"/>
        </w:rPr>
        <w:t xml:space="preserve"> If no data are collected, </w:t>
      </w:r>
      <w:r w:rsidR="00C51E30">
        <w:rPr>
          <w:rFonts w:asciiTheme="majorHAnsi" w:hAnsiTheme="majorHAnsi"/>
        </w:rPr>
        <w:t xml:space="preserve">the Public Health Law Program will </w:t>
      </w:r>
      <w:r w:rsidR="00E125F4">
        <w:rPr>
          <w:rFonts w:asciiTheme="majorHAnsi" w:hAnsiTheme="majorHAnsi"/>
        </w:rPr>
        <w:t>be</w:t>
      </w:r>
      <w:r w:rsidR="00C51E30">
        <w:rPr>
          <w:rFonts w:asciiTheme="majorHAnsi" w:hAnsiTheme="majorHAnsi"/>
        </w:rPr>
        <w:t xml:space="preserve"> </w:t>
      </w:r>
      <w:r w:rsidR="00E125F4">
        <w:rPr>
          <w:rFonts w:asciiTheme="majorHAnsi" w:hAnsiTheme="majorHAnsi"/>
        </w:rPr>
        <w:t>un</w:t>
      </w:r>
      <w:r w:rsidR="00C51E30">
        <w:rPr>
          <w:rFonts w:asciiTheme="majorHAnsi" w:hAnsiTheme="majorHAnsi"/>
        </w:rPr>
        <w:t>able</w:t>
      </w:r>
      <w:r w:rsidR="00E125F4">
        <w:rPr>
          <w:rFonts w:asciiTheme="majorHAnsi" w:hAnsiTheme="majorHAnsi"/>
        </w:rPr>
        <w:t xml:space="preserve"> to:</w:t>
      </w:r>
    </w:p>
    <w:p w:rsidR="00E125F4" w:rsidRPr="00E125F4" w:rsidRDefault="00E125F4" w:rsidP="00E125F4">
      <w:pPr>
        <w:pStyle w:val="ListParagraph"/>
        <w:numPr>
          <w:ilvl w:val="0"/>
          <w:numId w:val="25"/>
        </w:numPr>
        <w:spacing w:after="0"/>
        <w:rPr>
          <w:rFonts w:asciiTheme="majorHAnsi" w:hAnsiTheme="majorHAnsi"/>
        </w:rPr>
      </w:pPr>
      <w:r>
        <w:rPr>
          <w:rFonts w:asciiTheme="majorHAnsi" w:hAnsiTheme="majorHAnsi"/>
        </w:rPr>
        <w:t>i</w:t>
      </w:r>
      <w:r w:rsidR="00C51E30" w:rsidRPr="00E125F4">
        <w:rPr>
          <w:rFonts w:asciiTheme="majorHAnsi" w:hAnsiTheme="majorHAnsi" w:cs="Arial"/>
        </w:rPr>
        <w:t xml:space="preserve">dentify the public health law-related training and technical assistance needs of STLT government officials and employees, </w:t>
      </w:r>
    </w:p>
    <w:p w:rsidR="00E125F4" w:rsidRDefault="00E125F4" w:rsidP="00E125F4">
      <w:pPr>
        <w:pStyle w:val="ListParagraph"/>
        <w:numPr>
          <w:ilvl w:val="0"/>
          <w:numId w:val="25"/>
        </w:numPr>
        <w:spacing w:after="0"/>
        <w:rPr>
          <w:rFonts w:asciiTheme="majorHAnsi" w:hAnsiTheme="majorHAnsi"/>
        </w:rPr>
      </w:pPr>
      <w:r>
        <w:rPr>
          <w:rFonts w:asciiTheme="majorHAnsi" w:hAnsiTheme="majorHAnsi" w:cs="Arial"/>
        </w:rPr>
        <w:t>i</w:t>
      </w:r>
      <w:r w:rsidR="00C51E30" w:rsidRPr="00E125F4">
        <w:rPr>
          <w:rFonts w:asciiTheme="majorHAnsi" w:hAnsiTheme="majorHAnsi"/>
        </w:rPr>
        <w:t>dentify the common and recurring priority legal training and technical assistance needs of the public health workforce</w:t>
      </w:r>
      <w:r>
        <w:rPr>
          <w:rFonts w:asciiTheme="majorHAnsi" w:hAnsiTheme="majorHAnsi"/>
        </w:rPr>
        <w:t xml:space="preserve">, and </w:t>
      </w:r>
    </w:p>
    <w:p w:rsidR="00607F7C" w:rsidRPr="00E125F4" w:rsidRDefault="00C51E30" w:rsidP="00E125F4">
      <w:pPr>
        <w:pStyle w:val="ListParagraph"/>
        <w:numPr>
          <w:ilvl w:val="0"/>
          <w:numId w:val="25"/>
        </w:numPr>
        <w:spacing w:after="0"/>
        <w:rPr>
          <w:rFonts w:asciiTheme="majorHAnsi" w:hAnsiTheme="majorHAnsi"/>
        </w:rPr>
      </w:pPr>
      <w:r w:rsidRPr="00E125F4">
        <w:rPr>
          <w:rFonts w:asciiTheme="majorHAnsi" w:hAnsiTheme="majorHAnsi"/>
        </w:rPr>
        <w:t>inform the proactive development and evaluation of appropriate training and technical assistance resources and tools by PHLP and our partners.</w:t>
      </w:r>
    </w:p>
    <w:p w:rsidR="00BF11A1" w:rsidRPr="00C768E5" w:rsidRDefault="00BF11A1" w:rsidP="00C768E5">
      <w:pPr>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Special Circumstances</w:t>
      </w:r>
      <w:r w:rsidR="00145D62">
        <w:rPr>
          <w:rFonts w:asciiTheme="majorHAnsi" w:hAnsiTheme="majorHAnsi"/>
          <w:b/>
        </w:rPr>
        <w:t xml:space="preserve">  </w:t>
      </w:r>
    </w:p>
    <w:p w:rsidR="00F52BCC" w:rsidRDefault="00A809AA" w:rsidP="00F52BCC">
      <w:pPr>
        <w:pStyle w:val="ListParagraph"/>
        <w:spacing w:after="0"/>
        <w:rPr>
          <w:rFonts w:asciiTheme="majorHAnsi" w:hAnsiTheme="majorHAnsi"/>
        </w:rPr>
      </w:pPr>
      <w:r>
        <w:rPr>
          <w:rFonts w:asciiTheme="majorHAnsi" w:hAnsiTheme="majorHAnsi"/>
        </w:rPr>
        <w:t xml:space="preserve">There are no special circumstances with this information collection package. </w:t>
      </w:r>
      <w:r w:rsidR="00835CA7">
        <w:rPr>
          <w:rFonts w:asciiTheme="majorHAnsi" w:hAnsiTheme="majorHAnsi"/>
        </w:rPr>
        <w:t>This request fully complies with the regulation 5 CFR 1320.5</w:t>
      </w:r>
      <w:r w:rsidR="00D95FBF">
        <w:rPr>
          <w:rFonts w:asciiTheme="majorHAnsi" w:hAnsiTheme="majorHAnsi"/>
        </w:rPr>
        <w:t xml:space="preserve"> and will be voluntary</w:t>
      </w:r>
      <w:r w:rsidR="00835CA7">
        <w:rPr>
          <w:rFonts w:asciiTheme="majorHAnsi" w:hAnsiTheme="majorHAnsi"/>
        </w:rPr>
        <w:t>.</w:t>
      </w:r>
    </w:p>
    <w:p w:rsidR="00F52BCC" w:rsidRDefault="00F52BCC" w:rsidP="00F52BCC">
      <w:pPr>
        <w:pStyle w:val="ListParagraph"/>
        <w:spacing w:after="0"/>
        <w:rPr>
          <w:rFonts w:asciiTheme="majorHAnsi" w:hAnsiTheme="majorHAnsi"/>
        </w:rPr>
      </w:pPr>
    </w:p>
    <w:p w:rsidR="00B12F51" w:rsidRPr="00D26A64" w:rsidRDefault="00145D62" w:rsidP="00B12F51">
      <w:pPr>
        <w:pStyle w:val="ListParagraph"/>
        <w:numPr>
          <w:ilvl w:val="0"/>
          <w:numId w:val="2"/>
        </w:numPr>
        <w:spacing w:after="0"/>
        <w:rPr>
          <w:rFonts w:asciiTheme="majorHAnsi" w:hAnsiTheme="majorHAnsi"/>
          <w:b/>
        </w:rPr>
      </w:pPr>
      <w:r>
        <w:rPr>
          <w:rFonts w:asciiTheme="majorHAnsi" w:hAnsiTheme="majorHAnsi"/>
          <w:b/>
        </w:rPr>
        <w:t>Consultation with Persons Outside the</w:t>
      </w:r>
      <w:r w:rsidR="00B12F51" w:rsidRPr="00D26A64">
        <w:rPr>
          <w:rFonts w:asciiTheme="majorHAnsi" w:hAnsiTheme="majorHAnsi"/>
          <w:b/>
        </w:rPr>
        <w:t xml:space="preserve"> Agency</w:t>
      </w:r>
    </w:p>
    <w:p w:rsidR="00A809AA" w:rsidRPr="00A809AA" w:rsidRDefault="00C768E5" w:rsidP="008E0683">
      <w:pPr>
        <w:pStyle w:val="ListParagraph"/>
        <w:autoSpaceDE w:val="0"/>
        <w:autoSpaceDN w:val="0"/>
        <w:adjustRightInd w:val="0"/>
        <w:ind w:right="720"/>
        <w:rPr>
          <w:rFonts w:asciiTheme="majorHAnsi" w:hAnsiTheme="majorHAnsi"/>
        </w:rPr>
      </w:pPr>
      <w:r>
        <w:rPr>
          <w:rFonts w:asciiTheme="majorHAnsi" w:hAnsiTheme="majorHAnsi"/>
        </w:rPr>
        <w:t xml:space="preserve">This data collection is being conducted using the Generic Information Collection mechanism of the OSTLTS Survey Center (OSC) – OMB No. 0920-0879. </w:t>
      </w:r>
      <w:r w:rsidR="00BE738E">
        <w:rPr>
          <w:rFonts w:asciiTheme="majorHAnsi" w:hAnsiTheme="majorHAnsi"/>
        </w:rPr>
        <w:t xml:space="preserve">This data collection is being conducted using the Generic Information Collection mechanism of the OSTLTS Survey Center (OSC) – OMB No. 0920-0879. </w:t>
      </w:r>
      <w:r w:rsidR="00A809AA" w:rsidRPr="00A809AA">
        <w:rPr>
          <w:rFonts w:asciiTheme="majorHAnsi" w:hAnsiTheme="majorHAnsi"/>
        </w:rPr>
        <w:t xml:space="preserve">A 60-day Federal Register Notice was published in the Federal Register on October 22, 2010, Vol. 75, No. </w:t>
      </w:r>
      <w:r w:rsidR="00D861ED" w:rsidRPr="00A809AA">
        <w:rPr>
          <w:rFonts w:asciiTheme="majorHAnsi" w:hAnsiTheme="majorHAnsi"/>
        </w:rPr>
        <w:t>204;</w:t>
      </w:r>
      <w:r w:rsidR="00A809AA" w:rsidRPr="00A809AA">
        <w:rPr>
          <w:rFonts w:asciiTheme="majorHAnsi" w:hAnsiTheme="majorHAnsi"/>
        </w:rPr>
        <w:t xml:space="preserve"> pp. 65353-54.  Two comments were received from the Association of State </w:t>
      </w:r>
      <w:r w:rsidR="00A809AA" w:rsidRPr="00A809AA">
        <w:rPr>
          <w:rFonts w:asciiTheme="majorHAnsi" w:hAnsiTheme="majorHAnsi"/>
        </w:rPr>
        <w:lastRenderedPageBreak/>
        <w:t>and Territorial Health Officials (ASTHO)</w:t>
      </w:r>
      <w:r w:rsidR="00667C89" w:rsidRPr="00A809AA">
        <w:rPr>
          <w:rFonts w:asciiTheme="majorHAnsi" w:hAnsiTheme="majorHAnsi"/>
        </w:rPr>
        <w:t>, and the</w:t>
      </w:r>
      <w:r w:rsidR="00A809AA" w:rsidRPr="00A809AA">
        <w:rPr>
          <w:rFonts w:asciiTheme="majorHAnsi" w:hAnsiTheme="majorHAnsi"/>
        </w:rPr>
        <w:t xml:space="preserve"> National Association of County and City Health Officials (NACCHO)</w:t>
      </w:r>
      <w:r w:rsidR="00783C75">
        <w:rPr>
          <w:rFonts w:asciiTheme="majorHAnsi" w:hAnsiTheme="majorHAnsi"/>
        </w:rPr>
        <w:t>.</w:t>
      </w:r>
    </w:p>
    <w:p w:rsidR="00A809AA" w:rsidRPr="00A809AA" w:rsidRDefault="00A809AA" w:rsidP="008E0683">
      <w:pPr>
        <w:pStyle w:val="ListParagraph"/>
        <w:autoSpaceDE w:val="0"/>
        <w:autoSpaceDN w:val="0"/>
        <w:adjustRightInd w:val="0"/>
        <w:ind w:right="720"/>
        <w:rPr>
          <w:rFonts w:asciiTheme="majorHAnsi" w:hAnsiTheme="majorHAnsi"/>
        </w:rPr>
      </w:pPr>
    </w:p>
    <w:p w:rsidR="00A809AA" w:rsidRPr="00A809AA" w:rsidRDefault="00A809AA" w:rsidP="008E0683">
      <w:pPr>
        <w:pStyle w:val="ListParagraph"/>
        <w:autoSpaceDE w:val="0"/>
        <w:autoSpaceDN w:val="0"/>
        <w:adjustRightInd w:val="0"/>
        <w:ind w:right="720"/>
        <w:rPr>
          <w:rFonts w:asciiTheme="majorHAnsi" w:hAnsiTheme="majorHAnsi"/>
        </w:rPr>
      </w:pPr>
      <w:r w:rsidRPr="00A809AA">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52BCC" w:rsidRPr="00A809AA"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 xml:space="preserve">Payment or Gift </w:t>
      </w:r>
    </w:p>
    <w:p w:rsidR="00F52BCC" w:rsidRDefault="00A809AA" w:rsidP="00F52BCC">
      <w:pPr>
        <w:pStyle w:val="ListParagraph"/>
        <w:spacing w:after="0"/>
        <w:rPr>
          <w:rFonts w:asciiTheme="majorHAnsi" w:hAnsiTheme="majorHAnsi"/>
        </w:rPr>
      </w:pPr>
      <w:r>
        <w:rPr>
          <w:rFonts w:asciiTheme="majorHAnsi" w:hAnsiTheme="majorHAnsi"/>
        </w:rPr>
        <w:t>CDC will not provide p</w:t>
      </w:r>
      <w:r w:rsidR="00D26A64">
        <w:rPr>
          <w:rFonts w:asciiTheme="majorHAnsi" w:hAnsiTheme="majorHAnsi"/>
        </w:rPr>
        <w:t>ayments or gifts to respondents.</w:t>
      </w:r>
    </w:p>
    <w:p w:rsidR="00F52BCC" w:rsidRDefault="00F52BCC" w:rsidP="00F52BCC">
      <w:pPr>
        <w:pStyle w:val="ListParagraph"/>
        <w:spacing w:after="0"/>
        <w:rPr>
          <w:rFonts w:asciiTheme="majorHAnsi" w:hAnsiTheme="majorHAnsi"/>
        </w:rPr>
      </w:pPr>
    </w:p>
    <w:p w:rsidR="00B12F51" w:rsidRPr="00D16E78" w:rsidRDefault="00B12F51" w:rsidP="00B12F51">
      <w:pPr>
        <w:pStyle w:val="ListParagraph"/>
        <w:numPr>
          <w:ilvl w:val="0"/>
          <w:numId w:val="2"/>
        </w:numPr>
        <w:spacing w:after="0"/>
        <w:rPr>
          <w:rFonts w:asciiTheme="majorHAnsi" w:hAnsiTheme="majorHAnsi"/>
          <w:b/>
        </w:rPr>
      </w:pPr>
      <w:r w:rsidRPr="00D16E78">
        <w:rPr>
          <w:rFonts w:asciiTheme="majorHAnsi" w:hAnsiTheme="majorHAnsi"/>
          <w:b/>
        </w:rPr>
        <w:t xml:space="preserve">Confidentiality </w:t>
      </w:r>
    </w:p>
    <w:p w:rsidR="003C31C9" w:rsidRPr="003C31C9" w:rsidRDefault="003C31C9" w:rsidP="008E0683">
      <w:pPr>
        <w:pStyle w:val="ListParagraph"/>
        <w:autoSpaceDE w:val="0"/>
        <w:autoSpaceDN w:val="0"/>
        <w:adjustRightInd w:val="0"/>
        <w:ind w:right="720"/>
        <w:rPr>
          <w:rFonts w:asciiTheme="majorHAnsi" w:hAnsiTheme="majorHAnsi"/>
        </w:rPr>
      </w:pPr>
      <w:r w:rsidRPr="003C31C9">
        <w:rPr>
          <w:rFonts w:asciiTheme="majorHAnsi" w:hAnsiTheme="majorHAnsi"/>
        </w:rPr>
        <w:t>The Privacy Act does not apply to this data collection.  Employees of state</w:t>
      </w:r>
      <w:r w:rsidR="005542E8">
        <w:rPr>
          <w:rFonts w:asciiTheme="majorHAnsi" w:hAnsiTheme="majorHAnsi"/>
        </w:rPr>
        <w:t xml:space="preserve"> and</w:t>
      </w:r>
      <w:r w:rsidRPr="003C31C9">
        <w:rPr>
          <w:rFonts w:asciiTheme="majorHAnsi" w:hAnsiTheme="majorHAnsi"/>
        </w:rPr>
        <w:t xml:space="preserve"> local</w:t>
      </w:r>
      <w:r w:rsidR="005542E8">
        <w:rPr>
          <w:rFonts w:asciiTheme="majorHAnsi" w:hAnsiTheme="majorHAnsi"/>
        </w:rPr>
        <w:t xml:space="preserve"> </w:t>
      </w:r>
      <w:r w:rsidRPr="003C31C9">
        <w:rPr>
          <w:rFonts w:asciiTheme="majorHAnsi" w:hAnsiTheme="majorHAnsi"/>
        </w:rPr>
        <w:t xml:space="preserve">public health agencies will be speaking from their official roles and will not be asked, nor will they provide individually identifiable information.  </w:t>
      </w:r>
    </w:p>
    <w:p w:rsidR="003C31C9" w:rsidRPr="003C31C9" w:rsidRDefault="003C31C9" w:rsidP="008E0683">
      <w:pPr>
        <w:pStyle w:val="ListParagraph"/>
        <w:autoSpaceDE w:val="0"/>
        <w:autoSpaceDN w:val="0"/>
        <w:adjustRightInd w:val="0"/>
        <w:ind w:right="720"/>
        <w:rPr>
          <w:rFonts w:asciiTheme="majorHAnsi" w:hAnsiTheme="majorHAnsi"/>
        </w:rPr>
      </w:pPr>
    </w:p>
    <w:p w:rsidR="003C31C9" w:rsidRPr="003C31C9" w:rsidRDefault="003C31C9" w:rsidP="008E0683">
      <w:pPr>
        <w:pStyle w:val="ListParagraph"/>
        <w:autoSpaceDE w:val="0"/>
        <w:autoSpaceDN w:val="0"/>
        <w:adjustRightInd w:val="0"/>
        <w:ind w:right="720"/>
        <w:outlineLvl w:val="0"/>
        <w:rPr>
          <w:rFonts w:asciiTheme="majorHAnsi" w:hAnsiTheme="majorHAnsi"/>
        </w:rPr>
      </w:pPr>
      <w:r w:rsidRPr="003C31C9">
        <w:rPr>
          <w:rFonts w:asciiTheme="majorHAnsi" w:hAnsiTheme="majorHAnsi"/>
        </w:rPr>
        <w:t>This data collection is not research involving human subjects.</w:t>
      </w:r>
    </w:p>
    <w:p w:rsidR="00F52BCC" w:rsidRPr="003C31C9"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Sensitive</w:t>
      </w:r>
      <w:r w:rsidR="00616090">
        <w:rPr>
          <w:rFonts w:asciiTheme="majorHAnsi" w:hAnsiTheme="majorHAnsi"/>
          <w:b/>
        </w:rPr>
        <w:t xml:space="preserve"> Nature</w:t>
      </w:r>
      <w:r w:rsidRPr="00D26A64">
        <w:rPr>
          <w:rFonts w:asciiTheme="majorHAnsi" w:hAnsiTheme="majorHAnsi"/>
          <w:b/>
        </w:rPr>
        <w:t xml:space="preserve"> </w:t>
      </w:r>
    </w:p>
    <w:p w:rsidR="00F52BCC" w:rsidRDefault="003C31C9" w:rsidP="002F2069">
      <w:pPr>
        <w:pStyle w:val="ListParagraph"/>
        <w:spacing w:after="0"/>
        <w:rPr>
          <w:rFonts w:asciiTheme="majorHAnsi" w:hAnsiTheme="majorHAnsi"/>
        </w:rPr>
      </w:pPr>
      <w:r>
        <w:rPr>
          <w:rFonts w:asciiTheme="majorHAnsi" w:hAnsiTheme="majorHAnsi"/>
        </w:rPr>
        <w:t>No information will be collected</w:t>
      </w:r>
      <w:r w:rsidR="00616090">
        <w:rPr>
          <w:rFonts w:asciiTheme="majorHAnsi" w:hAnsiTheme="majorHAnsi"/>
        </w:rPr>
        <w:t xml:space="preserve"> that are of personal or sensitive nature</w:t>
      </w:r>
      <w:r w:rsidR="00D26A64">
        <w:rPr>
          <w:rFonts w:asciiTheme="majorHAnsi" w:hAnsiTheme="majorHAnsi"/>
        </w:rPr>
        <w:t>.</w:t>
      </w:r>
    </w:p>
    <w:p w:rsidR="00C768E5" w:rsidRDefault="00C768E5" w:rsidP="002F2069">
      <w:pPr>
        <w:pStyle w:val="ListParagraph"/>
        <w:spacing w:after="0"/>
        <w:rPr>
          <w:rFonts w:asciiTheme="majorHAnsi" w:hAnsiTheme="majorHAnsi"/>
        </w:rPr>
      </w:pPr>
    </w:p>
    <w:p w:rsidR="00B12F51" w:rsidRPr="007B305A" w:rsidRDefault="00616090" w:rsidP="00B12F51">
      <w:pPr>
        <w:pStyle w:val="ListParagraph"/>
        <w:numPr>
          <w:ilvl w:val="0"/>
          <w:numId w:val="2"/>
        </w:numPr>
        <w:spacing w:after="0"/>
        <w:rPr>
          <w:rFonts w:asciiTheme="majorHAnsi" w:hAnsiTheme="majorHAnsi"/>
          <w:b/>
        </w:rPr>
      </w:pPr>
      <w:r>
        <w:rPr>
          <w:rFonts w:asciiTheme="majorHAnsi" w:hAnsiTheme="majorHAnsi"/>
          <w:b/>
        </w:rPr>
        <w:t>Burden of Information Collection</w:t>
      </w:r>
    </w:p>
    <w:p w:rsidR="00B64BFA" w:rsidRDefault="00B64BFA" w:rsidP="008E0683">
      <w:pPr>
        <w:pStyle w:val="ListParagraph"/>
        <w:autoSpaceDE w:val="0"/>
        <w:autoSpaceDN w:val="0"/>
        <w:adjustRightInd w:val="0"/>
        <w:ind w:left="0" w:right="720"/>
        <w:rPr>
          <w:rFonts w:asciiTheme="majorHAnsi" w:hAnsiTheme="majorHAnsi"/>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The estimate for burden hours is based on a pilot test of the survey instrument by </w:t>
      </w:r>
      <w:r w:rsidR="009E1554">
        <w:rPr>
          <w:rFonts w:asciiTheme="majorHAnsi" w:hAnsiTheme="majorHAnsi"/>
        </w:rPr>
        <w:t>five</w:t>
      </w:r>
      <w:r w:rsidR="00C768E5" w:rsidRPr="00FE6A5C">
        <w:rPr>
          <w:rFonts w:asciiTheme="majorHAnsi" w:hAnsiTheme="majorHAnsi"/>
        </w:rPr>
        <w:t xml:space="preserve"> public</w:t>
      </w:r>
      <w:r w:rsidRPr="00FE6A5C">
        <w:rPr>
          <w:rFonts w:asciiTheme="majorHAnsi" w:hAnsiTheme="majorHAnsi"/>
        </w:rPr>
        <w:t xml:space="preserve"> health professionals</w:t>
      </w:r>
      <w:r w:rsidRPr="00CF5ABD">
        <w:rPr>
          <w:rFonts w:asciiTheme="majorHAnsi" w:hAnsiTheme="majorHAnsi"/>
        </w:rPr>
        <w:t>.</w:t>
      </w:r>
      <w:r>
        <w:rPr>
          <w:rFonts w:asciiTheme="majorHAnsi" w:hAnsiTheme="majorHAnsi"/>
        </w:rPr>
        <w:t xml:space="preserve"> In the pilot test, the average time to complete the survey including time for reviewing instructions, gathering needed information and completing the survey, was approximately</w:t>
      </w:r>
      <w:r w:rsidR="009E1554">
        <w:rPr>
          <w:rFonts w:asciiTheme="majorHAnsi" w:hAnsiTheme="majorHAnsi"/>
        </w:rPr>
        <w:t xml:space="preserve"> </w:t>
      </w:r>
      <w:r w:rsidR="000B01F9">
        <w:rPr>
          <w:rFonts w:asciiTheme="majorHAnsi" w:hAnsiTheme="majorHAnsi"/>
        </w:rPr>
        <w:t>eight</w:t>
      </w:r>
      <w:r w:rsidR="009E1554">
        <w:rPr>
          <w:rFonts w:asciiTheme="majorHAnsi" w:hAnsiTheme="majorHAnsi"/>
        </w:rPr>
        <w:t xml:space="preserve"> </w:t>
      </w:r>
      <w:r>
        <w:rPr>
          <w:rFonts w:asciiTheme="majorHAnsi" w:hAnsiTheme="majorHAnsi"/>
        </w:rPr>
        <w:t>minutes. Based on these results, the estimated time range for actual respon</w:t>
      </w:r>
      <w:r w:rsidR="009E1554">
        <w:rPr>
          <w:rFonts w:asciiTheme="majorHAnsi" w:hAnsiTheme="majorHAnsi"/>
        </w:rPr>
        <w:t xml:space="preserve">dents to complete the survey is five to </w:t>
      </w:r>
      <w:r w:rsidR="000B01F9">
        <w:rPr>
          <w:rFonts w:asciiTheme="majorHAnsi" w:hAnsiTheme="majorHAnsi"/>
        </w:rPr>
        <w:t>eleven</w:t>
      </w:r>
      <w:r>
        <w:rPr>
          <w:rFonts w:asciiTheme="majorHAnsi" w:hAnsiTheme="majorHAnsi"/>
        </w:rPr>
        <w:t xml:space="preserve"> minutes. For the purposes of estimating burden hours, the upper limit of this range (i.e., </w:t>
      </w:r>
      <w:r w:rsidR="000B01F9">
        <w:rPr>
          <w:rFonts w:asciiTheme="majorHAnsi" w:hAnsiTheme="majorHAnsi"/>
        </w:rPr>
        <w:t xml:space="preserve">11 </w:t>
      </w:r>
      <w:r>
        <w:rPr>
          <w:rFonts w:asciiTheme="majorHAnsi" w:hAnsiTheme="majorHAnsi"/>
        </w:rPr>
        <w:t>minutes) is used.</w:t>
      </w:r>
    </w:p>
    <w:p w:rsidR="00B64BFA" w:rsidRDefault="00B64BFA" w:rsidP="00B64BFA">
      <w:pPr>
        <w:pStyle w:val="ListParagraph"/>
        <w:autoSpaceDE w:val="0"/>
        <w:autoSpaceDN w:val="0"/>
        <w:adjustRightInd w:val="0"/>
        <w:rPr>
          <w:rFonts w:asciiTheme="majorHAnsi" w:hAnsiTheme="majorHAnsi"/>
          <w:color w:val="000000"/>
        </w:rPr>
      </w:pPr>
    </w:p>
    <w:p w:rsidR="00B64BFA" w:rsidRDefault="00B64BFA" w:rsidP="00B64BFA">
      <w:pPr>
        <w:pStyle w:val="ListParagraph"/>
        <w:autoSpaceDE w:val="0"/>
        <w:autoSpaceDN w:val="0"/>
        <w:adjustRightInd w:val="0"/>
        <w:rPr>
          <w:rFonts w:asciiTheme="majorHAnsi" w:hAnsiTheme="majorHAnsi"/>
          <w:color w:val="000000"/>
        </w:rPr>
      </w:pPr>
      <w:r>
        <w:rPr>
          <w:rFonts w:asciiTheme="majorHAnsi" w:hAnsiTheme="majorHAnsi"/>
          <w:color w:val="000000"/>
        </w:rPr>
        <w:t xml:space="preserve">Estimates for the average hourly wage for respondents are based on the </w:t>
      </w:r>
      <w:r w:rsidRPr="00A849B3">
        <w:rPr>
          <w:rFonts w:asciiTheme="majorHAnsi" w:hAnsiTheme="majorHAnsi"/>
          <w:color w:val="000000"/>
        </w:rPr>
        <w:t>Department of Labor (DOL) National Compensation Survey estimate for management occupations – medical and health services managers in state government</w:t>
      </w:r>
      <w:r>
        <w:rPr>
          <w:rFonts w:asciiTheme="majorHAnsi" w:hAnsiTheme="majorHAnsi"/>
          <w:color w:val="000000"/>
        </w:rPr>
        <w:t xml:space="preserve"> </w:t>
      </w:r>
      <w:r w:rsidR="000B01F9">
        <w:rPr>
          <w:rFonts w:asciiTheme="majorHAnsi" w:hAnsiTheme="majorHAnsi"/>
          <w:color w:val="000000"/>
        </w:rPr>
        <w:t xml:space="preserve">and </w:t>
      </w:r>
      <w:r w:rsidR="00EF6C2E">
        <w:rPr>
          <w:rFonts w:asciiTheme="majorHAnsi" w:hAnsiTheme="majorHAnsi"/>
          <w:color w:val="000000"/>
        </w:rPr>
        <w:t xml:space="preserve">legal occupations – lawyers in state government </w:t>
      </w:r>
      <w:r>
        <w:rPr>
          <w:rFonts w:asciiTheme="majorHAnsi" w:hAnsiTheme="majorHAnsi"/>
          <w:color w:val="000000"/>
        </w:rPr>
        <w:t>(</w:t>
      </w:r>
      <w:hyperlink r:id="rId9" w:history="1">
        <w:r w:rsidRPr="002A1948">
          <w:rPr>
            <w:rStyle w:val="Hyperlink"/>
            <w:rFonts w:asciiTheme="majorHAnsi" w:hAnsiTheme="majorHAnsi"/>
          </w:rPr>
          <w:t>http://www.bls.gov/ncs/ocs/sp/nctb1349.pdf</w:t>
        </w:r>
      </w:hyperlink>
      <w:r>
        <w:rPr>
          <w:rFonts w:asciiTheme="majorHAnsi" w:hAnsiTheme="majorHAnsi"/>
          <w:color w:val="000000"/>
        </w:rPr>
        <w:t xml:space="preserve">). </w:t>
      </w:r>
      <w:r w:rsidR="00C544A4">
        <w:rPr>
          <w:rFonts w:asciiTheme="majorHAnsi" w:hAnsiTheme="majorHAnsi"/>
          <w:color w:val="000000"/>
        </w:rPr>
        <w:t>Based on DOL data, a</w:t>
      </w:r>
      <w:r w:rsidRPr="002A1948">
        <w:rPr>
          <w:rFonts w:asciiTheme="majorHAnsi" w:hAnsiTheme="majorHAnsi"/>
          <w:color w:val="000000"/>
        </w:rPr>
        <w:t>n average hourly wage of $</w:t>
      </w:r>
      <w:r w:rsidR="00EF6C2E">
        <w:rPr>
          <w:rFonts w:asciiTheme="majorHAnsi" w:hAnsiTheme="majorHAnsi"/>
          <w:color w:val="000000"/>
        </w:rPr>
        <w:t>48.98</w:t>
      </w:r>
      <w:r w:rsidRPr="002A1948">
        <w:rPr>
          <w:rFonts w:asciiTheme="majorHAnsi" w:hAnsiTheme="majorHAnsi"/>
          <w:color w:val="000000"/>
        </w:rPr>
        <w:t xml:space="preserve"> is estimated for </w:t>
      </w:r>
      <w:r w:rsidR="006C1F5C">
        <w:rPr>
          <w:rFonts w:asciiTheme="majorHAnsi" w:hAnsiTheme="majorHAnsi"/>
          <w:color w:val="000000"/>
        </w:rPr>
        <w:t xml:space="preserve">345 </w:t>
      </w:r>
      <w:r w:rsidRPr="002A1948">
        <w:rPr>
          <w:rFonts w:asciiTheme="majorHAnsi" w:hAnsiTheme="majorHAnsi"/>
          <w:color w:val="000000"/>
        </w:rPr>
        <w:t>respondents</w:t>
      </w:r>
      <w:r w:rsidR="006C1F5C">
        <w:rPr>
          <w:rFonts w:asciiTheme="majorHAnsi" w:hAnsiTheme="majorHAnsi"/>
          <w:color w:val="000000"/>
        </w:rPr>
        <w:t xml:space="preserve"> who are </w:t>
      </w:r>
      <w:r w:rsidR="006C1F5C" w:rsidRPr="00675E85">
        <w:rPr>
          <w:rFonts w:asciiTheme="majorHAnsi" w:hAnsiTheme="majorHAnsi"/>
          <w:sz w:val="20"/>
        </w:rPr>
        <w:t>STLT Official</w:t>
      </w:r>
      <w:r w:rsidR="006C1F5C">
        <w:rPr>
          <w:rFonts w:asciiTheme="majorHAnsi" w:hAnsiTheme="majorHAnsi"/>
          <w:sz w:val="20"/>
        </w:rPr>
        <w:t>s</w:t>
      </w:r>
      <w:r w:rsidR="006C1F5C" w:rsidRPr="00675E85">
        <w:rPr>
          <w:rFonts w:asciiTheme="majorHAnsi" w:hAnsiTheme="majorHAnsi"/>
          <w:sz w:val="20"/>
        </w:rPr>
        <w:t xml:space="preserve"> or Employee</w:t>
      </w:r>
      <w:r w:rsidR="006C1F5C">
        <w:rPr>
          <w:rFonts w:asciiTheme="majorHAnsi" w:hAnsiTheme="majorHAnsi"/>
          <w:sz w:val="20"/>
        </w:rPr>
        <w:t>s</w:t>
      </w:r>
      <w:r w:rsidR="006C1F5C" w:rsidRPr="00675E85">
        <w:rPr>
          <w:rFonts w:asciiTheme="majorHAnsi" w:hAnsiTheme="majorHAnsi"/>
          <w:sz w:val="20"/>
        </w:rPr>
        <w:t xml:space="preserve"> subscribing to </w:t>
      </w:r>
      <w:r w:rsidR="006C1F5C" w:rsidRPr="00710E16">
        <w:rPr>
          <w:rFonts w:asciiTheme="majorHAnsi" w:hAnsiTheme="majorHAnsi"/>
          <w:i/>
          <w:sz w:val="20"/>
        </w:rPr>
        <w:t>CDC Public Health Law News</w:t>
      </w:r>
      <w:r w:rsidR="006C1F5C">
        <w:rPr>
          <w:rFonts w:asciiTheme="majorHAnsi" w:hAnsiTheme="majorHAnsi"/>
          <w:sz w:val="20"/>
        </w:rPr>
        <w:t xml:space="preserve"> and </w:t>
      </w:r>
      <w:r w:rsidR="00F819D6">
        <w:rPr>
          <w:rFonts w:asciiTheme="majorHAnsi" w:hAnsiTheme="majorHAnsi"/>
          <w:sz w:val="20"/>
        </w:rPr>
        <w:t>an average hourly rate of $40.85 is estimated for STLT attorneys.</w:t>
      </w:r>
      <w:r w:rsidRPr="002A1948">
        <w:rPr>
          <w:rFonts w:asciiTheme="majorHAnsi" w:hAnsiTheme="majorHAnsi"/>
          <w:color w:val="000000"/>
        </w:rPr>
        <w:t xml:space="preserve"> </w:t>
      </w:r>
      <w:r w:rsidR="00A578C2">
        <w:rPr>
          <w:rFonts w:asciiTheme="majorHAnsi" w:hAnsiTheme="majorHAnsi"/>
          <w:color w:val="000000"/>
        </w:rPr>
        <w:t>Table A-12 shows estimated burden and cost information.</w:t>
      </w:r>
    </w:p>
    <w:p w:rsidR="005A59E5" w:rsidRDefault="005A59E5" w:rsidP="00B64BFA">
      <w:pPr>
        <w:pStyle w:val="ListParagraph"/>
        <w:autoSpaceDE w:val="0"/>
        <w:autoSpaceDN w:val="0"/>
        <w:adjustRightInd w:val="0"/>
        <w:rPr>
          <w:rFonts w:asciiTheme="majorHAnsi" w:hAnsiTheme="majorHAnsi"/>
          <w:color w:val="000000"/>
        </w:rPr>
      </w:pPr>
    </w:p>
    <w:p w:rsidR="008A3804" w:rsidRDefault="008A3804" w:rsidP="00B64BFA">
      <w:pPr>
        <w:pStyle w:val="ListParagraph"/>
        <w:autoSpaceDE w:val="0"/>
        <w:autoSpaceDN w:val="0"/>
        <w:adjustRightInd w:val="0"/>
        <w:rPr>
          <w:rFonts w:asciiTheme="majorHAnsi" w:hAnsiTheme="majorHAnsi"/>
          <w:color w:val="000000"/>
        </w:rPr>
      </w:pPr>
    </w:p>
    <w:p w:rsidR="008A3804" w:rsidRDefault="008A3804" w:rsidP="00B64BFA">
      <w:pPr>
        <w:pStyle w:val="ListParagraph"/>
        <w:autoSpaceDE w:val="0"/>
        <w:autoSpaceDN w:val="0"/>
        <w:adjustRightInd w:val="0"/>
        <w:rPr>
          <w:rFonts w:asciiTheme="majorHAnsi" w:hAnsiTheme="majorHAnsi"/>
          <w:color w:val="000000"/>
        </w:rPr>
      </w:pPr>
    </w:p>
    <w:p w:rsidR="008A3804" w:rsidRDefault="008A3804" w:rsidP="00B64BFA">
      <w:pPr>
        <w:pStyle w:val="ListParagraph"/>
        <w:autoSpaceDE w:val="0"/>
        <w:autoSpaceDN w:val="0"/>
        <w:adjustRightInd w:val="0"/>
        <w:rPr>
          <w:rFonts w:asciiTheme="majorHAnsi" w:hAnsiTheme="majorHAnsi"/>
          <w:color w:val="000000"/>
        </w:rPr>
      </w:pPr>
    </w:p>
    <w:p w:rsidR="008A3804" w:rsidRDefault="008A3804" w:rsidP="00B64BFA">
      <w:pPr>
        <w:pStyle w:val="ListParagraph"/>
        <w:autoSpaceDE w:val="0"/>
        <w:autoSpaceDN w:val="0"/>
        <w:adjustRightInd w:val="0"/>
        <w:rPr>
          <w:rFonts w:asciiTheme="majorHAnsi" w:hAnsiTheme="majorHAnsi"/>
          <w:color w:val="000000"/>
        </w:rPr>
      </w:pPr>
    </w:p>
    <w:p w:rsidR="008A3804" w:rsidRPr="002A1948" w:rsidRDefault="008A3804" w:rsidP="00B64BFA">
      <w:pPr>
        <w:pStyle w:val="ListParagraph"/>
        <w:autoSpaceDE w:val="0"/>
        <w:autoSpaceDN w:val="0"/>
        <w:adjustRightInd w:val="0"/>
        <w:rPr>
          <w:rFonts w:asciiTheme="majorHAnsi" w:hAnsiTheme="majorHAnsi"/>
          <w:color w:val="000000"/>
        </w:rPr>
      </w:pPr>
    </w:p>
    <w:p w:rsidR="005A59E5" w:rsidRDefault="005A59E5" w:rsidP="005A59E5">
      <w:pPr>
        <w:pStyle w:val="ListParagraph"/>
        <w:autoSpaceDE w:val="0"/>
        <w:autoSpaceDN w:val="0"/>
        <w:adjustRightInd w:val="0"/>
        <w:ind w:left="0" w:right="720"/>
        <w:rPr>
          <w:rFonts w:asciiTheme="majorHAnsi" w:hAnsiTheme="majorHAnsi"/>
        </w:rPr>
      </w:pPr>
      <w:r w:rsidRPr="008E0683">
        <w:rPr>
          <w:rFonts w:asciiTheme="majorHAnsi" w:hAnsiTheme="majorHAnsi"/>
          <w:b/>
          <w:u w:val="single"/>
        </w:rPr>
        <w:t>Table A-12</w:t>
      </w:r>
      <w:r w:rsidRPr="008E0683">
        <w:rPr>
          <w:rFonts w:asciiTheme="majorHAnsi" w:hAnsiTheme="majorHAnsi"/>
          <w:b/>
        </w:rPr>
        <w:t>:</w:t>
      </w:r>
      <w:r w:rsidRPr="003C31C9">
        <w:rPr>
          <w:rFonts w:asciiTheme="majorHAnsi" w:hAnsiTheme="majorHAnsi"/>
        </w:rPr>
        <w:t xml:space="preserve"> </w:t>
      </w:r>
      <w:r>
        <w:rPr>
          <w:rFonts w:asciiTheme="majorHAnsi" w:hAnsiTheme="majorHAnsi"/>
        </w:rPr>
        <w:t>Estimated</w:t>
      </w:r>
      <w:r w:rsidRPr="003C31C9">
        <w:rPr>
          <w:rFonts w:asciiTheme="majorHAnsi" w:hAnsiTheme="majorHAnsi"/>
        </w:rPr>
        <w:t xml:space="preserve"> </w:t>
      </w:r>
      <w:r>
        <w:rPr>
          <w:rFonts w:asciiTheme="majorHAnsi" w:hAnsiTheme="majorHAnsi"/>
        </w:rPr>
        <w:t>A</w:t>
      </w:r>
      <w:r w:rsidRPr="003C31C9">
        <w:rPr>
          <w:rFonts w:asciiTheme="majorHAnsi" w:hAnsiTheme="majorHAnsi"/>
        </w:rPr>
        <w:t xml:space="preserve">nnualized </w:t>
      </w:r>
      <w:r>
        <w:rPr>
          <w:rFonts w:asciiTheme="majorHAnsi" w:hAnsiTheme="majorHAnsi"/>
        </w:rPr>
        <w:t>Burden Hours and Costs to Respondents</w:t>
      </w:r>
      <w:r w:rsidRPr="003C31C9">
        <w:rPr>
          <w:rFonts w:asciiTheme="majorHAnsi" w:hAnsiTheme="majorHAnsi"/>
        </w:rPr>
        <w:t xml:space="preserve"> </w:t>
      </w:r>
      <w:r>
        <w:rPr>
          <w:rFonts w:asciiTheme="majorHAnsi" w:hAnsiTheme="majorHAnsi"/>
        </w:rPr>
        <w:t xml:space="preserve">– </w:t>
      </w:r>
      <w:r w:rsidR="00B96F6C">
        <w:rPr>
          <w:rFonts w:asciiTheme="majorHAnsi" w:hAnsiTheme="majorHAnsi"/>
        </w:rPr>
        <w:t>Public Health Law Comprehensive Needs Assessment</w:t>
      </w:r>
      <w:r>
        <w:rPr>
          <w:rFonts w:asciiTheme="majorHAnsi" w:hAnsiTheme="majorHAnsi"/>
        </w:rPr>
        <w:t xml:space="preserve"> Survey</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0A1F30" w:rsidRPr="006F6856" w:rsidTr="00C0376C">
        <w:tc>
          <w:tcPr>
            <w:tcW w:w="1620" w:type="dxa"/>
            <w:tcBorders>
              <w:top w:val="single" w:sz="12" w:space="0" w:color="000000"/>
            </w:tcBorders>
            <w:vAlign w:val="center"/>
          </w:tcPr>
          <w:p w:rsidR="00E134F4" w:rsidRPr="006F6856" w:rsidRDefault="00675E85" w:rsidP="000130B4">
            <w:pPr>
              <w:rPr>
                <w:rFonts w:asciiTheme="majorHAnsi" w:hAnsiTheme="majorHAnsi"/>
                <w:sz w:val="20"/>
              </w:rPr>
            </w:pPr>
            <w:r w:rsidRPr="00675E85">
              <w:rPr>
                <w:rFonts w:asciiTheme="majorHAnsi" w:hAnsiTheme="majorHAnsi"/>
                <w:sz w:val="20"/>
              </w:rPr>
              <w:t xml:space="preserve">STLT Official or Employee subscribing to </w:t>
            </w:r>
            <w:r w:rsidRPr="00710E16">
              <w:rPr>
                <w:rFonts w:asciiTheme="majorHAnsi" w:hAnsiTheme="majorHAnsi"/>
                <w:i/>
                <w:sz w:val="20"/>
              </w:rPr>
              <w:t>CDC Public Health Law News</w:t>
            </w:r>
          </w:p>
        </w:tc>
        <w:tc>
          <w:tcPr>
            <w:tcW w:w="1440" w:type="dxa"/>
            <w:tcBorders>
              <w:top w:val="single" w:sz="12" w:space="0" w:color="000000"/>
            </w:tcBorders>
            <w:vAlign w:val="center"/>
          </w:tcPr>
          <w:p w:rsidR="000A1F30" w:rsidRPr="006F6856" w:rsidRDefault="00675E85" w:rsidP="000130B4">
            <w:pPr>
              <w:jc w:val="center"/>
              <w:rPr>
                <w:rFonts w:asciiTheme="majorHAnsi" w:hAnsiTheme="majorHAnsi"/>
                <w:sz w:val="20"/>
              </w:rPr>
            </w:pPr>
            <w:r>
              <w:rPr>
                <w:rFonts w:asciiTheme="majorHAnsi" w:hAnsiTheme="majorHAnsi"/>
                <w:sz w:val="20"/>
              </w:rPr>
              <w:t>345</w:t>
            </w:r>
            <w:r w:rsidR="00CA5B99">
              <w:rPr>
                <w:rFonts w:asciiTheme="majorHAnsi" w:hAnsiTheme="majorHAnsi"/>
                <w:sz w:val="20"/>
              </w:rPr>
              <w:t xml:space="preserve"> </w:t>
            </w:r>
          </w:p>
        </w:tc>
        <w:tc>
          <w:tcPr>
            <w:tcW w:w="1800" w:type="dxa"/>
            <w:tcBorders>
              <w:top w:val="single" w:sz="12" w:space="0" w:color="000000"/>
            </w:tcBorders>
            <w:vAlign w:val="center"/>
          </w:tcPr>
          <w:p w:rsidR="000A1F30" w:rsidRPr="006F6856" w:rsidRDefault="00933D05" w:rsidP="000130B4">
            <w:pPr>
              <w:jc w:val="center"/>
              <w:rPr>
                <w:rFonts w:asciiTheme="majorHAnsi" w:hAnsiTheme="majorHAnsi"/>
                <w:sz w:val="20"/>
              </w:rPr>
            </w:pPr>
            <w:r>
              <w:rPr>
                <w:rFonts w:asciiTheme="majorHAnsi" w:hAnsiTheme="majorHAnsi"/>
                <w:sz w:val="20"/>
              </w:rPr>
              <w:t>1</w:t>
            </w:r>
            <w:r w:rsidR="00CA5B99">
              <w:rPr>
                <w:rFonts w:asciiTheme="majorHAnsi" w:hAnsiTheme="majorHAnsi"/>
                <w:sz w:val="20"/>
              </w:rPr>
              <w:t xml:space="preserve"> </w:t>
            </w:r>
          </w:p>
        </w:tc>
        <w:tc>
          <w:tcPr>
            <w:tcW w:w="1260" w:type="dxa"/>
            <w:tcBorders>
              <w:top w:val="single" w:sz="12" w:space="0" w:color="000000"/>
            </w:tcBorders>
            <w:vAlign w:val="center"/>
          </w:tcPr>
          <w:p w:rsidR="000A1F30" w:rsidRPr="00817941" w:rsidRDefault="00113050" w:rsidP="000130B4">
            <w:pPr>
              <w:jc w:val="center"/>
              <w:rPr>
                <w:rFonts w:asciiTheme="majorHAnsi" w:hAnsiTheme="majorHAnsi"/>
                <w:sz w:val="20"/>
              </w:rPr>
            </w:pPr>
            <w:r>
              <w:rPr>
                <w:rFonts w:asciiTheme="majorHAnsi" w:hAnsiTheme="majorHAnsi"/>
                <w:sz w:val="20"/>
              </w:rPr>
              <w:t>11</w:t>
            </w:r>
            <w:r w:rsidR="007B305A">
              <w:rPr>
                <w:rFonts w:asciiTheme="majorHAnsi" w:hAnsiTheme="majorHAnsi"/>
                <w:sz w:val="20"/>
              </w:rPr>
              <w:t>/</w:t>
            </w:r>
            <w:r w:rsidR="00817941" w:rsidRPr="00817941">
              <w:rPr>
                <w:rFonts w:asciiTheme="majorHAnsi" w:hAnsiTheme="majorHAnsi"/>
                <w:sz w:val="20"/>
              </w:rPr>
              <w:t>60</w:t>
            </w:r>
            <w:r w:rsidR="00CA5B99">
              <w:rPr>
                <w:rFonts w:asciiTheme="majorHAnsi" w:hAnsiTheme="majorHAnsi"/>
                <w:sz w:val="20"/>
              </w:rPr>
              <w:t xml:space="preserve"> </w:t>
            </w:r>
          </w:p>
        </w:tc>
        <w:tc>
          <w:tcPr>
            <w:tcW w:w="1080" w:type="dxa"/>
            <w:tcBorders>
              <w:top w:val="single" w:sz="12" w:space="0" w:color="000000"/>
            </w:tcBorders>
            <w:vAlign w:val="center"/>
          </w:tcPr>
          <w:p w:rsidR="000A1F30" w:rsidRPr="00817941" w:rsidRDefault="00113050" w:rsidP="000130B4">
            <w:pPr>
              <w:jc w:val="center"/>
              <w:rPr>
                <w:rFonts w:asciiTheme="majorHAnsi" w:hAnsiTheme="majorHAnsi"/>
                <w:sz w:val="20"/>
              </w:rPr>
            </w:pPr>
            <w:r>
              <w:rPr>
                <w:rFonts w:asciiTheme="majorHAnsi" w:hAnsiTheme="majorHAnsi"/>
                <w:sz w:val="20"/>
              </w:rPr>
              <w:t>63</w:t>
            </w:r>
          </w:p>
        </w:tc>
        <w:tc>
          <w:tcPr>
            <w:tcW w:w="990" w:type="dxa"/>
            <w:tcBorders>
              <w:top w:val="single" w:sz="12" w:space="0" w:color="000000"/>
            </w:tcBorders>
            <w:vAlign w:val="center"/>
          </w:tcPr>
          <w:p w:rsidR="000A1F30" w:rsidRPr="00817941" w:rsidRDefault="00EF6C2E" w:rsidP="000130B4">
            <w:pPr>
              <w:jc w:val="center"/>
              <w:rPr>
                <w:rFonts w:asciiTheme="majorHAnsi" w:hAnsiTheme="majorHAnsi"/>
                <w:sz w:val="20"/>
              </w:rPr>
            </w:pPr>
            <w:r>
              <w:rPr>
                <w:rFonts w:asciiTheme="majorHAnsi" w:hAnsiTheme="majorHAnsi"/>
                <w:sz w:val="20"/>
              </w:rPr>
              <w:t>$48.98</w:t>
            </w:r>
            <w:r w:rsidR="00CA5B99">
              <w:rPr>
                <w:rFonts w:asciiTheme="majorHAnsi" w:hAnsiTheme="majorHAnsi"/>
                <w:sz w:val="20"/>
              </w:rPr>
              <w:t xml:space="preserve"> </w:t>
            </w:r>
          </w:p>
        </w:tc>
        <w:tc>
          <w:tcPr>
            <w:tcW w:w="1368" w:type="dxa"/>
            <w:tcBorders>
              <w:top w:val="single" w:sz="12" w:space="0" w:color="000000"/>
            </w:tcBorders>
            <w:vAlign w:val="center"/>
          </w:tcPr>
          <w:p w:rsidR="000A1F30" w:rsidRPr="00817941" w:rsidRDefault="00EF6C2E" w:rsidP="00113050">
            <w:pPr>
              <w:jc w:val="right"/>
              <w:rPr>
                <w:rFonts w:asciiTheme="majorHAnsi" w:hAnsiTheme="majorHAnsi"/>
                <w:sz w:val="20"/>
              </w:rPr>
            </w:pPr>
            <w:r>
              <w:rPr>
                <w:rFonts w:asciiTheme="majorHAnsi" w:hAnsiTheme="majorHAnsi"/>
                <w:sz w:val="20"/>
              </w:rPr>
              <w:t>$</w:t>
            </w:r>
            <w:r w:rsidR="00710E16">
              <w:rPr>
                <w:rFonts w:asciiTheme="majorHAnsi" w:hAnsiTheme="majorHAnsi"/>
                <w:sz w:val="20"/>
              </w:rPr>
              <w:t>3,085.74</w:t>
            </w:r>
            <w:r w:rsidR="00CA5B99">
              <w:rPr>
                <w:rFonts w:asciiTheme="majorHAnsi" w:hAnsiTheme="majorHAnsi"/>
                <w:sz w:val="20"/>
              </w:rPr>
              <w:t xml:space="preserve"> </w:t>
            </w:r>
          </w:p>
        </w:tc>
      </w:tr>
      <w:tr w:rsidR="00EF6C2E" w:rsidRPr="006F6856" w:rsidTr="00C0376C">
        <w:tc>
          <w:tcPr>
            <w:tcW w:w="1620" w:type="dxa"/>
            <w:tcBorders>
              <w:top w:val="single" w:sz="12" w:space="0" w:color="000000"/>
            </w:tcBorders>
            <w:vAlign w:val="center"/>
          </w:tcPr>
          <w:p w:rsidR="00EF6C2E" w:rsidRPr="006F6856" w:rsidRDefault="00675E85" w:rsidP="000130B4">
            <w:pPr>
              <w:rPr>
                <w:rFonts w:asciiTheme="majorHAnsi" w:hAnsiTheme="majorHAnsi"/>
                <w:sz w:val="20"/>
              </w:rPr>
            </w:pPr>
            <w:r w:rsidRPr="00675E85">
              <w:rPr>
                <w:rFonts w:asciiTheme="majorHAnsi" w:hAnsiTheme="majorHAnsi"/>
                <w:sz w:val="20"/>
              </w:rPr>
              <w:t>STLT Attorneys</w:t>
            </w:r>
          </w:p>
        </w:tc>
        <w:tc>
          <w:tcPr>
            <w:tcW w:w="1440" w:type="dxa"/>
            <w:tcBorders>
              <w:top w:val="single" w:sz="12" w:space="0" w:color="000000"/>
            </w:tcBorders>
            <w:vAlign w:val="center"/>
          </w:tcPr>
          <w:p w:rsidR="00EF6C2E" w:rsidRDefault="00675E85" w:rsidP="000130B4">
            <w:pPr>
              <w:jc w:val="center"/>
              <w:rPr>
                <w:rFonts w:asciiTheme="majorHAnsi" w:hAnsiTheme="majorHAnsi"/>
                <w:sz w:val="20"/>
              </w:rPr>
            </w:pPr>
            <w:r>
              <w:rPr>
                <w:rFonts w:asciiTheme="majorHAnsi" w:hAnsiTheme="majorHAnsi"/>
                <w:sz w:val="20"/>
              </w:rPr>
              <w:t>124</w:t>
            </w:r>
          </w:p>
        </w:tc>
        <w:tc>
          <w:tcPr>
            <w:tcW w:w="1800" w:type="dxa"/>
            <w:tcBorders>
              <w:top w:val="single" w:sz="12" w:space="0" w:color="000000"/>
            </w:tcBorders>
            <w:vAlign w:val="center"/>
          </w:tcPr>
          <w:p w:rsidR="00EF6C2E" w:rsidRDefault="00933D05" w:rsidP="000130B4">
            <w:pPr>
              <w:jc w:val="center"/>
              <w:rPr>
                <w:rFonts w:asciiTheme="majorHAnsi" w:hAnsiTheme="majorHAnsi"/>
                <w:sz w:val="20"/>
              </w:rPr>
            </w:pPr>
            <w:r>
              <w:rPr>
                <w:rFonts w:asciiTheme="majorHAnsi" w:hAnsiTheme="majorHAnsi"/>
                <w:sz w:val="20"/>
              </w:rPr>
              <w:t>1</w:t>
            </w:r>
          </w:p>
        </w:tc>
        <w:tc>
          <w:tcPr>
            <w:tcW w:w="1260" w:type="dxa"/>
            <w:tcBorders>
              <w:top w:val="single" w:sz="12" w:space="0" w:color="000000"/>
            </w:tcBorders>
            <w:vAlign w:val="center"/>
          </w:tcPr>
          <w:p w:rsidR="00EF6C2E" w:rsidRDefault="00113050" w:rsidP="000130B4">
            <w:pPr>
              <w:jc w:val="center"/>
              <w:rPr>
                <w:rFonts w:asciiTheme="majorHAnsi" w:hAnsiTheme="majorHAnsi"/>
                <w:sz w:val="20"/>
              </w:rPr>
            </w:pPr>
            <w:r>
              <w:rPr>
                <w:rFonts w:asciiTheme="majorHAnsi" w:hAnsiTheme="majorHAnsi"/>
                <w:sz w:val="20"/>
              </w:rPr>
              <w:t>11/60</w:t>
            </w:r>
          </w:p>
        </w:tc>
        <w:tc>
          <w:tcPr>
            <w:tcW w:w="1080" w:type="dxa"/>
            <w:tcBorders>
              <w:top w:val="single" w:sz="12" w:space="0" w:color="000000"/>
            </w:tcBorders>
            <w:vAlign w:val="center"/>
          </w:tcPr>
          <w:p w:rsidR="00EF6C2E" w:rsidRDefault="00113050" w:rsidP="000130B4">
            <w:pPr>
              <w:jc w:val="center"/>
              <w:rPr>
                <w:rFonts w:asciiTheme="majorHAnsi" w:hAnsiTheme="majorHAnsi"/>
                <w:sz w:val="20"/>
              </w:rPr>
            </w:pPr>
            <w:r>
              <w:rPr>
                <w:rFonts w:asciiTheme="majorHAnsi" w:hAnsiTheme="majorHAnsi"/>
                <w:sz w:val="20"/>
              </w:rPr>
              <w:t>23</w:t>
            </w:r>
          </w:p>
        </w:tc>
        <w:tc>
          <w:tcPr>
            <w:tcW w:w="990" w:type="dxa"/>
            <w:tcBorders>
              <w:top w:val="single" w:sz="12" w:space="0" w:color="000000"/>
            </w:tcBorders>
            <w:vAlign w:val="center"/>
          </w:tcPr>
          <w:p w:rsidR="00EF6C2E" w:rsidRDefault="00113050" w:rsidP="000130B4">
            <w:pPr>
              <w:jc w:val="center"/>
              <w:rPr>
                <w:rFonts w:asciiTheme="majorHAnsi" w:hAnsiTheme="majorHAnsi"/>
                <w:sz w:val="20"/>
              </w:rPr>
            </w:pPr>
            <w:r>
              <w:rPr>
                <w:rFonts w:asciiTheme="majorHAnsi" w:hAnsiTheme="majorHAnsi"/>
                <w:sz w:val="20"/>
              </w:rPr>
              <w:t>$40.85</w:t>
            </w:r>
          </w:p>
        </w:tc>
        <w:tc>
          <w:tcPr>
            <w:tcW w:w="1368" w:type="dxa"/>
            <w:tcBorders>
              <w:top w:val="single" w:sz="12" w:space="0" w:color="000000"/>
            </w:tcBorders>
            <w:vAlign w:val="center"/>
          </w:tcPr>
          <w:p w:rsidR="00EF6C2E" w:rsidRDefault="00710E16" w:rsidP="00202D07">
            <w:pPr>
              <w:jc w:val="right"/>
              <w:rPr>
                <w:rFonts w:asciiTheme="majorHAnsi" w:hAnsiTheme="majorHAnsi"/>
                <w:sz w:val="20"/>
              </w:rPr>
            </w:pPr>
            <w:r>
              <w:rPr>
                <w:rFonts w:asciiTheme="majorHAnsi" w:hAnsiTheme="majorHAnsi"/>
                <w:sz w:val="20"/>
              </w:rPr>
              <w:t>$939.55</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p>
        </w:tc>
        <w:tc>
          <w:tcPr>
            <w:tcW w:w="1440" w:type="dxa"/>
            <w:vAlign w:val="center"/>
          </w:tcPr>
          <w:p w:rsidR="00C0376C" w:rsidRPr="00817941" w:rsidRDefault="00675E85" w:rsidP="00C0376C">
            <w:pPr>
              <w:spacing w:after="0"/>
              <w:jc w:val="center"/>
              <w:rPr>
                <w:rFonts w:asciiTheme="majorHAnsi" w:hAnsiTheme="majorHAnsi"/>
                <w:b/>
                <w:sz w:val="20"/>
              </w:rPr>
            </w:pPr>
            <w:r>
              <w:rPr>
                <w:rFonts w:asciiTheme="majorHAnsi" w:hAnsiTheme="majorHAnsi"/>
                <w:b/>
                <w:sz w:val="20"/>
              </w:rPr>
              <w:t>469</w:t>
            </w:r>
            <w:r w:rsidR="00CA5B99">
              <w:rPr>
                <w:rFonts w:asciiTheme="majorHAnsi" w:hAnsiTheme="majorHAnsi"/>
                <w:b/>
                <w:sz w:val="20"/>
              </w:rPr>
              <w:t xml:space="preserve"> </w:t>
            </w:r>
          </w:p>
        </w:tc>
        <w:tc>
          <w:tcPr>
            <w:tcW w:w="1800" w:type="dxa"/>
            <w:shd w:val="clear" w:color="auto" w:fill="auto"/>
            <w:vAlign w:val="center"/>
          </w:tcPr>
          <w:p w:rsidR="00C0376C" w:rsidRPr="00817941" w:rsidRDefault="00CA5B99" w:rsidP="00C0376C">
            <w:pPr>
              <w:spacing w:after="0"/>
              <w:jc w:val="center"/>
              <w:rPr>
                <w:rFonts w:asciiTheme="majorHAnsi" w:hAnsiTheme="majorHAnsi"/>
                <w:b/>
                <w:sz w:val="20"/>
              </w:rPr>
            </w:pPr>
            <w:r>
              <w:rPr>
                <w:rFonts w:asciiTheme="majorHAnsi" w:hAnsiTheme="majorHAnsi"/>
                <w:b/>
                <w:sz w:val="20"/>
              </w:rPr>
              <w:t xml:space="preserve"> </w:t>
            </w:r>
            <w:r w:rsidR="00933D05">
              <w:rPr>
                <w:rFonts w:asciiTheme="majorHAnsi" w:hAnsiTheme="majorHAnsi"/>
                <w:b/>
                <w:sz w:val="20"/>
              </w:rPr>
              <w:t>1</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7941" w:rsidRDefault="00113050" w:rsidP="00C0376C">
            <w:pPr>
              <w:spacing w:after="0"/>
              <w:jc w:val="center"/>
              <w:rPr>
                <w:rFonts w:asciiTheme="majorHAnsi" w:hAnsiTheme="majorHAnsi"/>
                <w:b/>
                <w:sz w:val="20"/>
              </w:rPr>
            </w:pPr>
            <w:r>
              <w:rPr>
                <w:rFonts w:asciiTheme="majorHAnsi" w:hAnsiTheme="majorHAnsi"/>
                <w:b/>
                <w:sz w:val="20"/>
              </w:rPr>
              <w:t>86</w:t>
            </w:r>
            <w:r w:rsidR="00CA5B99">
              <w:rPr>
                <w:rFonts w:asciiTheme="majorHAnsi" w:hAnsiTheme="majorHAnsi"/>
                <w:b/>
                <w:sz w:val="20"/>
              </w:rPr>
              <w:t xml:space="preserve"> </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710E16" w:rsidP="00202D07">
            <w:pPr>
              <w:spacing w:after="0"/>
              <w:jc w:val="right"/>
              <w:rPr>
                <w:rFonts w:asciiTheme="majorHAnsi" w:hAnsiTheme="majorHAnsi"/>
                <w:b/>
                <w:sz w:val="20"/>
              </w:rPr>
            </w:pPr>
            <w:r>
              <w:rPr>
                <w:rFonts w:asciiTheme="majorHAnsi" w:hAnsiTheme="majorHAnsi"/>
                <w:b/>
                <w:sz w:val="20"/>
              </w:rPr>
              <w:t>$4</w:t>
            </w:r>
            <w:r w:rsidR="00C40A06">
              <w:rPr>
                <w:rFonts w:asciiTheme="majorHAnsi" w:hAnsiTheme="majorHAnsi"/>
                <w:b/>
                <w:sz w:val="20"/>
              </w:rPr>
              <w:t>,</w:t>
            </w:r>
            <w:r>
              <w:rPr>
                <w:rFonts w:asciiTheme="majorHAnsi" w:hAnsiTheme="majorHAnsi"/>
                <w:b/>
                <w:sz w:val="20"/>
              </w:rPr>
              <w:t>025.29</w:t>
            </w:r>
            <w:r w:rsidR="00CA5B99">
              <w:rPr>
                <w:rFonts w:asciiTheme="majorHAnsi" w:hAnsiTheme="majorHAnsi"/>
                <w:b/>
                <w:sz w:val="20"/>
              </w:rPr>
              <w:t xml:space="preserve"> </w:t>
            </w:r>
          </w:p>
        </w:tc>
      </w:tr>
    </w:tbl>
    <w:p w:rsidR="003C31C9" w:rsidRDefault="003C31C9"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3C31C9" w:rsidRDefault="00B12F51" w:rsidP="00B12F51">
      <w:pPr>
        <w:pStyle w:val="ListParagraph"/>
        <w:numPr>
          <w:ilvl w:val="0"/>
          <w:numId w:val="2"/>
        </w:numPr>
        <w:spacing w:after="0"/>
        <w:rPr>
          <w:rFonts w:asciiTheme="majorHAnsi" w:hAnsiTheme="majorHAnsi"/>
          <w:b/>
        </w:rPr>
      </w:pPr>
      <w:r w:rsidRPr="003C31C9">
        <w:rPr>
          <w:rFonts w:asciiTheme="majorHAnsi" w:hAnsiTheme="majorHAnsi"/>
          <w:b/>
        </w:rPr>
        <w:t>Cost</w:t>
      </w:r>
      <w:r w:rsidR="00616090">
        <w:rPr>
          <w:rFonts w:asciiTheme="majorHAnsi" w:hAnsiTheme="majorHAnsi"/>
          <w:b/>
        </w:rPr>
        <w:t>s</w:t>
      </w:r>
      <w:r w:rsidRPr="003C31C9">
        <w:rPr>
          <w:rFonts w:asciiTheme="majorHAnsi" w:hAnsiTheme="majorHAnsi"/>
          <w:b/>
        </w:rPr>
        <w:t xml:space="preserve"> to Respondents </w:t>
      </w:r>
    </w:p>
    <w:p w:rsidR="003C31C9" w:rsidRDefault="003C31C9" w:rsidP="003C31C9">
      <w:pPr>
        <w:pStyle w:val="CM89"/>
        <w:spacing w:line="228" w:lineRule="atLeast"/>
        <w:ind w:left="720"/>
        <w:rPr>
          <w:rFonts w:asciiTheme="majorHAnsi" w:hAnsiTheme="majorHAnsi" w:cs="Times New Roman"/>
          <w:color w:val="000000"/>
          <w:sz w:val="22"/>
        </w:rPr>
      </w:pPr>
      <w:r w:rsidRPr="003C31C9">
        <w:rPr>
          <w:rFonts w:asciiTheme="majorHAnsi" w:hAnsiTheme="majorHAnsi" w:cs="Times New Roman"/>
          <w:color w:val="000000"/>
          <w:sz w:val="22"/>
        </w:rPr>
        <w:t>There will be no direct costs to the respondents other than their time</w:t>
      </w:r>
      <w:r>
        <w:rPr>
          <w:rFonts w:asciiTheme="majorHAnsi" w:hAnsiTheme="majorHAnsi" w:cs="Times New Roman"/>
          <w:color w:val="000000"/>
          <w:sz w:val="22"/>
        </w:rPr>
        <w:t xml:space="preserve"> to participate in each survey.</w:t>
      </w:r>
    </w:p>
    <w:p w:rsidR="00911486" w:rsidRPr="00911486" w:rsidRDefault="00911486" w:rsidP="00911486">
      <w:pPr>
        <w:pStyle w:val="Default"/>
        <w:ind w:left="720"/>
      </w:pPr>
    </w:p>
    <w:p w:rsidR="00B12F51" w:rsidRPr="005F3FEF" w:rsidRDefault="00B12F51" w:rsidP="003C31C9">
      <w:pPr>
        <w:pStyle w:val="ListParagraph"/>
        <w:numPr>
          <w:ilvl w:val="0"/>
          <w:numId w:val="2"/>
        </w:numPr>
        <w:spacing w:after="0"/>
        <w:rPr>
          <w:rFonts w:asciiTheme="majorHAnsi" w:hAnsiTheme="majorHAnsi"/>
          <w:b/>
        </w:rPr>
      </w:pPr>
      <w:r w:rsidRPr="005F3FEF">
        <w:rPr>
          <w:rFonts w:asciiTheme="majorHAnsi" w:hAnsiTheme="majorHAnsi"/>
          <w:b/>
        </w:rPr>
        <w:t>Cost to Federal Government</w:t>
      </w:r>
    </w:p>
    <w:p w:rsidR="008E0683" w:rsidRPr="008E0683" w:rsidRDefault="003C31C9" w:rsidP="008E0683">
      <w:pPr>
        <w:pStyle w:val="ListParagraph"/>
        <w:autoSpaceDE w:val="0"/>
        <w:autoSpaceDN w:val="0"/>
        <w:adjustRightInd w:val="0"/>
        <w:ind w:right="720"/>
        <w:rPr>
          <w:rFonts w:asciiTheme="majorHAnsi" w:hAnsiTheme="majorHAnsi"/>
        </w:rPr>
      </w:pPr>
      <w:r w:rsidRPr="008E0683">
        <w:rPr>
          <w:rFonts w:asciiTheme="majorHAnsi" w:hAnsiTheme="majorHAnsi"/>
        </w:rPr>
        <w:t xml:space="preserve">There are no equipment or overhead costs.  </w:t>
      </w:r>
      <w:r w:rsidR="004841F1">
        <w:rPr>
          <w:rFonts w:asciiTheme="majorHAnsi" w:hAnsiTheme="majorHAnsi"/>
        </w:rPr>
        <w:t xml:space="preserve">Contractors are not being used to support this data collection. </w:t>
      </w:r>
      <w:r w:rsidRPr="008E0683">
        <w:rPr>
          <w:rFonts w:asciiTheme="majorHAnsi" w:hAnsiTheme="majorHAnsi"/>
        </w:rPr>
        <w:t>The only cost to the federal government would be the salary of CDC staff supporting the data collection activities and assoc</w:t>
      </w:r>
      <w:r w:rsidR="008E0683" w:rsidRPr="008E0683">
        <w:rPr>
          <w:rFonts w:asciiTheme="majorHAnsi" w:hAnsiTheme="majorHAnsi"/>
        </w:rPr>
        <w:t>iated tasks.</w:t>
      </w:r>
    </w:p>
    <w:p w:rsidR="008E0683" w:rsidRPr="008E0683" w:rsidRDefault="008E0683" w:rsidP="008E0683">
      <w:pPr>
        <w:pStyle w:val="ListParagraph"/>
        <w:autoSpaceDE w:val="0"/>
        <w:autoSpaceDN w:val="0"/>
        <w:adjustRightInd w:val="0"/>
        <w:ind w:right="720"/>
        <w:rPr>
          <w:rFonts w:asciiTheme="majorHAnsi" w:hAnsiTheme="majorHAnsi"/>
        </w:rPr>
      </w:pPr>
    </w:p>
    <w:p w:rsidR="003C31C9" w:rsidRDefault="00793FF6" w:rsidP="008E0683">
      <w:pPr>
        <w:pStyle w:val="ListParagraph"/>
        <w:autoSpaceDE w:val="0"/>
        <w:autoSpaceDN w:val="0"/>
        <w:adjustRightInd w:val="0"/>
        <w:ind w:right="720"/>
        <w:rPr>
          <w:rFonts w:asciiTheme="majorHAnsi" w:hAnsiTheme="majorHAnsi"/>
          <w:color w:val="000000"/>
        </w:rPr>
      </w:pPr>
      <w:r>
        <w:rPr>
          <w:rFonts w:asciiTheme="majorHAnsi" w:hAnsiTheme="majorHAnsi"/>
          <w:color w:val="000000"/>
        </w:rPr>
        <w:t>The lead staff for this project are a Senior Public Health Analyst (GS-14) and a Public Health Analyst (GS-13) in the OSTLTS Public Health Law Program. The lead staff developed the survey</w:t>
      </w:r>
      <w:r w:rsidR="00B7051D">
        <w:rPr>
          <w:rFonts w:asciiTheme="majorHAnsi" w:hAnsiTheme="majorHAnsi"/>
          <w:color w:val="000000"/>
        </w:rPr>
        <w:t xml:space="preserve">, </w:t>
      </w:r>
      <w:r>
        <w:rPr>
          <w:rFonts w:asciiTheme="majorHAnsi" w:hAnsiTheme="majorHAnsi"/>
          <w:color w:val="000000"/>
        </w:rPr>
        <w:t xml:space="preserve"> and will collect </w:t>
      </w:r>
      <w:r w:rsidR="004424DA">
        <w:rPr>
          <w:rFonts w:asciiTheme="majorHAnsi" w:hAnsiTheme="majorHAnsi"/>
          <w:color w:val="000000"/>
        </w:rPr>
        <w:t>the data, code, enter, an</w:t>
      </w:r>
      <w:r w:rsidR="00B7051D">
        <w:rPr>
          <w:rFonts w:asciiTheme="majorHAnsi" w:hAnsiTheme="majorHAnsi"/>
          <w:color w:val="000000"/>
        </w:rPr>
        <w:t xml:space="preserve">d prepare the data for analysis; conduct the qualitative data analysis; and conduct </w:t>
      </w:r>
      <w:r w:rsidR="004424DA">
        <w:rPr>
          <w:rFonts w:asciiTheme="majorHAnsi" w:hAnsiTheme="majorHAnsi"/>
          <w:color w:val="000000"/>
        </w:rPr>
        <w:t xml:space="preserve">and prepare the evaluation report. </w:t>
      </w:r>
      <w:r w:rsidR="00995A98">
        <w:rPr>
          <w:rFonts w:asciiTheme="majorHAnsi" w:hAnsiTheme="majorHAnsi"/>
          <w:color w:val="000000"/>
        </w:rPr>
        <w:t>A Health Scientist (GS-14)</w:t>
      </w:r>
      <w:r w:rsidR="004424DA">
        <w:rPr>
          <w:rFonts w:asciiTheme="majorHAnsi" w:hAnsiTheme="majorHAnsi"/>
          <w:color w:val="000000"/>
        </w:rPr>
        <w:t xml:space="preserve"> will analyze the data. Hourly rates of $48.41 for GS-14 and $40.97 for GS-13 were used to estimate staff costs. The estimated cost to the federal government is </w:t>
      </w:r>
      <w:r w:rsidR="007E5A8B">
        <w:rPr>
          <w:rFonts w:asciiTheme="majorHAnsi" w:hAnsiTheme="majorHAnsi"/>
          <w:color w:val="000000"/>
        </w:rPr>
        <w:t>$6,998</w:t>
      </w:r>
      <w:r w:rsidR="004424DA">
        <w:rPr>
          <w:rFonts w:asciiTheme="majorHAnsi" w:hAnsiTheme="majorHAnsi"/>
          <w:color w:val="000000"/>
        </w:rPr>
        <w:t>.</w:t>
      </w:r>
    </w:p>
    <w:p w:rsidR="00602370" w:rsidRDefault="00602370" w:rsidP="008E0683">
      <w:pPr>
        <w:pStyle w:val="ListParagraph"/>
        <w:autoSpaceDE w:val="0"/>
        <w:autoSpaceDN w:val="0"/>
        <w:adjustRightInd w:val="0"/>
        <w:ind w:right="720"/>
        <w:rPr>
          <w:rFonts w:asciiTheme="majorHAnsi" w:hAnsiTheme="majorHAnsi"/>
          <w:color w:val="000000"/>
        </w:rPr>
      </w:pPr>
    </w:p>
    <w:p w:rsidR="00344F07" w:rsidRPr="00B5550B" w:rsidRDefault="008206C7" w:rsidP="00B5550B">
      <w:pPr>
        <w:pStyle w:val="ListParagraph"/>
        <w:autoSpaceDE w:val="0"/>
        <w:autoSpaceDN w:val="0"/>
        <w:adjustRightInd w:val="0"/>
        <w:ind w:right="720"/>
        <w:rPr>
          <w:rFonts w:asciiTheme="majorHAnsi" w:hAnsiTheme="majorHAnsi"/>
          <w:color w:val="000000"/>
        </w:rPr>
      </w:pPr>
      <w:r>
        <w:rPr>
          <w:rFonts w:asciiTheme="majorHAnsi" w:hAnsiTheme="majorHAnsi"/>
          <w:color w:val="000000"/>
        </w:rPr>
        <w:t>A GS-1</w:t>
      </w:r>
      <w:r w:rsidR="00206167">
        <w:rPr>
          <w:rFonts w:asciiTheme="majorHAnsi" w:hAnsiTheme="majorHAnsi"/>
          <w:color w:val="000000"/>
        </w:rPr>
        <w:t>4 Health Scientist</w:t>
      </w:r>
      <w:r>
        <w:rPr>
          <w:rFonts w:asciiTheme="majorHAnsi" w:hAnsiTheme="majorHAnsi"/>
          <w:color w:val="000000"/>
        </w:rPr>
        <w:t xml:space="preserve"> in the OSTLTS Research and Outcomes Branch will develop the analysis plan and conduct </w:t>
      </w:r>
      <w:r w:rsidR="00B5550B">
        <w:rPr>
          <w:rFonts w:asciiTheme="majorHAnsi" w:hAnsiTheme="majorHAnsi"/>
          <w:color w:val="000000"/>
        </w:rPr>
        <w:t>the quantitative data analysis.</w:t>
      </w:r>
    </w:p>
    <w:p w:rsidR="006C4DA7" w:rsidRDefault="006C4DA7">
      <w:pPr>
        <w:rPr>
          <w:rFonts w:asciiTheme="majorHAnsi" w:hAnsiTheme="majorHAnsi"/>
          <w:b/>
          <w:u w:val="single"/>
        </w:rPr>
      </w:pPr>
      <w:r>
        <w:rPr>
          <w:rFonts w:asciiTheme="majorHAnsi" w:hAnsiTheme="majorHAnsi"/>
          <w:b/>
          <w:u w:val="single"/>
        </w:rPr>
        <w:br w:type="page"/>
      </w:r>
    </w:p>
    <w:p w:rsidR="004841F1" w:rsidRDefault="008E0683" w:rsidP="00241B17">
      <w:pPr>
        <w:spacing w:after="0"/>
        <w:rPr>
          <w:rFonts w:asciiTheme="majorHAnsi" w:hAnsiTheme="majorHAnsi"/>
        </w:rPr>
      </w:pPr>
      <w:r w:rsidRPr="00241B17">
        <w:rPr>
          <w:rFonts w:asciiTheme="majorHAnsi" w:hAnsiTheme="majorHAnsi"/>
          <w:b/>
          <w:u w:val="single"/>
        </w:rPr>
        <w:lastRenderedPageBreak/>
        <w:t>Table A-14</w:t>
      </w:r>
      <w:r w:rsidRPr="00241B17">
        <w:rPr>
          <w:rFonts w:asciiTheme="majorHAnsi" w:hAnsiTheme="majorHAnsi"/>
          <w:b/>
        </w:rPr>
        <w:t>:</w:t>
      </w:r>
      <w:r w:rsidRPr="008E0683">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Default="004424DA" w:rsidP="00241B17">
            <w:pPr>
              <w:rPr>
                <w:rFonts w:asciiTheme="majorHAnsi" w:hAnsiTheme="majorHAnsi"/>
                <w:sz w:val="20"/>
              </w:rPr>
            </w:pPr>
            <w:r>
              <w:rPr>
                <w:rFonts w:asciiTheme="majorHAnsi" w:hAnsiTheme="majorHAnsi"/>
                <w:b/>
                <w:sz w:val="20"/>
              </w:rPr>
              <w:t>Senior Public Health Analyst (GS-14)</w:t>
            </w:r>
          </w:p>
          <w:p w:rsidR="004424DA" w:rsidRPr="004424DA" w:rsidRDefault="004424DA" w:rsidP="00241B17">
            <w:pPr>
              <w:rPr>
                <w:rFonts w:asciiTheme="majorHAnsi" w:hAnsiTheme="majorHAnsi"/>
                <w:sz w:val="20"/>
              </w:rPr>
            </w:pPr>
            <w:r>
              <w:rPr>
                <w:rFonts w:asciiTheme="majorHAnsi" w:hAnsiTheme="majorHAnsi"/>
                <w:sz w:val="20"/>
              </w:rPr>
              <w:t xml:space="preserve">Instrument development, pilot testing, OMB package preparation, data collection, </w:t>
            </w:r>
            <w:r w:rsidR="007A762B">
              <w:rPr>
                <w:rFonts w:asciiTheme="majorHAnsi" w:hAnsiTheme="majorHAnsi"/>
                <w:sz w:val="20"/>
              </w:rPr>
              <w:t xml:space="preserve">qualitative data analysis, </w:t>
            </w:r>
            <w:r>
              <w:rPr>
                <w:rFonts w:asciiTheme="majorHAnsi" w:hAnsiTheme="majorHAnsi"/>
                <w:sz w:val="20"/>
              </w:rPr>
              <w:t>quality control, report preparation</w:t>
            </w:r>
          </w:p>
        </w:tc>
        <w:tc>
          <w:tcPr>
            <w:tcW w:w="1980" w:type="dxa"/>
            <w:tcBorders>
              <w:top w:val="single" w:sz="12" w:space="0" w:color="auto"/>
            </w:tcBorders>
          </w:tcPr>
          <w:p w:rsidR="004841F1" w:rsidRPr="004841F1" w:rsidRDefault="009322C1" w:rsidP="004824FA">
            <w:pPr>
              <w:jc w:val="center"/>
              <w:rPr>
                <w:rFonts w:asciiTheme="majorHAnsi" w:hAnsiTheme="majorHAnsi"/>
                <w:sz w:val="20"/>
              </w:rPr>
            </w:pPr>
            <w:r>
              <w:rPr>
                <w:rFonts w:asciiTheme="majorHAnsi" w:hAnsiTheme="majorHAnsi"/>
                <w:sz w:val="20"/>
              </w:rPr>
              <w:t>50</w:t>
            </w:r>
            <w:r w:rsidR="00321B51">
              <w:rPr>
                <w:rFonts w:asciiTheme="majorHAnsi" w:hAnsiTheme="majorHAnsi"/>
                <w:sz w:val="20"/>
              </w:rPr>
              <w:t xml:space="preserve"> </w:t>
            </w:r>
          </w:p>
        </w:tc>
        <w:tc>
          <w:tcPr>
            <w:tcW w:w="1620" w:type="dxa"/>
            <w:tcBorders>
              <w:top w:val="single" w:sz="12" w:space="0" w:color="auto"/>
            </w:tcBorders>
          </w:tcPr>
          <w:p w:rsidR="004841F1" w:rsidRPr="004841F1" w:rsidRDefault="004424DA" w:rsidP="004824FA">
            <w:pPr>
              <w:jc w:val="center"/>
              <w:rPr>
                <w:rFonts w:asciiTheme="majorHAnsi" w:hAnsiTheme="majorHAnsi"/>
                <w:sz w:val="20"/>
              </w:rPr>
            </w:pPr>
            <w:r>
              <w:rPr>
                <w:rFonts w:asciiTheme="majorHAnsi" w:hAnsiTheme="majorHAnsi"/>
                <w:sz w:val="20"/>
              </w:rPr>
              <w:t>$48.41</w:t>
            </w:r>
          </w:p>
        </w:tc>
        <w:tc>
          <w:tcPr>
            <w:tcW w:w="1458" w:type="dxa"/>
            <w:tcBorders>
              <w:top w:val="single" w:sz="12" w:space="0" w:color="auto"/>
            </w:tcBorders>
          </w:tcPr>
          <w:p w:rsidR="004841F1" w:rsidRPr="004841F1" w:rsidRDefault="007E5A8B" w:rsidP="004824FA">
            <w:pPr>
              <w:jc w:val="center"/>
              <w:rPr>
                <w:rFonts w:asciiTheme="majorHAnsi" w:hAnsiTheme="majorHAnsi"/>
                <w:sz w:val="20"/>
              </w:rPr>
            </w:pPr>
            <w:r>
              <w:rPr>
                <w:rFonts w:asciiTheme="majorHAnsi" w:hAnsiTheme="majorHAnsi"/>
                <w:sz w:val="20"/>
              </w:rPr>
              <w:t>$2420</w:t>
            </w:r>
            <w:r w:rsidR="00321B51">
              <w:rPr>
                <w:rFonts w:asciiTheme="majorHAnsi" w:hAnsiTheme="majorHAnsi"/>
                <w:sz w:val="20"/>
              </w:rPr>
              <w:t xml:space="preserve"> </w:t>
            </w:r>
          </w:p>
        </w:tc>
      </w:tr>
      <w:tr w:rsidR="004841F1" w:rsidRPr="004841F1" w:rsidTr="006C4DA7">
        <w:tc>
          <w:tcPr>
            <w:tcW w:w="4518" w:type="dxa"/>
          </w:tcPr>
          <w:p w:rsidR="004424DA" w:rsidRDefault="004424DA" w:rsidP="004424DA">
            <w:pPr>
              <w:rPr>
                <w:rFonts w:asciiTheme="majorHAnsi" w:hAnsiTheme="majorHAnsi"/>
                <w:sz w:val="20"/>
              </w:rPr>
            </w:pPr>
            <w:r>
              <w:rPr>
                <w:rFonts w:asciiTheme="majorHAnsi" w:hAnsiTheme="majorHAnsi"/>
                <w:b/>
                <w:sz w:val="20"/>
              </w:rPr>
              <w:t>Public Health Analyst (GS-13)</w:t>
            </w:r>
          </w:p>
          <w:p w:rsidR="004824FA" w:rsidRPr="004424DA" w:rsidRDefault="004424DA" w:rsidP="004424DA">
            <w:pPr>
              <w:rPr>
                <w:rFonts w:asciiTheme="majorHAnsi" w:hAnsiTheme="majorHAnsi"/>
                <w:b/>
                <w:sz w:val="20"/>
              </w:rPr>
            </w:pPr>
            <w:r>
              <w:rPr>
                <w:rFonts w:asciiTheme="majorHAnsi" w:hAnsiTheme="majorHAnsi"/>
                <w:sz w:val="20"/>
              </w:rPr>
              <w:t xml:space="preserve">Instrument development, pilot testing, OMB package preparation, data collection, data coding and entry, </w:t>
            </w:r>
            <w:r w:rsidR="005A5054">
              <w:rPr>
                <w:rFonts w:asciiTheme="majorHAnsi" w:hAnsiTheme="majorHAnsi"/>
                <w:sz w:val="20"/>
              </w:rPr>
              <w:t xml:space="preserve">qualitative data analysis, </w:t>
            </w:r>
            <w:r>
              <w:rPr>
                <w:rFonts w:asciiTheme="majorHAnsi" w:hAnsiTheme="majorHAnsi"/>
                <w:sz w:val="20"/>
              </w:rPr>
              <w:t>quality control, report preparation</w:t>
            </w:r>
          </w:p>
        </w:tc>
        <w:tc>
          <w:tcPr>
            <w:tcW w:w="1980" w:type="dxa"/>
          </w:tcPr>
          <w:p w:rsidR="004841F1" w:rsidRPr="00A72652" w:rsidRDefault="009322C1" w:rsidP="004824FA">
            <w:pPr>
              <w:jc w:val="center"/>
              <w:rPr>
                <w:rFonts w:asciiTheme="majorHAnsi" w:hAnsiTheme="majorHAnsi"/>
                <w:sz w:val="20"/>
              </w:rPr>
            </w:pPr>
            <w:r>
              <w:rPr>
                <w:rFonts w:asciiTheme="majorHAnsi" w:hAnsiTheme="majorHAnsi"/>
                <w:sz w:val="20"/>
              </w:rPr>
              <w:t>100</w:t>
            </w:r>
          </w:p>
        </w:tc>
        <w:tc>
          <w:tcPr>
            <w:tcW w:w="1620" w:type="dxa"/>
          </w:tcPr>
          <w:p w:rsidR="004841F1" w:rsidRPr="00A72652" w:rsidRDefault="004424DA" w:rsidP="004824FA">
            <w:pPr>
              <w:jc w:val="center"/>
              <w:rPr>
                <w:rFonts w:asciiTheme="majorHAnsi" w:hAnsiTheme="majorHAnsi"/>
                <w:sz w:val="20"/>
              </w:rPr>
            </w:pPr>
            <w:r>
              <w:rPr>
                <w:rFonts w:asciiTheme="majorHAnsi" w:hAnsiTheme="majorHAnsi"/>
                <w:sz w:val="20"/>
              </w:rPr>
              <w:t>$40.94</w:t>
            </w:r>
          </w:p>
        </w:tc>
        <w:tc>
          <w:tcPr>
            <w:tcW w:w="1458" w:type="dxa"/>
          </w:tcPr>
          <w:p w:rsidR="004841F1" w:rsidRPr="00A72652" w:rsidRDefault="00321B51" w:rsidP="004824FA">
            <w:pPr>
              <w:jc w:val="center"/>
              <w:rPr>
                <w:rFonts w:asciiTheme="majorHAnsi" w:hAnsiTheme="majorHAnsi"/>
                <w:sz w:val="20"/>
              </w:rPr>
            </w:pPr>
            <w:r>
              <w:rPr>
                <w:rFonts w:asciiTheme="majorHAnsi" w:hAnsiTheme="majorHAnsi"/>
                <w:sz w:val="20"/>
              </w:rPr>
              <w:t xml:space="preserve"> </w:t>
            </w:r>
            <w:r w:rsidR="007E5A8B">
              <w:rPr>
                <w:rFonts w:asciiTheme="majorHAnsi" w:hAnsiTheme="majorHAnsi"/>
                <w:sz w:val="20"/>
              </w:rPr>
              <w:t>$4094</w:t>
            </w:r>
          </w:p>
        </w:tc>
      </w:tr>
      <w:tr w:rsidR="004824FA" w:rsidRPr="007B305A" w:rsidTr="006C4DA7">
        <w:tc>
          <w:tcPr>
            <w:tcW w:w="4518" w:type="dxa"/>
          </w:tcPr>
          <w:p w:rsidR="004824FA" w:rsidRDefault="00206167" w:rsidP="006C4DA7">
            <w:pPr>
              <w:rPr>
                <w:rFonts w:asciiTheme="majorHAnsi" w:hAnsiTheme="majorHAnsi"/>
                <w:sz w:val="20"/>
              </w:rPr>
            </w:pPr>
            <w:r w:rsidRPr="00206167">
              <w:rPr>
                <w:rFonts w:asciiTheme="majorHAnsi" w:hAnsiTheme="majorHAnsi"/>
                <w:b/>
                <w:sz w:val="20"/>
              </w:rPr>
              <w:t>Health Scientist</w:t>
            </w:r>
            <w:r>
              <w:rPr>
                <w:rFonts w:asciiTheme="majorHAnsi" w:hAnsiTheme="majorHAnsi"/>
                <w:b/>
                <w:sz w:val="20"/>
              </w:rPr>
              <w:t xml:space="preserve"> (GS-14)</w:t>
            </w:r>
          </w:p>
          <w:p w:rsidR="004424DA" w:rsidRPr="004424DA" w:rsidRDefault="004424DA" w:rsidP="006C4DA7">
            <w:pPr>
              <w:rPr>
                <w:rFonts w:asciiTheme="majorHAnsi" w:hAnsiTheme="majorHAnsi"/>
                <w:sz w:val="20"/>
              </w:rPr>
            </w:pPr>
            <w:r>
              <w:rPr>
                <w:rFonts w:asciiTheme="majorHAnsi" w:hAnsiTheme="majorHAnsi"/>
                <w:sz w:val="20"/>
              </w:rPr>
              <w:t xml:space="preserve">Data </w:t>
            </w:r>
            <w:r w:rsidR="005A5054">
              <w:rPr>
                <w:rFonts w:asciiTheme="majorHAnsi" w:hAnsiTheme="majorHAnsi"/>
                <w:sz w:val="20"/>
              </w:rPr>
              <w:t xml:space="preserve">plan and quantitative </w:t>
            </w:r>
            <w:r>
              <w:rPr>
                <w:rFonts w:asciiTheme="majorHAnsi" w:hAnsiTheme="majorHAnsi"/>
                <w:sz w:val="20"/>
              </w:rPr>
              <w:t>analysis</w:t>
            </w:r>
          </w:p>
        </w:tc>
        <w:tc>
          <w:tcPr>
            <w:tcW w:w="1980" w:type="dxa"/>
          </w:tcPr>
          <w:p w:rsidR="004824FA" w:rsidRPr="007B305A" w:rsidRDefault="00206167" w:rsidP="004824FA">
            <w:pPr>
              <w:jc w:val="center"/>
              <w:rPr>
                <w:rFonts w:asciiTheme="majorHAnsi" w:hAnsiTheme="majorHAnsi"/>
                <w:sz w:val="20"/>
              </w:rPr>
            </w:pPr>
            <w:r>
              <w:rPr>
                <w:rFonts w:asciiTheme="majorHAnsi" w:hAnsiTheme="majorHAnsi"/>
                <w:sz w:val="20"/>
              </w:rPr>
              <w:t>10</w:t>
            </w:r>
            <w:r w:rsidR="00321B51">
              <w:rPr>
                <w:rFonts w:asciiTheme="majorHAnsi" w:hAnsiTheme="majorHAnsi"/>
                <w:sz w:val="20"/>
              </w:rPr>
              <w:t xml:space="preserve"> </w:t>
            </w:r>
          </w:p>
        </w:tc>
        <w:tc>
          <w:tcPr>
            <w:tcW w:w="1620" w:type="dxa"/>
          </w:tcPr>
          <w:p w:rsidR="004824FA" w:rsidRPr="007B305A" w:rsidRDefault="00206167" w:rsidP="004824FA">
            <w:pPr>
              <w:jc w:val="center"/>
              <w:rPr>
                <w:rFonts w:asciiTheme="majorHAnsi" w:hAnsiTheme="majorHAnsi"/>
                <w:sz w:val="20"/>
              </w:rPr>
            </w:pPr>
            <w:r>
              <w:rPr>
                <w:rFonts w:asciiTheme="majorHAnsi" w:hAnsiTheme="majorHAnsi"/>
                <w:sz w:val="20"/>
              </w:rPr>
              <w:t>$48.41</w:t>
            </w:r>
            <w:r w:rsidR="00321B51">
              <w:rPr>
                <w:rFonts w:asciiTheme="majorHAnsi" w:hAnsiTheme="majorHAnsi"/>
                <w:sz w:val="20"/>
              </w:rPr>
              <w:t xml:space="preserve"> </w:t>
            </w:r>
          </w:p>
        </w:tc>
        <w:tc>
          <w:tcPr>
            <w:tcW w:w="1458" w:type="dxa"/>
          </w:tcPr>
          <w:p w:rsidR="004824FA" w:rsidRPr="007B305A" w:rsidRDefault="007E5A8B" w:rsidP="004824FA">
            <w:pPr>
              <w:jc w:val="center"/>
              <w:rPr>
                <w:rFonts w:asciiTheme="majorHAnsi" w:hAnsiTheme="majorHAnsi"/>
                <w:sz w:val="20"/>
              </w:rPr>
            </w:pPr>
            <w:r>
              <w:rPr>
                <w:rFonts w:asciiTheme="majorHAnsi" w:hAnsiTheme="majorHAnsi"/>
                <w:sz w:val="20"/>
              </w:rPr>
              <w:t>$484</w:t>
            </w:r>
            <w:r w:rsidR="00321B51">
              <w:rPr>
                <w:rFonts w:asciiTheme="majorHAnsi" w:hAnsiTheme="majorHAnsi"/>
                <w:sz w:val="20"/>
              </w:rPr>
              <w:t xml:space="preserve"> </w:t>
            </w:r>
          </w:p>
        </w:tc>
      </w:tr>
      <w:tr w:rsidR="004824FA" w:rsidRPr="004841F1" w:rsidTr="006C4DA7">
        <w:trPr>
          <w:trHeight w:val="332"/>
        </w:trPr>
        <w:tc>
          <w:tcPr>
            <w:tcW w:w="8118" w:type="dxa"/>
            <w:gridSpan w:val="3"/>
            <w:vAlign w:val="center"/>
          </w:tcPr>
          <w:p w:rsidR="004824FA" w:rsidRPr="007B305A" w:rsidRDefault="004824FA" w:rsidP="006B4DDC">
            <w:pPr>
              <w:jc w:val="right"/>
              <w:rPr>
                <w:rFonts w:asciiTheme="majorHAnsi" w:hAnsiTheme="majorHAnsi"/>
                <w:b/>
                <w:sz w:val="20"/>
              </w:rPr>
            </w:pPr>
            <w:r w:rsidRPr="007B305A">
              <w:rPr>
                <w:rFonts w:asciiTheme="majorHAnsi" w:hAnsiTheme="majorHAnsi"/>
                <w:b/>
                <w:sz w:val="20"/>
              </w:rPr>
              <w:t xml:space="preserve">Estimated Total Cost of </w:t>
            </w:r>
            <w:r w:rsidR="006B4DDC" w:rsidRPr="007B305A">
              <w:rPr>
                <w:rFonts w:asciiTheme="majorHAnsi" w:hAnsiTheme="majorHAnsi"/>
                <w:b/>
                <w:sz w:val="20"/>
              </w:rPr>
              <w:t>Information</w:t>
            </w:r>
            <w:r w:rsidRPr="007B305A">
              <w:rPr>
                <w:rFonts w:asciiTheme="majorHAnsi" w:hAnsiTheme="majorHAnsi"/>
                <w:b/>
                <w:sz w:val="20"/>
              </w:rPr>
              <w:t xml:space="preserve"> Collection</w:t>
            </w:r>
          </w:p>
        </w:tc>
        <w:tc>
          <w:tcPr>
            <w:tcW w:w="1458" w:type="dxa"/>
            <w:vAlign w:val="center"/>
          </w:tcPr>
          <w:p w:rsidR="004824FA" w:rsidRPr="007B305A" w:rsidRDefault="00321B51" w:rsidP="006315A3">
            <w:pPr>
              <w:jc w:val="center"/>
              <w:rPr>
                <w:rFonts w:asciiTheme="majorHAnsi" w:hAnsiTheme="majorHAnsi"/>
                <w:b/>
                <w:sz w:val="20"/>
              </w:rPr>
            </w:pPr>
            <w:r>
              <w:rPr>
                <w:rFonts w:asciiTheme="majorHAnsi" w:hAnsiTheme="majorHAnsi"/>
                <w:b/>
                <w:sz w:val="20"/>
              </w:rPr>
              <w:t xml:space="preserve"> </w:t>
            </w:r>
            <w:r w:rsidR="007E5A8B">
              <w:rPr>
                <w:rFonts w:asciiTheme="majorHAnsi" w:hAnsiTheme="majorHAnsi"/>
                <w:b/>
                <w:sz w:val="20"/>
              </w:rPr>
              <w:t>$6,998</w:t>
            </w:r>
          </w:p>
        </w:tc>
      </w:tr>
    </w:tbl>
    <w:p w:rsidR="004841F1" w:rsidRDefault="004841F1" w:rsidP="00241B17">
      <w:pPr>
        <w:spacing w:after="0"/>
        <w:rPr>
          <w:rFonts w:asciiTheme="majorHAnsi" w:hAnsiTheme="majorHAnsi"/>
        </w:rPr>
      </w:pPr>
    </w:p>
    <w:p w:rsidR="00B12F51" w:rsidRPr="003C7C5D" w:rsidRDefault="00616090" w:rsidP="00B12F51">
      <w:pPr>
        <w:pStyle w:val="ListParagraph"/>
        <w:numPr>
          <w:ilvl w:val="0"/>
          <w:numId w:val="2"/>
        </w:numPr>
        <w:spacing w:after="0"/>
        <w:rPr>
          <w:rFonts w:asciiTheme="majorHAnsi" w:hAnsiTheme="majorHAnsi"/>
          <w:b/>
        </w:rPr>
      </w:pPr>
      <w:r>
        <w:rPr>
          <w:rFonts w:asciiTheme="majorHAnsi" w:hAnsiTheme="majorHAnsi"/>
          <w:b/>
        </w:rPr>
        <w:t>Reason for</w:t>
      </w:r>
      <w:r w:rsidR="00B12F51" w:rsidRPr="003C7C5D">
        <w:rPr>
          <w:rFonts w:asciiTheme="majorHAnsi" w:hAnsiTheme="majorHAnsi"/>
          <w:b/>
        </w:rPr>
        <w:t xml:space="preserve"> Changes </w:t>
      </w:r>
    </w:p>
    <w:p w:rsidR="00F52BCC" w:rsidRDefault="003C7C5D" w:rsidP="00F52BCC">
      <w:pPr>
        <w:pStyle w:val="ListParagraph"/>
        <w:spacing w:after="0"/>
        <w:rPr>
          <w:rFonts w:asciiTheme="majorHAnsi" w:hAnsiTheme="majorHAnsi"/>
        </w:rPr>
      </w:pPr>
      <w:r>
        <w:rPr>
          <w:rFonts w:asciiTheme="majorHAnsi" w:hAnsiTheme="majorHAnsi"/>
        </w:rPr>
        <w:t>This is a new data collection.</w:t>
      </w:r>
    </w:p>
    <w:p w:rsidR="00F52BCC" w:rsidRDefault="00F52BCC" w:rsidP="00F52BCC">
      <w:pPr>
        <w:pStyle w:val="ListParagraph"/>
        <w:spacing w:after="0"/>
        <w:rPr>
          <w:rFonts w:asciiTheme="majorHAnsi" w:hAnsiTheme="majorHAnsi"/>
        </w:rPr>
      </w:pPr>
    </w:p>
    <w:p w:rsidR="00B12F51" w:rsidRPr="00EF33CD" w:rsidRDefault="00B12F51" w:rsidP="00B12F51">
      <w:pPr>
        <w:pStyle w:val="ListParagraph"/>
        <w:numPr>
          <w:ilvl w:val="0"/>
          <w:numId w:val="2"/>
        </w:numPr>
        <w:spacing w:after="0"/>
        <w:rPr>
          <w:rFonts w:asciiTheme="majorHAnsi" w:hAnsiTheme="majorHAnsi"/>
          <w:b/>
        </w:rPr>
      </w:pPr>
      <w:r w:rsidRPr="00EF33CD">
        <w:rPr>
          <w:rFonts w:asciiTheme="majorHAnsi" w:hAnsiTheme="majorHAnsi"/>
          <w:b/>
        </w:rPr>
        <w:t xml:space="preserve"> Tabulation</w:t>
      </w:r>
      <w:r w:rsidR="00616090">
        <w:rPr>
          <w:rFonts w:asciiTheme="majorHAnsi" w:hAnsiTheme="majorHAnsi"/>
          <w:b/>
        </w:rPr>
        <w:t xml:space="preserve"> of Results, Schedule, and Analysis Plan</w:t>
      </w:r>
      <w:r w:rsidRPr="00EF33CD">
        <w:rPr>
          <w:rFonts w:asciiTheme="majorHAnsi" w:hAnsiTheme="majorHAnsi"/>
          <w:b/>
        </w:rPr>
        <w:t xml:space="preserve"> </w:t>
      </w:r>
    </w:p>
    <w:p w:rsidR="009F391E" w:rsidRPr="00EE680D" w:rsidRDefault="009F391E" w:rsidP="00EE680D">
      <w:pPr>
        <w:pStyle w:val="ListParagraph"/>
        <w:spacing w:after="0"/>
        <w:rPr>
          <w:rFonts w:asciiTheme="majorHAnsi" w:hAnsiTheme="majorHAnsi"/>
        </w:rPr>
      </w:pPr>
      <w:r>
        <w:rPr>
          <w:rFonts w:asciiTheme="majorHAnsi" w:hAnsiTheme="majorHAnsi"/>
        </w:rPr>
        <w:t xml:space="preserve">We plan to analyze data using </w:t>
      </w:r>
      <w:r w:rsidR="00EF6C2E">
        <w:rPr>
          <w:rFonts w:asciiTheme="majorHAnsi" w:hAnsiTheme="majorHAnsi"/>
        </w:rPr>
        <w:t xml:space="preserve">Microsoft </w:t>
      </w:r>
      <w:r w:rsidR="00F73F0B">
        <w:rPr>
          <w:rFonts w:asciiTheme="majorHAnsi" w:hAnsiTheme="majorHAnsi"/>
        </w:rPr>
        <w:t>Excel and SAS</w:t>
      </w:r>
      <w:r>
        <w:rPr>
          <w:rFonts w:asciiTheme="majorHAnsi" w:hAnsiTheme="majorHAnsi"/>
        </w:rPr>
        <w:t xml:space="preserve"> to gather descriptive statistics meaning the results will reflect generalizations about the sample group only and not the total STLT population.</w:t>
      </w:r>
      <w:r w:rsidR="00EE680D">
        <w:rPr>
          <w:rFonts w:asciiTheme="majorHAnsi" w:hAnsiTheme="majorHAnsi"/>
        </w:rPr>
        <w:t xml:space="preserve"> </w:t>
      </w:r>
      <w:r w:rsidRPr="00EE680D">
        <w:rPr>
          <w:rFonts w:asciiTheme="majorHAnsi" w:hAnsiTheme="majorHAnsi"/>
        </w:rPr>
        <w:t xml:space="preserve">Once analyzed, we plan to share our findings with other CDC stakeholders and CDC leadership via the </w:t>
      </w:r>
      <w:r w:rsidRPr="00EE680D">
        <w:rPr>
          <w:rFonts w:asciiTheme="majorHAnsi" w:hAnsiTheme="majorHAnsi"/>
          <w:i/>
        </w:rPr>
        <w:t>CDC Public Health Law News</w:t>
      </w:r>
      <w:r w:rsidRPr="00EE680D">
        <w:rPr>
          <w:rFonts w:asciiTheme="majorHAnsi" w:hAnsiTheme="majorHAnsi"/>
        </w:rPr>
        <w:t>, the PHLP website,</w:t>
      </w:r>
      <w:r w:rsidR="00AE64FC" w:rsidRPr="00EE680D">
        <w:rPr>
          <w:rFonts w:asciiTheme="majorHAnsi" w:hAnsiTheme="majorHAnsi"/>
        </w:rPr>
        <w:t xml:space="preserve"> peer-reviewed</w:t>
      </w:r>
      <w:r w:rsidRPr="00EE680D">
        <w:rPr>
          <w:rFonts w:asciiTheme="majorHAnsi" w:hAnsiTheme="majorHAnsi"/>
        </w:rPr>
        <w:t xml:space="preserve"> journal articles, and conference presentations.</w:t>
      </w:r>
    </w:p>
    <w:p w:rsidR="009F391E" w:rsidRDefault="009F391E" w:rsidP="00F52BCC">
      <w:pPr>
        <w:pStyle w:val="ListParagraph"/>
        <w:spacing w:after="0"/>
        <w:rPr>
          <w:rFonts w:asciiTheme="majorHAnsi" w:hAnsiTheme="majorHAnsi"/>
        </w:rPr>
      </w:pPr>
    </w:p>
    <w:p w:rsidR="000A71DF" w:rsidRPr="000A71DF" w:rsidRDefault="000A71DF" w:rsidP="000A71DF">
      <w:pPr>
        <w:spacing w:after="0"/>
        <w:ind w:firstLine="720"/>
        <w:rPr>
          <w:rFonts w:asciiTheme="majorHAnsi" w:hAnsiTheme="majorHAnsi"/>
          <w:sz w:val="24"/>
          <w:u w:val="single"/>
        </w:rPr>
      </w:pPr>
      <w:r>
        <w:rPr>
          <w:rFonts w:asciiTheme="majorHAnsi" w:hAnsiTheme="majorHAnsi"/>
          <w:sz w:val="24"/>
          <w:u w:val="single"/>
        </w:rPr>
        <w:t>Project Time Schedule</w:t>
      </w:r>
    </w:p>
    <w:p w:rsidR="0021221D" w:rsidRDefault="0021221D" w:rsidP="0021221D">
      <w:pPr>
        <w:pStyle w:val="ListParagraph"/>
        <w:numPr>
          <w:ilvl w:val="0"/>
          <w:numId w:val="27"/>
        </w:numPr>
        <w:tabs>
          <w:tab w:val="right" w:leader="dot" w:pos="9360"/>
        </w:tabs>
        <w:spacing w:after="0"/>
        <w:ind w:left="1440"/>
        <w:rPr>
          <w:rFonts w:asciiTheme="majorHAnsi" w:hAnsiTheme="majorHAnsi"/>
        </w:rPr>
      </w:pPr>
      <w:r>
        <w:rPr>
          <w:rFonts w:asciiTheme="majorHAnsi" w:hAnsiTheme="majorHAnsi"/>
        </w:rPr>
        <w:t>Design survey questionnaire</w:t>
      </w:r>
      <w:r>
        <w:rPr>
          <w:rFonts w:asciiTheme="majorHAnsi" w:hAnsiTheme="majorHAnsi"/>
        </w:rPr>
        <w:tab/>
        <w:t>(COMPLETE)</w:t>
      </w:r>
    </w:p>
    <w:p w:rsidR="0021221D" w:rsidRDefault="0021221D" w:rsidP="0021221D">
      <w:pPr>
        <w:pStyle w:val="ListParagraph"/>
        <w:numPr>
          <w:ilvl w:val="0"/>
          <w:numId w:val="28"/>
        </w:numPr>
        <w:tabs>
          <w:tab w:val="right" w:leader="dot" w:pos="9360"/>
        </w:tabs>
        <w:spacing w:after="0"/>
        <w:ind w:left="1440"/>
        <w:rPr>
          <w:rFonts w:asciiTheme="majorHAnsi" w:hAnsiTheme="majorHAnsi"/>
          <w:sz w:val="24"/>
        </w:rPr>
      </w:pPr>
      <w:r>
        <w:rPr>
          <w:rFonts w:asciiTheme="majorHAnsi" w:hAnsiTheme="majorHAnsi"/>
        </w:rPr>
        <w:t>Develop survey protocol, instructions, and analysis plan</w:t>
      </w:r>
      <w:r>
        <w:rPr>
          <w:rFonts w:asciiTheme="majorHAnsi" w:hAnsiTheme="majorHAnsi"/>
        </w:rPr>
        <w:tab/>
        <w:t>(COMPLETE)</w:t>
      </w:r>
    </w:p>
    <w:p w:rsidR="0021221D" w:rsidRDefault="0021221D" w:rsidP="0021221D">
      <w:pPr>
        <w:pStyle w:val="ListParagraph"/>
        <w:numPr>
          <w:ilvl w:val="0"/>
          <w:numId w:val="29"/>
        </w:numPr>
        <w:tabs>
          <w:tab w:val="right" w:leader="dot" w:pos="9360"/>
        </w:tabs>
        <w:spacing w:after="0"/>
        <w:ind w:left="1440"/>
        <w:rPr>
          <w:rFonts w:asciiTheme="majorHAnsi" w:hAnsiTheme="majorHAnsi"/>
        </w:rPr>
      </w:pPr>
      <w:r>
        <w:rPr>
          <w:rFonts w:asciiTheme="majorHAnsi" w:hAnsiTheme="majorHAnsi"/>
        </w:rPr>
        <w:t>Pilot test survey questionnaire</w:t>
      </w:r>
      <w:r>
        <w:rPr>
          <w:rFonts w:asciiTheme="majorHAnsi" w:hAnsiTheme="majorHAnsi"/>
        </w:rPr>
        <w:tab/>
        <w:t>(COMPLETE)</w:t>
      </w:r>
    </w:p>
    <w:p w:rsidR="0021221D" w:rsidRDefault="0021221D" w:rsidP="0021221D">
      <w:pPr>
        <w:pStyle w:val="ListParagraph"/>
        <w:numPr>
          <w:ilvl w:val="0"/>
          <w:numId w:val="29"/>
        </w:numPr>
        <w:tabs>
          <w:tab w:val="right" w:leader="dot" w:pos="9360"/>
        </w:tabs>
        <w:spacing w:after="0"/>
        <w:ind w:left="1440"/>
        <w:rPr>
          <w:rFonts w:asciiTheme="majorHAnsi" w:hAnsiTheme="majorHAnsi"/>
        </w:rPr>
      </w:pPr>
      <w:r>
        <w:rPr>
          <w:rFonts w:asciiTheme="majorHAnsi" w:hAnsiTheme="majorHAnsi"/>
        </w:rPr>
        <w:t>Prepare OMB package</w:t>
      </w:r>
      <w:r>
        <w:rPr>
          <w:rFonts w:asciiTheme="majorHAnsi" w:hAnsiTheme="majorHAnsi"/>
        </w:rPr>
        <w:tab/>
        <w:t>(COMPLETE)</w:t>
      </w:r>
    </w:p>
    <w:p w:rsidR="0021221D" w:rsidRDefault="0021221D" w:rsidP="0021221D">
      <w:pPr>
        <w:pStyle w:val="ListParagraph"/>
        <w:numPr>
          <w:ilvl w:val="0"/>
          <w:numId w:val="29"/>
        </w:numPr>
        <w:tabs>
          <w:tab w:val="right" w:leader="dot" w:pos="9360"/>
        </w:tabs>
        <w:spacing w:after="0"/>
        <w:ind w:left="1440"/>
        <w:rPr>
          <w:rFonts w:asciiTheme="majorHAnsi" w:hAnsiTheme="majorHAnsi"/>
        </w:rPr>
      </w:pPr>
      <w:r>
        <w:rPr>
          <w:rFonts w:asciiTheme="majorHAnsi" w:hAnsiTheme="majorHAnsi"/>
        </w:rPr>
        <w:t>Submit OMB package</w:t>
      </w:r>
      <w:r>
        <w:rPr>
          <w:rFonts w:asciiTheme="majorHAnsi" w:hAnsiTheme="majorHAnsi"/>
        </w:rPr>
        <w:tab/>
        <w:t>(COMPLETE)</w:t>
      </w:r>
    </w:p>
    <w:p w:rsidR="0021221D" w:rsidRDefault="0021221D" w:rsidP="0021221D">
      <w:pPr>
        <w:pStyle w:val="ListParagraph"/>
        <w:numPr>
          <w:ilvl w:val="0"/>
          <w:numId w:val="30"/>
        </w:numPr>
        <w:tabs>
          <w:tab w:val="right" w:leader="dot" w:pos="9360"/>
        </w:tabs>
        <w:spacing w:after="0"/>
        <w:ind w:left="1440"/>
        <w:rPr>
          <w:rFonts w:asciiTheme="majorHAnsi" w:hAnsiTheme="majorHAnsi"/>
        </w:rPr>
      </w:pPr>
      <w:r>
        <w:rPr>
          <w:rFonts w:asciiTheme="majorHAnsi" w:hAnsiTheme="majorHAnsi"/>
        </w:rPr>
        <w:t>OMB approval</w:t>
      </w:r>
      <w:r>
        <w:rPr>
          <w:rFonts w:asciiTheme="majorHAnsi" w:hAnsiTheme="majorHAnsi"/>
        </w:rPr>
        <w:tab/>
        <w:t>(TBD)</w:t>
      </w:r>
    </w:p>
    <w:p w:rsidR="0021221D" w:rsidRDefault="0021221D" w:rsidP="0021221D">
      <w:pPr>
        <w:pStyle w:val="ListParagraph"/>
        <w:numPr>
          <w:ilvl w:val="0"/>
          <w:numId w:val="30"/>
        </w:numPr>
        <w:tabs>
          <w:tab w:val="right" w:leader="dot" w:pos="9360"/>
        </w:tabs>
        <w:spacing w:after="0"/>
        <w:ind w:left="1440"/>
        <w:rPr>
          <w:rFonts w:asciiTheme="majorHAnsi" w:hAnsiTheme="majorHAnsi"/>
        </w:rPr>
      </w:pPr>
      <w:r>
        <w:rPr>
          <w:rFonts w:asciiTheme="majorHAnsi" w:hAnsiTheme="majorHAnsi"/>
        </w:rPr>
        <w:t>Conduct survey</w:t>
      </w:r>
      <w:r>
        <w:rPr>
          <w:rFonts w:asciiTheme="majorHAnsi" w:hAnsiTheme="majorHAnsi"/>
        </w:rPr>
        <w:tab/>
        <w:t>(Survey open 2 weeks)</w:t>
      </w:r>
    </w:p>
    <w:p w:rsidR="0021221D" w:rsidRDefault="0021221D" w:rsidP="0021221D">
      <w:pPr>
        <w:pStyle w:val="ListParagraph"/>
        <w:numPr>
          <w:ilvl w:val="0"/>
          <w:numId w:val="30"/>
        </w:numPr>
        <w:tabs>
          <w:tab w:val="right" w:leader="dot" w:pos="9360"/>
        </w:tabs>
        <w:spacing w:after="0"/>
        <w:ind w:left="1440"/>
        <w:rPr>
          <w:rFonts w:asciiTheme="majorHAnsi" w:hAnsiTheme="majorHAnsi"/>
        </w:rPr>
      </w:pPr>
      <w:r>
        <w:rPr>
          <w:rFonts w:asciiTheme="majorHAnsi" w:hAnsiTheme="majorHAnsi"/>
        </w:rPr>
        <w:t>Collect, code, enter, quality control, and analyze data</w:t>
      </w:r>
      <w:r>
        <w:rPr>
          <w:rFonts w:asciiTheme="majorHAnsi" w:hAnsiTheme="majorHAnsi"/>
        </w:rPr>
        <w:tab/>
        <w:t>(4 weeks)</w:t>
      </w:r>
    </w:p>
    <w:p w:rsidR="0021221D" w:rsidRDefault="0021221D" w:rsidP="0021221D">
      <w:pPr>
        <w:pStyle w:val="ListParagraph"/>
        <w:numPr>
          <w:ilvl w:val="0"/>
          <w:numId w:val="30"/>
        </w:numPr>
        <w:tabs>
          <w:tab w:val="right" w:leader="dot" w:pos="9360"/>
        </w:tabs>
        <w:spacing w:after="0"/>
        <w:ind w:left="1440"/>
        <w:rPr>
          <w:rFonts w:asciiTheme="majorHAnsi" w:hAnsiTheme="majorHAnsi"/>
        </w:rPr>
      </w:pPr>
      <w:r>
        <w:rPr>
          <w:rFonts w:asciiTheme="majorHAnsi" w:hAnsiTheme="majorHAnsi"/>
        </w:rPr>
        <w:t>Prepare report</w:t>
      </w:r>
      <w:r>
        <w:rPr>
          <w:rFonts w:asciiTheme="majorHAnsi" w:hAnsiTheme="majorHAnsi"/>
        </w:rPr>
        <w:tab/>
        <w:t>(3 weeks)</w:t>
      </w:r>
    </w:p>
    <w:p w:rsidR="00847BC0" w:rsidRPr="00EE680D" w:rsidRDefault="0021221D" w:rsidP="00EE680D">
      <w:pPr>
        <w:pStyle w:val="ListParagraph"/>
        <w:numPr>
          <w:ilvl w:val="0"/>
          <w:numId w:val="30"/>
        </w:numPr>
        <w:tabs>
          <w:tab w:val="right" w:leader="dot" w:pos="9360"/>
        </w:tabs>
        <w:spacing w:after="0"/>
        <w:ind w:left="1440"/>
        <w:rPr>
          <w:rFonts w:asciiTheme="majorHAnsi" w:hAnsiTheme="majorHAnsi"/>
        </w:rPr>
      </w:pPr>
      <w:r>
        <w:rPr>
          <w:rFonts w:asciiTheme="majorHAnsi" w:hAnsiTheme="majorHAnsi"/>
        </w:rPr>
        <w:t>Disseminate results/reports</w:t>
      </w:r>
      <w:r>
        <w:rPr>
          <w:rFonts w:asciiTheme="majorHAnsi" w:hAnsiTheme="majorHAnsi"/>
        </w:rPr>
        <w:tab/>
        <w:t>(4 weeks)</w:t>
      </w:r>
    </w:p>
    <w:p w:rsidR="000A71DF" w:rsidRDefault="000A71DF"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 xml:space="preserve">Display of OMB </w:t>
      </w:r>
      <w:r w:rsidR="00180D45">
        <w:rPr>
          <w:rFonts w:asciiTheme="majorHAnsi" w:hAnsiTheme="majorHAnsi"/>
          <w:b/>
        </w:rPr>
        <w:t xml:space="preserve">Approval </w:t>
      </w:r>
      <w:r w:rsidRPr="00D26A64">
        <w:rPr>
          <w:rFonts w:asciiTheme="majorHAnsi" w:hAnsiTheme="majorHAnsi"/>
          <w:b/>
        </w:rPr>
        <w:t xml:space="preserve"> Date </w:t>
      </w:r>
    </w:p>
    <w:p w:rsidR="00F52BCC" w:rsidRDefault="00180D45" w:rsidP="00F52BCC">
      <w:pPr>
        <w:pStyle w:val="ListParagraph"/>
        <w:spacing w:after="0"/>
        <w:rPr>
          <w:rFonts w:asciiTheme="majorHAnsi" w:hAnsiTheme="majorHAnsi"/>
        </w:rPr>
      </w:pPr>
      <w:r>
        <w:rPr>
          <w:rFonts w:asciiTheme="majorHAnsi" w:hAnsiTheme="majorHAnsi"/>
        </w:rPr>
        <w:t>We are requesting no exemption.</w:t>
      </w:r>
    </w:p>
    <w:p w:rsidR="00F52BCC" w:rsidRDefault="00F52BCC" w:rsidP="00F52BCC">
      <w:pPr>
        <w:pStyle w:val="ListParagraph"/>
        <w:spacing w:after="0"/>
        <w:rPr>
          <w:rFonts w:asciiTheme="majorHAnsi" w:hAnsiTheme="majorHAnsi"/>
        </w:rPr>
      </w:pPr>
    </w:p>
    <w:p w:rsidR="00B12F51" w:rsidRPr="00D26A64" w:rsidRDefault="00B12F51" w:rsidP="00B12F51">
      <w:pPr>
        <w:pStyle w:val="ListParagraph"/>
        <w:numPr>
          <w:ilvl w:val="0"/>
          <w:numId w:val="2"/>
        </w:numPr>
        <w:spacing w:after="0"/>
        <w:rPr>
          <w:rFonts w:asciiTheme="majorHAnsi" w:hAnsiTheme="majorHAnsi"/>
          <w:b/>
        </w:rPr>
      </w:pPr>
      <w:r w:rsidRPr="00D26A64">
        <w:rPr>
          <w:rFonts w:asciiTheme="majorHAnsi" w:hAnsiTheme="majorHAnsi"/>
          <w:b/>
        </w:rPr>
        <w:t>Exceptions to Certification for Paperwork Reduction Act Submissions</w:t>
      </w:r>
    </w:p>
    <w:p w:rsidR="00F52BCC" w:rsidRDefault="0031279F" w:rsidP="00F52BCC">
      <w:pPr>
        <w:pStyle w:val="ListParagraph"/>
        <w:spacing w:after="0"/>
        <w:rPr>
          <w:rFonts w:asciiTheme="majorHAnsi" w:hAnsiTheme="majorHAnsi"/>
        </w:rPr>
      </w:pPr>
      <w:r>
        <w:rPr>
          <w:rFonts w:asciiTheme="majorHAnsi" w:hAnsiTheme="majorHAnsi"/>
        </w:rPr>
        <w:t>There are no exceptions to the certification.</w:t>
      </w:r>
      <w:r w:rsidR="00180D45">
        <w:rPr>
          <w:rFonts w:asciiTheme="majorHAnsi" w:hAnsiTheme="majorHAnsi"/>
        </w:rPr>
        <w:t xml:space="preserve">  These activities comply with the requirements in 5 CFR 1320.9.</w:t>
      </w:r>
    </w:p>
    <w:p w:rsidR="00385BB5" w:rsidRDefault="00385BB5">
      <w:pPr>
        <w:rPr>
          <w:rFonts w:asciiTheme="majorHAnsi" w:hAnsiTheme="majorHAnsi"/>
          <w:b/>
          <w:sz w:val="28"/>
        </w:rPr>
      </w:pPr>
      <w:r>
        <w:rPr>
          <w:rFonts w:asciiTheme="majorHAnsi" w:hAnsiTheme="majorHAnsi"/>
          <w:b/>
          <w:sz w:val="28"/>
        </w:rPr>
        <w:br w:type="page"/>
      </w:r>
    </w:p>
    <w:p w:rsidR="00A36419" w:rsidRDefault="00A36419" w:rsidP="00A36419">
      <w:pPr>
        <w:spacing w:after="0"/>
        <w:rPr>
          <w:rFonts w:asciiTheme="majorHAnsi" w:hAnsiTheme="majorHAnsi"/>
          <w:b/>
          <w:sz w:val="28"/>
        </w:rPr>
      </w:pPr>
      <w:r>
        <w:rPr>
          <w:rFonts w:asciiTheme="majorHAnsi" w:hAnsiTheme="majorHAnsi"/>
          <w:b/>
          <w:sz w:val="28"/>
        </w:rPr>
        <w:lastRenderedPageBreak/>
        <w:t>LIST OF ATTACHMENTS</w:t>
      </w:r>
      <w:r w:rsidR="00A33E90">
        <w:rPr>
          <w:rFonts w:asciiTheme="majorHAnsi" w:hAnsiTheme="majorHAnsi"/>
          <w:b/>
          <w:sz w:val="28"/>
        </w:rPr>
        <w:t xml:space="preserve"> – Section A</w:t>
      </w:r>
    </w:p>
    <w:p w:rsidR="006B5E55" w:rsidRPr="00CD1EA8" w:rsidRDefault="006B5E55" w:rsidP="006B5E55">
      <w:pPr>
        <w:spacing w:after="0"/>
        <w:rPr>
          <w:rFonts w:asciiTheme="majorHAnsi" w:hAnsiTheme="majorHAnsi"/>
          <w:sz w:val="20"/>
        </w:rPr>
      </w:pPr>
      <w:r w:rsidRPr="00CD1EA8">
        <w:rPr>
          <w:rFonts w:asciiTheme="majorHAnsi" w:hAnsiTheme="majorHAnsi"/>
          <w:sz w:val="20"/>
        </w:rPr>
        <w:t>Note:</w:t>
      </w:r>
      <w:r>
        <w:rPr>
          <w:rFonts w:asciiTheme="majorHAnsi" w:hAnsiTheme="majorHAnsi"/>
          <w:sz w:val="20"/>
        </w:rPr>
        <w:t xml:space="preserve"> Attachments are included as separate files as instructed.</w:t>
      </w:r>
    </w:p>
    <w:p w:rsidR="00A36419" w:rsidRDefault="00692505" w:rsidP="00692505">
      <w:pPr>
        <w:pStyle w:val="ListParagraph"/>
        <w:numPr>
          <w:ilvl w:val="0"/>
          <w:numId w:val="26"/>
        </w:numPr>
        <w:spacing w:after="0" w:line="360" w:lineRule="auto"/>
        <w:rPr>
          <w:rFonts w:asciiTheme="majorHAnsi" w:hAnsiTheme="majorHAnsi"/>
          <w:b/>
        </w:rPr>
      </w:pPr>
      <w:r w:rsidRPr="00692505">
        <w:rPr>
          <w:rFonts w:asciiTheme="majorHAnsi" w:hAnsiTheme="majorHAnsi"/>
          <w:b/>
        </w:rPr>
        <w:t xml:space="preserve"> Public Health Law Program brochure</w:t>
      </w:r>
    </w:p>
    <w:p w:rsidR="00692505" w:rsidRPr="00692505" w:rsidRDefault="00692505" w:rsidP="00692505">
      <w:pPr>
        <w:pStyle w:val="ListParagraph"/>
        <w:numPr>
          <w:ilvl w:val="0"/>
          <w:numId w:val="26"/>
        </w:numPr>
        <w:spacing w:after="0" w:line="360" w:lineRule="auto"/>
        <w:rPr>
          <w:rFonts w:asciiTheme="majorHAnsi" w:hAnsiTheme="majorHAnsi"/>
          <w:b/>
        </w:rPr>
      </w:pPr>
      <w:r w:rsidRPr="00736FAD">
        <w:rPr>
          <w:rFonts w:asciiTheme="majorHAnsi" w:hAnsiTheme="majorHAnsi"/>
          <w:b/>
          <w:i/>
        </w:rPr>
        <w:t>Core Legal Competencies for Public Health Professionals</w:t>
      </w:r>
    </w:p>
    <w:p w:rsidR="00692505" w:rsidRDefault="00692505" w:rsidP="00692505">
      <w:pPr>
        <w:pStyle w:val="ListParagraph"/>
        <w:numPr>
          <w:ilvl w:val="0"/>
          <w:numId w:val="26"/>
        </w:numPr>
        <w:spacing w:after="0" w:line="360" w:lineRule="auto"/>
        <w:rPr>
          <w:rFonts w:asciiTheme="majorHAnsi" w:hAnsiTheme="majorHAnsi"/>
          <w:b/>
        </w:rPr>
      </w:pPr>
      <w:r w:rsidRPr="008229E4">
        <w:rPr>
          <w:rFonts w:asciiTheme="majorHAnsi" w:hAnsiTheme="majorHAnsi"/>
          <w:b/>
        </w:rPr>
        <w:t xml:space="preserve">Survey Instrument: MS Word version </w:t>
      </w:r>
    </w:p>
    <w:p w:rsidR="00692505" w:rsidRPr="00692505" w:rsidRDefault="00692505" w:rsidP="00692505">
      <w:pPr>
        <w:pStyle w:val="ListParagraph"/>
        <w:numPr>
          <w:ilvl w:val="0"/>
          <w:numId w:val="26"/>
        </w:numPr>
        <w:spacing w:after="0" w:line="360" w:lineRule="auto"/>
        <w:rPr>
          <w:rFonts w:asciiTheme="majorHAnsi" w:hAnsiTheme="majorHAnsi"/>
          <w:b/>
        </w:rPr>
      </w:pPr>
      <w:r w:rsidRPr="008229E4">
        <w:rPr>
          <w:rFonts w:asciiTheme="majorHAnsi" w:hAnsiTheme="majorHAnsi"/>
          <w:b/>
        </w:rPr>
        <w:t>Survey Instrument: Web version</w:t>
      </w:r>
    </w:p>
    <w:p w:rsidR="000E6577" w:rsidRPr="000E6577" w:rsidRDefault="000E6577" w:rsidP="000E6577">
      <w:pPr>
        <w:spacing w:line="360" w:lineRule="auto"/>
        <w:rPr>
          <w:rFonts w:asciiTheme="majorHAnsi" w:hAnsiTheme="majorHAnsi"/>
          <w:b/>
        </w:rPr>
      </w:pPr>
    </w:p>
    <w:sectPr w:rsidR="000E6577" w:rsidRPr="000E6577" w:rsidSect="00385BB5">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5C" w:rsidRDefault="006C1F5C" w:rsidP="00716F94">
      <w:pPr>
        <w:spacing w:after="0" w:line="240" w:lineRule="auto"/>
      </w:pPr>
      <w:r>
        <w:separator/>
      </w:r>
    </w:p>
  </w:endnote>
  <w:endnote w:type="continuationSeparator" w:id="0">
    <w:p w:rsidR="006C1F5C" w:rsidRDefault="006C1F5C"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82120"/>
      <w:docPartObj>
        <w:docPartGallery w:val="Page Numbers (Bottom of Page)"/>
        <w:docPartUnique/>
      </w:docPartObj>
    </w:sdtPr>
    <w:sdtEndPr>
      <w:rPr>
        <w:noProof/>
      </w:rPr>
    </w:sdtEndPr>
    <w:sdtContent>
      <w:p w:rsidR="006C1F5C" w:rsidRDefault="006C1F5C">
        <w:pPr>
          <w:pStyle w:val="Footer"/>
          <w:jc w:val="right"/>
        </w:pPr>
        <w:r>
          <w:fldChar w:fldCharType="begin"/>
        </w:r>
        <w:r>
          <w:instrText xml:space="preserve"> PAGE   \* MERGEFORMAT </w:instrText>
        </w:r>
        <w:r>
          <w:fldChar w:fldCharType="separate"/>
        </w:r>
        <w:r w:rsidR="00375A42">
          <w:rPr>
            <w:noProof/>
          </w:rPr>
          <w:t>4</w:t>
        </w:r>
        <w:r>
          <w:rPr>
            <w:noProof/>
          </w:rPr>
          <w:fldChar w:fldCharType="end"/>
        </w:r>
      </w:p>
    </w:sdtContent>
  </w:sdt>
  <w:p w:rsidR="006C1F5C" w:rsidRDefault="006C1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5C" w:rsidRDefault="006C1F5C" w:rsidP="00716F94">
      <w:pPr>
        <w:spacing w:after="0" w:line="240" w:lineRule="auto"/>
      </w:pPr>
      <w:r>
        <w:separator/>
      </w:r>
    </w:p>
  </w:footnote>
  <w:footnote w:type="continuationSeparator" w:id="0">
    <w:p w:rsidR="006C1F5C" w:rsidRDefault="006C1F5C" w:rsidP="00716F94">
      <w:pPr>
        <w:spacing w:after="0" w:line="240" w:lineRule="auto"/>
      </w:pPr>
      <w:r>
        <w:continuationSeparator/>
      </w:r>
    </w:p>
  </w:footnote>
  <w:footnote w:id="1">
    <w:p w:rsidR="006C1F5C" w:rsidRDefault="006C1F5C">
      <w:pPr>
        <w:pStyle w:val="FootnoteText"/>
      </w:pPr>
      <w:r>
        <w:rPr>
          <w:rStyle w:val="FootnoteReference"/>
        </w:rPr>
        <w:footnoteRef/>
      </w:r>
      <w:r>
        <w:t xml:space="preserve"> </w:t>
      </w:r>
      <w:proofErr w:type="spellStart"/>
      <w:r>
        <w:t>D’Ambrosio</w:t>
      </w:r>
      <w:proofErr w:type="spellEnd"/>
      <w:r>
        <w:t xml:space="preserve"> L</w:t>
      </w:r>
      <w:r w:rsidRPr="00752561">
        <w:t>. (20</w:t>
      </w:r>
      <w:r>
        <w:t>11</w:t>
      </w:r>
      <w:r w:rsidRPr="00752561">
        <w:t>)</w:t>
      </w:r>
      <w:r>
        <w:t xml:space="preserve"> Northwest Center for Public Health Practice Program Outcome Evaluation</w:t>
      </w:r>
      <w:r w:rsidRPr="00752561">
        <w:t xml:space="preserve">. </w:t>
      </w:r>
      <w:r>
        <w:t xml:space="preserve">National Public Health Improvement Initiative. </w:t>
      </w:r>
      <w:hyperlink r:id="rId1" w:history="1">
        <w:r w:rsidRPr="0044772F">
          <w:rPr>
            <w:rStyle w:val="Hyperlink"/>
          </w:rPr>
          <w:t>http://www.doh.wa.gov/PHIP/perfmgtcenters/docs/CDCVisit/NWCPHP.pdf</w:t>
        </w:r>
      </w:hyperlink>
      <w:r>
        <w:t xml:space="preserve"> </w:t>
      </w:r>
    </w:p>
  </w:footnote>
  <w:footnote w:id="2">
    <w:p w:rsidR="006C1F5C" w:rsidRDefault="006C1F5C">
      <w:pPr>
        <w:pStyle w:val="FootnoteText"/>
      </w:pPr>
      <w:r>
        <w:rPr>
          <w:rStyle w:val="FootnoteReference"/>
        </w:rPr>
        <w:footnoteRef/>
      </w:r>
      <w:r>
        <w:t xml:space="preserve"> Potter M, </w:t>
      </w:r>
      <w:proofErr w:type="spellStart"/>
      <w:r>
        <w:t>Pistella</w:t>
      </w:r>
      <w:proofErr w:type="spellEnd"/>
      <w:r>
        <w:t xml:space="preserve"> CL, </w:t>
      </w:r>
      <w:proofErr w:type="spellStart"/>
      <w:r>
        <w:t>Fertman</w:t>
      </w:r>
      <w:proofErr w:type="spellEnd"/>
      <w:r>
        <w:t xml:space="preserve"> CI, </w:t>
      </w:r>
      <w:proofErr w:type="spellStart"/>
      <w:r>
        <w:t>Dato</w:t>
      </w:r>
      <w:proofErr w:type="spellEnd"/>
      <w:r>
        <w:t xml:space="preserve"> VM. (2000). Needs assessment and a model agenda for training in the public health workforce. American Journal of Public Health, 90: 1294-1296. </w:t>
      </w:r>
    </w:p>
  </w:footnote>
  <w:footnote w:id="3">
    <w:p w:rsidR="006C1F5C" w:rsidRDefault="006C1F5C">
      <w:pPr>
        <w:pStyle w:val="FootnoteText"/>
      </w:pPr>
      <w:r>
        <w:rPr>
          <w:rStyle w:val="FootnoteReference"/>
        </w:rPr>
        <w:footnoteRef/>
      </w:r>
      <w:r>
        <w:t xml:space="preserve"> Chauvin SW. (2011). Training needs assessment update. South Central Public Health Training Center. </w:t>
      </w:r>
      <w:hyperlink r:id="rId2" w:history="1">
        <w:r w:rsidRPr="0044772F">
          <w:rPr>
            <w:rStyle w:val="Hyperlink"/>
          </w:rPr>
          <w:t>http://lms.southcentralpartnership.org/AdditionalCourseMaterial/Misc/Needs%20Assessment%202011.pdf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5C" w:rsidRPr="00716F94" w:rsidRDefault="006C1F5C"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B4F4C"/>
    <w:multiLevelType w:val="hybridMultilevel"/>
    <w:tmpl w:val="A9464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D112F"/>
    <w:multiLevelType w:val="hybridMultilevel"/>
    <w:tmpl w:val="EDE4C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3C0D83"/>
    <w:multiLevelType w:val="hybridMultilevel"/>
    <w:tmpl w:val="215055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B2917"/>
    <w:multiLevelType w:val="hybridMultilevel"/>
    <w:tmpl w:val="9708A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17028F"/>
    <w:multiLevelType w:val="hybridMultilevel"/>
    <w:tmpl w:val="76E0E4D8"/>
    <w:lvl w:ilvl="0" w:tplc="A6E65104">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3"/>
  </w:num>
  <w:num w:numId="4">
    <w:abstractNumId w:val="9"/>
  </w:num>
  <w:num w:numId="5">
    <w:abstractNumId w:val="15"/>
  </w:num>
  <w:num w:numId="6">
    <w:abstractNumId w:val="7"/>
  </w:num>
  <w:num w:numId="7">
    <w:abstractNumId w:val="0"/>
  </w:num>
  <w:num w:numId="8">
    <w:abstractNumId w:val="5"/>
  </w:num>
  <w:num w:numId="9">
    <w:abstractNumId w:val="8"/>
  </w:num>
  <w:num w:numId="10">
    <w:abstractNumId w:val="17"/>
  </w:num>
  <w:num w:numId="11">
    <w:abstractNumId w:val="2"/>
  </w:num>
  <w:num w:numId="12">
    <w:abstractNumId w:val="22"/>
  </w:num>
  <w:num w:numId="13">
    <w:abstractNumId w:val="6"/>
  </w:num>
  <w:num w:numId="14">
    <w:abstractNumId w:val="3"/>
  </w:num>
  <w:num w:numId="15">
    <w:abstractNumId w:val="19"/>
  </w:num>
  <w:num w:numId="16">
    <w:abstractNumId w:val="20"/>
  </w:num>
  <w:num w:numId="17">
    <w:abstractNumId w:val="21"/>
  </w:num>
  <w:num w:numId="18">
    <w:abstractNumId w:val="12"/>
  </w:num>
  <w:num w:numId="19">
    <w:abstractNumId w:val="25"/>
  </w:num>
  <w:num w:numId="20">
    <w:abstractNumId w:val="16"/>
  </w:num>
  <w:num w:numId="21">
    <w:abstractNumId w:val="18"/>
  </w:num>
  <w:num w:numId="22">
    <w:abstractNumId w:val="10"/>
  </w:num>
  <w:num w:numId="23">
    <w:abstractNumId w:val="24"/>
  </w:num>
  <w:num w:numId="24">
    <w:abstractNumId w:val="4"/>
  </w:num>
  <w:num w:numId="25">
    <w:abstractNumId w:val="11"/>
  </w:num>
  <w:num w:numId="26">
    <w:abstractNumId w:val="14"/>
  </w:num>
  <w:num w:numId="27">
    <w:abstractNumId w:val="21"/>
  </w:num>
  <w:num w:numId="28">
    <w:abstractNumId w:val="12"/>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A2A"/>
    <w:rsid w:val="00006296"/>
    <w:rsid w:val="00006B13"/>
    <w:rsid w:val="00011A98"/>
    <w:rsid w:val="00011F8D"/>
    <w:rsid w:val="000130B4"/>
    <w:rsid w:val="00014361"/>
    <w:rsid w:val="000162BC"/>
    <w:rsid w:val="00026C26"/>
    <w:rsid w:val="0003280C"/>
    <w:rsid w:val="0004747D"/>
    <w:rsid w:val="000474FB"/>
    <w:rsid w:val="00053A92"/>
    <w:rsid w:val="00054839"/>
    <w:rsid w:val="00057F36"/>
    <w:rsid w:val="000761F1"/>
    <w:rsid w:val="00085052"/>
    <w:rsid w:val="000A1F30"/>
    <w:rsid w:val="000A33E7"/>
    <w:rsid w:val="000A4C59"/>
    <w:rsid w:val="000A71DF"/>
    <w:rsid w:val="000B01F9"/>
    <w:rsid w:val="000B0962"/>
    <w:rsid w:val="000B2CBC"/>
    <w:rsid w:val="000C0578"/>
    <w:rsid w:val="000D0C15"/>
    <w:rsid w:val="000E6577"/>
    <w:rsid w:val="000E7A19"/>
    <w:rsid w:val="000F7398"/>
    <w:rsid w:val="00104A1B"/>
    <w:rsid w:val="00113050"/>
    <w:rsid w:val="001177DD"/>
    <w:rsid w:val="001315FC"/>
    <w:rsid w:val="00135334"/>
    <w:rsid w:val="001369B5"/>
    <w:rsid w:val="001412D4"/>
    <w:rsid w:val="00144F64"/>
    <w:rsid w:val="00145D62"/>
    <w:rsid w:val="00147509"/>
    <w:rsid w:val="00151567"/>
    <w:rsid w:val="001612A9"/>
    <w:rsid w:val="00163E17"/>
    <w:rsid w:val="001668CE"/>
    <w:rsid w:val="00166F9E"/>
    <w:rsid w:val="00167880"/>
    <w:rsid w:val="001707B5"/>
    <w:rsid w:val="00180D45"/>
    <w:rsid w:val="00187024"/>
    <w:rsid w:val="00187870"/>
    <w:rsid w:val="001878E0"/>
    <w:rsid w:val="00187D5A"/>
    <w:rsid w:val="001972D7"/>
    <w:rsid w:val="001A28F6"/>
    <w:rsid w:val="001B2831"/>
    <w:rsid w:val="001B4065"/>
    <w:rsid w:val="001B5668"/>
    <w:rsid w:val="001C0493"/>
    <w:rsid w:val="001C28AD"/>
    <w:rsid w:val="001D16A7"/>
    <w:rsid w:val="001D7FCB"/>
    <w:rsid w:val="001E1E6E"/>
    <w:rsid w:val="001E2B99"/>
    <w:rsid w:val="001E69B6"/>
    <w:rsid w:val="001F1221"/>
    <w:rsid w:val="001F4DBB"/>
    <w:rsid w:val="001F5104"/>
    <w:rsid w:val="00202D07"/>
    <w:rsid w:val="0020312D"/>
    <w:rsid w:val="00206167"/>
    <w:rsid w:val="00206E33"/>
    <w:rsid w:val="00207A2E"/>
    <w:rsid w:val="00210519"/>
    <w:rsid w:val="0021221D"/>
    <w:rsid w:val="00227259"/>
    <w:rsid w:val="00241B17"/>
    <w:rsid w:val="00241C81"/>
    <w:rsid w:val="00257A1C"/>
    <w:rsid w:val="00262884"/>
    <w:rsid w:val="002650B0"/>
    <w:rsid w:val="0027234C"/>
    <w:rsid w:val="002809C5"/>
    <w:rsid w:val="00281795"/>
    <w:rsid w:val="00283767"/>
    <w:rsid w:val="002850E3"/>
    <w:rsid w:val="00287E2F"/>
    <w:rsid w:val="00297A67"/>
    <w:rsid w:val="002A1948"/>
    <w:rsid w:val="002C0877"/>
    <w:rsid w:val="002C2AE2"/>
    <w:rsid w:val="002D0DCE"/>
    <w:rsid w:val="002E2B10"/>
    <w:rsid w:val="002E73B0"/>
    <w:rsid w:val="002F1502"/>
    <w:rsid w:val="002F2069"/>
    <w:rsid w:val="002F71A2"/>
    <w:rsid w:val="003041AD"/>
    <w:rsid w:val="0031279F"/>
    <w:rsid w:val="00316F00"/>
    <w:rsid w:val="00321B51"/>
    <w:rsid w:val="00324B7E"/>
    <w:rsid w:val="00336D96"/>
    <w:rsid w:val="00344F07"/>
    <w:rsid w:val="003469C8"/>
    <w:rsid w:val="00350C8C"/>
    <w:rsid w:val="0035190E"/>
    <w:rsid w:val="003535BC"/>
    <w:rsid w:val="00355EA4"/>
    <w:rsid w:val="003630EA"/>
    <w:rsid w:val="003635BE"/>
    <w:rsid w:val="00366B5E"/>
    <w:rsid w:val="00371C1C"/>
    <w:rsid w:val="00375A42"/>
    <w:rsid w:val="00385BB5"/>
    <w:rsid w:val="00386BC2"/>
    <w:rsid w:val="00393350"/>
    <w:rsid w:val="003B125E"/>
    <w:rsid w:val="003C31C9"/>
    <w:rsid w:val="003C4961"/>
    <w:rsid w:val="003C6041"/>
    <w:rsid w:val="003C7C5D"/>
    <w:rsid w:val="003D0AD2"/>
    <w:rsid w:val="003E3527"/>
    <w:rsid w:val="003F247F"/>
    <w:rsid w:val="003F5913"/>
    <w:rsid w:val="004003DB"/>
    <w:rsid w:val="004024F8"/>
    <w:rsid w:val="00405696"/>
    <w:rsid w:val="0041159A"/>
    <w:rsid w:val="004225B5"/>
    <w:rsid w:val="004240A8"/>
    <w:rsid w:val="0042424A"/>
    <w:rsid w:val="004305A8"/>
    <w:rsid w:val="00432643"/>
    <w:rsid w:val="004353D5"/>
    <w:rsid w:val="004424DA"/>
    <w:rsid w:val="00442AAD"/>
    <w:rsid w:val="00443CA0"/>
    <w:rsid w:val="00450E14"/>
    <w:rsid w:val="00462C65"/>
    <w:rsid w:val="004674E7"/>
    <w:rsid w:val="00467B14"/>
    <w:rsid w:val="00474EDA"/>
    <w:rsid w:val="004824FA"/>
    <w:rsid w:val="00484011"/>
    <w:rsid w:val="004841F1"/>
    <w:rsid w:val="004A1E3A"/>
    <w:rsid w:val="004A3E29"/>
    <w:rsid w:val="004B46D6"/>
    <w:rsid w:val="004B5B17"/>
    <w:rsid w:val="004C0BF6"/>
    <w:rsid w:val="004C4464"/>
    <w:rsid w:val="004C4AEA"/>
    <w:rsid w:val="004D0430"/>
    <w:rsid w:val="004D1DAA"/>
    <w:rsid w:val="004D4EB1"/>
    <w:rsid w:val="004E003C"/>
    <w:rsid w:val="004E16EB"/>
    <w:rsid w:val="004E6665"/>
    <w:rsid w:val="004F634E"/>
    <w:rsid w:val="004F67A8"/>
    <w:rsid w:val="0051582C"/>
    <w:rsid w:val="00522A50"/>
    <w:rsid w:val="005230EB"/>
    <w:rsid w:val="00527225"/>
    <w:rsid w:val="0053557D"/>
    <w:rsid w:val="005410E3"/>
    <w:rsid w:val="005463DE"/>
    <w:rsid w:val="005469AE"/>
    <w:rsid w:val="00546DC2"/>
    <w:rsid w:val="005542E8"/>
    <w:rsid w:val="00556630"/>
    <w:rsid w:val="0055686D"/>
    <w:rsid w:val="005800EE"/>
    <w:rsid w:val="005869D6"/>
    <w:rsid w:val="0059331E"/>
    <w:rsid w:val="005970E4"/>
    <w:rsid w:val="005A33F6"/>
    <w:rsid w:val="005A5054"/>
    <w:rsid w:val="005A59E5"/>
    <w:rsid w:val="005B7440"/>
    <w:rsid w:val="005C65E9"/>
    <w:rsid w:val="005D3C84"/>
    <w:rsid w:val="005E2150"/>
    <w:rsid w:val="005E2995"/>
    <w:rsid w:val="005F3FEF"/>
    <w:rsid w:val="00600C4F"/>
    <w:rsid w:val="00602370"/>
    <w:rsid w:val="006057CA"/>
    <w:rsid w:val="00607F7C"/>
    <w:rsid w:val="006102DA"/>
    <w:rsid w:val="00616090"/>
    <w:rsid w:val="006315A3"/>
    <w:rsid w:val="0063396F"/>
    <w:rsid w:val="0063520E"/>
    <w:rsid w:val="006352C8"/>
    <w:rsid w:val="00646E2D"/>
    <w:rsid w:val="006501F1"/>
    <w:rsid w:val="006579A2"/>
    <w:rsid w:val="00667C89"/>
    <w:rsid w:val="006711EE"/>
    <w:rsid w:val="00671D2D"/>
    <w:rsid w:val="00674322"/>
    <w:rsid w:val="00675E85"/>
    <w:rsid w:val="006809BB"/>
    <w:rsid w:val="006809FD"/>
    <w:rsid w:val="00681A93"/>
    <w:rsid w:val="00691D1F"/>
    <w:rsid w:val="00692505"/>
    <w:rsid w:val="00697BAE"/>
    <w:rsid w:val="006B4DDC"/>
    <w:rsid w:val="006B5E55"/>
    <w:rsid w:val="006C1F5C"/>
    <w:rsid w:val="006C4DA7"/>
    <w:rsid w:val="006D0924"/>
    <w:rsid w:val="006D25A1"/>
    <w:rsid w:val="006E14E9"/>
    <w:rsid w:val="006F09A2"/>
    <w:rsid w:val="006F2EA6"/>
    <w:rsid w:val="006F6856"/>
    <w:rsid w:val="006F7E7D"/>
    <w:rsid w:val="0070030C"/>
    <w:rsid w:val="00710E16"/>
    <w:rsid w:val="00713A5A"/>
    <w:rsid w:val="007145D0"/>
    <w:rsid w:val="00716F94"/>
    <w:rsid w:val="00736FAD"/>
    <w:rsid w:val="00740172"/>
    <w:rsid w:val="00740624"/>
    <w:rsid w:val="00752561"/>
    <w:rsid w:val="00760E12"/>
    <w:rsid w:val="007637F6"/>
    <w:rsid w:val="00763CF3"/>
    <w:rsid w:val="00772293"/>
    <w:rsid w:val="00776981"/>
    <w:rsid w:val="00781AE3"/>
    <w:rsid w:val="00783C75"/>
    <w:rsid w:val="00784619"/>
    <w:rsid w:val="0078627B"/>
    <w:rsid w:val="0078765B"/>
    <w:rsid w:val="00793FF6"/>
    <w:rsid w:val="00794E32"/>
    <w:rsid w:val="007A0D73"/>
    <w:rsid w:val="007A762B"/>
    <w:rsid w:val="007B0115"/>
    <w:rsid w:val="007B13AA"/>
    <w:rsid w:val="007B305A"/>
    <w:rsid w:val="007E575D"/>
    <w:rsid w:val="007E5A8B"/>
    <w:rsid w:val="007E6AEF"/>
    <w:rsid w:val="00815C7D"/>
    <w:rsid w:val="00817941"/>
    <w:rsid w:val="008206C7"/>
    <w:rsid w:val="008229E4"/>
    <w:rsid w:val="00823547"/>
    <w:rsid w:val="008261AB"/>
    <w:rsid w:val="008269AB"/>
    <w:rsid w:val="008301B3"/>
    <w:rsid w:val="00834C91"/>
    <w:rsid w:val="00835CA7"/>
    <w:rsid w:val="00836EF0"/>
    <w:rsid w:val="008370D4"/>
    <w:rsid w:val="008414AD"/>
    <w:rsid w:val="008428D9"/>
    <w:rsid w:val="00847BC0"/>
    <w:rsid w:val="008805DB"/>
    <w:rsid w:val="008846D9"/>
    <w:rsid w:val="00884DB9"/>
    <w:rsid w:val="008A3804"/>
    <w:rsid w:val="008A6626"/>
    <w:rsid w:val="008B1F24"/>
    <w:rsid w:val="008C488D"/>
    <w:rsid w:val="008C67D2"/>
    <w:rsid w:val="008E0683"/>
    <w:rsid w:val="00902DD9"/>
    <w:rsid w:val="00911486"/>
    <w:rsid w:val="009120F2"/>
    <w:rsid w:val="009129CA"/>
    <w:rsid w:val="009206B6"/>
    <w:rsid w:val="00921208"/>
    <w:rsid w:val="00922839"/>
    <w:rsid w:val="009252DC"/>
    <w:rsid w:val="009263C1"/>
    <w:rsid w:val="00930E39"/>
    <w:rsid w:val="00932092"/>
    <w:rsid w:val="009322C1"/>
    <w:rsid w:val="00932721"/>
    <w:rsid w:val="00932C67"/>
    <w:rsid w:val="00933D05"/>
    <w:rsid w:val="00941B4F"/>
    <w:rsid w:val="00943621"/>
    <w:rsid w:val="009518C0"/>
    <w:rsid w:val="00963CE3"/>
    <w:rsid w:val="00964F18"/>
    <w:rsid w:val="009652B9"/>
    <w:rsid w:val="00965C93"/>
    <w:rsid w:val="00974424"/>
    <w:rsid w:val="00987F76"/>
    <w:rsid w:val="00993088"/>
    <w:rsid w:val="00995A98"/>
    <w:rsid w:val="0099664F"/>
    <w:rsid w:val="00996696"/>
    <w:rsid w:val="00997D5D"/>
    <w:rsid w:val="009A0447"/>
    <w:rsid w:val="009A2CE5"/>
    <w:rsid w:val="009B4A51"/>
    <w:rsid w:val="009B6D7C"/>
    <w:rsid w:val="009C07C2"/>
    <w:rsid w:val="009C28B1"/>
    <w:rsid w:val="009C6020"/>
    <w:rsid w:val="009C61AD"/>
    <w:rsid w:val="009D373D"/>
    <w:rsid w:val="009D7B2C"/>
    <w:rsid w:val="009E0801"/>
    <w:rsid w:val="009E1554"/>
    <w:rsid w:val="009E1D05"/>
    <w:rsid w:val="009F391E"/>
    <w:rsid w:val="009F7DE0"/>
    <w:rsid w:val="00A11B0C"/>
    <w:rsid w:val="00A33B35"/>
    <w:rsid w:val="00A33E90"/>
    <w:rsid w:val="00A36419"/>
    <w:rsid w:val="00A44921"/>
    <w:rsid w:val="00A578C2"/>
    <w:rsid w:val="00A64228"/>
    <w:rsid w:val="00A72652"/>
    <w:rsid w:val="00A75D1C"/>
    <w:rsid w:val="00A809AA"/>
    <w:rsid w:val="00A849B3"/>
    <w:rsid w:val="00A8510D"/>
    <w:rsid w:val="00A86AF3"/>
    <w:rsid w:val="00A90AFF"/>
    <w:rsid w:val="00A90BDC"/>
    <w:rsid w:val="00A95477"/>
    <w:rsid w:val="00A975A9"/>
    <w:rsid w:val="00AA3192"/>
    <w:rsid w:val="00AB0486"/>
    <w:rsid w:val="00AB251E"/>
    <w:rsid w:val="00AB3608"/>
    <w:rsid w:val="00AC50B6"/>
    <w:rsid w:val="00AC5294"/>
    <w:rsid w:val="00AC5C48"/>
    <w:rsid w:val="00AC63E3"/>
    <w:rsid w:val="00AD55BB"/>
    <w:rsid w:val="00AE64FC"/>
    <w:rsid w:val="00AF0CF4"/>
    <w:rsid w:val="00AF2252"/>
    <w:rsid w:val="00B00B12"/>
    <w:rsid w:val="00B1129F"/>
    <w:rsid w:val="00B11D61"/>
    <w:rsid w:val="00B12F51"/>
    <w:rsid w:val="00B2751E"/>
    <w:rsid w:val="00B3650C"/>
    <w:rsid w:val="00B43261"/>
    <w:rsid w:val="00B5550B"/>
    <w:rsid w:val="00B64BFA"/>
    <w:rsid w:val="00B7051D"/>
    <w:rsid w:val="00B71E63"/>
    <w:rsid w:val="00B725F0"/>
    <w:rsid w:val="00B75BAE"/>
    <w:rsid w:val="00B85DE4"/>
    <w:rsid w:val="00B87AAD"/>
    <w:rsid w:val="00B91A31"/>
    <w:rsid w:val="00B96F6C"/>
    <w:rsid w:val="00BA41A7"/>
    <w:rsid w:val="00BA6C28"/>
    <w:rsid w:val="00BA6DB4"/>
    <w:rsid w:val="00BB08D6"/>
    <w:rsid w:val="00BB5EE0"/>
    <w:rsid w:val="00BC3F3C"/>
    <w:rsid w:val="00BC5BB2"/>
    <w:rsid w:val="00BE1E4D"/>
    <w:rsid w:val="00BE738E"/>
    <w:rsid w:val="00BF11A1"/>
    <w:rsid w:val="00BF3E9F"/>
    <w:rsid w:val="00BF3F54"/>
    <w:rsid w:val="00C00697"/>
    <w:rsid w:val="00C0376C"/>
    <w:rsid w:val="00C06D77"/>
    <w:rsid w:val="00C14BA6"/>
    <w:rsid w:val="00C17615"/>
    <w:rsid w:val="00C3485C"/>
    <w:rsid w:val="00C40A06"/>
    <w:rsid w:val="00C426DE"/>
    <w:rsid w:val="00C51E30"/>
    <w:rsid w:val="00C544A4"/>
    <w:rsid w:val="00C743CF"/>
    <w:rsid w:val="00C768E5"/>
    <w:rsid w:val="00C825F0"/>
    <w:rsid w:val="00CA2004"/>
    <w:rsid w:val="00CA5B99"/>
    <w:rsid w:val="00CB334D"/>
    <w:rsid w:val="00CB4501"/>
    <w:rsid w:val="00CB4E22"/>
    <w:rsid w:val="00CB56D5"/>
    <w:rsid w:val="00CD1EA8"/>
    <w:rsid w:val="00CD51F2"/>
    <w:rsid w:val="00CF5ABD"/>
    <w:rsid w:val="00CF63CE"/>
    <w:rsid w:val="00D028E1"/>
    <w:rsid w:val="00D067C1"/>
    <w:rsid w:val="00D13B13"/>
    <w:rsid w:val="00D16E78"/>
    <w:rsid w:val="00D201D3"/>
    <w:rsid w:val="00D26A64"/>
    <w:rsid w:val="00D52B9A"/>
    <w:rsid w:val="00D5367E"/>
    <w:rsid w:val="00D53B1E"/>
    <w:rsid w:val="00D75F91"/>
    <w:rsid w:val="00D84EF0"/>
    <w:rsid w:val="00D861ED"/>
    <w:rsid w:val="00D873E0"/>
    <w:rsid w:val="00D90DBA"/>
    <w:rsid w:val="00D94F8B"/>
    <w:rsid w:val="00D95FBF"/>
    <w:rsid w:val="00DA5988"/>
    <w:rsid w:val="00DB0BFB"/>
    <w:rsid w:val="00DB50D9"/>
    <w:rsid w:val="00DB7F78"/>
    <w:rsid w:val="00DC317C"/>
    <w:rsid w:val="00DC4FF2"/>
    <w:rsid w:val="00DC79CC"/>
    <w:rsid w:val="00DD77B2"/>
    <w:rsid w:val="00DE34B1"/>
    <w:rsid w:val="00E045AA"/>
    <w:rsid w:val="00E10D39"/>
    <w:rsid w:val="00E11B6D"/>
    <w:rsid w:val="00E125F4"/>
    <w:rsid w:val="00E134F4"/>
    <w:rsid w:val="00E162E0"/>
    <w:rsid w:val="00E23568"/>
    <w:rsid w:val="00E245B5"/>
    <w:rsid w:val="00E25F1A"/>
    <w:rsid w:val="00E30E83"/>
    <w:rsid w:val="00E33E1B"/>
    <w:rsid w:val="00E34D3E"/>
    <w:rsid w:val="00E42CDC"/>
    <w:rsid w:val="00E60BCE"/>
    <w:rsid w:val="00E720E9"/>
    <w:rsid w:val="00E81C5E"/>
    <w:rsid w:val="00E83B3C"/>
    <w:rsid w:val="00E8736B"/>
    <w:rsid w:val="00E90275"/>
    <w:rsid w:val="00E925D4"/>
    <w:rsid w:val="00E97226"/>
    <w:rsid w:val="00EA2B44"/>
    <w:rsid w:val="00EA33EF"/>
    <w:rsid w:val="00EC3F13"/>
    <w:rsid w:val="00EC4FFD"/>
    <w:rsid w:val="00EC5EFC"/>
    <w:rsid w:val="00EE3C97"/>
    <w:rsid w:val="00EE680D"/>
    <w:rsid w:val="00EF2C04"/>
    <w:rsid w:val="00EF33CD"/>
    <w:rsid w:val="00EF6C2E"/>
    <w:rsid w:val="00F12924"/>
    <w:rsid w:val="00F20C9B"/>
    <w:rsid w:val="00F300CB"/>
    <w:rsid w:val="00F37F8E"/>
    <w:rsid w:val="00F422AC"/>
    <w:rsid w:val="00F42C3A"/>
    <w:rsid w:val="00F52BCC"/>
    <w:rsid w:val="00F5313F"/>
    <w:rsid w:val="00F73F0B"/>
    <w:rsid w:val="00F819D6"/>
    <w:rsid w:val="00F81A48"/>
    <w:rsid w:val="00FA5CB7"/>
    <w:rsid w:val="00FB62BC"/>
    <w:rsid w:val="00FC284A"/>
    <w:rsid w:val="00FC4DBF"/>
    <w:rsid w:val="00FD17C9"/>
    <w:rsid w:val="00FD2A5B"/>
    <w:rsid w:val="00FE6A5C"/>
    <w:rsid w:val="00FF2D3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FootnoteText">
    <w:name w:val="footnote text"/>
    <w:basedOn w:val="Normal"/>
    <w:link w:val="FootnoteTextChar"/>
    <w:uiPriority w:val="99"/>
    <w:semiHidden/>
    <w:unhideWhenUsed/>
    <w:rsid w:val="00D0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8E1"/>
    <w:rPr>
      <w:sz w:val="20"/>
      <w:szCs w:val="20"/>
    </w:rPr>
  </w:style>
  <w:style w:type="character" w:styleId="FootnoteReference">
    <w:name w:val="footnote reference"/>
    <w:basedOn w:val="DefaultParagraphFont"/>
    <w:uiPriority w:val="99"/>
    <w:semiHidden/>
    <w:unhideWhenUsed/>
    <w:rsid w:val="00D028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paragraph" w:styleId="FootnoteText">
    <w:name w:val="footnote text"/>
    <w:basedOn w:val="Normal"/>
    <w:link w:val="FootnoteTextChar"/>
    <w:uiPriority w:val="99"/>
    <w:semiHidden/>
    <w:unhideWhenUsed/>
    <w:rsid w:val="00D02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28E1"/>
    <w:rPr>
      <w:sz w:val="20"/>
      <w:szCs w:val="20"/>
    </w:rPr>
  </w:style>
  <w:style w:type="character" w:styleId="FootnoteReference">
    <w:name w:val="footnote reference"/>
    <w:basedOn w:val="DefaultParagraphFont"/>
    <w:uiPriority w:val="99"/>
    <w:semiHidden/>
    <w:unhideWhenUsed/>
    <w:rsid w:val="00D02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4813">
      <w:bodyDiv w:val="1"/>
      <w:marLeft w:val="0"/>
      <w:marRight w:val="0"/>
      <w:marTop w:val="0"/>
      <w:marBottom w:val="0"/>
      <w:divBdr>
        <w:top w:val="none" w:sz="0" w:space="0" w:color="auto"/>
        <w:left w:val="none" w:sz="0" w:space="0" w:color="auto"/>
        <w:bottom w:val="none" w:sz="0" w:space="0" w:color="auto"/>
        <w:right w:val="none" w:sz="0" w:space="0" w:color="auto"/>
      </w:divBdr>
    </w:div>
    <w:div w:id="118417085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ncs/ocs/sp/nctb1349.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ms.southcentralpartnership.org/AdditionalCourseMaterial/Misc/Needs%20Assessment%202011.pdf" TargetMode="External"/><Relationship Id="rId1" Type="http://schemas.openxmlformats.org/officeDocument/2006/relationships/hyperlink" Target="http://www.doh.wa.gov/PHIP/perfmgtcenters/docs/CDCVisit/NWCPH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7246-E763-42EE-B1E4-80F2A6C7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Rasulnia, Bobby (CDC/OSTLTS/DPHPI)</cp:lastModifiedBy>
  <cp:revision>5</cp:revision>
  <cp:lastPrinted>2011-06-07T15:53:00Z</cp:lastPrinted>
  <dcterms:created xsi:type="dcterms:W3CDTF">2012-05-17T18:38:00Z</dcterms:created>
  <dcterms:modified xsi:type="dcterms:W3CDTF">2012-05-17T18:48:00Z</dcterms:modified>
</cp:coreProperties>
</file>