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044" w:rsidRDefault="00010044" w:rsidP="00716F94">
      <w:pPr>
        <w:spacing w:after="0"/>
        <w:rPr>
          <w:rFonts w:asciiTheme="majorHAnsi" w:hAnsiTheme="majorHAnsi"/>
          <w:b/>
        </w:rPr>
      </w:pPr>
    </w:p>
    <w:p w:rsidR="00010044" w:rsidRDefault="00010044" w:rsidP="00716F94">
      <w:pPr>
        <w:spacing w:after="0"/>
        <w:rPr>
          <w:rFonts w:asciiTheme="majorHAnsi" w:hAnsiTheme="majorHAnsi"/>
          <w:b/>
        </w:rPr>
      </w:pPr>
    </w:p>
    <w:p w:rsidR="00010044" w:rsidRDefault="00010044" w:rsidP="009B4A51">
      <w:pPr>
        <w:spacing w:after="0"/>
        <w:jc w:val="center"/>
        <w:rPr>
          <w:rFonts w:asciiTheme="majorHAnsi" w:hAnsiTheme="majorHAnsi"/>
          <w:b/>
        </w:rPr>
      </w:pPr>
    </w:p>
    <w:p w:rsidR="00010044" w:rsidRDefault="00010044" w:rsidP="009B4A51">
      <w:pPr>
        <w:spacing w:after="0"/>
        <w:jc w:val="center"/>
        <w:rPr>
          <w:rFonts w:asciiTheme="majorHAnsi" w:hAnsiTheme="majorHAnsi"/>
          <w:b/>
        </w:rPr>
      </w:pPr>
    </w:p>
    <w:p w:rsidR="00010044" w:rsidRDefault="00010044" w:rsidP="009B4A51">
      <w:pPr>
        <w:spacing w:after="0"/>
        <w:jc w:val="center"/>
        <w:rPr>
          <w:rFonts w:asciiTheme="majorHAnsi" w:hAnsiTheme="majorHAnsi"/>
          <w:color w:val="0033CC"/>
          <w:sz w:val="28"/>
        </w:rPr>
      </w:pPr>
    </w:p>
    <w:p w:rsidR="00010044" w:rsidRDefault="00010044" w:rsidP="009B4A51">
      <w:pPr>
        <w:spacing w:after="0"/>
        <w:jc w:val="center"/>
        <w:rPr>
          <w:rFonts w:asciiTheme="majorHAnsi" w:hAnsiTheme="majorHAnsi"/>
          <w:color w:val="0033CC"/>
          <w:sz w:val="28"/>
        </w:rPr>
      </w:pPr>
    </w:p>
    <w:p w:rsidR="00010044" w:rsidRDefault="00010044" w:rsidP="009B4A51">
      <w:pPr>
        <w:spacing w:after="0"/>
        <w:jc w:val="center"/>
        <w:rPr>
          <w:rFonts w:asciiTheme="majorHAnsi" w:hAnsiTheme="majorHAnsi"/>
          <w:sz w:val="32"/>
        </w:rPr>
      </w:pPr>
    </w:p>
    <w:p w:rsidR="00010044" w:rsidRDefault="00010044" w:rsidP="009B4A51">
      <w:pPr>
        <w:spacing w:after="0"/>
        <w:jc w:val="center"/>
        <w:rPr>
          <w:rFonts w:asciiTheme="majorHAnsi" w:hAnsiTheme="majorHAnsi"/>
          <w:sz w:val="32"/>
        </w:rPr>
      </w:pPr>
    </w:p>
    <w:p w:rsidR="00010044" w:rsidRPr="009B4A51" w:rsidRDefault="00010044" w:rsidP="009B4A51">
      <w:pPr>
        <w:spacing w:after="0"/>
        <w:jc w:val="center"/>
        <w:rPr>
          <w:rFonts w:asciiTheme="majorHAnsi" w:hAnsiTheme="majorHAnsi"/>
          <w:b/>
          <w:sz w:val="40"/>
        </w:rPr>
      </w:pPr>
      <w:r>
        <w:rPr>
          <w:rFonts w:asciiTheme="majorHAnsi" w:hAnsiTheme="majorHAnsi"/>
          <w:b/>
          <w:sz w:val="40"/>
        </w:rPr>
        <w:t xml:space="preserve">Assessing State and Local Clinical and Non-Clinical STD Prevention Services  </w:t>
      </w:r>
    </w:p>
    <w:p w:rsidR="00010044" w:rsidRDefault="00010044" w:rsidP="00484011">
      <w:pPr>
        <w:spacing w:after="0"/>
        <w:jc w:val="center"/>
        <w:rPr>
          <w:rFonts w:asciiTheme="majorHAnsi" w:hAnsiTheme="majorHAnsi"/>
          <w:b/>
        </w:rPr>
      </w:pPr>
    </w:p>
    <w:p w:rsidR="00010044" w:rsidRPr="00AA3192" w:rsidRDefault="00010044" w:rsidP="00484011">
      <w:pPr>
        <w:spacing w:after="0"/>
        <w:jc w:val="center"/>
        <w:rPr>
          <w:rFonts w:asciiTheme="majorHAnsi" w:hAnsiTheme="majorHAnsi"/>
        </w:rPr>
      </w:pPr>
      <w:r w:rsidRPr="00AA3192">
        <w:rPr>
          <w:rFonts w:asciiTheme="majorHAnsi" w:hAnsiTheme="majorHAnsi"/>
        </w:rPr>
        <w:t>OSTL</w:t>
      </w:r>
      <w:r>
        <w:rPr>
          <w:rFonts w:asciiTheme="majorHAnsi" w:hAnsiTheme="majorHAnsi"/>
        </w:rPr>
        <w:t>TS Generic Information Collection</w:t>
      </w:r>
      <w:r w:rsidRPr="00AA3192">
        <w:rPr>
          <w:rFonts w:asciiTheme="majorHAnsi" w:hAnsiTheme="majorHAnsi"/>
        </w:rPr>
        <w:t xml:space="preserve"> Request</w:t>
      </w:r>
    </w:p>
    <w:p w:rsidR="00010044" w:rsidRPr="00AA3192" w:rsidRDefault="00010044" w:rsidP="00484011">
      <w:pPr>
        <w:pStyle w:val="Header"/>
        <w:tabs>
          <w:tab w:val="clear" w:pos="4680"/>
        </w:tabs>
        <w:jc w:val="center"/>
      </w:pPr>
      <w:r w:rsidRPr="00AA3192">
        <w:t>OMB No. 0920-0879</w:t>
      </w:r>
    </w:p>
    <w:p w:rsidR="00010044" w:rsidRDefault="00010044" w:rsidP="00716F94">
      <w:pPr>
        <w:spacing w:after="0"/>
        <w:rPr>
          <w:rFonts w:asciiTheme="majorHAnsi" w:hAnsiTheme="majorHAnsi"/>
          <w:b/>
        </w:rPr>
      </w:pPr>
    </w:p>
    <w:p w:rsidR="00010044" w:rsidRDefault="00010044" w:rsidP="00716F94">
      <w:pPr>
        <w:spacing w:after="0"/>
        <w:rPr>
          <w:rFonts w:asciiTheme="majorHAnsi" w:hAnsiTheme="majorHAnsi"/>
          <w:b/>
        </w:rPr>
      </w:pPr>
    </w:p>
    <w:p w:rsidR="00010044" w:rsidRDefault="00010044" w:rsidP="00716F94">
      <w:pPr>
        <w:spacing w:after="0"/>
        <w:rPr>
          <w:rFonts w:asciiTheme="majorHAnsi" w:hAnsiTheme="majorHAnsi"/>
          <w:b/>
        </w:rPr>
      </w:pPr>
    </w:p>
    <w:p w:rsidR="00010044" w:rsidRDefault="00010044" w:rsidP="00716F94">
      <w:pPr>
        <w:spacing w:after="0"/>
        <w:rPr>
          <w:rFonts w:asciiTheme="majorHAnsi" w:hAnsiTheme="majorHAnsi"/>
          <w:b/>
        </w:rPr>
      </w:pPr>
    </w:p>
    <w:p w:rsidR="00010044" w:rsidRPr="00AA3192" w:rsidRDefault="00010044" w:rsidP="009B4A51">
      <w:pPr>
        <w:spacing w:after="0"/>
        <w:jc w:val="center"/>
        <w:rPr>
          <w:rFonts w:asciiTheme="majorHAnsi" w:hAnsiTheme="majorHAnsi"/>
          <w:sz w:val="32"/>
        </w:rPr>
      </w:pPr>
      <w:r w:rsidRPr="00AA3192">
        <w:rPr>
          <w:rFonts w:asciiTheme="majorHAnsi" w:hAnsiTheme="majorHAnsi"/>
          <w:b/>
          <w:sz w:val="32"/>
        </w:rPr>
        <w:t>Supporting Statement – Section A</w:t>
      </w:r>
    </w:p>
    <w:p w:rsidR="00010044" w:rsidRDefault="00010044" w:rsidP="00716F94">
      <w:pPr>
        <w:spacing w:after="0"/>
        <w:rPr>
          <w:rFonts w:asciiTheme="majorHAnsi" w:hAnsiTheme="majorHAnsi"/>
          <w:b/>
        </w:rPr>
      </w:pPr>
    </w:p>
    <w:p w:rsidR="00010044" w:rsidRDefault="00010044" w:rsidP="00716F94">
      <w:pPr>
        <w:spacing w:after="0"/>
        <w:rPr>
          <w:rFonts w:asciiTheme="majorHAnsi" w:hAnsiTheme="majorHAnsi"/>
          <w:b/>
        </w:rPr>
      </w:pPr>
    </w:p>
    <w:p w:rsidR="00010044" w:rsidRDefault="00010044" w:rsidP="00716F94">
      <w:pPr>
        <w:spacing w:after="0"/>
        <w:rPr>
          <w:rFonts w:asciiTheme="majorHAnsi" w:hAnsiTheme="majorHAnsi"/>
          <w:b/>
        </w:rPr>
      </w:pPr>
    </w:p>
    <w:p w:rsidR="00010044" w:rsidRDefault="00010044" w:rsidP="00716F94">
      <w:pPr>
        <w:spacing w:after="0"/>
        <w:rPr>
          <w:rFonts w:asciiTheme="majorHAnsi" w:hAnsiTheme="majorHAnsi"/>
          <w:b/>
        </w:rPr>
      </w:pPr>
    </w:p>
    <w:p w:rsidR="00010044" w:rsidRDefault="00010044" w:rsidP="00716F94">
      <w:pPr>
        <w:spacing w:after="0"/>
        <w:rPr>
          <w:rFonts w:asciiTheme="majorHAnsi" w:hAnsiTheme="majorHAnsi"/>
          <w:b/>
        </w:rPr>
      </w:pPr>
    </w:p>
    <w:p w:rsidR="00010044" w:rsidRDefault="00010044" w:rsidP="00716F94">
      <w:pPr>
        <w:spacing w:after="0"/>
        <w:rPr>
          <w:rFonts w:asciiTheme="majorHAnsi" w:hAnsiTheme="majorHAnsi"/>
          <w:b/>
        </w:rPr>
      </w:pPr>
    </w:p>
    <w:p w:rsidR="00010044" w:rsidRPr="009B4A51" w:rsidRDefault="00010044" w:rsidP="009B4A51">
      <w:pPr>
        <w:spacing w:after="0"/>
        <w:jc w:val="center"/>
        <w:rPr>
          <w:rFonts w:asciiTheme="majorHAnsi" w:hAnsiTheme="majorHAnsi"/>
        </w:rPr>
      </w:pPr>
      <w:r w:rsidRPr="00AA3192">
        <w:rPr>
          <w:rFonts w:asciiTheme="majorHAnsi" w:hAnsiTheme="majorHAnsi"/>
          <w:b/>
        </w:rPr>
        <w:t>Submitted:</w:t>
      </w:r>
      <w:r w:rsidRPr="00AA3192">
        <w:rPr>
          <w:rFonts w:asciiTheme="majorHAnsi" w:hAnsiTheme="majorHAnsi"/>
        </w:rPr>
        <w:t xml:space="preserve"> </w:t>
      </w:r>
      <w:r>
        <w:rPr>
          <w:rFonts w:asciiTheme="majorHAnsi" w:hAnsiTheme="majorHAnsi"/>
        </w:rPr>
        <w:t>08/</w:t>
      </w:r>
      <w:r w:rsidR="00A65786">
        <w:rPr>
          <w:rFonts w:asciiTheme="majorHAnsi" w:hAnsiTheme="majorHAnsi"/>
        </w:rPr>
        <w:t>20</w:t>
      </w:r>
      <w:r>
        <w:rPr>
          <w:rFonts w:asciiTheme="majorHAnsi" w:hAnsiTheme="majorHAnsi"/>
        </w:rPr>
        <w:t>/2013</w:t>
      </w:r>
    </w:p>
    <w:p w:rsidR="00010044" w:rsidRDefault="00010044" w:rsidP="00716F94">
      <w:pPr>
        <w:spacing w:after="0"/>
        <w:rPr>
          <w:rFonts w:asciiTheme="majorHAnsi" w:hAnsiTheme="majorHAnsi"/>
          <w:b/>
        </w:rPr>
      </w:pPr>
    </w:p>
    <w:p w:rsidR="00010044" w:rsidRDefault="00010044" w:rsidP="00716F94">
      <w:pPr>
        <w:spacing w:after="0"/>
        <w:rPr>
          <w:rFonts w:asciiTheme="majorHAnsi" w:hAnsiTheme="majorHAnsi"/>
          <w:b/>
        </w:rPr>
      </w:pPr>
    </w:p>
    <w:p w:rsidR="00010044" w:rsidRDefault="00010044" w:rsidP="00716F94">
      <w:pPr>
        <w:spacing w:after="0"/>
        <w:rPr>
          <w:rFonts w:asciiTheme="majorHAnsi" w:hAnsiTheme="majorHAnsi"/>
          <w:b/>
        </w:rPr>
      </w:pPr>
    </w:p>
    <w:p w:rsidR="00010044" w:rsidRDefault="00010044" w:rsidP="00716F94">
      <w:pPr>
        <w:spacing w:after="0"/>
        <w:rPr>
          <w:rFonts w:asciiTheme="majorHAnsi" w:hAnsiTheme="majorHAnsi"/>
          <w:b/>
        </w:rPr>
      </w:pPr>
    </w:p>
    <w:p w:rsidR="00010044" w:rsidRDefault="00010044" w:rsidP="00716F94">
      <w:pPr>
        <w:spacing w:after="0"/>
        <w:rPr>
          <w:rFonts w:asciiTheme="majorHAnsi" w:hAnsiTheme="majorHAnsi"/>
          <w:b/>
        </w:rPr>
      </w:pPr>
    </w:p>
    <w:p w:rsidR="00010044" w:rsidRDefault="00010044" w:rsidP="00716F94">
      <w:pPr>
        <w:spacing w:after="0"/>
        <w:rPr>
          <w:rFonts w:asciiTheme="majorHAnsi" w:hAnsiTheme="majorHAnsi"/>
          <w:b/>
        </w:rPr>
      </w:pPr>
    </w:p>
    <w:p w:rsidR="00010044" w:rsidRPr="00E43AA9" w:rsidRDefault="00010044" w:rsidP="000B0962">
      <w:pPr>
        <w:spacing w:after="0"/>
      </w:pPr>
      <w:r w:rsidRPr="00667C89">
        <w:rPr>
          <w:rFonts w:asciiTheme="majorHAnsi" w:hAnsiTheme="majorHAnsi"/>
          <w:b/>
          <w:u w:val="single"/>
        </w:rPr>
        <w:t>Program Official/Project Officer</w:t>
      </w:r>
      <w:r>
        <w:tab/>
      </w:r>
    </w:p>
    <w:p w:rsidR="00010044" w:rsidRPr="00525649" w:rsidRDefault="00010044" w:rsidP="000B0962">
      <w:pPr>
        <w:spacing w:after="0" w:line="240" w:lineRule="auto"/>
        <w:rPr>
          <w:rFonts w:ascii="Times New Roman" w:hAnsi="Times New Roman" w:cs="Times New Roman"/>
          <w:bCs/>
        </w:rPr>
      </w:pPr>
      <w:r w:rsidRPr="00A65786">
        <w:rPr>
          <w:rFonts w:ascii="Times New Roman" w:hAnsi="Times New Roman" w:cs="Times New Roman"/>
          <w:bCs/>
        </w:rPr>
        <w:t>Thomas Gift</w:t>
      </w:r>
    </w:p>
    <w:p w:rsidR="00010044" w:rsidRPr="00A65786" w:rsidRDefault="00010044" w:rsidP="000B0962">
      <w:pPr>
        <w:spacing w:after="0" w:line="240" w:lineRule="auto"/>
        <w:rPr>
          <w:rFonts w:ascii="Times New Roman" w:hAnsi="Times New Roman" w:cs="Times New Roman"/>
        </w:rPr>
      </w:pPr>
      <w:r w:rsidRPr="00A65786">
        <w:rPr>
          <w:rFonts w:ascii="Times New Roman" w:hAnsi="Times New Roman" w:cs="Times New Roman"/>
        </w:rPr>
        <w:t>Acting Branch Chief</w:t>
      </w:r>
    </w:p>
    <w:p w:rsidR="00010044" w:rsidRPr="00A65786" w:rsidRDefault="00010044" w:rsidP="000B0962">
      <w:pPr>
        <w:spacing w:after="0" w:line="240" w:lineRule="auto"/>
        <w:rPr>
          <w:rFonts w:ascii="Times New Roman" w:hAnsi="Times New Roman" w:cs="Times New Roman"/>
        </w:rPr>
      </w:pPr>
      <w:r w:rsidRPr="00A65786">
        <w:rPr>
          <w:rFonts w:ascii="Times New Roman" w:hAnsi="Times New Roman" w:cs="Times New Roman"/>
        </w:rPr>
        <w:t>Centers for Disease Control and Prevention, Division of STD Prevention</w:t>
      </w:r>
    </w:p>
    <w:p w:rsidR="00010044" w:rsidRPr="00A65786" w:rsidRDefault="00010044" w:rsidP="000B0962">
      <w:pPr>
        <w:spacing w:after="0" w:line="240" w:lineRule="auto"/>
        <w:rPr>
          <w:rFonts w:ascii="Times New Roman" w:hAnsi="Times New Roman" w:cs="Times New Roman"/>
        </w:rPr>
      </w:pPr>
      <w:r w:rsidRPr="00A65786">
        <w:rPr>
          <w:rFonts w:ascii="Times New Roman" w:hAnsi="Times New Roman" w:cs="Times New Roman"/>
        </w:rPr>
        <w:t>1600 Clifton Rd. NE, MS E-80, Atlanta, GA 30333</w:t>
      </w:r>
    </w:p>
    <w:p w:rsidR="00010044" w:rsidRPr="00A65786" w:rsidRDefault="00010044" w:rsidP="000B0962">
      <w:pPr>
        <w:spacing w:after="0" w:line="240" w:lineRule="auto"/>
        <w:rPr>
          <w:rFonts w:ascii="Times New Roman" w:hAnsi="Times New Roman" w:cs="Times New Roman"/>
        </w:rPr>
      </w:pPr>
      <w:r w:rsidRPr="00A65786">
        <w:rPr>
          <w:rFonts w:ascii="Times New Roman" w:hAnsi="Times New Roman" w:cs="Times New Roman"/>
        </w:rPr>
        <w:t>404-639-1831</w:t>
      </w:r>
    </w:p>
    <w:p w:rsidR="00010044" w:rsidRPr="00A65786" w:rsidRDefault="00010044" w:rsidP="000B0962">
      <w:pPr>
        <w:spacing w:after="0" w:line="240" w:lineRule="auto"/>
        <w:rPr>
          <w:rFonts w:ascii="Times New Roman" w:hAnsi="Times New Roman" w:cs="Times New Roman"/>
        </w:rPr>
      </w:pPr>
      <w:r w:rsidRPr="00A65786">
        <w:rPr>
          <w:rFonts w:ascii="Times New Roman" w:hAnsi="Times New Roman" w:cs="Times New Roman"/>
        </w:rPr>
        <w:t>404-639-8607</w:t>
      </w:r>
    </w:p>
    <w:p w:rsidR="00010044" w:rsidRPr="00A65786" w:rsidRDefault="00010044" w:rsidP="000B0962">
      <w:pPr>
        <w:spacing w:after="0" w:line="240" w:lineRule="auto"/>
        <w:rPr>
          <w:rFonts w:ascii="Times New Roman" w:hAnsi="Times New Roman" w:cs="Times New Roman"/>
        </w:rPr>
      </w:pPr>
      <w:r w:rsidRPr="00A65786">
        <w:rPr>
          <w:rFonts w:ascii="Times New Roman" w:hAnsi="Times New Roman" w:cs="Times New Roman"/>
        </w:rPr>
        <w:t>tgift@cdc.gov</w:t>
      </w:r>
    </w:p>
    <w:p w:rsidR="00010044" w:rsidRDefault="00010044" w:rsidP="00716F94">
      <w:pPr>
        <w:spacing w:after="0"/>
        <w:rPr>
          <w:rFonts w:asciiTheme="majorHAnsi" w:hAnsiTheme="majorHAnsi"/>
        </w:rPr>
      </w:pPr>
    </w:p>
    <w:p w:rsidR="00010044" w:rsidRDefault="00010044" w:rsidP="00716F94">
      <w:pPr>
        <w:spacing w:after="0"/>
        <w:rPr>
          <w:rFonts w:asciiTheme="majorHAnsi" w:hAnsiTheme="majorHAnsi"/>
        </w:rPr>
      </w:pPr>
    </w:p>
    <w:p w:rsidR="00010044" w:rsidRPr="00F52BCC" w:rsidRDefault="00010044" w:rsidP="00716F94">
      <w:pPr>
        <w:spacing w:after="0"/>
        <w:rPr>
          <w:rFonts w:asciiTheme="majorHAnsi" w:hAnsiTheme="majorHAnsi"/>
          <w:b/>
          <w:sz w:val="28"/>
        </w:rPr>
      </w:pPr>
      <w:r w:rsidRPr="00F52BCC">
        <w:rPr>
          <w:rFonts w:asciiTheme="majorHAnsi" w:hAnsiTheme="majorHAnsi"/>
          <w:b/>
          <w:sz w:val="28"/>
        </w:rPr>
        <w:lastRenderedPageBreak/>
        <w:t xml:space="preserve">Section </w:t>
      </w:r>
      <w:proofErr w:type="gramStart"/>
      <w:r w:rsidRPr="00F52BCC">
        <w:rPr>
          <w:rFonts w:asciiTheme="majorHAnsi" w:hAnsiTheme="majorHAnsi"/>
          <w:b/>
          <w:sz w:val="28"/>
        </w:rPr>
        <w:t>A</w:t>
      </w:r>
      <w:proofErr w:type="gramEnd"/>
      <w:r w:rsidRPr="00F52BCC">
        <w:rPr>
          <w:rFonts w:asciiTheme="majorHAnsi" w:hAnsiTheme="majorHAnsi"/>
          <w:b/>
          <w:sz w:val="28"/>
        </w:rPr>
        <w:t xml:space="preserve"> – Justification</w:t>
      </w:r>
    </w:p>
    <w:p w:rsidR="00010044" w:rsidRDefault="00010044" w:rsidP="00716F94">
      <w:pPr>
        <w:spacing w:after="0"/>
        <w:rPr>
          <w:rFonts w:asciiTheme="majorHAnsi" w:hAnsiTheme="majorHAnsi"/>
          <w:b/>
        </w:rPr>
      </w:pPr>
    </w:p>
    <w:p w:rsidR="00010044" w:rsidRPr="00D13B13" w:rsidRDefault="00010044" w:rsidP="00B12F51">
      <w:pPr>
        <w:pStyle w:val="ListParagraph"/>
        <w:numPr>
          <w:ilvl w:val="0"/>
          <w:numId w:val="2"/>
        </w:numPr>
        <w:spacing w:after="0"/>
        <w:rPr>
          <w:rFonts w:asciiTheme="majorHAnsi" w:hAnsiTheme="majorHAnsi"/>
          <w:b/>
        </w:rPr>
      </w:pPr>
      <w:r w:rsidRPr="00D13B13">
        <w:rPr>
          <w:rFonts w:asciiTheme="majorHAnsi" w:hAnsiTheme="majorHAnsi"/>
          <w:b/>
        </w:rPr>
        <w:t>Circumstances Making the Collection of Information Necessary</w:t>
      </w:r>
    </w:p>
    <w:p w:rsidR="00010044" w:rsidRDefault="00010044" w:rsidP="009D373D">
      <w:pPr>
        <w:spacing w:after="0"/>
        <w:ind w:left="720"/>
        <w:rPr>
          <w:rFonts w:asciiTheme="majorHAnsi" w:hAnsiTheme="majorHAnsi"/>
          <w:b/>
        </w:rPr>
      </w:pPr>
    </w:p>
    <w:p w:rsidR="00010044" w:rsidRDefault="00010044" w:rsidP="009D373D">
      <w:pPr>
        <w:spacing w:after="0"/>
        <w:ind w:left="720"/>
        <w:rPr>
          <w:rFonts w:asciiTheme="majorHAnsi" w:hAnsiTheme="majorHAnsi"/>
          <w:b/>
        </w:rPr>
      </w:pPr>
      <w:r>
        <w:rPr>
          <w:rFonts w:asciiTheme="majorHAnsi" w:hAnsiTheme="majorHAnsi"/>
          <w:b/>
        </w:rPr>
        <w:t>Background</w:t>
      </w:r>
    </w:p>
    <w:p w:rsidR="00010044" w:rsidRDefault="00010044" w:rsidP="00484011">
      <w:pPr>
        <w:pStyle w:val="Header"/>
        <w:tabs>
          <w:tab w:val="clear" w:pos="4680"/>
        </w:tabs>
        <w:spacing w:line="276" w:lineRule="auto"/>
        <w:ind w:left="720"/>
        <w:rPr>
          <w:rFonts w:asciiTheme="majorHAnsi" w:hAnsiTheme="majorHAnsi"/>
        </w:rPr>
      </w:pPr>
      <w:r>
        <w:rPr>
          <w:rFonts w:asciiTheme="majorHAnsi" w:hAnsiTheme="majorHAnsi"/>
        </w:rPr>
        <w:t>This data collection is being conducted using the Generic Information Collection mechanism of the OSTLTS Survey Center (OSC) – OMB No. 0920-0879. The respondent universe for this data collection aligns with that of the OSC. Data will be collected from public health STD program directors who oversee state and local STD prevention activities acting in their official capacities.</w:t>
      </w:r>
    </w:p>
    <w:p w:rsidR="00010044" w:rsidRDefault="00010044" w:rsidP="00484011">
      <w:pPr>
        <w:pStyle w:val="Header"/>
        <w:tabs>
          <w:tab w:val="clear" w:pos="4680"/>
        </w:tabs>
        <w:spacing w:line="276" w:lineRule="auto"/>
        <w:ind w:left="720"/>
        <w:rPr>
          <w:rFonts w:asciiTheme="majorHAnsi" w:hAnsiTheme="majorHAnsi"/>
        </w:rPr>
      </w:pPr>
    </w:p>
    <w:p w:rsidR="00010044" w:rsidRPr="001A28F6" w:rsidRDefault="00010044" w:rsidP="00350C8C">
      <w:pPr>
        <w:spacing w:after="0"/>
        <w:ind w:left="720"/>
        <w:rPr>
          <w:rFonts w:asciiTheme="majorHAnsi" w:hAnsiTheme="majorHAnsi"/>
        </w:rPr>
      </w:pPr>
      <w:r>
        <w:rPr>
          <w:rFonts w:asciiTheme="majorHAnsi" w:hAnsiTheme="majorHAnsi"/>
        </w:rPr>
        <w:t xml:space="preserve">This data collection is authorized by Section 301 of the Public Health Service Act (42 U.S.C. </w:t>
      </w:r>
      <w:r w:rsidRPr="001A28F6">
        <w:rPr>
          <w:rFonts w:asciiTheme="majorHAnsi" w:hAnsiTheme="majorHAnsi"/>
        </w:rPr>
        <w:t>241).</w:t>
      </w:r>
    </w:p>
    <w:p w:rsidR="00010044" w:rsidRDefault="00010044" w:rsidP="00F52BCC">
      <w:pPr>
        <w:spacing w:after="0"/>
        <w:ind w:left="720"/>
        <w:rPr>
          <w:rFonts w:asciiTheme="majorHAnsi" w:hAnsiTheme="majorHAnsi"/>
        </w:rPr>
      </w:pPr>
    </w:p>
    <w:p w:rsidR="00010044" w:rsidRDefault="00010044" w:rsidP="00CB784B">
      <w:pPr>
        <w:pStyle w:val="ListParagraph"/>
        <w:spacing w:after="0"/>
        <w:rPr>
          <w:rFonts w:asciiTheme="majorHAnsi" w:hAnsiTheme="majorHAnsi"/>
        </w:rPr>
      </w:pPr>
      <w:r>
        <w:rPr>
          <w:rFonts w:asciiTheme="majorHAnsi" w:hAnsiTheme="majorHAnsi"/>
        </w:rPr>
        <w:t xml:space="preserve">It is important to understand the level of publicly-funded STD prevention services that are offered by health departments in the US.  Funds for STD prevention come from federal and non-federal sources </w:t>
      </w:r>
      <w:r>
        <w:rPr>
          <w:rFonts w:asciiTheme="majorHAnsi" w:hAnsiTheme="majorHAnsi"/>
          <w:noProof/>
        </w:rPr>
        <w:t>(1)</w:t>
      </w:r>
      <w:r>
        <w:rPr>
          <w:rFonts w:asciiTheme="majorHAnsi" w:hAnsiTheme="majorHAnsi"/>
        </w:rPr>
        <w:t xml:space="preserve">.  Past research has shown that a substantial proportion of HIV (10% or more), primary and secondary syphilis (14%-48%), gonorrhea (13%-41%), and chlamydia (6%-28%) are diagnosed in public STD clinics </w:t>
      </w:r>
      <w:r>
        <w:rPr>
          <w:rFonts w:asciiTheme="majorHAnsi" w:hAnsiTheme="majorHAnsi"/>
          <w:noProof/>
        </w:rPr>
        <w:t>(2)</w:t>
      </w:r>
      <w:r>
        <w:rPr>
          <w:rFonts w:asciiTheme="majorHAnsi" w:hAnsiTheme="majorHAnsi"/>
        </w:rPr>
        <w:t xml:space="preserve">. In addition to STD testing and treatment, core public STD services include partner services, surveillance, program evaluation, and provider training </w:t>
      </w:r>
      <w:r>
        <w:rPr>
          <w:rFonts w:asciiTheme="majorHAnsi" w:hAnsiTheme="majorHAnsi"/>
          <w:noProof/>
        </w:rPr>
        <w:t>(3)</w:t>
      </w:r>
      <w:r>
        <w:rPr>
          <w:rFonts w:asciiTheme="majorHAnsi" w:hAnsiTheme="majorHAnsi"/>
        </w:rPr>
        <w:t xml:space="preserve">.   Previous </w:t>
      </w:r>
      <w:r w:rsidR="00232D88">
        <w:rPr>
          <w:rFonts w:asciiTheme="majorHAnsi" w:hAnsiTheme="majorHAnsi"/>
        </w:rPr>
        <w:t>assessments</w:t>
      </w:r>
      <w:r>
        <w:rPr>
          <w:rFonts w:asciiTheme="majorHAnsi" w:hAnsiTheme="majorHAnsi"/>
        </w:rPr>
        <w:t xml:space="preserve"> have assessed the status of public provision of STD prevention services on a wide scale, but no published studies have provided this information recently.</w:t>
      </w:r>
      <w:r w:rsidRPr="00CB784B">
        <w:rPr>
          <w:rFonts w:asciiTheme="majorHAnsi" w:hAnsiTheme="majorHAnsi"/>
        </w:rPr>
        <w:t xml:space="preserve"> </w:t>
      </w:r>
      <w:r>
        <w:rPr>
          <w:rFonts w:asciiTheme="majorHAnsi" w:hAnsiTheme="majorHAnsi"/>
        </w:rPr>
        <w:t xml:space="preserve"> In the 1990s, findings from a data collection involving STD clinics were published that included information on testing, treatment, and partner services, but these data are too old to provide usable information regarding the current level of services </w:t>
      </w:r>
      <w:r>
        <w:rPr>
          <w:rFonts w:asciiTheme="majorHAnsi" w:hAnsiTheme="majorHAnsi"/>
          <w:noProof/>
        </w:rPr>
        <w:t>(4)</w:t>
      </w:r>
      <w:r>
        <w:rPr>
          <w:rFonts w:asciiTheme="majorHAnsi" w:hAnsiTheme="majorHAnsi"/>
        </w:rPr>
        <w:t xml:space="preserve">. Another data collection effort published in 1996 included limited information on STD clinic-level testing in 1993 </w:t>
      </w:r>
      <w:r>
        <w:rPr>
          <w:rFonts w:asciiTheme="majorHAnsi" w:hAnsiTheme="majorHAnsi"/>
          <w:noProof/>
        </w:rPr>
        <w:t>(5)</w:t>
      </w:r>
      <w:r>
        <w:rPr>
          <w:rFonts w:asciiTheme="majorHAnsi" w:hAnsiTheme="majorHAnsi"/>
        </w:rPr>
        <w:t>.  Neither of these studies included information on staffing or budget, which are also important for assessing capacity.</w:t>
      </w:r>
    </w:p>
    <w:p w:rsidR="00A65786" w:rsidRDefault="00A65786" w:rsidP="00CB784B">
      <w:pPr>
        <w:pStyle w:val="ListParagraph"/>
        <w:spacing w:after="0"/>
        <w:rPr>
          <w:rFonts w:asciiTheme="majorHAnsi" w:hAnsiTheme="majorHAnsi"/>
        </w:rPr>
      </w:pPr>
    </w:p>
    <w:p w:rsidR="00010044" w:rsidRDefault="00010044" w:rsidP="00CB784B">
      <w:pPr>
        <w:pStyle w:val="ListParagraph"/>
        <w:spacing w:after="0"/>
        <w:rPr>
          <w:rFonts w:asciiTheme="majorHAnsi" w:hAnsiTheme="majorHAnsi"/>
        </w:rPr>
      </w:pPr>
      <w:r>
        <w:rPr>
          <w:rFonts w:asciiTheme="majorHAnsi" w:hAnsiTheme="majorHAnsi"/>
        </w:rPr>
        <w:t xml:space="preserve">In 2010, the National Coalition of STD </w:t>
      </w:r>
      <w:r w:rsidR="00232D88">
        <w:rPr>
          <w:rFonts w:asciiTheme="majorHAnsi" w:hAnsiTheme="majorHAnsi"/>
        </w:rPr>
        <w:t xml:space="preserve">Directors (NCSD) conducted an assessment </w:t>
      </w:r>
      <w:r>
        <w:rPr>
          <w:rFonts w:asciiTheme="majorHAnsi" w:hAnsiTheme="majorHAnsi"/>
        </w:rPr>
        <w:t>of members (primarily state-level health department officials), but the results were not published and did not include widespread coverage of county-level health jurisdictions.  The National Association of County and City Health Officials (NACCHO) collects data from city and county jurisdictions frequently, but does not include questions on its data collection that provide the detail included in this information collection effort.  Questions are limited to whether STD screening or treatment</w:t>
      </w:r>
      <w:r w:rsidR="00A65786">
        <w:rPr>
          <w:rFonts w:asciiTheme="majorHAnsi" w:hAnsiTheme="majorHAnsi"/>
        </w:rPr>
        <w:t>s</w:t>
      </w:r>
      <w:r>
        <w:rPr>
          <w:rFonts w:asciiTheme="majorHAnsi" w:hAnsiTheme="majorHAnsi"/>
        </w:rPr>
        <w:t xml:space="preserve"> are provided (yes/no), with no further details </w:t>
      </w:r>
      <w:r>
        <w:rPr>
          <w:rFonts w:asciiTheme="majorHAnsi" w:hAnsiTheme="majorHAnsi"/>
          <w:noProof/>
        </w:rPr>
        <w:t>(6)</w:t>
      </w:r>
      <w:r>
        <w:rPr>
          <w:rFonts w:asciiTheme="majorHAnsi" w:hAnsiTheme="majorHAnsi"/>
        </w:rPr>
        <w:t>.</w:t>
      </w:r>
    </w:p>
    <w:p w:rsidR="00A65786" w:rsidRDefault="00A65786" w:rsidP="00663957">
      <w:pPr>
        <w:pStyle w:val="ListParagraph"/>
        <w:spacing w:after="0"/>
        <w:rPr>
          <w:rFonts w:asciiTheme="majorHAnsi" w:hAnsiTheme="majorHAnsi"/>
        </w:rPr>
      </w:pPr>
    </w:p>
    <w:p w:rsidR="00010044" w:rsidRDefault="00010044" w:rsidP="00663957">
      <w:pPr>
        <w:pStyle w:val="ListParagraph"/>
        <w:spacing w:after="0"/>
        <w:rPr>
          <w:rFonts w:asciiTheme="majorHAnsi" w:hAnsiTheme="majorHAnsi"/>
        </w:rPr>
      </w:pPr>
      <w:r>
        <w:rPr>
          <w:rFonts w:asciiTheme="majorHAnsi" w:hAnsiTheme="majorHAnsi"/>
        </w:rPr>
        <w:t xml:space="preserve">There will continue to be a need for publicly-funded STD services in the next 10 years.   Estimates from the Congressional Budget Office indicate that 10% of the nonelderly population will remain uninsured in the US through 2023 </w:t>
      </w:r>
      <w:r>
        <w:rPr>
          <w:rFonts w:asciiTheme="majorHAnsi" w:hAnsiTheme="majorHAnsi"/>
          <w:noProof/>
        </w:rPr>
        <w:t>(7)</w:t>
      </w:r>
      <w:r>
        <w:rPr>
          <w:rFonts w:asciiTheme="majorHAnsi" w:hAnsiTheme="majorHAnsi"/>
        </w:rPr>
        <w:t xml:space="preserve">.  Over half of patients who visit STD clinics cited low cost as a reason for choosing STD clinics for care in a 1995 </w:t>
      </w:r>
      <w:r w:rsidR="00232D88">
        <w:rPr>
          <w:rFonts w:asciiTheme="majorHAnsi" w:hAnsiTheme="majorHAnsi"/>
        </w:rPr>
        <w:t xml:space="preserve">assessment </w:t>
      </w:r>
      <w:r>
        <w:rPr>
          <w:rFonts w:asciiTheme="majorHAnsi" w:hAnsiTheme="majorHAnsi"/>
          <w:noProof/>
        </w:rPr>
        <w:t>(8)</w:t>
      </w:r>
      <w:r>
        <w:rPr>
          <w:rFonts w:asciiTheme="majorHAnsi" w:hAnsiTheme="majorHAnsi"/>
        </w:rPr>
        <w:t xml:space="preserve">. Because a continued role for STD clinics is likely to exist as a safety net </w:t>
      </w:r>
      <w:r>
        <w:rPr>
          <w:rFonts w:asciiTheme="majorHAnsi" w:hAnsiTheme="majorHAnsi"/>
        </w:rPr>
        <w:lastRenderedPageBreak/>
        <w:t xml:space="preserve">while the US healthcare market evolves, understanding the current level of STD services, funding, and staffing levels is important.  As noted above, no recent published studies have provided this information on a national scale.  </w:t>
      </w:r>
    </w:p>
    <w:p w:rsidR="00A65786" w:rsidRDefault="00A65786" w:rsidP="00A65786">
      <w:pPr>
        <w:pStyle w:val="ListParagraph"/>
        <w:spacing w:after="0"/>
        <w:rPr>
          <w:rFonts w:asciiTheme="majorHAnsi" w:hAnsiTheme="majorHAnsi"/>
        </w:rPr>
      </w:pPr>
    </w:p>
    <w:p w:rsidR="00010044" w:rsidRDefault="00010044" w:rsidP="00A65786">
      <w:pPr>
        <w:pStyle w:val="ListParagraph"/>
        <w:spacing w:after="0"/>
        <w:rPr>
          <w:rFonts w:asciiTheme="majorHAnsi" w:hAnsiTheme="majorHAnsi"/>
        </w:rPr>
      </w:pPr>
      <w:r>
        <w:rPr>
          <w:rFonts w:asciiTheme="majorHAnsi" w:hAnsiTheme="majorHAnsi"/>
        </w:rPr>
        <w:t>Because of the need for information regarding the current state of publicly-funded state and local clinical and non-clinical STD prevention services, staffing, and budgets, this data collection is being undertaken.</w:t>
      </w:r>
    </w:p>
    <w:p w:rsidR="00010044" w:rsidRPr="001A28F6" w:rsidRDefault="00010044" w:rsidP="00F52BCC">
      <w:pPr>
        <w:spacing w:after="0"/>
        <w:ind w:left="720"/>
        <w:rPr>
          <w:rFonts w:asciiTheme="majorHAnsi" w:hAnsiTheme="majorHAnsi"/>
        </w:rPr>
      </w:pPr>
    </w:p>
    <w:p w:rsidR="00010044" w:rsidRPr="001A28F6" w:rsidRDefault="00010044" w:rsidP="00F52BCC">
      <w:pPr>
        <w:spacing w:after="0"/>
        <w:ind w:left="720"/>
        <w:rPr>
          <w:rFonts w:asciiTheme="majorHAnsi" w:hAnsiTheme="majorHAnsi"/>
          <w:b/>
        </w:rPr>
      </w:pPr>
      <w:r w:rsidRPr="001A28F6">
        <w:rPr>
          <w:rFonts w:asciiTheme="majorHAnsi" w:hAnsiTheme="majorHAnsi"/>
          <w:b/>
        </w:rPr>
        <w:t>Privacy Impact Assessment</w:t>
      </w:r>
    </w:p>
    <w:p w:rsidR="00010044" w:rsidRPr="00DB39A3" w:rsidRDefault="00010044" w:rsidP="004024F8">
      <w:pPr>
        <w:spacing w:after="0"/>
        <w:ind w:left="720"/>
        <w:rPr>
          <w:rFonts w:asciiTheme="majorHAnsi" w:hAnsiTheme="majorHAnsi"/>
        </w:rPr>
      </w:pPr>
      <w:r w:rsidRPr="001A28F6">
        <w:rPr>
          <w:rFonts w:asciiTheme="majorHAnsi" w:hAnsiTheme="majorHAnsi"/>
          <w:u w:val="single"/>
        </w:rPr>
        <w:t>Overview of the Data Collection System</w:t>
      </w:r>
      <w:r w:rsidRPr="001A28F6">
        <w:rPr>
          <w:rFonts w:asciiTheme="majorHAnsi" w:hAnsiTheme="majorHAnsi"/>
        </w:rPr>
        <w:t xml:space="preserve"> – The data collection system consists of a web-based questionnaire (</w:t>
      </w:r>
      <w:r w:rsidRPr="008229E4">
        <w:rPr>
          <w:rFonts w:asciiTheme="majorHAnsi" w:hAnsiTheme="majorHAnsi"/>
          <w:b/>
        </w:rPr>
        <w:t xml:space="preserve">see Attachment </w:t>
      </w:r>
      <w:r>
        <w:rPr>
          <w:rFonts w:asciiTheme="majorHAnsi" w:hAnsiTheme="majorHAnsi"/>
          <w:b/>
        </w:rPr>
        <w:t>A</w:t>
      </w:r>
      <w:r w:rsidRPr="008229E4">
        <w:rPr>
          <w:rFonts w:asciiTheme="majorHAnsi" w:hAnsiTheme="majorHAnsi"/>
          <w:b/>
        </w:rPr>
        <w:t xml:space="preserve"> – </w:t>
      </w:r>
      <w:r>
        <w:rPr>
          <w:rFonts w:asciiTheme="majorHAnsi" w:hAnsiTheme="majorHAnsi"/>
          <w:b/>
        </w:rPr>
        <w:t>Data Collection</w:t>
      </w:r>
      <w:r w:rsidRPr="008229E4">
        <w:rPr>
          <w:rFonts w:asciiTheme="majorHAnsi" w:hAnsiTheme="majorHAnsi"/>
          <w:b/>
        </w:rPr>
        <w:t xml:space="preserve"> Instrument: MS Word</w:t>
      </w:r>
      <w:r>
        <w:rPr>
          <w:rFonts w:asciiTheme="majorHAnsi" w:hAnsiTheme="majorHAnsi"/>
          <w:b/>
        </w:rPr>
        <w:t>, Attachment A1-</w:t>
      </w:r>
      <w:r w:rsidR="002C0B70">
        <w:rPr>
          <w:rFonts w:asciiTheme="majorHAnsi" w:hAnsiTheme="majorHAnsi"/>
          <w:b/>
        </w:rPr>
        <w:t xml:space="preserve">Data Collection </w:t>
      </w:r>
      <w:r>
        <w:rPr>
          <w:rFonts w:asciiTheme="majorHAnsi" w:hAnsiTheme="majorHAnsi"/>
          <w:b/>
        </w:rPr>
        <w:t>Definitions,</w:t>
      </w:r>
      <w:r w:rsidRPr="008229E4">
        <w:rPr>
          <w:rFonts w:asciiTheme="majorHAnsi" w:hAnsiTheme="majorHAnsi"/>
          <w:b/>
        </w:rPr>
        <w:t xml:space="preserve"> and Attachment </w:t>
      </w:r>
      <w:r>
        <w:rPr>
          <w:rFonts w:asciiTheme="majorHAnsi" w:hAnsiTheme="majorHAnsi"/>
          <w:b/>
        </w:rPr>
        <w:t>B</w:t>
      </w:r>
      <w:r w:rsidRPr="008229E4">
        <w:rPr>
          <w:rFonts w:asciiTheme="majorHAnsi" w:hAnsiTheme="majorHAnsi"/>
          <w:b/>
        </w:rPr>
        <w:t xml:space="preserve"> – </w:t>
      </w:r>
      <w:r w:rsidR="002C0B70">
        <w:rPr>
          <w:rFonts w:asciiTheme="majorHAnsi" w:hAnsiTheme="majorHAnsi"/>
          <w:b/>
        </w:rPr>
        <w:t xml:space="preserve">Web Version </w:t>
      </w:r>
      <w:r>
        <w:rPr>
          <w:rFonts w:asciiTheme="majorHAnsi" w:hAnsiTheme="majorHAnsi"/>
          <w:b/>
        </w:rPr>
        <w:t>Data Collection</w:t>
      </w:r>
      <w:r w:rsidRPr="008229E4">
        <w:rPr>
          <w:rFonts w:asciiTheme="majorHAnsi" w:hAnsiTheme="majorHAnsi"/>
          <w:b/>
        </w:rPr>
        <w:t xml:space="preserve"> Instrument</w:t>
      </w:r>
      <w:r w:rsidRPr="001A28F6">
        <w:rPr>
          <w:rFonts w:asciiTheme="majorHAnsi" w:hAnsiTheme="majorHAnsi"/>
        </w:rPr>
        <w:t xml:space="preserve">) designed to </w:t>
      </w:r>
      <w:r>
        <w:rPr>
          <w:rFonts w:asciiTheme="majorHAnsi" w:hAnsiTheme="majorHAnsi"/>
        </w:rPr>
        <w:t>collect data from</w:t>
      </w:r>
      <w:r w:rsidRPr="001A28F6">
        <w:rPr>
          <w:rFonts w:asciiTheme="majorHAnsi" w:hAnsiTheme="majorHAnsi"/>
        </w:rPr>
        <w:t xml:space="preserve"> </w:t>
      </w:r>
      <w:r>
        <w:rPr>
          <w:rFonts w:asciiTheme="majorHAnsi" w:hAnsiTheme="majorHAnsi"/>
        </w:rPr>
        <w:t xml:space="preserve">public health STD program directors </w:t>
      </w:r>
      <w:r w:rsidRPr="001A28F6">
        <w:rPr>
          <w:rFonts w:asciiTheme="majorHAnsi" w:hAnsiTheme="majorHAnsi"/>
        </w:rPr>
        <w:t>regarding</w:t>
      </w:r>
      <w:r>
        <w:rPr>
          <w:rFonts w:asciiTheme="majorHAnsi" w:hAnsiTheme="majorHAnsi"/>
        </w:rPr>
        <w:t xml:space="preserve"> the types of programmatic activities in their STD prevention programs, their STD program workforce, and their STD program budgets. </w:t>
      </w:r>
      <w:r w:rsidRPr="001A28F6">
        <w:rPr>
          <w:rFonts w:asciiTheme="majorHAnsi" w:hAnsiTheme="majorHAnsi"/>
        </w:rPr>
        <w:t xml:space="preserve"> </w:t>
      </w:r>
      <w:r>
        <w:rPr>
          <w:rFonts w:asciiTheme="majorHAnsi" w:hAnsiTheme="majorHAnsi"/>
        </w:rPr>
        <w:t xml:space="preserve">  The data collection instrument will be administered as a web-based data collection. The data collection instrument was pilot tested by 6</w:t>
      </w:r>
      <w:r w:rsidRPr="00FE6A5C">
        <w:rPr>
          <w:rFonts w:asciiTheme="majorHAnsi" w:hAnsiTheme="majorHAnsi"/>
        </w:rPr>
        <w:t xml:space="preserve"> public health professionals. </w:t>
      </w:r>
      <w:r>
        <w:rPr>
          <w:rFonts w:asciiTheme="majorHAnsi" w:hAnsiTheme="majorHAnsi"/>
        </w:rPr>
        <w:t>Feedback from this group was used to refine questions as needed, ensure accurate programming and skip patterns and establish the estimated time required to complete the data collection.</w:t>
      </w:r>
    </w:p>
    <w:p w:rsidR="00010044" w:rsidRDefault="00010044" w:rsidP="00F52BCC">
      <w:pPr>
        <w:spacing w:after="0"/>
        <w:ind w:left="720"/>
        <w:rPr>
          <w:rFonts w:asciiTheme="majorHAnsi" w:hAnsiTheme="majorHAnsi"/>
        </w:rPr>
      </w:pPr>
      <w:r w:rsidRPr="00D5367E">
        <w:rPr>
          <w:rFonts w:asciiTheme="majorHAnsi" w:hAnsiTheme="majorHAnsi"/>
          <w:u w:val="single"/>
        </w:rPr>
        <w:t xml:space="preserve">Items of Information to be </w:t>
      </w:r>
      <w:proofErr w:type="gramStart"/>
      <w:r w:rsidRPr="00D5367E">
        <w:rPr>
          <w:rFonts w:asciiTheme="majorHAnsi" w:hAnsiTheme="majorHAnsi"/>
          <w:u w:val="single"/>
        </w:rPr>
        <w:t>Collected</w:t>
      </w:r>
      <w:proofErr w:type="gramEnd"/>
      <w:r w:rsidRPr="00D5367E">
        <w:rPr>
          <w:rFonts w:asciiTheme="majorHAnsi" w:hAnsiTheme="majorHAnsi"/>
        </w:rPr>
        <w:t xml:space="preserve"> –</w:t>
      </w:r>
      <w:r>
        <w:rPr>
          <w:rFonts w:asciiTheme="majorHAnsi" w:hAnsiTheme="majorHAnsi"/>
        </w:rPr>
        <w:t xml:space="preserve"> The data collection consists of a maximum of 46 questions (</w:t>
      </w:r>
      <w:r w:rsidR="00A65786">
        <w:rPr>
          <w:rFonts w:asciiTheme="majorHAnsi" w:hAnsiTheme="majorHAnsi"/>
        </w:rPr>
        <w:t>some respondents</w:t>
      </w:r>
      <w:r>
        <w:rPr>
          <w:rFonts w:asciiTheme="majorHAnsi" w:hAnsiTheme="majorHAnsi"/>
        </w:rPr>
        <w:t xml:space="preserve"> may not see all questions because of skip patterns).  The first two questions establish the level of STD services offered by the health department, and thus results in one of the skip patterns.  The next series of 20 questions is under Part I: STD Prevention Programmatic Activities.  These questions establish the venues in which STD services are provided by the health department, the types </w:t>
      </w:r>
      <w:r w:rsidR="00A65786">
        <w:rPr>
          <w:rFonts w:asciiTheme="majorHAnsi" w:hAnsiTheme="majorHAnsi"/>
        </w:rPr>
        <w:t>of services</w:t>
      </w:r>
      <w:r>
        <w:rPr>
          <w:rFonts w:asciiTheme="majorHAnsi" w:hAnsiTheme="majorHAnsi"/>
        </w:rPr>
        <w:t xml:space="preserve"> that are currently provided, how many (if any) patients were screened in non-clinical venues during the 2012 fiscal year, the level of partner services that are provided (including linking newly-diagnosed HIV-positive patients to care), and health promotion/media outreach activities, including condom distribution, provider visitation, and disseminating surveillance data.  The next set of 10 questions, Part II: </w:t>
      </w:r>
      <w:r w:rsidR="00A65786">
        <w:rPr>
          <w:rFonts w:asciiTheme="majorHAnsi" w:hAnsiTheme="majorHAnsi"/>
        </w:rPr>
        <w:t>Workforce</w:t>
      </w:r>
      <w:r>
        <w:rPr>
          <w:rFonts w:asciiTheme="majorHAnsi" w:hAnsiTheme="majorHAnsi"/>
        </w:rPr>
        <w:t xml:space="preserve"> focuses on the jurisdiction’s STD prevention staff, including contractors.  It includes questions to assess the current number of full-time equivalent employees (FTEs), recent changes in staffing levels, and categories in which staff were lost (if any).  The final section of the data collection, Part III: Budgets and the Impact of Budget Cuts on Services, contains 14 questions focused on fiscal aspects of the STD program.  Respondents are asked what their total budget was for the two most recent fiscal years, whether they bill for services (and if so, whether the STD program retains the billing revenue), and whether they have curtailed their programs in any way in response to changes in their budgets.  Last, programs are asked to identify their program’s greatest success in their 2012 fiscal year.</w:t>
      </w:r>
    </w:p>
    <w:p w:rsidR="00010044" w:rsidRDefault="00010044" w:rsidP="00F52BCC">
      <w:pPr>
        <w:spacing w:after="0"/>
        <w:ind w:left="720"/>
        <w:rPr>
          <w:rFonts w:asciiTheme="majorHAnsi" w:hAnsiTheme="majorHAnsi"/>
        </w:rPr>
      </w:pPr>
    </w:p>
    <w:p w:rsidR="00A65786" w:rsidRDefault="00A65786" w:rsidP="00F52BCC">
      <w:pPr>
        <w:spacing w:after="0"/>
        <w:ind w:left="720"/>
        <w:rPr>
          <w:rFonts w:asciiTheme="majorHAnsi" w:hAnsiTheme="majorHAnsi"/>
        </w:rPr>
      </w:pPr>
    </w:p>
    <w:p w:rsidR="00A65786" w:rsidRDefault="00A65786" w:rsidP="00F52BCC">
      <w:pPr>
        <w:spacing w:after="0"/>
        <w:ind w:left="720"/>
        <w:rPr>
          <w:rFonts w:asciiTheme="majorHAnsi" w:hAnsiTheme="majorHAnsi"/>
        </w:rPr>
      </w:pPr>
    </w:p>
    <w:p w:rsidR="00010044" w:rsidRDefault="00010044" w:rsidP="00F52BCC">
      <w:pPr>
        <w:spacing w:after="0"/>
        <w:ind w:left="720"/>
        <w:rPr>
          <w:rFonts w:asciiTheme="majorHAnsi" w:hAnsiTheme="majorHAnsi"/>
        </w:rPr>
      </w:pPr>
    </w:p>
    <w:p w:rsidR="00010044" w:rsidRPr="005869D6" w:rsidRDefault="00010044" w:rsidP="00F52BCC">
      <w:pPr>
        <w:spacing w:after="0"/>
        <w:ind w:left="720"/>
        <w:rPr>
          <w:rFonts w:asciiTheme="majorHAnsi" w:hAnsiTheme="majorHAnsi"/>
        </w:rPr>
      </w:pPr>
      <w:r w:rsidRPr="006102DA">
        <w:rPr>
          <w:rFonts w:asciiTheme="majorHAnsi" w:hAnsiTheme="majorHAnsi"/>
          <w:u w:val="single"/>
        </w:rPr>
        <w:lastRenderedPageBreak/>
        <w:t xml:space="preserve">Identification of Website(s) and Website Content Directed at Children </w:t>
      </w:r>
      <w:proofErr w:type="gramStart"/>
      <w:r w:rsidRPr="006102DA">
        <w:rPr>
          <w:rFonts w:asciiTheme="majorHAnsi" w:hAnsiTheme="majorHAnsi"/>
          <w:u w:val="single"/>
        </w:rPr>
        <w:t>Under</w:t>
      </w:r>
      <w:proofErr w:type="gramEnd"/>
      <w:r w:rsidRPr="006102DA">
        <w:rPr>
          <w:rFonts w:asciiTheme="majorHAnsi" w:hAnsiTheme="majorHAnsi"/>
          <w:u w:val="single"/>
        </w:rPr>
        <w:t xml:space="preserve"> 13 Years of </w:t>
      </w:r>
      <w:r w:rsidRPr="005869D6">
        <w:rPr>
          <w:rFonts w:asciiTheme="majorHAnsi" w:hAnsiTheme="majorHAnsi"/>
          <w:u w:val="single"/>
        </w:rPr>
        <w:t>Age</w:t>
      </w:r>
      <w:r w:rsidRPr="005869D6">
        <w:rPr>
          <w:rFonts w:asciiTheme="majorHAnsi" w:hAnsiTheme="majorHAnsi"/>
        </w:rPr>
        <w:t xml:space="preserve"> – The</w:t>
      </w:r>
      <w:r>
        <w:rPr>
          <w:rFonts w:asciiTheme="majorHAnsi" w:hAnsiTheme="majorHAnsi"/>
        </w:rPr>
        <w:t xml:space="preserve"> system involves using a web-based data collection. Respondents will be sent a link directing them to the online data collection only (i.e., not a website). No website content will be directed at children.</w:t>
      </w:r>
    </w:p>
    <w:p w:rsidR="00010044" w:rsidRPr="00F52BCC" w:rsidRDefault="00010044" w:rsidP="00F52BCC">
      <w:pPr>
        <w:spacing w:after="0"/>
        <w:ind w:left="720"/>
        <w:rPr>
          <w:rFonts w:asciiTheme="majorHAnsi" w:hAnsiTheme="majorHAnsi"/>
        </w:rPr>
      </w:pPr>
    </w:p>
    <w:p w:rsidR="00010044" w:rsidRPr="00014361" w:rsidRDefault="00010044" w:rsidP="00B12F51">
      <w:pPr>
        <w:pStyle w:val="ListParagraph"/>
        <w:numPr>
          <w:ilvl w:val="0"/>
          <w:numId w:val="2"/>
        </w:numPr>
        <w:spacing w:after="0"/>
        <w:rPr>
          <w:rFonts w:asciiTheme="majorHAnsi" w:hAnsiTheme="majorHAnsi"/>
          <w:b/>
        </w:rPr>
      </w:pPr>
      <w:r w:rsidRPr="00014361">
        <w:rPr>
          <w:rFonts w:asciiTheme="majorHAnsi" w:hAnsiTheme="majorHAnsi"/>
          <w:b/>
        </w:rPr>
        <w:t>Purpose and Use of the Information Collection</w:t>
      </w:r>
    </w:p>
    <w:p w:rsidR="00010044" w:rsidRPr="00A65786" w:rsidRDefault="00010044" w:rsidP="00A65786">
      <w:pPr>
        <w:spacing w:after="0"/>
        <w:rPr>
          <w:rFonts w:asciiTheme="majorHAnsi" w:hAnsiTheme="majorHAnsi"/>
        </w:rPr>
      </w:pPr>
    </w:p>
    <w:p w:rsidR="00010044" w:rsidRDefault="00010044" w:rsidP="00F52BCC">
      <w:pPr>
        <w:pStyle w:val="ListParagraph"/>
        <w:spacing w:after="0"/>
        <w:rPr>
          <w:rFonts w:asciiTheme="majorHAnsi" w:hAnsiTheme="majorHAnsi"/>
        </w:rPr>
      </w:pPr>
      <w:r>
        <w:rPr>
          <w:rFonts w:asciiTheme="majorHAnsi" w:hAnsiTheme="majorHAnsi"/>
        </w:rPr>
        <w:t>This data collection will be used to characterize the current level of STD services, funding, and staffing as they currently exist.  This will provide needed information about clinical and non-clinical STD prevention services.  Data collected on staffing and funding will provide needed information on STD prevention capacity.  These data will inform decision makers and other stakeholders, and will provide a baseline against which any future information can be compared.  The information about services that are currently provided is particularly useful to characterize the role that STD clinics are currently serving in meeting their jurisdictions’ health care needs.  It will help assess the impact of STD prevention activities and expenditures and indicate what the effect of removing activities might be.  Results from the data collection will also be disseminated via reports and peer-reviewed journal articles prepared by CDC, NACCHO, and NCSD.</w:t>
      </w:r>
    </w:p>
    <w:p w:rsidR="00010044" w:rsidRDefault="00010044" w:rsidP="00F52BCC">
      <w:pPr>
        <w:pStyle w:val="ListParagraph"/>
        <w:spacing w:after="0"/>
        <w:rPr>
          <w:rFonts w:asciiTheme="majorHAnsi" w:hAnsiTheme="majorHAnsi"/>
        </w:rPr>
      </w:pPr>
    </w:p>
    <w:p w:rsidR="00010044" w:rsidRDefault="00010044" w:rsidP="006102DA">
      <w:pPr>
        <w:spacing w:after="0"/>
        <w:ind w:left="720"/>
        <w:rPr>
          <w:rFonts w:asciiTheme="majorHAnsi" w:hAnsiTheme="majorHAnsi"/>
        </w:rPr>
      </w:pPr>
      <w:r>
        <w:rPr>
          <w:rFonts w:asciiTheme="majorHAnsi" w:hAnsiTheme="majorHAnsi"/>
          <w:u w:val="single"/>
        </w:rPr>
        <w:t xml:space="preserve">Privacy Impact Assessment </w:t>
      </w:r>
    </w:p>
    <w:p w:rsidR="00010044" w:rsidRDefault="00010044" w:rsidP="00F52BCC">
      <w:pPr>
        <w:pStyle w:val="ListParagraph"/>
        <w:spacing w:after="0"/>
        <w:rPr>
          <w:rFonts w:asciiTheme="majorHAnsi" w:hAnsiTheme="majorHAnsi"/>
        </w:rPr>
      </w:pPr>
      <w:r>
        <w:rPr>
          <w:rFonts w:asciiTheme="majorHAnsi" w:hAnsiTheme="majorHAnsi"/>
        </w:rPr>
        <w:t xml:space="preserve"> Demographic and governance information already in the public domain (e.g., method of state governance, population) will be combined with respondents’ answers to improve data analysis.  Because of this, there is potential that individual health departments will be identifiable during the data analysis process—</w:t>
      </w:r>
      <w:proofErr w:type="gramStart"/>
      <w:r>
        <w:rPr>
          <w:rFonts w:asciiTheme="majorHAnsi" w:hAnsiTheme="majorHAnsi"/>
        </w:rPr>
        <w:t>however,</w:t>
      </w:r>
      <w:proofErr w:type="gramEnd"/>
      <w:r>
        <w:rPr>
          <w:rFonts w:asciiTheme="majorHAnsi" w:hAnsiTheme="majorHAnsi"/>
        </w:rPr>
        <w:t xml:space="preserve"> individual respondents will not be identified nor will be asked to provide any information that would make them individually identifiable.  Additionally, only summary statistics from the data collection will be publicly released, and no information that could identify individual health departments will be provided in data tables.  The anonymity of individual health departments and respondents will be maintained. </w:t>
      </w:r>
    </w:p>
    <w:p w:rsidR="00010044" w:rsidRPr="00101EDB" w:rsidRDefault="00010044" w:rsidP="00101EDB">
      <w:pPr>
        <w:pStyle w:val="ListParagraph"/>
        <w:spacing w:after="0"/>
      </w:pPr>
    </w:p>
    <w:p w:rsidR="00010044" w:rsidRPr="00A65786" w:rsidRDefault="00A65786" w:rsidP="00A65786">
      <w:pPr>
        <w:pStyle w:val="ListParagraph"/>
        <w:numPr>
          <w:ilvl w:val="0"/>
          <w:numId w:val="2"/>
        </w:numPr>
        <w:rPr>
          <w:rFonts w:asciiTheme="majorHAnsi" w:hAnsiTheme="majorHAnsi"/>
          <w:b/>
        </w:rPr>
      </w:pPr>
      <w:r w:rsidRPr="00A65786">
        <w:rPr>
          <w:rFonts w:asciiTheme="majorHAnsi" w:hAnsiTheme="majorHAnsi"/>
          <w:b/>
        </w:rPr>
        <w:t>Use of Improved Information Technology and Burden Reduction</w:t>
      </w:r>
    </w:p>
    <w:p w:rsidR="00010044" w:rsidRDefault="00010044" w:rsidP="00F52BCC">
      <w:pPr>
        <w:pStyle w:val="ListParagraph"/>
        <w:spacing w:after="0"/>
        <w:rPr>
          <w:rFonts w:asciiTheme="majorHAnsi" w:hAnsiTheme="majorHAnsi"/>
        </w:rPr>
      </w:pPr>
      <w:r>
        <w:rPr>
          <w:rFonts w:asciiTheme="majorHAnsi" w:hAnsiTheme="majorHAnsi"/>
        </w:rPr>
        <w:t xml:space="preserve">Data will be collected via a web-based questionnaire using the </w:t>
      </w:r>
      <w:proofErr w:type="spellStart"/>
      <w:r>
        <w:rPr>
          <w:rFonts w:asciiTheme="majorHAnsi" w:hAnsiTheme="majorHAnsi"/>
        </w:rPr>
        <w:t>Qualtrics</w:t>
      </w:r>
      <w:proofErr w:type="spellEnd"/>
      <w:r>
        <w:rPr>
          <w:rFonts w:asciiTheme="majorHAnsi" w:hAnsiTheme="majorHAnsi"/>
        </w:rPr>
        <w:t xml:space="preserve"> online data collection platform.  This will allow respondents to complete and submit their responses electronically. This method was chosen to reduce the overall burden on respondents. The data collection was designed to collect the minimum information necessary for the purposes of this project. The data collection is limited to a maximum of 44 questions and is formatted in a manner to enable respondents to rapidly click on buttons (where appropriate) to advance through the data collection.  Skip patterns are enabled to minimize the likelihood of respondents being presented with irrelevant questions.</w:t>
      </w:r>
    </w:p>
    <w:p w:rsidR="00010044" w:rsidRDefault="00010044" w:rsidP="00F52BCC">
      <w:pPr>
        <w:pStyle w:val="ListParagraph"/>
        <w:spacing w:after="0"/>
        <w:rPr>
          <w:rFonts w:asciiTheme="majorHAnsi" w:hAnsiTheme="majorHAnsi"/>
        </w:rPr>
      </w:pPr>
    </w:p>
    <w:p w:rsidR="00010044" w:rsidRDefault="00010044" w:rsidP="00F52BCC">
      <w:pPr>
        <w:pStyle w:val="ListParagraph"/>
        <w:spacing w:after="0"/>
        <w:rPr>
          <w:rFonts w:asciiTheme="majorHAnsi" w:hAnsiTheme="majorHAnsi"/>
        </w:rPr>
      </w:pPr>
      <w:proofErr w:type="spellStart"/>
      <w:r>
        <w:rPr>
          <w:rFonts w:asciiTheme="majorHAnsi" w:hAnsiTheme="majorHAnsi"/>
        </w:rPr>
        <w:t>Qualtrics</w:t>
      </w:r>
      <w:proofErr w:type="spellEnd"/>
      <w:r>
        <w:rPr>
          <w:rFonts w:asciiTheme="majorHAnsi" w:hAnsiTheme="majorHAnsi"/>
        </w:rPr>
        <w:t xml:space="preserve"> data collection Web pages use encryption for data transmission.  Once the data collection closes, the data will be accessed by staff at NACCHO, encrypted, and transmitted electronically to </w:t>
      </w:r>
      <w:proofErr w:type="gramStart"/>
      <w:r>
        <w:rPr>
          <w:rFonts w:asciiTheme="majorHAnsi" w:hAnsiTheme="majorHAnsi"/>
        </w:rPr>
        <w:t>CDC .</w:t>
      </w:r>
      <w:proofErr w:type="gramEnd"/>
    </w:p>
    <w:p w:rsidR="00010044" w:rsidRPr="00A65786" w:rsidRDefault="00A65786" w:rsidP="00A65786">
      <w:pPr>
        <w:pStyle w:val="ListParagraph"/>
        <w:numPr>
          <w:ilvl w:val="0"/>
          <w:numId w:val="2"/>
        </w:numPr>
        <w:rPr>
          <w:rFonts w:asciiTheme="majorHAnsi" w:hAnsiTheme="majorHAnsi"/>
          <w:b/>
        </w:rPr>
      </w:pPr>
      <w:r w:rsidRPr="00A65786">
        <w:rPr>
          <w:rFonts w:asciiTheme="majorHAnsi" w:hAnsiTheme="majorHAnsi"/>
          <w:b/>
        </w:rPr>
        <w:lastRenderedPageBreak/>
        <w:t xml:space="preserve">Efforts to Identify Duplication and Use of Similar Information </w:t>
      </w:r>
    </w:p>
    <w:p w:rsidR="00010044" w:rsidRDefault="00010044" w:rsidP="00F52BCC">
      <w:pPr>
        <w:pStyle w:val="ListParagraph"/>
        <w:spacing w:after="0"/>
        <w:rPr>
          <w:rFonts w:asciiTheme="majorHAnsi" w:hAnsiTheme="majorHAnsi"/>
        </w:rPr>
      </w:pPr>
      <w:r>
        <w:rPr>
          <w:rFonts w:asciiTheme="majorHAnsi" w:hAnsiTheme="majorHAnsi"/>
        </w:rPr>
        <w:t xml:space="preserve">We conducted a literature review to search for data collections from STD program directors and found none.  As detailed in the response above to A2, NACCHO does periodically collect data from county and city health officials and asks two questions about STD services: whether their jurisdiction screens for STDs and whether they offer STD treatment.  We are seeking in this information collection effort to learn much more detail about STD screening and treatment and also about other STD prevention activities.  Additionally, we are collecting important information about STD-related staffing and budgets.  This data collection will go beyond the limited indicators collected by NACCHO and will provide information about program impact that the NACCHO-collected data do not.  This data collection will also provide more detail than outdated previous data collections </w:t>
      </w:r>
      <w:r>
        <w:rPr>
          <w:rFonts w:asciiTheme="majorHAnsi" w:hAnsiTheme="majorHAnsi"/>
          <w:noProof/>
        </w:rPr>
        <w:t>(4;5)</w:t>
      </w:r>
      <w:r>
        <w:rPr>
          <w:rFonts w:asciiTheme="majorHAnsi" w:hAnsiTheme="majorHAnsi"/>
        </w:rPr>
        <w:t xml:space="preserve"> and provide current information that will be useful in guiding the future scope of STD prevention activities.</w:t>
      </w:r>
    </w:p>
    <w:p w:rsidR="00010044" w:rsidRDefault="00010044" w:rsidP="00F52BCC">
      <w:pPr>
        <w:pStyle w:val="ListParagraph"/>
        <w:spacing w:after="0"/>
        <w:rPr>
          <w:rFonts w:asciiTheme="majorHAnsi" w:hAnsiTheme="majorHAnsi"/>
        </w:rPr>
      </w:pPr>
    </w:p>
    <w:p w:rsidR="00A65786" w:rsidRPr="00A65786" w:rsidRDefault="00A65786" w:rsidP="00A65786">
      <w:pPr>
        <w:pStyle w:val="ListParagraph"/>
        <w:numPr>
          <w:ilvl w:val="0"/>
          <w:numId w:val="2"/>
        </w:numPr>
        <w:rPr>
          <w:rFonts w:asciiTheme="majorHAnsi" w:hAnsiTheme="majorHAnsi"/>
          <w:b/>
        </w:rPr>
      </w:pPr>
      <w:r w:rsidRPr="00A65786">
        <w:rPr>
          <w:rFonts w:asciiTheme="majorHAnsi" w:hAnsiTheme="majorHAnsi"/>
          <w:b/>
        </w:rPr>
        <w:t>Impact on Small Businesses or Other Small Entities</w:t>
      </w:r>
    </w:p>
    <w:p w:rsidR="00010044" w:rsidRPr="00A65786" w:rsidRDefault="00010044" w:rsidP="00A65786">
      <w:pPr>
        <w:pStyle w:val="ListParagraph"/>
        <w:spacing w:after="0"/>
        <w:rPr>
          <w:rFonts w:asciiTheme="majorHAnsi" w:hAnsiTheme="majorHAnsi"/>
        </w:rPr>
      </w:pPr>
      <w:r w:rsidRPr="00A65786">
        <w:rPr>
          <w:rFonts w:asciiTheme="majorHAnsi" w:hAnsiTheme="majorHAnsi"/>
        </w:rPr>
        <w:t>No small businesses will be involved in this data collection.</w:t>
      </w:r>
    </w:p>
    <w:p w:rsidR="00A65786" w:rsidRPr="00D95FBF" w:rsidRDefault="00A65786" w:rsidP="00D95FBF">
      <w:pPr>
        <w:pStyle w:val="ListParagraph"/>
        <w:spacing w:after="0"/>
      </w:pPr>
    </w:p>
    <w:p w:rsidR="00010044" w:rsidRPr="00A65786" w:rsidRDefault="00010044" w:rsidP="00D95FBF">
      <w:pPr>
        <w:pStyle w:val="ListParagraph"/>
        <w:numPr>
          <w:ilvl w:val="0"/>
          <w:numId w:val="2"/>
        </w:numPr>
        <w:spacing w:after="0"/>
        <w:rPr>
          <w:rFonts w:asciiTheme="majorHAnsi" w:hAnsiTheme="majorHAnsi"/>
          <w:b/>
        </w:rPr>
      </w:pPr>
      <w:r w:rsidRPr="00D26A64">
        <w:rPr>
          <w:rFonts w:asciiTheme="majorHAnsi" w:hAnsiTheme="majorHAnsi"/>
          <w:b/>
        </w:rPr>
        <w:t xml:space="preserve">Consequences </w:t>
      </w:r>
      <w:r w:rsidR="00A65786">
        <w:rPr>
          <w:rFonts w:asciiTheme="majorHAnsi" w:hAnsiTheme="majorHAnsi"/>
          <w:b/>
        </w:rPr>
        <w:t>Collecting the Information Less Frequently</w:t>
      </w:r>
      <w:r>
        <w:rPr>
          <w:rFonts w:asciiTheme="majorHAnsi" w:hAnsiTheme="majorHAnsi"/>
          <w:b/>
        </w:rPr>
        <w:t xml:space="preserve">   </w:t>
      </w:r>
    </w:p>
    <w:p w:rsidR="00010044" w:rsidRPr="00A65786" w:rsidRDefault="00010044" w:rsidP="00A65786">
      <w:pPr>
        <w:pStyle w:val="ListParagraph"/>
        <w:spacing w:after="0"/>
        <w:rPr>
          <w:rFonts w:asciiTheme="majorHAnsi" w:hAnsiTheme="majorHAnsi"/>
        </w:rPr>
      </w:pPr>
      <w:r>
        <w:rPr>
          <w:rFonts w:asciiTheme="majorHAnsi" w:hAnsiTheme="majorHAnsi"/>
        </w:rPr>
        <w:t xml:space="preserve">This request is for a one time data collection.  </w:t>
      </w:r>
      <w:r w:rsidRPr="0053557D">
        <w:rPr>
          <w:rFonts w:asciiTheme="majorHAnsi" w:hAnsiTheme="majorHAnsi"/>
        </w:rPr>
        <w:t>There are no legal obstacles to reduce the burden.</w:t>
      </w:r>
    </w:p>
    <w:p w:rsidR="00010044" w:rsidRDefault="00010044" w:rsidP="0040455A">
      <w:pPr>
        <w:pStyle w:val="ListParagraph"/>
        <w:numPr>
          <w:ilvl w:val="0"/>
          <w:numId w:val="22"/>
        </w:numPr>
        <w:spacing w:after="0"/>
        <w:rPr>
          <w:rFonts w:asciiTheme="majorHAnsi" w:hAnsiTheme="majorHAnsi"/>
        </w:rPr>
      </w:pPr>
      <w:r>
        <w:rPr>
          <w:rFonts w:asciiTheme="majorHAnsi" w:hAnsiTheme="majorHAnsi"/>
        </w:rPr>
        <w:t>No data available with which to characterize the level of publicly-funded STD prevention services in the US beyond the simple information in the NACCHO report, which will prevent assessing the role these services play in health care</w:t>
      </w:r>
    </w:p>
    <w:p w:rsidR="00010044" w:rsidRDefault="00010044" w:rsidP="0040455A">
      <w:pPr>
        <w:pStyle w:val="ListParagraph"/>
        <w:numPr>
          <w:ilvl w:val="0"/>
          <w:numId w:val="22"/>
        </w:numPr>
        <w:spacing w:after="0"/>
        <w:rPr>
          <w:rFonts w:asciiTheme="majorHAnsi" w:hAnsiTheme="majorHAnsi"/>
        </w:rPr>
      </w:pPr>
      <w:r w:rsidRPr="00EA52DB">
        <w:rPr>
          <w:rFonts w:asciiTheme="majorHAnsi" w:hAnsiTheme="majorHAnsi"/>
        </w:rPr>
        <w:t>Will be impossible to predict the population-level impact of changes to staffing or funding of public STD prevention services</w:t>
      </w:r>
    </w:p>
    <w:p w:rsidR="00010044" w:rsidRPr="00EA52DB" w:rsidRDefault="00010044" w:rsidP="0040455A">
      <w:pPr>
        <w:pStyle w:val="ListParagraph"/>
        <w:numPr>
          <w:ilvl w:val="0"/>
          <w:numId w:val="22"/>
        </w:numPr>
        <w:spacing w:after="0"/>
        <w:rPr>
          <w:rFonts w:asciiTheme="majorHAnsi" w:hAnsiTheme="majorHAnsi"/>
        </w:rPr>
      </w:pPr>
      <w:r>
        <w:rPr>
          <w:rFonts w:asciiTheme="majorHAnsi" w:hAnsiTheme="majorHAnsi"/>
        </w:rPr>
        <w:t>No ability to assess</w:t>
      </w:r>
      <w:r w:rsidRPr="00EA52DB">
        <w:rPr>
          <w:rFonts w:asciiTheme="majorHAnsi" w:hAnsiTheme="majorHAnsi"/>
        </w:rPr>
        <w:t xml:space="preserve"> how changes in the health care system impact publicly-funded STD prevention services</w:t>
      </w:r>
      <w:r>
        <w:rPr>
          <w:rFonts w:asciiTheme="majorHAnsi" w:hAnsiTheme="majorHAnsi"/>
        </w:rPr>
        <w:t xml:space="preserve"> including important safety net services</w:t>
      </w:r>
    </w:p>
    <w:p w:rsidR="00010044" w:rsidRPr="00C768E5" w:rsidRDefault="00010044" w:rsidP="00C768E5">
      <w:pPr>
        <w:spacing w:after="0"/>
        <w:rPr>
          <w:rFonts w:asciiTheme="majorHAnsi" w:hAnsiTheme="majorHAnsi"/>
        </w:rPr>
      </w:pPr>
    </w:p>
    <w:p w:rsidR="00010044" w:rsidRPr="00A65786" w:rsidRDefault="00010044" w:rsidP="00A65786">
      <w:pPr>
        <w:pStyle w:val="ListParagraph"/>
        <w:numPr>
          <w:ilvl w:val="0"/>
          <w:numId w:val="2"/>
        </w:numPr>
        <w:rPr>
          <w:rFonts w:asciiTheme="majorHAnsi" w:hAnsiTheme="majorHAnsi"/>
          <w:b/>
        </w:rPr>
      </w:pPr>
      <w:r w:rsidRPr="00A65786">
        <w:rPr>
          <w:rFonts w:asciiTheme="majorHAnsi" w:hAnsiTheme="majorHAnsi"/>
          <w:b/>
        </w:rPr>
        <w:t xml:space="preserve">Special </w:t>
      </w:r>
      <w:r w:rsidR="00A65786" w:rsidRPr="00A65786">
        <w:rPr>
          <w:rFonts w:asciiTheme="majorHAnsi" w:hAnsiTheme="majorHAnsi"/>
          <w:b/>
        </w:rPr>
        <w:t>Relating to the Guidelines of 5 CFR 1320.5</w:t>
      </w:r>
    </w:p>
    <w:p w:rsidR="00010044" w:rsidRDefault="00010044" w:rsidP="00F52BCC">
      <w:pPr>
        <w:pStyle w:val="ListParagraph"/>
        <w:spacing w:after="0"/>
        <w:rPr>
          <w:rFonts w:asciiTheme="majorHAnsi" w:hAnsiTheme="majorHAnsi"/>
        </w:rPr>
      </w:pPr>
      <w:r>
        <w:rPr>
          <w:rFonts w:asciiTheme="majorHAnsi" w:hAnsiTheme="majorHAnsi"/>
        </w:rPr>
        <w:t>There are no special circumstances with this information collection package. This request fully complies with the regulation 5 CFR 1320.5 and will be voluntary.</w:t>
      </w:r>
    </w:p>
    <w:p w:rsidR="00010044" w:rsidRDefault="00010044" w:rsidP="00F52BCC">
      <w:pPr>
        <w:pStyle w:val="ListParagraph"/>
        <w:spacing w:after="0"/>
        <w:rPr>
          <w:rFonts w:asciiTheme="majorHAnsi" w:hAnsiTheme="majorHAnsi"/>
        </w:rPr>
      </w:pPr>
    </w:p>
    <w:p w:rsidR="00A65786" w:rsidRPr="00A65786" w:rsidRDefault="00A65786" w:rsidP="00A65786">
      <w:pPr>
        <w:pStyle w:val="ListParagraph"/>
        <w:numPr>
          <w:ilvl w:val="0"/>
          <w:numId w:val="2"/>
        </w:numPr>
        <w:rPr>
          <w:rFonts w:asciiTheme="majorHAnsi" w:hAnsiTheme="majorHAnsi"/>
          <w:b/>
        </w:rPr>
      </w:pPr>
      <w:r w:rsidRPr="00A65786">
        <w:rPr>
          <w:rFonts w:asciiTheme="majorHAnsi" w:hAnsiTheme="majorHAnsi"/>
          <w:b/>
        </w:rPr>
        <w:t>Comments in Response to the Federal Register Notice and Efforts to Consult Outside the Agency</w:t>
      </w:r>
    </w:p>
    <w:p w:rsidR="00010044" w:rsidRPr="00A809AA" w:rsidRDefault="00010044" w:rsidP="008E0683">
      <w:pPr>
        <w:pStyle w:val="ListParagraph"/>
        <w:autoSpaceDE w:val="0"/>
        <w:autoSpaceDN w:val="0"/>
        <w:adjustRightInd w:val="0"/>
        <w:ind w:right="720"/>
        <w:rPr>
          <w:rFonts w:asciiTheme="majorHAnsi" w:hAnsiTheme="majorHAnsi"/>
        </w:rPr>
      </w:pPr>
      <w:r>
        <w:rPr>
          <w:rFonts w:asciiTheme="majorHAnsi" w:hAnsiTheme="majorHAnsi"/>
        </w:rPr>
        <w:t xml:space="preserve">This data collection is being conducted using the Generic Information Collection mechanism of the OSTLTS Survey Center (OSC) – OMB No. 0920-0879. This data collection is being conducted using the Generic Information Collection mechanism of the OSTLTS Survey Center (OSC) – OMB No. 0920-0879. </w:t>
      </w:r>
      <w:r w:rsidRPr="00A809AA">
        <w:rPr>
          <w:rFonts w:asciiTheme="majorHAnsi" w:hAnsiTheme="majorHAnsi"/>
        </w:rPr>
        <w:t>A 60-day Federal Register Notice was published in the Federal Register on October 22, 2010, Vol. 75, No. 204; pp. 65353-54.  Two comments were received from the Association of State and Territorial Health Officials (ASTHO), and the National Association of County and City Health Officials (NACCHO)</w:t>
      </w:r>
      <w:r>
        <w:rPr>
          <w:rFonts w:asciiTheme="majorHAnsi" w:hAnsiTheme="majorHAnsi"/>
        </w:rPr>
        <w:t>.</w:t>
      </w:r>
    </w:p>
    <w:p w:rsidR="00010044" w:rsidRPr="00A809AA" w:rsidRDefault="00010044" w:rsidP="008E0683">
      <w:pPr>
        <w:pStyle w:val="ListParagraph"/>
        <w:autoSpaceDE w:val="0"/>
        <w:autoSpaceDN w:val="0"/>
        <w:adjustRightInd w:val="0"/>
        <w:ind w:right="720"/>
        <w:rPr>
          <w:rFonts w:asciiTheme="majorHAnsi" w:hAnsiTheme="majorHAnsi"/>
        </w:rPr>
      </w:pPr>
    </w:p>
    <w:p w:rsidR="00010044" w:rsidRPr="00A809AA" w:rsidRDefault="00010044" w:rsidP="008E0683">
      <w:pPr>
        <w:pStyle w:val="ListParagraph"/>
        <w:autoSpaceDE w:val="0"/>
        <w:autoSpaceDN w:val="0"/>
        <w:adjustRightInd w:val="0"/>
        <w:ind w:right="720"/>
        <w:rPr>
          <w:rFonts w:asciiTheme="majorHAnsi" w:hAnsiTheme="majorHAnsi"/>
        </w:rPr>
      </w:pPr>
      <w:r w:rsidRPr="00A809AA">
        <w:rPr>
          <w:rFonts w:asciiTheme="majorHAnsi" w:hAnsiTheme="majorHAnsi"/>
        </w:rPr>
        <w:lastRenderedPageBreak/>
        <w:t xml:space="preserve">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  </w:t>
      </w:r>
    </w:p>
    <w:p w:rsidR="00010044" w:rsidRPr="00A809AA" w:rsidRDefault="00010044" w:rsidP="00F52BCC">
      <w:pPr>
        <w:pStyle w:val="ListParagraph"/>
        <w:spacing w:after="0"/>
        <w:rPr>
          <w:rFonts w:asciiTheme="majorHAnsi" w:hAnsiTheme="majorHAnsi"/>
        </w:rPr>
      </w:pPr>
    </w:p>
    <w:p w:rsidR="00A65786" w:rsidRPr="00A65786" w:rsidRDefault="00A65786" w:rsidP="00A65786">
      <w:pPr>
        <w:pStyle w:val="ListParagraph"/>
        <w:numPr>
          <w:ilvl w:val="0"/>
          <w:numId w:val="2"/>
        </w:numPr>
        <w:rPr>
          <w:rFonts w:asciiTheme="majorHAnsi" w:hAnsiTheme="majorHAnsi"/>
          <w:b/>
        </w:rPr>
      </w:pPr>
      <w:r w:rsidRPr="00A65786">
        <w:rPr>
          <w:rFonts w:asciiTheme="majorHAnsi" w:hAnsiTheme="majorHAnsi"/>
          <w:b/>
        </w:rPr>
        <w:t>Explanation of Any Payment or Gift to Respondents</w:t>
      </w:r>
    </w:p>
    <w:p w:rsidR="00010044" w:rsidRDefault="00010044" w:rsidP="00F52BCC">
      <w:pPr>
        <w:pStyle w:val="ListParagraph"/>
        <w:spacing w:after="0"/>
        <w:rPr>
          <w:rFonts w:asciiTheme="majorHAnsi" w:hAnsiTheme="majorHAnsi"/>
        </w:rPr>
      </w:pPr>
      <w:r>
        <w:rPr>
          <w:rFonts w:asciiTheme="majorHAnsi" w:hAnsiTheme="majorHAnsi"/>
        </w:rPr>
        <w:t>CDC will not provide payments or gifts to respondents.</w:t>
      </w:r>
    </w:p>
    <w:p w:rsidR="00010044" w:rsidRPr="00A65786" w:rsidRDefault="00010044" w:rsidP="00F52BCC">
      <w:pPr>
        <w:pStyle w:val="ListParagraph"/>
        <w:spacing w:after="0"/>
        <w:rPr>
          <w:rFonts w:asciiTheme="majorHAnsi" w:hAnsiTheme="majorHAnsi"/>
          <w:b/>
        </w:rPr>
      </w:pPr>
    </w:p>
    <w:p w:rsidR="00010044" w:rsidRPr="00A65786" w:rsidRDefault="00A65786" w:rsidP="00A65786">
      <w:pPr>
        <w:pStyle w:val="ListParagraph"/>
        <w:numPr>
          <w:ilvl w:val="0"/>
          <w:numId w:val="2"/>
        </w:numPr>
        <w:autoSpaceDE w:val="0"/>
        <w:autoSpaceDN w:val="0"/>
        <w:adjustRightInd w:val="0"/>
        <w:ind w:right="720"/>
        <w:rPr>
          <w:rFonts w:asciiTheme="majorHAnsi" w:hAnsiTheme="majorHAnsi"/>
        </w:rPr>
      </w:pPr>
      <w:r w:rsidRPr="00A65786">
        <w:rPr>
          <w:rFonts w:asciiTheme="majorHAnsi" w:hAnsiTheme="majorHAnsi"/>
          <w:b/>
        </w:rPr>
        <w:t xml:space="preserve">Assurance of </w:t>
      </w:r>
      <w:bookmarkStart w:id="0" w:name="_GoBack"/>
      <w:r w:rsidRPr="00A65786">
        <w:rPr>
          <w:rFonts w:asciiTheme="majorHAnsi" w:hAnsiTheme="majorHAnsi"/>
          <w:b/>
        </w:rPr>
        <w:t>Confidential</w:t>
      </w:r>
      <w:bookmarkEnd w:id="0"/>
      <w:r w:rsidRPr="00A65786">
        <w:rPr>
          <w:rFonts w:asciiTheme="majorHAnsi" w:hAnsiTheme="majorHAnsi"/>
          <w:b/>
        </w:rPr>
        <w:t xml:space="preserve">ity Provided to Respondents </w:t>
      </w:r>
      <w:proofErr w:type="gramStart"/>
      <w:r w:rsidR="00010044" w:rsidRPr="00A65786">
        <w:rPr>
          <w:rFonts w:asciiTheme="majorHAnsi" w:hAnsiTheme="majorHAnsi"/>
        </w:rPr>
        <w:t>The</w:t>
      </w:r>
      <w:proofErr w:type="gramEnd"/>
      <w:r w:rsidR="00010044" w:rsidRPr="00A65786">
        <w:rPr>
          <w:rFonts w:asciiTheme="majorHAnsi" w:hAnsiTheme="majorHAnsi"/>
        </w:rPr>
        <w:t xml:space="preserve"> Privacy Act does not apply to this data collection.  Employees of state and local public health agencies will be speaking from their official roles and will not be asked, nor will they provide individually identifiable information.  This data collection is not research involving human subjects.</w:t>
      </w:r>
    </w:p>
    <w:p w:rsidR="00010044" w:rsidRPr="003C31C9" w:rsidRDefault="00010044" w:rsidP="00F52BCC">
      <w:pPr>
        <w:pStyle w:val="ListParagraph"/>
        <w:spacing w:after="0"/>
        <w:rPr>
          <w:rFonts w:asciiTheme="majorHAnsi" w:hAnsiTheme="majorHAnsi"/>
        </w:rPr>
      </w:pPr>
    </w:p>
    <w:p w:rsidR="00A65786" w:rsidRPr="00A65786" w:rsidRDefault="00A65786" w:rsidP="00A65786">
      <w:pPr>
        <w:pStyle w:val="ListParagraph"/>
        <w:numPr>
          <w:ilvl w:val="0"/>
          <w:numId w:val="2"/>
        </w:numPr>
        <w:rPr>
          <w:rFonts w:asciiTheme="majorHAnsi" w:hAnsiTheme="majorHAnsi"/>
          <w:b/>
        </w:rPr>
      </w:pPr>
      <w:r w:rsidRPr="00A65786">
        <w:rPr>
          <w:rFonts w:asciiTheme="majorHAnsi" w:hAnsiTheme="majorHAnsi"/>
          <w:b/>
        </w:rPr>
        <w:t>Justification for Sensitive Questions</w:t>
      </w:r>
    </w:p>
    <w:p w:rsidR="00010044" w:rsidRPr="00A65786" w:rsidRDefault="00010044" w:rsidP="00A65786">
      <w:pPr>
        <w:pStyle w:val="ListParagraph"/>
        <w:spacing w:after="0"/>
        <w:rPr>
          <w:rFonts w:asciiTheme="majorHAnsi" w:hAnsiTheme="majorHAnsi"/>
        </w:rPr>
      </w:pPr>
      <w:r>
        <w:rPr>
          <w:rFonts w:asciiTheme="majorHAnsi" w:hAnsiTheme="majorHAnsi"/>
        </w:rPr>
        <w:t>No information will be collected that are of personal or sensitive nature.</w:t>
      </w:r>
    </w:p>
    <w:p w:rsidR="00010044" w:rsidRDefault="00010044" w:rsidP="002F2069">
      <w:pPr>
        <w:pStyle w:val="ListParagraph"/>
        <w:spacing w:after="0"/>
        <w:rPr>
          <w:rFonts w:asciiTheme="majorHAnsi" w:hAnsiTheme="majorHAnsi"/>
        </w:rPr>
      </w:pPr>
    </w:p>
    <w:p w:rsidR="00010044" w:rsidRPr="000C06BE" w:rsidRDefault="00010044" w:rsidP="000C06BE">
      <w:pPr>
        <w:pStyle w:val="ListParagraph"/>
        <w:numPr>
          <w:ilvl w:val="0"/>
          <w:numId w:val="2"/>
        </w:numPr>
        <w:spacing w:after="0"/>
        <w:rPr>
          <w:rFonts w:asciiTheme="majorHAnsi" w:hAnsiTheme="majorHAnsi"/>
          <w:b/>
        </w:rPr>
      </w:pPr>
      <w:r>
        <w:rPr>
          <w:rFonts w:asciiTheme="majorHAnsi" w:hAnsiTheme="majorHAnsi"/>
          <w:b/>
        </w:rPr>
        <w:t>Burden of Information Collection</w:t>
      </w:r>
    </w:p>
    <w:p w:rsidR="00010044" w:rsidRDefault="00010044" w:rsidP="00B64BFA">
      <w:pPr>
        <w:pStyle w:val="ListParagraph"/>
        <w:autoSpaceDE w:val="0"/>
        <w:autoSpaceDN w:val="0"/>
        <w:adjustRightInd w:val="0"/>
        <w:rPr>
          <w:rFonts w:asciiTheme="majorHAnsi" w:hAnsiTheme="majorHAnsi"/>
          <w:color w:val="000000"/>
        </w:rPr>
      </w:pPr>
      <w:r>
        <w:rPr>
          <w:rFonts w:asciiTheme="majorHAnsi" w:hAnsiTheme="majorHAnsi"/>
          <w:color w:val="000000"/>
        </w:rPr>
        <w:t xml:space="preserve">The estimate for burden hours is based on a pilot test of the data collection instrument by </w:t>
      </w:r>
      <w:r>
        <w:rPr>
          <w:rFonts w:asciiTheme="majorHAnsi" w:hAnsiTheme="majorHAnsi"/>
        </w:rPr>
        <w:t>5</w:t>
      </w:r>
      <w:r w:rsidRPr="00FE6A5C">
        <w:rPr>
          <w:rFonts w:asciiTheme="majorHAnsi" w:hAnsiTheme="majorHAnsi"/>
        </w:rPr>
        <w:t xml:space="preserve"> public health professionals</w:t>
      </w:r>
      <w:r w:rsidRPr="00CF5ABD">
        <w:rPr>
          <w:rFonts w:asciiTheme="majorHAnsi" w:hAnsiTheme="majorHAnsi"/>
        </w:rPr>
        <w:t>.</w:t>
      </w:r>
      <w:r>
        <w:rPr>
          <w:rFonts w:asciiTheme="majorHAnsi" w:hAnsiTheme="majorHAnsi"/>
        </w:rPr>
        <w:t xml:space="preserve"> In the pilot test, the average time to complete the survey including time for reviewing the instructions and instrument (available from the landing page for the online version), gathering needed information and completing the data collection, was approximately 14 minutes. The range of completion times was 10-20 minutes.  Pilot testers were asked to look up data that might be needed to complete all questions and to include this time in their self-report of time needed to complete the data collection.  However, to ensure that our burden estimate does not under-estimate the amount of time that will be required for completion when the data collection is rolled out to the full number of respondents, we have used the maximum pilot testing time of 20  minutes as our estimate.</w:t>
      </w:r>
      <w:r w:rsidDel="00F7493E">
        <w:rPr>
          <w:rFonts w:asciiTheme="majorHAnsi" w:hAnsiTheme="majorHAnsi"/>
        </w:rPr>
        <w:t xml:space="preserve"> </w:t>
      </w:r>
    </w:p>
    <w:p w:rsidR="00010044" w:rsidRDefault="00010044" w:rsidP="00B64BFA">
      <w:pPr>
        <w:pStyle w:val="ListParagraph"/>
        <w:autoSpaceDE w:val="0"/>
        <w:autoSpaceDN w:val="0"/>
        <w:adjustRightInd w:val="0"/>
        <w:rPr>
          <w:rFonts w:asciiTheme="majorHAnsi" w:hAnsiTheme="majorHAnsi"/>
          <w:color w:val="000000"/>
        </w:rPr>
      </w:pPr>
      <w:r>
        <w:rPr>
          <w:rFonts w:asciiTheme="majorHAnsi" w:hAnsiTheme="majorHAnsi"/>
          <w:color w:val="000000"/>
        </w:rPr>
        <w:t xml:space="preserve">Estimates for the average hourly wage for respondents are based on the </w:t>
      </w:r>
      <w:r w:rsidRPr="00A849B3">
        <w:rPr>
          <w:rFonts w:asciiTheme="majorHAnsi" w:hAnsiTheme="majorHAnsi"/>
          <w:color w:val="000000"/>
        </w:rPr>
        <w:t>Department of Labor (DOL) National Compensation Survey estimate for management occupations – medical and health services managers in state government</w:t>
      </w:r>
      <w:r>
        <w:rPr>
          <w:rFonts w:asciiTheme="majorHAnsi" w:hAnsiTheme="majorHAnsi"/>
          <w:color w:val="000000"/>
        </w:rPr>
        <w:t xml:space="preserve"> (</w:t>
      </w:r>
      <w:hyperlink r:id="rId8" w:history="1">
        <w:r w:rsidRPr="002A1948">
          <w:rPr>
            <w:rStyle w:val="Hyperlink"/>
            <w:rFonts w:asciiTheme="majorHAnsi" w:hAnsiTheme="majorHAnsi"/>
          </w:rPr>
          <w:t>http://www.bls.gov/ncs/ocs/sp/nctb1349.pdf</w:t>
        </w:r>
      </w:hyperlink>
      <w:r>
        <w:rPr>
          <w:rFonts w:asciiTheme="majorHAnsi" w:hAnsiTheme="majorHAnsi"/>
          <w:color w:val="000000"/>
        </w:rPr>
        <w:t>). Based on DOL data, a</w:t>
      </w:r>
      <w:r w:rsidRPr="002A1948">
        <w:rPr>
          <w:rFonts w:asciiTheme="majorHAnsi" w:hAnsiTheme="majorHAnsi"/>
          <w:color w:val="000000"/>
        </w:rPr>
        <w:t>n average hourly wage of $</w:t>
      </w:r>
      <w:r>
        <w:rPr>
          <w:rFonts w:asciiTheme="majorHAnsi" w:hAnsiTheme="majorHAnsi"/>
          <w:color w:val="000000"/>
        </w:rPr>
        <w:t>57.11</w:t>
      </w:r>
      <w:r w:rsidRPr="002A1948">
        <w:rPr>
          <w:rFonts w:asciiTheme="majorHAnsi" w:hAnsiTheme="majorHAnsi"/>
          <w:color w:val="000000"/>
        </w:rPr>
        <w:t xml:space="preserve"> is estimated for all </w:t>
      </w:r>
      <w:r>
        <w:rPr>
          <w:rFonts w:asciiTheme="majorHAnsi" w:hAnsiTheme="majorHAnsi"/>
          <w:color w:val="000000"/>
        </w:rPr>
        <w:t>366</w:t>
      </w:r>
      <w:r w:rsidRPr="002A1948">
        <w:rPr>
          <w:rFonts w:asciiTheme="majorHAnsi" w:hAnsiTheme="majorHAnsi"/>
          <w:color w:val="000000"/>
        </w:rPr>
        <w:t xml:space="preserve"> respondents. </w:t>
      </w:r>
      <w:r>
        <w:rPr>
          <w:rFonts w:asciiTheme="majorHAnsi" w:hAnsiTheme="majorHAnsi"/>
          <w:color w:val="000000"/>
        </w:rPr>
        <w:t>Table A-12 shows estimated burden and cost information.</w:t>
      </w:r>
    </w:p>
    <w:p w:rsidR="00010044" w:rsidRPr="002A1948" w:rsidRDefault="00010044" w:rsidP="00B64BFA">
      <w:pPr>
        <w:pStyle w:val="ListParagraph"/>
        <w:autoSpaceDE w:val="0"/>
        <w:autoSpaceDN w:val="0"/>
        <w:adjustRightInd w:val="0"/>
        <w:rPr>
          <w:rFonts w:asciiTheme="majorHAnsi" w:hAnsiTheme="majorHAnsi"/>
          <w:color w:val="000000"/>
        </w:rPr>
      </w:pPr>
    </w:p>
    <w:p w:rsidR="00A65786" w:rsidRDefault="00A65786" w:rsidP="005A59E5">
      <w:pPr>
        <w:pStyle w:val="ListParagraph"/>
        <w:autoSpaceDE w:val="0"/>
        <w:autoSpaceDN w:val="0"/>
        <w:adjustRightInd w:val="0"/>
        <w:ind w:left="0" w:right="720"/>
        <w:rPr>
          <w:rFonts w:asciiTheme="majorHAnsi" w:hAnsiTheme="majorHAnsi"/>
          <w:b/>
          <w:u w:val="single"/>
        </w:rPr>
      </w:pPr>
    </w:p>
    <w:p w:rsidR="00A65786" w:rsidRDefault="00A65786" w:rsidP="005A59E5">
      <w:pPr>
        <w:pStyle w:val="ListParagraph"/>
        <w:autoSpaceDE w:val="0"/>
        <w:autoSpaceDN w:val="0"/>
        <w:adjustRightInd w:val="0"/>
        <w:ind w:left="0" w:right="720"/>
        <w:rPr>
          <w:rFonts w:asciiTheme="majorHAnsi" w:hAnsiTheme="majorHAnsi"/>
          <w:b/>
          <w:u w:val="single"/>
        </w:rPr>
      </w:pPr>
    </w:p>
    <w:p w:rsidR="000C06BE" w:rsidRDefault="000C06BE" w:rsidP="005A59E5">
      <w:pPr>
        <w:pStyle w:val="ListParagraph"/>
        <w:autoSpaceDE w:val="0"/>
        <w:autoSpaceDN w:val="0"/>
        <w:adjustRightInd w:val="0"/>
        <w:ind w:left="0" w:right="720"/>
        <w:rPr>
          <w:rFonts w:asciiTheme="majorHAnsi" w:hAnsiTheme="majorHAnsi"/>
          <w:b/>
          <w:u w:val="single"/>
        </w:rPr>
      </w:pPr>
    </w:p>
    <w:p w:rsidR="00A65786" w:rsidRDefault="00A65786" w:rsidP="005A59E5">
      <w:pPr>
        <w:pStyle w:val="ListParagraph"/>
        <w:autoSpaceDE w:val="0"/>
        <w:autoSpaceDN w:val="0"/>
        <w:adjustRightInd w:val="0"/>
        <w:ind w:left="0" w:right="720"/>
        <w:rPr>
          <w:rFonts w:asciiTheme="majorHAnsi" w:hAnsiTheme="majorHAnsi"/>
          <w:b/>
          <w:u w:val="single"/>
        </w:rPr>
      </w:pPr>
    </w:p>
    <w:p w:rsidR="00A65786" w:rsidRDefault="00A65786" w:rsidP="005A59E5">
      <w:pPr>
        <w:pStyle w:val="ListParagraph"/>
        <w:autoSpaceDE w:val="0"/>
        <w:autoSpaceDN w:val="0"/>
        <w:adjustRightInd w:val="0"/>
        <w:ind w:left="0" w:right="720"/>
        <w:rPr>
          <w:rFonts w:asciiTheme="majorHAnsi" w:hAnsiTheme="majorHAnsi"/>
          <w:b/>
          <w:u w:val="single"/>
        </w:rPr>
      </w:pPr>
    </w:p>
    <w:p w:rsidR="00010044" w:rsidRDefault="00010044" w:rsidP="005A59E5">
      <w:pPr>
        <w:pStyle w:val="ListParagraph"/>
        <w:autoSpaceDE w:val="0"/>
        <w:autoSpaceDN w:val="0"/>
        <w:adjustRightInd w:val="0"/>
        <w:ind w:left="0" w:right="720"/>
        <w:rPr>
          <w:rFonts w:asciiTheme="majorHAnsi" w:hAnsiTheme="majorHAnsi"/>
        </w:rPr>
      </w:pPr>
      <w:r w:rsidRPr="008E0683">
        <w:rPr>
          <w:rFonts w:asciiTheme="majorHAnsi" w:hAnsiTheme="majorHAnsi"/>
          <w:b/>
          <w:u w:val="single"/>
        </w:rPr>
        <w:lastRenderedPageBreak/>
        <w:t>Table A-12</w:t>
      </w:r>
      <w:r w:rsidRPr="008E0683">
        <w:rPr>
          <w:rFonts w:asciiTheme="majorHAnsi" w:hAnsiTheme="majorHAnsi"/>
          <w:b/>
        </w:rPr>
        <w:t>:</w:t>
      </w:r>
      <w:r w:rsidRPr="003C31C9">
        <w:rPr>
          <w:rFonts w:asciiTheme="majorHAnsi" w:hAnsiTheme="majorHAnsi"/>
        </w:rPr>
        <w:t xml:space="preserve"> </w:t>
      </w:r>
      <w:r>
        <w:rPr>
          <w:rFonts w:asciiTheme="majorHAnsi" w:hAnsiTheme="majorHAnsi"/>
        </w:rPr>
        <w:t>Estimated</w:t>
      </w:r>
      <w:r w:rsidRPr="003C31C9">
        <w:rPr>
          <w:rFonts w:asciiTheme="majorHAnsi" w:hAnsiTheme="majorHAnsi"/>
        </w:rPr>
        <w:t xml:space="preserve"> </w:t>
      </w:r>
      <w:r>
        <w:rPr>
          <w:rFonts w:asciiTheme="majorHAnsi" w:hAnsiTheme="majorHAnsi"/>
        </w:rPr>
        <w:t>A</w:t>
      </w:r>
      <w:r w:rsidRPr="003C31C9">
        <w:rPr>
          <w:rFonts w:asciiTheme="majorHAnsi" w:hAnsiTheme="majorHAnsi"/>
        </w:rPr>
        <w:t xml:space="preserve">nnualized </w:t>
      </w:r>
      <w:r>
        <w:rPr>
          <w:rFonts w:asciiTheme="majorHAnsi" w:hAnsiTheme="majorHAnsi"/>
        </w:rPr>
        <w:t>Burden Hours and Costs to Respondents</w:t>
      </w:r>
      <w:r w:rsidRPr="003C31C9">
        <w:rPr>
          <w:rFonts w:asciiTheme="majorHAnsi" w:hAnsiTheme="majorHAnsi"/>
        </w:rPr>
        <w:t xml:space="preserve"> </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440"/>
        <w:gridCol w:w="1800"/>
        <w:gridCol w:w="1260"/>
        <w:gridCol w:w="1080"/>
        <w:gridCol w:w="990"/>
        <w:gridCol w:w="1368"/>
      </w:tblGrid>
      <w:tr w:rsidR="00010044" w:rsidRPr="006F6856" w:rsidTr="00C0376C">
        <w:trPr>
          <w:trHeight w:val="1493"/>
        </w:trPr>
        <w:tc>
          <w:tcPr>
            <w:tcW w:w="1620" w:type="dxa"/>
            <w:tcBorders>
              <w:bottom w:val="single" w:sz="12" w:space="0" w:color="000000"/>
            </w:tcBorders>
            <w:shd w:val="clear" w:color="auto" w:fill="D9D9D9" w:themeFill="background1" w:themeFillShade="D9"/>
            <w:vAlign w:val="center"/>
          </w:tcPr>
          <w:p w:rsidR="00010044" w:rsidRPr="006F6856" w:rsidRDefault="00010044" w:rsidP="00104A1B">
            <w:pPr>
              <w:jc w:val="center"/>
              <w:rPr>
                <w:rFonts w:asciiTheme="majorHAnsi" w:hAnsiTheme="majorHAnsi"/>
                <w:b/>
                <w:sz w:val="20"/>
              </w:rPr>
            </w:pPr>
            <w:r w:rsidRPr="006F6856">
              <w:rPr>
                <w:rFonts w:asciiTheme="majorHAnsi" w:hAnsiTheme="majorHAnsi"/>
                <w:b/>
                <w:sz w:val="20"/>
              </w:rPr>
              <w:t>Type of Respondent</w:t>
            </w:r>
          </w:p>
        </w:tc>
        <w:tc>
          <w:tcPr>
            <w:tcW w:w="1440" w:type="dxa"/>
            <w:tcBorders>
              <w:bottom w:val="single" w:sz="12" w:space="0" w:color="000000"/>
            </w:tcBorders>
            <w:shd w:val="clear" w:color="auto" w:fill="D9D9D9" w:themeFill="background1" w:themeFillShade="D9"/>
            <w:vAlign w:val="center"/>
          </w:tcPr>
          <w:p w:rsidR="00010044" w:rsidRPr="006F6856" w:rsidRDefault="00010044" w:rsidP="00104A1B">
            <w:pPr>
              <w:jc w:val="center"/>
              <w:rPr>
                <w:rFonts w:asciiTheme="majorHAnsi" w:hAnsiTheme="majorHAnsi"/>
                <w:b/>
                <w:sz w:val="20"/>
              </w:rPr>
            </w:pPr>
            <w:r w:rsidRPr="006F6856">
              <w:rPr>
                <w:rFonts w:asciiTheme="majorHAnsi" w:hAnsiTheme="majorHAnsi"/>
                <w:b/>
                <w:sz w:val="20"/>
              </w:rPr>
              <w:t>No. of Respondents</w:t>
            </w:r>
          </w:p>
        </w:tc>
        <w:tc>
          <w:tcPr>
            <w:tcW w:w="1800" w:type="dxa"/>
            <w:tcBorders>
              <w:bottom w:val="single" w:sz="12" w:space="0" w:color="000000"/>
            </w:tcBorders>
            <w:shd w:val="clear" w:color="auto" w:fill="D9D9D9" w:themeFill="background1" w:themeFillShade="D9"/>
            <w:vAlign w:val="center"/>
          </w:tcPr>
          <w:p w:rsidR="00010044" w:rsidRPr="006F6856" w:rsidRDefault="00010044" w:rsidP="00104A1B">
            <w:pPr>
              <w:jc w:val="center"/>
              <w:rPr>
                <w:rFonts w:asciiTheme="majorHAnsi" w:hAnsiTheme="majorHAnsi"/>
                <w:b/>
                <w:sz w:val="20"/>
              </w:rPr>
            </w:pPr>
            <w:r w:rsidRPr="006F6856">
              <w:rPr>
                <w:rFonts w:asciiTheme="majorHAnsi" w:hAnsiTheme="majorHAnsi"/>
                <w:b/>
                <w:sz w:val="20"/>
              </w:rPr>
              <w:t xml:space="preserve">No. of </w:t>
            </w:r>
            <w:r>
              <w:rPr>
                <w:rFonts w:asciiTheme="majorHAnsi" w:hAnsiTheme="majorHAnsi"/>
                <w:b/>
                <w:sz w:val="20"/>
              </w:rPr>
              <w:t xml:space="preserve">Responses </w:t>
            </w:r>
            <w:r w:rsidRPr="006F6856">
              <w:rPr>
                <w:rFonts w:asciiTheme="majorHAnsi" w:hAnsiTheme="majorHAnsi"/>
                <w:b/>
                <w:sz w:val="20"/>
              </w:rPr>
              <w:t>per Respondent</w:t>
            </w:r>
          </w:p>
        </w:tc>
        <w:tc>
          <w:tcPr>
            <w:tcW w:w="1260" w:type="dxa"/>
            <w:tcBorders>
              <w:bottom w:val="single" w:sz="12" w:space="0" w:color="000000"/>
            </w:tcBorders>
            <w:shd w:val="clear" w:color="auto" w:fill="D9D9D9" w:themeFill="background1" w:themeFillShade="D9"/>
            <w:vAlign w:val="center"/>
          </w:tcPr>
          <w:p w:rsidR="00010044" w:rsidRPr="00817941" w:rsidRDefault="00010044" w:rsidP="00104A1B">
            <w:pPr>
              <w:jc w:val="center"/>
              <w:rPr>
                <w:rFonts w:asciiTheme="majorHAnsi" w:hAnsiTheme="majorHAnsi"/>
                <w:b/>
                <w:sz w:val="20"/>
              </w:rPr>
            </w:pPr>
            <w:r w:rsidRPr="00817941">
              <w:rPr>
                <w:rFonts w:asciiTheme="majorHAnsi" w:hAnsiTheme="majorHAnsi"/>
                <w:b/>
                <w:sz w:val="20"/>
              </w:rPr>
              <w:t>Average Burden per Response (in hours)</w:t>
            </w:r>
          </w:p>
        </w:tc>
        <w:tc>
          <w:tcPr>
            <w:tcW w:w="1080" w:type="dxa"/>
            <w:tcBorders>
              <w:bottom w:val="single" w:sz="12" w:space="0" w:color="000000"/>
            </w:tcBorders>
            <w:shd w:val="clear" w:color="auto" w:fill="D9D9D9" w:themeFill="background1" w:themeFillShade="D9"/>
            <w:vAlign w:val="center"/>
          </w:tcPr>
          <w:p w:rsidR="00010044" w:rsidRPr="00817941" w:rsidRDefault="00010044" w:rsidP="00104A1B">
            <w:pPr>
              <w:jc w:val="center"/>
              <w:rPr>
                <w:rFonts w:asciiTheme="majorHAnsi" w:hAnsiTheme="majorHAnsi"/>
                <w:b/>
                <w:sz w:val="20"/>
              </w:rPr>
            </w:pPr>
            <w:r w:rsidRPr="00817941">
              <w:rPr>
                <w:rFonts w:asciiTheme="majorHAnsi" w:hAnsiTheme="majorHAnsi"/>
                <w:b/>
                <w:sz w:val="20"/>
              </w:rPr>
              <w:t>Total Burden Hours</w:t>
            </w:r>
          </w:p>
        </w:tc>
        <w:tc>
          <w:tcPr>
            <w:tcW w:w="990" w:type="dxa"/>
            <w:tcBorders>
              <w:bottom w:val="single" w:sz="12" w:space="0" w:color="000000"/>
            </w:tcBorders>
            <w:shd w:val="clear" w:color="auto" w:fill="D9D9D9" w:themeFill="background1" w:themeFillShade="D9"/>
            <w:vAlign w:val="center"/>
          </w:tcPr>
          <w:p w:rsidR="00010044" w:rsidRPr="00817941" w:rsidRDefault="00010044" w:rsidP="000A1F30">
            <w:pPr>
              <w:jc w:val="center"/>
              <w:rPr>
                <w:rFonts w:asciiTheme="majorHAnsi" w:hAnsiTheme="majorHAnsi"/>
                <w:b/>
                <w:sz w:val="20"/>
              </w:rPr>
            </w:pPr>
            <w:r w:rsidRPr="00817941">
              <w:rPr>
                <w:rFonts w:asciiTheme="majorHAnsi" w:hAnsiTheme="majorHAnsi"/>
                <w:b/>
                <w:sz w:val="20"/>
              </w:rPr>
              <w:t>Hourly Wage Rate</w:t>
            </w:r>
          </w:p>
        </w:tc>
        <w:tc>
          <w:tcPr>
            <w:tcW w:w="1368" w:type="dxa"/>
            <w:tcBorders>
              <w:bottom w:val="single" w:sz="12" w:space="0" w:color="000000"/>
            </w:tcBorders>
            <w:shd w:val="clear" w:color="auto" w:fill="D9D9D9" w:themeFill="background1" w:themeFillShade="D9"/>
            <w:vAlign w:val="center"/>
          </w:tcPr>
          <w:p w:rsidR="00010044" w:rsidRPr="00817941" w:rsidRDefault="00010044" w:rsidP="000A1F30">
            <w:pPr>
              <w:jc w:val="center"/>
              <w:rPr>
                <w:rFonts w:asciiTheme="majorHAnsi" w:hAnsiTheme="majorHAnsi"/>
                <w:b/>
                <w:sz w:val="20"/>
              </w:rPr>
            </w:pPr>
            <w:r w:rsidRPr="00817941">
              <w:rPr>
                <w:rFonts w:asciiTheme="majorHAnsi" w:hAnsiTheme="majorHAnsi"/>
                <w:b/>
                <w:sz w:val="20"/>
              </w:rPr>
              <w:t>Total Respondent Costs</w:t>
            </w:r>
          </w:p>
        </w:tc>
      </w:tr>
      <w:tr w:rsidR="00010044" w:rsidRPr="006F6856" w:rsidTr="00C0376C">
        <w:tc>
          <w:tcPr>
            <w:tcW w:w="1620" w:type="dxa"/>
            <w:tcBorders>
              <w:top w:val="single" w:sz="12" w:space="0" w:color="000000"/>
            </w:tcBorders>
            <w:vAlign w:val="center"/>
          </w:tcPr>
          <w:p w:rsidR="00010044" w:rsidRPr="006F6856" w:rsidRDefault="00010044" w:rsidP="000130B4">
            <w:pPr>
              <w:rPr>
                <w:rFonts w:asciiTheme="majorHAnsi" w:hAnsiTheme="majorHAnsi"/>
                <w:sz w:val="20"/>
              </w:rPr>
            </w:pPr>
            <w:r>
              <w:rPr>
                <w:rFonts w:asciiTheme="majorHAnsi" w:hAnsiTheme="majorHAnsi"/>
                <w:sz w:val="20"/>
              </w:rPr>
              <w:t>Medical and Health Services Managers</w:t>
            </w:r>
          </w:p>
        </w:tc>
        <w:tc>
          <w:tcPr>
            <w:tcW w:w="1440" w:type="dxa"/>
            <w:tcBorders>
              <w:top w:val="single" w:sz="12" w:space="0" w:color="000000"/>
            </w:tcBorders>
            <w:vAlign w:val="center"/>
          </w:tcPr>
          <w:p w:rsidR="00010044" w:rsidRPr="006F6856" w:rsidRDefault="00010044" w:rsidP="00A913A8">
            <w:pPr>
              <w:jc w:val="center"/>
              <w:rPr>
                <w:rFonts w:asciiTheme="majorHAnsi" w:hAnsiTheme="majorHAnsi"/>
                <w:sz w:val="20"/>
              </w:rPr>
            </w:pPr>
            <w:r>
              <w:rPr>
                <w:rFonts w:asciiTheme="majorHAnsi" w:hAnsiTheme="majorHAnsi"/>
                <w:sz w:val="20"/>
              </w:rPr>
              <w:t>366</w:t>
            </w:r>
          </w:p>
        </w:tc>
        <w:tc>
          <w:tcPr>
            <w:tcW w:w="1800" w:type="dxa"/>
            <w:tcBorders>
              <w:top w:val="single" w:sz="12" w:space="0" w:color="000000"/>
            </w:tcBorders>
            <w:vAlign w:val="center"/>
          </w:tcPr>
          <w:p w:rsidR="00010044" w:rsidRPr="006F6856" w:rsidRDefault="00010044" w:rsidP="000130B4">
            <w:pPr>
              <w:jc w:val="center"/>
              <w:rPr>
                <w:rFonts w:asciiTheme="majorHAnsi" w:hAnsiTheme="majorHAnsi"/>
                <w:sz w:val="20"/>
              </w:rPr>
            </w:pPr>
            <w:r>
              <w:rPr>
                <w:rFonts w:asciiTheme="majorHAnsi" w:hAnsiTheme="majorHAnsi"/>
                <w:sz w:val="20"/>
              </w:rPr>
              <w:t xml:space="preserve">1 </w:t>
            </w:r>
          </w:p>
        </w:tc>
        <w:tc>
          <w:tcPr>
            <w:tcW w:w="1260" w:type="dxa"/>
            <w:tcBorders>
              <w:top w:val="single" w:sz="12" w:space="0" w:color="000000"/>
            </w:tcBorders>
            <w:vAlign w:val="center"/>
          </w:tcPr>
          <w:p w:rsidR="00010044" w:rsidRPr="00817941" w:rsidRDefault="00010044" w:rsidP="00D73E10">
            <w:pPr>
              <w:jc w:val="center"/>
              <w:rPr>
                <w:rFonts w:asciiTheme="majorHAnsi" w:hAnsiTheme="majorHAnsi"/>
                <w:sz w:val="20"/>
              </w:rPr>
            </w:pPr>
            <w:r>
              <w:rPr>
                <w:rFonts w:asciiTheme="majorHAnsi" w:hAnsiTheme="majorHAnsi"/>
                <w:sz w:val="20"/>
              </w:rPr>
              <w:t xml:space="preserve">20/60 </w:t>
            </w:r>
          </w:p>
        </w:tc>
        <w:tc>
          <w:tcPr>
            <w:tcW w:w="1080" w:type="dxa"/>
            <w:tcBorders>
              <w:top w:val="single" w:sz="12" w:space="0" w:color="000000"/>
            </w:tcBorders>
            <w:vAlign w:val="center"/>
          </w:tcPr>
          <w:p w:rsidR="00010044" w:rsidRPr="00817941" w:rsidRDefault="00010044" w:rsidP="00D73E10">
            <w:pPr>
              <w:jc w:val="center"/>
              <w:rPr>
                <w:rFonts w:asciiTheme="majorHAnsi" w:hAnsiTheme="majorHAnsi"/>
                <w:sz w:val="20"/>
              </w:rPr>
            </w:pPr>
            <w:r>
              <w:rPr>
                <w:rFonts w:asciiTheme="majorHAnsi" w:hAnsiTheme="majorHAnsi"/>
                <w:sz w:val="20"/>
              </w:rPr>
              <w:t xml:space="preserve">122 </w:t>
            </w:r>
          </w:p>
        </w:tc>
        <w:tc>
          <w:tcPr>
            <w:tcW w:w="990" w:type="dxa"/>
            <w:tcBorders>
              <w:top w:val="single" w:sz="12" w:space="0" w:color="000000"/>
            </w:tcBorders>
            <w:vAlign w:val="center"/>
          </w:tcPr>
          <w:p w:rsidR="00010044" w:rsidRPr="00817941" w:rsidRDefault="00010044" w:rsidP="00A913A8">
            <w:pPr>
              <w:jc w:val="center"/>
              <w:rPr>
                <w:rFonts w:asciiTheme="majorHAnsi" w:hAnsiTheme="majorHAnsi"/>
                <w:sz w:val="20"/>
              </w:rPr>
            </w:pPr>
            <w:r>
              <w:rPr>
                <w:rFonts w:asciiTheme="majorHAnsi" w:hAnsiTheme="majorHAnsi"/>
                <w:sz w:val="20"/>
              </w:rPr>
              <w:t xml:space="preserve">$57.11 </w:t>
            </w:r>
          </w:p>
        </w:tc>
        <w:tc>
          <w:tcPr>
            <w:tcW w:w="1368" w:type="dxa"/>
            <w:tcBorders>
              <w:top w:val="single" w:sz="12" w:space="0" w:color="000000"/>
            </w:tcBorders>
            <w:vAlign w:val="center"/>
          </w:tcPr>
          <w:p w:rsidR="00010044" w:rsidRPr="00817941" w:rsidRDefault="00010044">
            <w:pPr>
              <w:jc w:val="right"/>
              <w:rPr>
                <w:rFonts w:asciiTheme="majorHAnsi" w:hAnsiTheme="majorHAnsi"/>
                <w:sz w:val="20"/>
              </w:rPr>
            </w:pPr>
            <w:r>
              <w:rPr>
                <w:rFonts w:asciiTheme="majorHAnsi" w:hAnsiTheme="majorHAnsi"/>
                <w:sz w:val="20"/>
              </w:rPr>
              <w:t>$6,967</w:t>
            </w:r>
            <w:r w:rsidR="000C06BE">
              <w:rPr>
                <w:rFonts w:asciiTheme="majorHAnsi" w:hAnsiTheme="majorHAnsi"/>
                <w:sz w:val="20"/>
              </w:rPr>
              <w:t>.42</w:t>
            </w:r>
            <w:r>
              <w:rPr>
                <w:rFonts w:asciiTheme="majorHAnsi" w:hAnsiTheme="majorHAnsi"/>
                <w:sz w:val="20"/>
              </w:rPr>
              <w:t xml:space="preserve"> </w:t>
            </w:r>
          </w:p>
        </w:tc>
      </w:tr>
      <w:tr w:rsidR="00010044" w:rsidRPr="006F6856" w:rsidTr="00C0376C">
        <w:trPr>
          <w:trHeight w:hRule="exact" w:val="432"/>
        </w:trPr>
        <w:tc>
          <w:tcPr>
            <w:tcW w:w="1620" w:type="dxa"/>
            <w:vAlign w:val="center"/>
          </w:tcPr>
          <w:p w:rsidR="00010044" w:rsidRPr="00C0376C" w:rsidRDefault="00010044" w:rsidP="000130B4">
            <w:pPr>
              <w:spacing w:after="0"/>
              <w:jc w:val="right"/>
              <w:rPr>
                <w:rFonts w:asciiTheme="majorHAnsi" w:hAnsiTheme="majorHAnsi"/>
                <w:b/>
                <w:sz w:val="20"/>
              </w:rPr>
            </w:pPr>
            <w:r>
              <w:rPr>
                <w:rFonts w:asciiTheme="majorHAnsi" w:hAnsiTheme="majorHAnsi"/>
                <w:b/>
                <w:sz w:val="20"/>
              </w:rPr>
              <w:t>TOTALS</w:t>
            </w:r>
          </w:p>
        </w:tc>
        <w:tc>
          <w:tcPr>
            <w:tcW w:w="1440" w:type="dxa"/>
            <w:vAlign w:val="center"/>
          </w:tcPr>
          <w:p w:rsidR="00010044" w:rsidRPr="00817941" w:rsidRDefault="00010044" w:rsidP="00C0376C">
            <w:pPr>
              <w:spacing w:after="0"/>
              <w:jc w:val="center"/>
              <w:rPr>
                <w:rFonts w:asciiTheme="majorHAnsi" w:hAnsiTheme="majorHAnsi"/>
                <w:b/>
                <w:sz w:val="20"/>
              </w:rPr>
            </w:pPr>
            <w:r>
              <w:rPr>
                <w:rFonts w:asciiTheme="majorHAnsi" w:hAnsiTheme="majorHAnsi"/>
                <w:b/>
                <w:sz w:val="20"/>
              </w:rPr>
              <w:t xml:space="preserve"> </w:t>
            </w:r>
          </w:p>
        </w:tc>
        <w:tc>
          <w:tcPr>
            <w:tcW w:w="1800" w:type="dxa"/>
            <w:shd w:val="clear" w:color="auto" w:fill="auto"/>
            <w:vAlign w:val="center"/>
          </w:tcPr>
          <w:p w:rsidR="00010044" w:rsidRPr="00817941" w:rsidRDefault="00010044" w:rsidP="00C0376C">
            <w:pPr>
              <w:spacing w:after="0"/>
              <w:jc w:val="center"/>
              <w:rPr>
                <w:rFonts w:asciiTheme="majorHAnsi" w:hAnsiTheme="majorHAnsi"/>
                <w:b/>
                <w:sz w:val="20"/>
              </w:rPr>
            </w:pPr>
            <w:r>
              <w:rPr>
                <w:rFonts w:asciiTheme="majorHAnsi" w:hAnsiTheme="majorHAnsi"/>
                <w:b/>
                <w:sz w:val="20"/>
              </w:rPr>
              <w:t xml:space="preserve"> </w:t>
            </w:r>
          </w:p>
        </w:tc>
        <w:tc>
          <w:tcPr>
            <w:tcW w:w="1260" w:type="dxa"/>
            <w:shd w:val="clear" w:color="auto" w:fill="D9D9D9" w:themeFill="background1" w:themeFillShade="D9"/>
            <w:vAlign w:val="center"/>
          </w:tcPr>
          <w:p w:rsidR="00010044" w:rsidRPr="00817941" w:rsidRDefault="00010044" w:rsidP="00C0376C">
            <w:pPr>
              <w:spacing w:after="0"/>
              <w:jc w:val="center"/>
              <w:rPr>
                <w:rFonts w:asciiTheme="majorHAnsi" w:hAnsiTheme="majorHAnsi"/>
                <w:b/>
                <w:sz w:val="20"/>
              </w:rPr>
            </w:pPr>
          </w:p>
        </w:tc>
        <w:tc>
          <w:tcPr>
            <w:tcW w:w="1080" w:type="dxa"/>
            <w:vAlign w:val="center"/>
          </w:tcPr>
          <w:p w:rsidR="00010044" w:rsidRPr="00817941" w:rsidRDefault="00010044" w:rsidP="00C0376C">
            <w:pPr>
              <w:spacing w:after="0"/>
              <w:jc w:val="center"/>
              <w:rPr>
                <w:rFonts w:asciiTheme="majorHAnsi" w:hAnsiTheme="majorHAnsi"/>
                <w:b/>
                <w:sz w:val="20"/>
              </w:rPr>
            </w:pPr>
            <w:r>
              <w:rPr>
                <w:rFonts w:asciiTheme="majorHAnsi" w:hAnsiTheme="majorHAnsi"/>
                <w:b/>
                <w:sz w:val="20"/>
              </w:rPr>
              <w:t xml:space="preserve"> </w:t>
            </w:r>
          </w:p>
        </w:tc>
        <w:tc>
          <w:tcPr>
            <w:tcW w:w="990" w:type="dxa"/>
            <w:shd w:val="clear" w:color="auto" w:fill="D9D9D9" w:themeFill="background1" w:themeFillShade="D9"/>
            <w:vAlign w:val="center"/>
          </w:tcPr>
          <w:p w:rsidR="00010044" w:rsidRPr="00817941" w:rsidRDefault="00010044" w:rsidP="00C0376C">
            <w:pPr>
              <w:spacing w:after="0"/>
              <w:jc w:val="center"/>
              <w:rPr>
                <w:rFonts w:asciiTheme="majorHAnsi" w:hAnsiTheme="majorHAnsi"/>
                <w:b/>
                <w:sz w:val="20"/>
              </w:rPr>
            </w:pPr>
          </w:p>
        </w:tc>
        <w:tc>
          <w:tcPr>
            <w:tcW w:w="1368" w:type="dxa"/>
            <w:vAlign w:val="center"/>
          </w:tcPr>
          <w:p w:rsidR="00010044" w:rsidRPr="00817941" w:rsidRDefault="00010044">
            <w:pPr>
              <w:spacing w:after="0"/>
              <w:jc w:val="right"/>
              <w:rPr>
                <w:rFonts w:asciiTheme="majorHAnsi" w:hAnsiTheme="majorHAnsi"/>
                <w:b/>
                <w:sz w:val="20"/>
              </w:rPr>
            </w:pPr>
            <w:r>
              <w:rPr>
                <w:rFonts w:asciiTheme="majorHAnsi" w:hAnsiTheme="majorHAnsi"/>
                <w:b/>
                <w:sz w:val="20"/>
              </w:rPr>
              <w:t>$6,967</w:t>
            </w:r>
            <w:r w:rsidR="000C06BE">
              <w:rPr>
                <w:rFonts w:asciiTheme="majorHAnsi" w:hAnsiTheme="majorHAnsi"/>
                <w:b/>
                <w:sz w:val="20"/>
              </w:rPr>
              <w:t>.42</w:t>
            </w:r>
            <w:r>
              <w:rPr>
                <w:rFonts w:asciiTheme="majorHAnsi" w:hAnsiTheme="majorHAnsi"/>
                <w:b/>
                <w:sz w:val="20"/>
              </w:rPr>
              <w:t xml:space="preserve"> </w:t>
            </w:r>
          </w:p>
        </w:tc>
      </w:tr>
    </w:tbl>
    <w:p w:rsidR="00010044" w:rsidRDefault="00010044" w:rsidP="003C31C9">
      <w:pPr>
        <w:pStyle w:val="Default"/>
        <w:ind w:left="720"/>
        <w:rPr>
          <w:rFonts w:asciiTheme="majorHAnsi" w:hAnsiTheme="majorHAnsi" w:cs="Times New Roman"/>
          <w:sz w:val="22"/>
          <w:szCs w:val="22"/>
        </w:rPr>
      </w:pPr>
    </w:p>
    <w:p w:rsidR="00010044" w:rsidRDefault="00010044" w:rsidP="008E0683">
      <w:pPr>
        <w:pStyle w:val="ListParagraph"/>
        <w:autoSpaceDE w:val="0"/>
        <w:autoSpaceDN w:val="0"/>
        <w:adjustRightInd w:val="0"/>
        <w:ind w:right="720"/>
        <w:rPr>
          <w:rFonts w:asciiTheme="majorHAnsi" w:hAnsiTheme="majorHAnsi"/>
          <w:u w:val="single"/>
        </w:rPr>
      </w:pPr>
    </w:p>
    <w:p w:rsidR="00010044" w:rsidRPr="003C31C9" w:rsidRDefault="00010044" w:rsidP="000C06BE">
      <w:pPr>
        <w:pStyle w:val="ListParagraph"/>
        <w:numPr>
          <w:ilvl w:val="0"/>
          <w:numId w:val="2"/>
        </w:numPr>
        <w:spacing w:after="0"/>
        <w:ind w:left="360"/>
        <w:rPr>
          <w:rFonts w:asciiTheme="majorHAnsi" w:hAnsiTheme="majorHAnsi"/>
          <w:b/>
        </w:rPr>
      </w:pPr>
      <w:r w:rsidRPr="003C31C9">
        <w:rPr>
          <w:rFonts w:asciiTheme="majorHAnsi" w:hAnsiTheme="majorHAnsi"/>
          <w:b/>
        </w:rPr>
        <w:t>Cost</w:t>
      </w:r>
      <w:r>
        <w:rPr>
          <w:rFonts w:asciiTheme="majorHAnsi" w:hAnsiTheme="majorHAnsi"/>
          <w:b/>
        </w:rPr>
        <w:t>s</w:t>
      </w:r>
      <w:r w:rsidRPr="003C31C9">
        <w:rPr>
          <w:rFonts w:asciiTheme="majorHAnsi" w:hAnsiTheme="majorHAnsi"/>
          <w:b/>
        </w:rPr>
        <w:t xml:space="preserve"> to Respondents </w:t>
      </w:r>
    </w:p>
    <w:p w:rsidR="00010044" w:rsidRDefault="00010044" w:rsidP="000C06BE">
      <w:pPr>
        <w:pStyle w:val="CM89"/>
        <w:spacing w:line="228" w:lineRule="atLeast"/>
        <w:ind w:left="360"/>
        <w:rPr>
          <w:rFonts w:asciiTheme="majorHAnsi" w:hAnsiTheme="majorHAnsi" w:cs="Times New Roman"/>
          <w:color w:val="000000"/>
          <w:sz w:val="22"/>
        </w:rPr>
      </w:pPr>
      <w:r w:rsidRPr="003C31C9">
        <w:rPr>
          <w:rFonts w:asciiTheme="majorHAnsi" w:hAnsiTheme="majorHAnsi" w:cs="Times New Roman"/>
          <w:color w:val="000000"/>
          <w:sz w:val="22"/>
        </w:rPr>
        <w:t>There will be no direct costs to the respondents other than their time</w:t>
      </w:r>
      <w:r>
        <w:rPr>
          <w:rFonts w:asciiTheme="majorHAnsi" w:hAnsiTheme="majorHAnsi" w:cs="Times New Roman"/>
          <w:color w:val="000000"/>
          <w:sz w:val="22"/>
        </w:rPr>
        <w:t xml:space="preserve"> to participate in each survey.</w:t>
      </w:r>
    </w:p>
    <w:p w:rsidR="00010044" w:rsidRPr="00911486" w:rsidRDefault="00010044" w:rsidP="000C06BE">
      <w:pPr>
        <w:pStyle w:val="Default"/>
        <w:ind w:left="360"/>
      </w:pPr>
    </w:p>
    <w:p w:rsidR="00010044" w:rsidRPr="005F3FEF" w:rsidRDefault="00010044" w:rsidP="000C06BE">
      <w:pPr>
        <w:pStyle w:val="ListParagraph"/>
        <w:numPr>
          <w:ilvl w:val="0"/>
          <w:numId w:val="2"/>
        </w:numPr>
        <w:spacing w:after="0"/>
        <w:ind w:left="360"/>
        <w:rPr>
          <w:rFonts w:asciiTheme="majorHAnsi" w:hAnsiTheme="majorHAnsi"/>
          <w:b/>
        </w:rPr>
      </w:pPr>
      <w:r w:rsidRPr="005F3FEF">
        <w:rPr>
          <w:rFonts w:asciiTheme="majorHAnsi" w:hAnsiTheme="majorHAnsi"/>
          <w:b/>
        </w:rPr>
        <w:t>Cost to Federal Government</w:t>
      </w:r>
    </w:p>
    <w:p w:rsidR="000C06BE" w:rsidRDefault="000C06BE" w:rsidP="000C06BE">
      <w:pPr>
        <w:pStyle w:val="ListParagraph"/>
        <w:autoSpaceDE w:val="0"/>
        <w:autoSpaceDN w:val="0"/>
        <w:adjustRightInd w:val="0"/>
        <w:ind w:left="360" w:right="720"/>
        <w:rPr>
          <w:rFonts w:asciiTheme="majorHAnsi" w:hAnsiTheme="majorHAnsi"/>
        </w:rPr>
      </w:pPr>
      <w:r w:rsidRPr="000C06BE">
        <w:rPr>
          <w:rFonts w:asciiTheme="majorHAnsi" w:hAnsiTheme="majorHAnsi"/>
        </w:rPr>
        <w:t>There will be no direct costs to the respondents other than their ti</w:t>
      </w:r>
      <w:r>
        <w:rPr>
          <w:rFonts w:asciiTheme="majorHAnsi" w:hAnsiTheme="majorHAnsi"/>
        </w:rPr>
        <w:t>me to participate in each survey</w:t>
      </w:r>
      <w:r w:rsidRPr="000C06BE">
        <w:rPr>
          <w:rFonts w:asciiTheme="majorHAnsi" w:hAnsiTheme="majorHAnsi"/>
        </w:rPr>
        <w:t>.</w:t>
      </w:r>
    </w:p>
    <w:p w:rsidR="000C06BE" w:rsidRDefault="000C06BE" w:rsidP="000C06BE">
      <w:pPr>
        <w:pStyle w:val="ListParagraph"/>
        <w:autoSpaceDE w:val="0"/>
        <w:autoSpaceDN w:val="0"/>
        <w:adjustRightInd w:val="0"/>
        <w:ind w:left="360" w:right="720"/>
        <w:rPr>
          <w:rFonts w:asciiTheme="majorHAnsi" w:hAnsiTheme="majorHAnsi"/>
        </w:rPr>
      </w:pPr>
    </w:p>
    <w:p w:rsidR="000C06BE" w:rsidRDefault="000C06BE" w:rsidP="000C06BE">
      <w:pPr>
        <w:pStyle w:val="ListParagraph"/>
        <w:autoSpaceDE w:val="0"/>
        <w:autoSpaceDN w:val="0"/>
        <w:adjustRightInd w:val="0"/>
        <w:ind w:left="360" w:right="720"/>
        <w:rPr>
          <w:rFonts w:asciiTheme="majorHAnsi" w:hAnsiTheme="majorHAnsi"/>
        </w:rPr>
      </w:pPr>
    </w:p>
    <w:p w:rsidR="000C06BE" w:rsidRDefault="000C06BE" w:rsidP="000C06BE">
      <w:pPr>
        <w:pStyle w:val="ListParagraph"/>
        <w:autoSpaceDE w:val="0"/>
        <w:autoSpaceDN w:val="0"/>
        <w:adjustRightInd w:val="0"/>
        <w:ind w:left="360" w:right="720"/>
        <w:rPr>
          <w:rFonts w:asciiTheme="majorHAnsi" w:hAnsiTheme="majorHAnsi"/>
        </w:rPr>
      </w:pPr>
    </w:p>
    <w:p w:rsidR="000C06BE" w:rsidRDefault="000C06BE" w:rsidP="000C06BE">
      <w:pPr>
        <w:pStyle w:val="ListParagraph"/>
        <w:autoSpaceDE w:val="0"/>
        <w:autoSpaceDN w:val="0"/>
        <w:adjustRightInd w:val="0"/>
        <w:ind w:left="360" w:right="720"/>
        <w:rPr>
          <w:rFonts w:asciiTheme="majorHAnsi" w:hAnsiTheme="majorHAnsi"/>
        </w:rPr>
      </w:pPr>
    </w:p>
    <w:p w:rsidR="000C06BE" w:rsidRDefault="000C06BE" w:rsidP="000C06BE">
      <w:pPr>
        <w:pStyle w:val="ListParagraph"/>
        <w:autoSpaceDE w:val="0"/>
        <w:autoSpaceDN w:val="0"/>
        <w:adjustRightInd w:val="0"/>
        <w:ind w:left="360" w:right="720"/>
        <w:rPr>
          <w:rFonts w:asciiTheme="majorHAnsi" w:hAnsiTheme="majorHAnsi"/>
        </w:rPr>
      </w:pPr>
    </w:p>
    <w:p w:rsidR="000C06BE" w:rsidRDefault="000C06BE" w:rsidP="000C06BE">
      <w:pPr>
        <w:pStyle w:val="ListParagraph"/>
        <w:autoSpaceDE w:val="0"/>
        <w:autoSpaceDN w:val="0"/>
        <w:adjustRightInd w:val="0"/>
        <w:ind w:left="360" w:right="720"/>
        <w:rPr>
          <w:rFonts w:asciiTheme="majorHAnsi" w:hAnsiTheme="majorHAnsi"/>
        </w:rPr>
      </w:pPr>
    </w:p>
    <w:p w:rsidR="000C06BE" w:rsidRDefault="000C06BE" w:rsidP="000C06BE">
      <w:pPr>
        <w:pStyle w:val="ListParagraph"/>
        <w:autoSpaceDE w:val="0"/>
        <w:autoSpaceDN w:val="0"/>
        <w:adjustRightInd w:val="0"/>
        <w:ind w:left="360" w:right="720"/>
        <w:rPr>
          <w:rFonts w:asciiTheme="majorHAnsi" w:hAnsiTheme="majorHAnsi"/>
        </w:rPr>
      </w:pPr>
    </w:p>
    <w:p w:rsidR="000C06BE" w:rsidRDefault="000C06BE" w:rsidP="000C06BE">
      <w:pPr>
        <w:pStyle w:val="ListParagraph"/>
        <w:autoSpaceDE w:val="0"/>
        <w:autoSpaceDN w:val="0"/>
        <w:adjustRightInd w:val="0"/>
        <w:ind w:left="360" w:right="720"/>
        <w:rPr>
          <w:rFonts w:asciiTheme="majorHAnsi" w:hAnsiTheme="majorHAnsi"/>
        </w:rPr>
      </w:pPr>
    </w:p>
    <w:p w:rsidR="000C06BE" w:rsidRDefault="000C06BE" w:rsidP="000C06BE">
      <w:pPr>
        <w:pStyle w:val="ListParagraph"/>
        <w:autoSpaceDE w:val="0"/>
        <w:autoSpaceDN w:val="0"/>
        <w:adjustRightInd w:val="0"/>
        <w:ind w:left="360" w:right="720"/>
        <w:rPr>
          <w:rFonts w:asciiTheme="majorHAnsi" w:hAnsiTheme="majorHAnsi"/>
        </w:rPr>
      </w:pPr>
    </w:p>
    <w:p w:rsidR="000C06BE" w:rsidRDefault="000C06BE" w:rsidP="000C06BE">
      <w:pPr>
        <w:pStyle w:val="ListParagraph"/>
        <w:autoSpaceDE w:val="0"/>
        <w:autoSpaceDN w:val="0"/>
        <w:adjustRightInd w:val="0"/>
        <w:ind w:left="360" w:right="720"/>
        <w:rPr>
          <w:rFonts w:asciiTheme="majorHAnsi" w:hAnsiTheme="majorHAnsi"/>
        </w:rPr>
      </w:pPr>
    </w:p>
    <w:p w:rsidR="000C06BE" w:rsidRDefault="000C06BE" w:rsidP="000C06BE">
      <w:pPr>
        <w:pStyle w:val="ListParagraph"/>
        <w:autoSpaceDE w:val="0"/>
        <w:autoSpaceDN w:val="0"/>
        <w:adjustRightInd w:val="0"/>
        <w:ind w:left="360" w:right="720"/>
        <w:rPr>
          <w:rFonts w:asciiTheme="majorHAnsi" w:hAnsiTheme="majorHAnsi"/>
        </w:rPr>
      </w:pPr>
    </w:p>
    <w:p w:rsidR="000C06BE" w:rsidRDefault="000C06BE" w:rsidP="000C06BE">
      <w:pPr>
        <w:pStyle w:val="ListParagraph"/>
        <w:autoSpaceDE w:val="0"/>
        <w:autoSpaceDN w:val="0"/>
        <w:adjustRightInd w:val="0"/>
        <w:ind w:left="360" w:right="720"/>
        <w:rPr>
          <w:rFonts w:asciiTheme="majorHAnsi" w:hAnsiTheme="majorHAnsi"/>
        </w:rPr>
      </w:pPr>
    </w:p>
    <w:p w:rsidR="000C06BE" w:rsidRDefault="000C06BE" w:rsidP="000C06BE">
      <w:pPr>
        <w:pStyle w:val="ListParagraph"/>
        <w:autoSpaceDE w:val="0"/>
        <w:autoSpaceDN w:val="0"/>
        <w:adjustRightInd w:val="0"/>
        <w:ind w:left="360" w:right="720"/>
        <w:rPr>
          <w:rFonts w:asciiTheme="majorHAnsi" w:hAnsiTheme="majorHAnsi"/>
        </w:rPr>
      </w:pPr>
    </w:p>
    <w:p w:rsidR="000C06BE" w:rsidRDefault="000C06BE" w:rsidP="000C06BE">
      <w:pPr>
        <w:pStyle w:val="ListParagraph"/>
        <w:autoSpaceDE w:val="0"/>
        <w:autoSpaceDN w:val="0"/>
        <w:adjustRightInd w:val="0"/>
        <w:ind w:left="360" w:right="720"/>
        <w:rPr>
          <w:rFonts w:asciiTheme="majorHAnsi" w:hAnsiTheme="majorHAnsi"/>
        </w:rPr>
      </w:pPr>
    </w:p>
    <w:p w:rsidR="000C06BE" w:rsidRDefault="000C06BE" w:rsidP="000C06BE">
      <w:pPr>
        <w:pStyle w:val="ListParagraph"/>
        <w:autoSpaceDE w:val="0"/>
        <w:autoSpaceDN w:val="0"/>
        <w:adjustRightInd w:val="0"/>
        <w:ind w:left="360" w:right="720"/>
        <w:rPr>
          <w:rFonts w:asciiTheme="majorHAnsi" w:hAnsiTheme="majorHAnsi"/>
        </w:rPr>
      </w:pPr>
    </w:p>
    <w:p w:rsidR="000C06BE" w:rsidRDefault="000C06BE" w:rsidP="000C06BE">
      <w:pPr>
        <w:pStyle w:val="ListParagraph"/>
        <w:autoSpaceDE w:val="0"/>
        <w:autoSpaceDN w:val="0"/>
        <w:adjustRightInd w:val="0"/>
        <w:ind w:left="360" w:right="720"/>
        <w:rPr>
          <w:rFonts w:asciiTheme="majorHAnsi" w:hAnsiTheme="majorHAnsi"/>
        </w:rPr>
      </w:pPr>
    </w:p>
    <w:p w:rsidR="000C06BE" w:rsidRDefault="000C06BE" w:rsidP="000C06BE">
      <w:pPr>
        <w:pStyle w:val="ListParagraph"/>
        <w:autoSpaceDE w:val="0"/>
        <w:autoSpaceDN w:val="0"/>
        <w:adjustRightInd w:val="0"/>
        <w:ind w:left="360" w:right="720"/>
        <w:rPr>
          <w:rFonts w:asciiTheme="majorHAnsi" w:hAnsiTheme="majorHAnsi"/>
        </w:rPr>
      </w:pPr>
    </w:p>
    <w:p w:rsidR="000C06BE" w:rsidRDefault="000C06BE" w:rsidP="000C06BE">
      <w:pPr>
        <w:pStyle w:val="ListParagraph"/>
        <w:autoSpaceDE w:val="0"/>
        <w:autoSpaceDN w:val="0"/>
        <w:adjustRightInd w:val="0"/>
        <w:ind w:left="360" w:right="720"/>
        <w:rPr>
          <w:rFonts w:asciiTheme="majorHAnsi" w:hAnsiTheme="majorHAnsi"/>
        </w:rPr>
      </w:pPr>
    </w:p>
    <w:p w:rsidR="000C06BE" w:rsidRDefault="000C06BE" w:rsidP="000C06BE">
      <w:pPr>
        <w:pStyle w:val="ListParagraph"/>
        <w:autoSpaceDE w:val="0"/>
        <w:autoSpaceDN w:val="0"/>
        <w:adjustRightInd w:val="0"/>
        <w:ind w:left="360" w:right="720"/>
        <w:rPr>
          <w:rFonts w:asciiTheme="majorHAnsi" w:hAnsiTheme="majorHAnsi"/>
        </w:rPr>
      </w:pPr>
    </w:p>
    <w:p w:rsidR="000C06BE" w:rsidRDefault="000C06BE" w:rsidP="000C06BE">
      <w:pPr>
        <w:pStyle w:val="ListParagraph"/>
        <w:autoSpaceDE w:val="0"/>
        <w:autoSpaceDN w:val="0"/>
        <w:adjustRightInd w:val="0"/>
        <w:ind w:left="360" w:right="720"/>
        <w:rPr>
          <w:rFonts w:asciiTheme="majorHAnsi" w:hAnsiTheme="majorHAnsi"/>
        </w:rPr>
      </w:pPr>
    </w:p>
    <w:p w:rsidR="000C06BE" w:rsidRDefault="000C06BE" w:rsidP="000C06BE">
      <w:pPr>
        <w:pStyle w:val="ListParagraph"/>
        <w:autoSpaceDE w:val="0"/>
        <w:autoSpaceDN w:val="0"/>
        <w:adjustRightInd w:val="0"/>
        <w:ind w:left="360" w:right="720"/>
        <w:rPr>
          <w:rFonts w:asciiTheme="majorHAnsi" w:hAnsiTheme="majorHAnsi"/>
        </w:rPr>
      </w:pPr>
    </w:p>
    <w:p w:rsidR="000C06BE" w:rsidRDefault="000C06BE" w:rsidP="000C06BE">
      <w:pPr>
        <w:pStyle w:val="ListParagraph"/>
        <w:autoSpaceDE w:val="0"/>
        <w:autoSpaceDN w:val="0"/>
        <w:adjustRightInd w:val="0"/>
        <w:ind w:left="360" w:right="720"/>
        <w:rPr>
          <w:rFonts w:asciiTheme="majorHAnsi" w:hAnsiTheme="majorHAnsi"/>
        </w:rPr>
      </w:pPr>
    </w:p>
    <w:p w:rsidR="000C06BE" w:rsidRDefault="000C06BE" w:rsidP="000C06BE">
      <w:pPr>
        <w:pStyle w:val="ListParagraph"/>
        <w:autoSpaceDE w:val="0"/>
        <w:autoSpaceDN w:val="0"/>
        <w:adjustRightInd w:val="0"/>
        <w:ind w:left="360" w:right="720"/>
        <w:rPr>
          <w:rFonts w:asciiTheme="majorHAnsi" w:hAnsiTheme="majorHAnsi"/>
        </w:rPr>
      </w:pPr>
    </w:p>
    <w:p w:rsidR="00010044" w:rsidRDefault="00010044" w:rsidP="000C06BE">
      <w:pPr>
        <w:pStyle w:val="ListParagraph"/>
        <w:autoSpaceDE w:val="0"/>
        <w:autoSpaceDN w:val="0"/>
        <w:adjustRightInd w:val="0"/>
        <w:ind w:left="360" w:right="720"/>
        <w:rPr>
          <w:rFonts w:asciiTheme="majorHAnsi" w:hAnsiTheme="majorHAnsi"/>
        </w:rPr>
      </w:pPr>
      <w:r w:rsidRPr="000C06BE">
        <w:rPr>
          <w:rFonts w:asciiTheme="majorHAnsi" w:hAnsiTheme="majorHAnsi"/>
          <w:b/>
          <w:u w:val="single"/>
        </w:rPr>
        <w:lastRenderedPageBreak/>
        <w:t>Table A-14</w:t>
      </w:r>
      <w:r w:rsidRPr="000C06BE">
        <w:rPr>
          <w:rFonts w:asciiTheme="majorHAnsi" w:hAnsiTheme="majorHAnsi"/>
          <w:b/>
        </w:rPr>
        <w:t>:</w:t>
      </w:r>
      <w:r w:rsidRPr="000C06BE">
        <w:rPr>
          <w:rFonts w:asciiTheme="majorHAnsi" w:hAnsiTheme="majorHAnsi"/>
        </w:rPr>
        <w:t xml:space="preserve"> Estimated Annualized Cost to the Federal Government</w:t>
      </w:r>
    </w:p>
    <w:tbl>
      <w:tblPr>
        <w:tblStyle w:val="TableGrid"/>
        <w:tblW w:w="0" w:type="auto"/>
        <w:tblLook w:val="04A0" w:firstRow="1" w:lastRow="0" w:firstColumn="1" w:lastColumn="0" w:noHBand="0" w:noVBand="1"/>
      </w:tblPr>
      <w:tblGrid>
        <w:gridCol w:w="4518"/>
        <w:gridCol w:w="1980"/>
        <w:gridCol w:w="1620"/>
        <w:gridCol w:w="1458"/>
      </w:tblGrid>
      <w:tr w:rsidR="00010044" w:rsidRPr="004841F1" w:rsidTr="006C4DA7">
        <w:trPr>
          <w:trHeight w:val="593"/>
        </w:trPr>
        <w:tc>
          <w:tcPr>
            <w:tcW w:w="4518" w:type="dxa"/>
            <w:tcBorders>
              <w:bottom w:val="single" w:sz="12" w:space="0" w:color="auto"/>
            </w:tcBorders>
            <w:shd w:val="clear" w:color="auto" w:fill="D9D9D9" w:themeFill="background1" w:themeFillShade="D9"/>
            <w:vAlign w:val="center"/>
          </w:tcPr>
          <w:p w:rsidR="00010044" w:rsidRPr="004841F1" w:rsidRDefault="00010044" w:rsidP="004824FA">
            <w:pPr>
              <w:jc w:val="center"/>
              <w:rPr>
                <w:rFonts w:asciiTheme="majorHAnsi" w:hAnsiTheme="majorHAnsi"/>
                <w:b/>
                <w:sz w:val="20"/>
              </w:rPr>
            </w:pPr>
            <w:r w:rsidRPr="004841F1">
              <w:rPr>
                <w:rFonts w:asciiTheme="majorHAnsi" w:hAnsiTheme="majorHAnsi"/>
                <w:b/>
                <w:sz w:val="20"/>
              </w:rPr>
              <w:t>Staff (FTE)</w:t>
            </w:r>
            <w:r>
              <w:rPr>
                <w:rFonts w:asciiTheme="majorHAnsi" w:hAnsiTheme="majorHAnsi"/>
                <w:b/>
                <w:sz w:val="20"/>
              </w:rPr>
              <w:t xml:space="preserve"> </w:t>
            </w:r>
          </w:p>
        </w:tc>
        <w:tc>
          <w:tcPr>
            <w:tcW w:w="1980" w:type="dxa"/>
            <w:tcBorders>
              <w:bottom w:val="single" w:sz="12" w:space="0" w:color="auto"/>
            </w:tcBorders>
            <w:shd w:val="clear" w:color="auto" w:fill="D9D9D9" w:themeFill="background1" w:themeFillShade="D9"/>
            <w:vAlign w:val="center"/>
          </w:tcPr>
          <w:p w:rsidR="00010044" w:rsidRPr="004841F1" w:rsidRDefault="00010044" w:rsidP="004824FA">
            <w:pPr>
              <w:jc w:val="center"/>
              <w:rPr>
                <w:rFonts w:asciiTheme="majorHAnsi" w:hAnsiTheme="majorHAnsi"/>
                <w:b/>
                <w:sz w:val="20"/>
              </w:rPr>
            </w:pPr>
            <w:r>
              <w:rPr>
                <w:rFonts w:asciiTheme="majorHAnsi" w:hAnsiTheme="majorHAnsi"/>
                <w:b/>
                <w:sz w:val="20"/>
              </w:rPr>
              <w:t>Average Hours per Collection</w:t>
            </w:r>
          </w:p>
        </w:tc>
        <w:tc>
          <w:tcPr>
            <w:tcW w:w="1620" w:type="dxa"/>
            <w:tcBorders>
              <w:bottom w:val="single" w:sz="12" w:space="0" w:color="auto"/>
            </w:tcBorders>
            <w:shd w:val="clear" w:color="auto" w:fill="D9D9D9" w:themeFill="background1" w:themeFillShade="D9"/>
            <w:vAlign w:val="center"/>
          </w:tcPr>
          <w:p w:rsidR="00010044" w:rsidRPr="004841F1" w:rsidRDefault="00010044" w:rsidP="004824FA">
            <w:pPr>
              <w:jc w:val="center"/>
              <w:rPr>
                <w:rFonts w:asciiTheme="majorHAnsi" w:hAnsiTheme="majorHAnsi"/>
                <w:b/>
                <w:sz w:val="20"/>
              </w:rPr>
            </w:pPr>
            <w:r>
              <w:rPr>
                <w:rFonts w:asciiTheme="majorHAnsi" w:hAnsiTheme="majorHAnsi"/>
                <w:b/>
                <w:sz w:val="20"/>
              </w:rPr>
              <w:t>Average Hourly Rate</w:t>
            </w:r>
          </w:p>
        </w:tc>
        <w:tc>
          <w:tcPr>
            <w:tcW w:w="1458" w:type="dxa"/>
            <w:tcBorders>
              <w:bottom w:val="single" w:sz="12" w:space="0" w:color="auto"/>
            </w:tcBorders>
            <w:shd w:val="clear" w:color="auto" w:fill="D9D9D9" w:themeFill="background1" w:themeFillShade="D9"/>
            <w:vAlign w:val="center"/>
          </w:tcPr>
          <w:p w:rsidR="00010044" w:rsidRPr="004841F1" w:rsidRDefault="00010044" w:rsidP="004824FA">
            <w:pPr>
              <w:jc w:val="center"/>
              <w:rPr>
                <w:rFonts w:asciiTheme="majorHAnsi" w:hAnsiTheme="majorHAnsi"/>
                <w:b/>
                <w:sz w:val="20"/>
              </w:rPr>
            </w:pPr>
            <w:r>
              <w:rPr>
                <w:rFonts w:asciiTheme="majorHAnsi" w:hAnsiTheme="majorHAnsi"/>
                <w:b/>
                <w:sz w:val="20"/>
              </w:rPr>
              <w:t>Average Cost</w:t>
            </w:r>
          </w:p>
        </w:tc>
      </w:tr>
      <w:tr w:rsidR="00010044" w:rsidRPr="004841F1" w:rsidTr="006C4DA7">
        <w:tc>
          <w:tcPr>
            <w:tcW w:w="4518" w:type="dxa"/>
            <w:tcBorders>
              <w:top w:val="single" w:sz="12" w:space="0" w:color="auto"/>
            </w:tcBorders>
          </w:tcPr>
          <w:p w:rsidR="00010044" w:rsidRDefault="00010044" w:rsidP="00241B17">
            <w:pPr>
              <w:rPr>
                <w:rFonts w:asciiTheme="majorHAnsi" w:hAnsiTheme="majorHAnsi"/>
                <w:sz w:val="20"/>
              </w:rPr>
            </w:pPr>
            <w:r>
              <w:rPr>
                <w:rFonts w:asciiTheme="majorHAnsi" w:hAnsiTheme="majorHAnsi"/>
                <w:sz w:val="20"/>
              </w:rPr>
              <w:t>Economist (GS-14)</w:t>
            </w:r>
          </w:p>
          <w:p w:rsidR="00010044" w:rsidRPr="004841F1" w:rsidRDefault="00010044" w:rsidP="00241B17">
            <w:pPr>
              <w:rPr>
                <w:rFonts w:asciiTheme="majorHAnsi" w:hAnsiTheme="majorHAnsi"/>
                <w:sz w:val="20"/>
              </w:rPr>
            </w:pPr>
            <w:r>
              <w:rPr>
                <w:rFonts w:asciiTheme="majorHAnsi" w:hAnsiTheme="majorHAnsi"/>
                <w:sz w:val="20"/>
              </w:rPr>
              <w:t>Lead on project, development of survey instrument, pilot testing, OMB package preparation, quality control, report/manuscript preparation</w:t>
            </w:r>
          </w:p>
        </w:tc>
        <w:tc>
          <w:tcPr>
            <w:tcW w:w="1980" w:type="dxa"/>
            <w:tcBorders>
              <w:top w:val="single" w:sz="12" w:space="0" w:color="auto"/>
            </w:tcBorders>
          </w:tcPr>
          <w:p w:rsidR="00010044" w:rsidRPr="004841F1" w:rsidRDefault="00010044" w:rsidP="00A55882">
            <w:pPr>
              <w:jc w:val="center"/>
              <w:rPr>
                <w:rFonts w:asciiTheme="majorHAnsi" w:hAnsiTheme="majorHAnsi"/>
                <w:sz w:val="20"/>
              </w:rPr>
            </w:pPr>
            <w:r>
              <w:rPr>
                <w:rFonts w:asciiTheme="majorHAnsi" w:hAnsiTheme="majorHAnsi"/>
                <w:sz w:val="20"/>
              </w:rPr>
              <w:t>200</w:t>
            </w:r>
          </w:p>
        </w:tc>
        <w:tc>
          <w:tcPr>
            <w:tcW w:w="1620" w:type="dxa"/>
            <w:tcBorders>
              <w:top w:val="single" w:sz="12" w:space="0" w:color="auto"/>
            </w:tcBorders>
          </w:tcPr>
          <w:p w:rsidR="00010044" w:rsidRPr="004841F1" w:rsidRDefault="00010044" w:rsidP="004824FA">
            <w:pPr>
              <w:jc w:val="center"/>
              <w:rPr>
                <w:rFonts w:asciiTheme="majorHAnsi" w:hAnsiTheme="majorHAnsi"/>
                <w:sz w:val="20"/>
              </w:rPr>
            </w:pPr>
            <w:r>
              <w:rPr>
                <w:rFonts w:asciiTheme="majorHAnsi" w:hAnsiTheme="majorHAnsi"/>
                <w:sz w:val="20"/>
              </w:rPr>
              <w:t xml:space="preserve">$61.32 </w:t>
            </w:r>
          </w:p>
        </w:tc>
        <w:tc>
          <w:tcPr>
            <w:tcW w:w="1458" w:type="dxa"/>
            <w:tcBorders>
              <w:top w:val="single" w:sz="12" w:space="0" w:color="auto"/>
            </w:tcBorders>
          </w:tcPr>
          <w:p w:rsidR="00010044" w:rsidRPr="004841F1" w:rsidRDefault="00010044" w:rsidP="0040455A">
            <w:pPr>
              <w:rPr>
                <w:rFonts w:asciiTheme="majorHAnsi" w:hAnsiTheme="majorHAnsi"/>
                <w:sz w:val="20"/>
              </w:rPr>
            </w:pPr>
            <w:r>
              <w:rPr>
                <w:rFonts w:asciiTheme="majorHAnsi" w:hAnsiTheme="majorHAnsi"/>
                <w:sz w:val="20"/>
              </w:rPr>
              <w:t xml:space="preserve">$12,264 </w:t>
            </w:r>
          </w:p>
        </w:tc>
      </w:tr>
      <w:tr w:rsidR="00010044" w:rsidRPr="004841F1" w:rsidTr="006C4DA7">
        <w:tc>
          <w:tcPr>
            <w:tcW w:w="4518" w:type="dxa"/>
          </w:tcPr>
          <w:p w:rsidR="00010044" w:rsidRDefault="00010044" w:rsidP="00241B17">
            <w:pPr>
              <w:rPr>
                <w:rFonts w:asciiTheme="majorHAnsi" w:hAnsiTheme="majorHAnsi"/>
                <w:sz w:val="20"/>
              </w:rPr>
            </w:pPr>
            <w:r>
              <w:rPr>
                <w:rFonts w:asciiTheme="majorHAnsi" w:hAnsiTheme="majorHAnsi"/>
                <w:sz w:val="20"/>
              </w:rPr>
              <w:t xml:space="preserve"> 5 Health Scientists / Medical Officers (GS-14)</w:t>
            </w:r>
          </w:p>
          <w:p w:rsidR="00010044" w:rsidRPr="00A72652" w:rsidRDefault="00010044" w:rsidP="00241B17">
            <w:pPr>
              <w:rPr>
                <w:rFonts w:asciiTheme="majorHAnsi" w:hAnsiTheme="majorHAnsi"/>
                <w:sz w:val="20"/>
              </w:rPr>
            </w:pPr>
            <w:r>
              <w:rPr>
                <w:rFonts w:asciiTheme="majorHAnsi" w:hAnsiTheme="majorHAnsi"/>
                <w:sz w:val="20"/>
              </w:rPr>
              <w:t>Development of survey instrument, data analysis</w:t>
            </w:r>
          </w:p>
        </w:tc>
        <w:tc>
          <w:tcPr>
            <w:tcW w:w="1980" w:type="dxa"/>
          </w:tcPr>
          <w:p w:rsidR="00010044" w:rsidRPr="00A72652" w:rsidRDefault="00010044" w:rsidP="004824FA">
            <w:pPr>
              <w:jc w:val="center"/>
              <w:rPr>
                <w:rFonts w:asciiTheme="majorHAnsi" w:hAnsiTheme="majorHAnsi"/>
                <w:sz w:val="20"/>
              </w:rPr>
            </w:pPr>
            <w:r>
              <w:rPr>
                <w:rFonts w:asciiTheme="majorHAnsi" w:hAnsiTheme="majorHAnsi"/>
                <w:sz w:val="20"/>
              </w:rPr>
              <w:t>20</w:t>
            </w:r>
          </w:p>
        </w:tc>
        <w:tc>
          <w:tcPr>
            <w:tcW w:w="1620" w:type="dxa"/>
          </w:tcPr>
          <w:p w:rsidR="00010044" w:rsidRPr="00A72652" w:rsidRDefault="00010044" w:rsidP="004824FA">
            <w:pPr>
              <w:jc w:val="center"/>
              <w:rPr>
                <w:rFonts w:asciiTheme="majorHAnsi" w:hAnsiTheme="majorHAnsi"/>
                <w:sz w:val="20"/>
              </w:rPr>
            </w:pPr>
            <w:r>
              <w:rPr>
                <w:rFonts w:asciiTheme="majorHAnsi" w:hAnsiTheme="majorHAnsi"/>
                <w:sz w:val="20"/>
              </w:rPr>
              <w:t>$54.87</w:t>
            </w:r>
          </w:p>
        </w:tc>
        <w:tc>
          <w:tcPr>
            <w:tcW w:w="1458" w:type="dxa"/>
          </w:tcPr>
          <w:p w:rsidR="00010044" w:rsidRPr="00A72652" w:rsidRDefault="00010044" w:rsidP="0040455A">
            <w:pPr>
              <w:tabs>
                <w:tab w:val="center" w:pos="621"/>
              </w:tabs>
              <w:rPr>
                <w:rFonts w:asciiTheme="majorHAnsi" w:hAnsiTheme="majorHAnsi"/>
                <w:sz w:val="20"/>
              </w:rPr>
            </w:pPr>
            <w:r>
              <w:rPr>
                <w:rFonts w:asciiTheme="majorHAnsi" w:hAnsiTheme="majorHAnsi"/>
                <w:sz w:val="20"/>
              </w:rPr>
              <w:t>$5487</w:t>
            </w:r>
            <w:r>
              <w:rPr>
                <w:rFonts w:asciiTheme="majorHAnsi" w:hAnsiTheme="majorHAnsi"/>
                <w:sz w:val="20"/>
              </w:rPr>
              <w:tab/>
              <w:t xml:space="preserve"> </w:t>
            </w:r>
          </w:p>
        </w:tc>
      </w:tr>
      <w:tr w:rsidR="00010044" w:rsidRPr="007B305A" w:rsidTr="006C4DA7">
        <w:tc>
          <w:tcPr>
            <w:tcW w:w="4518" w:type="dxa"/>
          </w:tcPr>
          <w:p w:rsidR="00010044" w:rsidRDefault="00010044" w:rsidP="00A44E6D">
            <w:pPr>
              <w:rPr>
                <w:rFonts w:asciiTheme="majorHAnsi" w:hAnsiTheme="majorHAnsi"/>
                <w:sz w:val="20"/>
              </w:rPr>
            </w:pPr>
            <w:r>
              <w:rPr>
                <w:rFonts w:asciiTheme="majorHAnsi" w:hAnsiTheme="majorHAnsi"/>
                <w:sz w:val="20"/>
              </w:rPr>
              <w:t>Public Health Analyst (GS-14)</w:t>
            </w:r>
          </w:p>
          <w:p w:rsidR="00010044" w:rsidRDefault="00010044" w:rsidP="00A44E6D">
            <w:pPr>
              <w:rPr>
                <w:rFonts w:asciiTheme="majorHAnsi" w:hAnsiTheme="majorHAnsi"/>
                <w:sz w:val="20"/>
              </w:rPr>
            </w:pPr>
            <w:r>
              <w:rPr>
                <w:rFonts w:asciiTheme="majorHAnsi" w:hAnsiTheme="majorHAnsi"/>
                <w:sz w:val="20"/>
              </w:rPr>
              <w:t>Development of survey instrument, report/manuscript preparation</w:t>
            </w:r>
          </w:p>
        </w:tc>
        <w:tc>
          <w:tcPr>
            <w:tcW w:w="1980" w:type="dxa"/>
          </w:tcPr>
          <w:p w:rsidR="00010044" w:rsidRDefault="00010044" w:rsidP="004824FA">
            <w:pPr>
              <w:jc w:val="center"/>
              <w:rPr>
                <w:rFonts w:asciiTheme="majorHAnsi" w:hAnsiTheme="majorHAnsi"/>
                <w:sz w:val="20"/>
              </w:rPr>
            </w:pPr>
            <w:r>
              <w:rPr>
                <w:rFonts w:asciiTheme="majorHAnsi" w:hAnsiTheme="majorHAnsi"/>
                <w:sz w:val="20"/>
              </w:rPr>
              <w:t>20</w:t>
            </w:r>
          </w:p>
        </w:tc>
        <w:tc>
          <w:tcPr>
            <w:tcW w:w="1620" w:type="dxa"/>
          </w:tcPr>
          <w:p w:rsidR="00010044" w:rsidRDefault="00010044" w:rsidP="004824FA">
            <w:pPr>
              <w:jc w:val="center"/>
              <w:rPr>
                <w:rFonts w:asciiTheme="majorHAnsi" w:hAnsiTheme="majorHAnsi"/>
                <w:sz w:val="20"/>
              </w:rPr>
            </w:pPr>
            <w:r>
              <w:rPr>
                <w:rFonts w:asciiTheme="majorHAnsi" w:hAnsiTheme="majorHAnsi"/>
                <w:sz w:val="20"/>
              </w:rPr>
              <w:t>$54.87</w:t>
            </w:r>
          </w:p>
        </w:tc>
        <w:tc>
          <w:tcPr>
            <w:tcW w:w="1458" w:type="dxa"/>
          </w:tcPr>
          <w:p w:rsidR="00010044" w:rsidRDefault="00010044" w:rsidP="0040455A">
            <w:pPr>
              <w:rPr>
                <w:rFonts w:asciiTheme="majorHAnsi" w:hAnsiTheme="majorHAnsi"/>
                <w:sz w:val="20"/>
              </w:rPr>
            </w:pPr>
            <w:r>
              <w:rPr>
                <w:rFonts w:asciiTheme="majorHAnsi" w:hAnsiTheme="majorHAnsi"/>
                <w:sz w:val="20"/>
              </w:rPr>
              <w:t>$1097</w:t>
            </w:r>
          </w:p>
        </w:tc>
      </w:tr>
      <w:tr w:rsidR="00010044" w:rsidRPr="007B305A" w:rsidTr="006C4DA7">
        <w:tc>
          <w:tcPr>
            <w:tcW w:w="4518" w:type="dxa"/>
          </w:tcPr>
          <w:p w:rsidR="00010044" w:rsidRDefault="00010044" w:rsidP="00A44E6D">
            <w:pPr>
              <w:rPr>
                <w:rFonts w:asciiTheme="majorHAnsi" w:hAnsiTheme="majorHAnsi"/>
                <w:sz w:val="20"/>
              </w:rPr>
            </w:pPr>
            <w:r>
              <w:rPr>
                <w:rFonts w:asciiTheme="majorHAnsi" w:hAnsiTheme="majorHAnsi"/>
                <w:sz w:val="20"/>
              </w:rPr>
              <w:t>Health Scientist (GS-15)</w:t>
            </w:r>
          </w:p>
          <w:p w:rsidR="00010044" w:rsidRDefault="00010044" w:rsidP="00A44E6D">
            <w:pPr>
              <w:rPr>
                <w:rFonts w:asciiTheme="majorHAnsi" w:hAnsiTheme="majorHAnsi"/>
                <w:sz w:val="20"/>
              </w:rPr>
            </w:pPr>
            <w:r>
              <w:rPr>
                <w:rFonts w:asciiTheme="majorHAnsi" w:hAnsiTheme="majorHAnsi"/>
                <w:sz w:val="20"/>
              </w:rPr>
              <w:t>Report/manuscript preparation</w:t>
            </w:r>
          </w:p>
        </w:tc>
        <w:tc>
          <w:tcPr>
            <w:tcW w:w="1980" w:type="dxa"/>
          </w:tcPr>
          <w:p w:rsidR="00010044" w:rsidRDefault="00010044" w:rsidP="004824FA">
            <w:pPr>
              <w:jc w:val="center"/>
              <w:rPr>
                <w:rFonts w:asciiTheme="majorHAnsi" w:hAnsiTheme="majorHAnsi"/>
                <w:sz w:val="20"/>
              </w:rPr>
            </w:pPr>
            <w:r>
              <w:rPr>
                <w:rFonts w:asciiTheme="majorHAnsi" w:hAnsiTheme="majorHAnsi"/>
                <w:sz w:val="20"/>
              </w:rPr>
              <w:t>25</w:t>
            </w:r>
          </w:p>
        </w:tc>
        <w:tc>
          <w:tcPr>
            <w:tcW w:w="1620" w:type="dxa"/>
          </w:tcPr>
          <w:p w:rsidR="00010044" w:rsidRDefault="00010044" w:rsidP="004824FA">
            <w:pPr>
              <w:jc w:val="center"/>
              <w:rPr>
                <w:rFonts w:asciiTheme="majorHAnsi" w:hAnsiTheme="majorHAnsi"/>
                <w:sz w:val="20"/>
              </w:rPr>
            </w:pPr>
            <w:r>
              <w:rPr>
                <w:rFonts w:asciiTheme="majorHAnsi" w:hAnsiTheme="majorHAnsi"/>
                <w:sz w:val="20"/>
              </w:rPr>
              <w:t>$64.54</w:t>
            </w:r>
          </w:p>
        </w:tc>
        <w:tc>
          <w:tcPr>
            <w:tcW w:w="1458" w:type="dxa"/>
          </w:tcPr>
          <w:p w:rsidR="00010044" w:rsidRDefault="00010044" w:rsidP="0040455A">
            <w:pPr>
              <w:rPr>
                <w:rFonts w:asciiTheme="majorHAnsi" w:hAnsiTheme="majorHAnsi"/>
                <w:sz w:val="20"/>
              </w:rPr>
            </w:pPr>
            <w:r>
              <w:rPr>
                <w:rFonts w:asciiTheme="majorHAnsi" w:hAnsiTheme="majorHAnsi"/>
                <w:sz w:val="20"/>
              </w:rPr>
              <w:t>$1614</w:t>
            </w:r>
          </w:p>
        </w:tc>
      </w:tr>
      <w:tr w:rsidR="00010044" w:rsidRPr="007B305A" w:rsidTr="006C4DA7">
        <w:tc>
          <w:tcPr>
            <w:tcW w:w="4518" w:type="dxa"/>
          </w:tcPr>
          <w:p w:rsidR="00010044" w:rsidRDefault="00010044" w:rsidP="00A44E6D">
            <w:pPr>
              <w:rPr>
                <w:rFonts w:asciiTheme="majorHAnsi" w:hAnsiTheme="majorHAnsi"/>
                <w:sz w:val="20"/>
              </w:rPr>
            </w:pPr>
            <w:r>
              <w:rPr>
                <w:rFonts w:asciiTheme="majorHAnsi" w:hAnsiTheme="majorHAnsi"/>
                <w:sz w:val="20"/>
              </w:rPr>
              <w:t>Health Scientist (GS-13)</w:t>
            </w:r>
          </w:p>
          <w:p w:rsidR="00010044" w:rsidRDefault="00010044" w:rsidP="00A44E6D">
            <w:pPr>
              <w:rPr>
                <w:rFonts w:asciiTheme="majorHAnsi" w:hAnsiTheme="majorHAnsi"/>
                <w:sz w:val="20"/>
              </w:rPr>
            </w:pPr>
            <w:r>
              <w:rPr>
                <w:rFonts w:asciiTheme="majorHAnsi" w:hAnsiTheme="majorHAnsi"/>
                <w:sz w:val="20"/>
              </w:rPr>
              <w:t>Pilot data analysis, OMB package preparation</w:t>
            </w:r>
          </w:p>
        </w:tc>
        <w:tc>
          <w:tcPr>
            <w:tcW w:w="1980" w:type="dxa"/>
          </w:tcPr>
          <w:p w:rsidR="00010044" w:rsidRDefault="00010044" w:rsidP="004824FA">
            <w:pPr>
              <w:jc w:val="center"/>
              <w:rPr>
                <w:rFonts w:asciiTheme="majorHAnsi" w:hAnsiTheme="majorHAnsi"/>
                <w:sz w:val="20"/>
              </w:rPr>
            </w:pPr>
            <w:r>
              <w:rPr>
                <w:rFonts w:asciiTheme="majorHAnsi" w:hAnsiTheme="majorHAnsi"/>
                <w:sz w:val="20"/>
              </w:rPr>
              <w:t>30</w:t>
            </w:r>
          </w:p>
        </w:tc>
        <w:tc>
          <w:tcPr>
            <w:tcW w:w="1620" w:type="dxa"/>
          </w:tcPr>
          <w:p w:rsidR="00010044" w:rsidRDefault="00010044" w:rsidP="004824FA">
            <w:pPr>
              <w:jc w:val="center"/>
              <w:rPr>
                <w:rFonts w:asciiTheme="majorHAnsi" w:hAnsiTheme="majorHAnsi"/>
                <w:sz w:val="20"/>
              </w:rPr>
            </w:pPr>
            <w:r>
              <w:rPr>
                <w:rFonts w:asciiTheme="majorHAnsi" w:hAnsiTheme="majorHAnsi"/>
                <w:sz w:val="20"/>
              </w:rPr>
              <w:t>$46.43</w:t>
            </w:r>
          </w:p>
        </w:tc>
        <w:tc>
          <w:tcPr>
            <w:tcW w:w="1458" w:type="dxa"/>
          </w:tcPr>
          <w:p w:rsidR="00010044" w:rsidRDefault="00010044" w:rsidP="00A44E6D">
            <w:pPr>
              <w:rPr>
                <w:rFonts w:asciiTheme="majorHAnsi" w:hAnsiTheme="majorHAnsi"/>
                <w:sz w:val="20"/>
              </w:rPr>
            </w:pPr>
            <w:r>
              <w:rPr>
                <w:rFonts w:asciiTheme="majorHAnsi" w:hAnsiTheme="majorHAnsi"/>
                <w:sz w:val="20"/>
              </w:rPr>
              <w:t>$1393</w:t>
            </w:r>
          </w:p>
        </w:tc>
      </w:tr>
      <w:tr w:rsidR="00010044" w:rsidRPr="007B305A" w:rsidTr="006C4DA7">
        <w:tc>
          <w:tcPr>
            <w:tcW w:w="4518" w:type="dxa"/>
          </w:tcPr>
          <w:p w:rsidR="00010044" w:rsidRDefault="00010044" w:rsidP="00A44E6D">
            <w:pPr>
              <w:rPr>
                <w:rFonts w:asciiTheme="majorHAnsi" w:hAnsiTheme="majorHAnsi"/>
                <w:sz w:val="20"/>
              </w:rPr>
            </w:pPr>
            <w:r>
              <w:rPr>
                <w:rFonts w:asciiTheme="majorHAnsi" w:hAnsiTheme="majorHAnsi"/>
                <w:sz w:val="20"/>
              </w:rPr>
              <w:t>Fellow (ORISE)</w:t>
            </w:r>
          </w:p>
          <w:p w:rsidR="00010044" w:rsidRDefault="00010044" w:rsidP="00A44E6D">
            <w:pPr>
              <w:rPr>
                <w:rFonts w:asciiTheme="majorHAnsi" w:hAnsiTheme="majorHAnsi"/>
                <w:sz w:val="20"/>
              </w:rPr>
            </w:pPr>
            <w:r>
              <w:rPr>
                <w:rFonts w:asciiTheme="majorHAnsi" w:hAnsiTheme="majorHAnsi"/>
                <w:sz w:val="20"/>
              </w:rPr>
              <w:t>Data analysis, report/manuscript preparation</w:t>
            </w:r>
          </w:p>
        </w:tc>
        <w:tc>
          <w:tcPr>
            <w:tcW w:w="1980" w:type="dxa"/>
          </w:tcPr>
          <w:p w:rsidR="00010044" w:rsidRDefault="00010044" w:rsidP="004824FA">
            <w:pPr>
              <w:jc w:val="center"/>
              <w:rPr>
                <w:rFonts w:asciiTheme="majorHAnsi" w:hAnsiTheme="majorHAnsi"/>
                <w:sz w:val="20"/>
              </w:rPr>
            </w:pPr>
            <w:r>
              <w:rPr>
                <w:rFonts w:asciiTheme="majorHAnsi" w:hAnsiTheme="majorHAnsi"/>
                <w:sz w:val="20"/>
              </w:rPr>
              <w:t>30</w:t>
            </w:r>
          </w:p>
        </w:tc>
        <w:tc>
          <w:tcPr>
            <w:tcW w:w="1620" w:type="dxa"/>
          </w:tcPr>
          <w:p w:rsidR="00010044" w:rsidRDefault="00010044" w:rsidP="004824FA">
            <w:pPr>
              <w:jc w:val="center"/>
              <w:rPr>
                <w:rFonts w:asciiTheme="majorHAnsi" w:hAnsiTheme="majorHAnsi"/>
                <w:sz w:val="20"/>
              </w:rPr>
            </w:pPr>
            <w:r>
              <w:rPr>
                <w:rFonts w:asciiTheme="majorHAnsi" w:hAnsiTheme="majorHAnsi"/>
                <w:sz w:val="20"/>
              </w:rPr>
              <w:t>$34.45</w:t>
            </w:r>
          </w:p>
        </w:tc>
        <w:tc>
          <w:tcPr>
            <w:tcW w:w="1458" w:type="dxa"/>
          </w:tcPr>
          <w:p w:rsidR="00010044" w:rsidRDefault="00010044" w:rsidP="0040455A">
            <w:pPr>
              <w:rPr>
                <w:rFonts w:asciiTheme="majorHAnsi" w:hAnsiTheme="majorHAnsi"/>
                <w:sz w:val="20"/>
              </w:rPr>
            </w:pPr>
            <w:r>
              <w:rPr>
                <w:rFonts w:asciiTheme="majorHAnsi" w:hAnsiTheme="majorHAnsi"/>
                <w:sz w:val="20"/>
              </w:rPr>
              <w:t>$1034</w:t>
            </w:r>
          </w:p>
        </w:tc>
      </w:tr>
      <w:tr w:rsidR="00010044" w:rsidRPr="004841F1" w:rsidTr="006C4DA7">
        <w:trPr>
          <w:trHeight w:val="332"/>
        </w:trPr>
        <w:tc>
          <w:tcPr>
            <w:tcW w:w="8118" w:type="dxa"/>
            <w:gridSpan w:val="3"/>
            <w:vAlign w:val="center"/>
          </w:tcPr>
          <w:p w:rsidR="00010044" w:rsidRPr="007B305A" w:rsidRDefault="00010044" w:rsidP="006B4DDC">
            <w:pPr>
              <w:jc w:val="right"/>
              <w:rPr>
                <w:rFonts w:asciiTheme="majorHAnsi" w:hAnsiTheme="majorHAnsi"/>
                <w:b/>
                <w:sz w:val="20"/>
              </w:rPr>
            </w:pPr>
            <w:r w:rsidRPr="007B305A">
              <w:rPr>
                <w:rFonts w:asciiTheme="majorHAnsi" w:hAnsiTheme="majorHAnsi"/>
                <w:b/>
                <w:sz w:val="20"/>
              </w:rPr>
              <w:t>Estimated Total Cost of Information Collection</w:t>
            </w:r>
          </w:p>
        </w:tc>
        <w:tc>
          <w:tcPr>
            <w:tcW w:w="1458" w:type="dxa"/>
            <w:vAlign w:val="center"/>
          </w:tcPr>
          <w:p w:rsidR="00010044" w:rsidRPr="007B305A" w:rsidRDefault="00010044" w:rsidP="006315A3">
            <w:pPr>
              <w:jc w:val="center"/>
              <w:rPr>
                <w:rFonts w:asciiTheme="majorHAnsi" w:hAnsiTheme="majorHAnsi"/>
                <w:b/>
                <w:sz w:val="20"/>
              </w:rPr>
            </w:pPr>
            <w:r>
              <w:rPr>
                <w:rFonts w:asciiTheme="majorHAnsi" w:hAnsiTheme="majorHAnsi"/>
                <w:b/>
                <w:sz w:val="20"/>
              </w:rPr>
              <w:t>$22,889</w:t>
            </w:r>
          </w:p>
        </w:tc>
      </w:tr>
    </w:tbl>
    <w:p w:rsidR="00010044" w:rsidRDefault="00010044" w:rsidP="00241B17">
      <w:pPr>
        <w:spacing w:after="0"/>
        <w:rPr>
          <w:rFonts w:asciiTheme="majorHAnsi" w:hAnsiTheme="majorHAnsi"/>
        </w:rPr>
      </w:pPr>
    </w:p>
    <w:p w:rsidR="000C06BE" w:rsidRPr="000C06BE" w:rsidRDefault="000C06BE" w:rsidP="000C06BE">
      <w:pPr>
        <w:pStyle w:val="ListParagraph"/>
        <w:numPr>
          <w:ilvl w:val="0"/>
          <w:numId w:val="2"/>
        </w:numPr>
        <w:rPr>
          <w:rFonts w:asciiTheme="majorHAnsi" w:hAnsiTheme="majorHAnsi"/>
          <w:b/>
        </w:rPr>
      </w:pPr>
      <w:r w:rsidRPr="000C06BE">
        <w:rPr>
          <w:rFonts w:asciiTheme="majorHAnsi" w:hAnsiTheme="majorHAnsi"/>
          <w:b/>
        </w:rPr>
        <w:t>Explanation for Program Changes or Adjustments</w:t>
      </w:r>
    </w:p>
    <w:p w:rsidR="00010044" w:rsidRDefault="00010044" w:rsidP="00F52BCC">
      <w:pPr>
        <w:pStyle w:val="ListParagraph"/>
        <w:spacing w:after="0"/>
        <w:rPr>
          <w:rFonts w:asciiTheme="majorHAnsi" w:hAnsiTheme="majorHAnsi"/>
        </w:rPr>
      </w:pPr>
      <w:r>
        <w:rPr>
          <w:rFonts w:asciiTheme="majorHAnsi" w:hAnsiTheme="majorHAnsi"/>
        </w:rPr>
        <w:t>This is a new data collection.</w:t>
      </w:r>
    </w:p>
    <w:p w:rsidR="00010044" w:rsidRDefault="00010044" w:rsidP="00F52BCC">
      <w:pPr>
        <w:pStyle w:val="ListParagraph"/>
        <w:spacing w:after="0"/>
        <w:rPr>
          <w:rFonts w:asciiTheme="majorHAnsi" w:hAnsiTheme="majorHAnsi"/>
        </w:rPr>
      </w:pPr>
    </w:p>
    <w:p w:rsidR="00010044" w:rsidRPr="000C06BE" w:rsidRDefault="00010044" w:rsidP="000C06BE">
      <w:pPr>
        <w:pStyle w:val="ListParagraph"/>
        <w:numPr>
          <w:ilvl w:val="0"/>
          <w:numId w:val="2"/>
        </w:numPr>
        <w:rPr>
          <w:rFonts w:asciiTheme="majorHAnsi" w:hAnsiTheme="majorHAnsi"/>
          <w:b/>
        </w:rPr>
      </w:pPr>
      <w:r w:rsidRPr="000C06BE">
        <w:rPr>
          <w:rFonts w:asciiTheme="majorHAnsi" w:hAnsiTheme="majorHAnsi"/>
          <w:b/>
        </w:rPr>
        <w:t xml:space="preserve"> </w:t>
      </w:r>
      <w:r w:rsidR="000C06BE" w:rsidRPr="000C06BE">
        <w:rPr>
          <w:rFonts w:asciiTheme="majorHAnsi" w:hAnsiTheme="majorHAnsi"/>
          <w:b/>
        </w:rPr>
        <w:t>Plan s for Tabulation and Publication and Project Time Schedule</w:t>
      </w:r>
    </w:p>
    <w:p w:rsidR="00010044" w:rsidRPr="000C06BE" w:rsidRDefault="00010044" w:rsidP="00C56607">
      <w:pPr>
        <w:pStyle w:val="ListParagraph"/>
        <w:spacing w:after="0"/>
        <w:rPr>
          <w:rFonts w:asciiTheme="majorHAnsi" w:hAnsiTheme="majorHAnsi"/>
        </w:rPr>
      </w:pPr>
      <w:r>
        <w:rPr>
          <w:rFonts w:asciiTheme="majorHAnsi" w:hAnsiTheme="majorHAnsi"/>
        </w:rPr>
        <w:t xml:space="preserve">Data will be tabulated and published as either a report or peer-reviewed journal article. Data tables will also be made available to NACCHO and NCSD.    </w:t>
      </w:r>
      <w:r w:rsidRPr="000C06BE">
        <w:rPr>
          <w:rFonts w:asciiTheme="majorHAnsi" w:hAnsiTheme="majorHAnsi"/>
        </w:rPr>
        <w:t>Data will be tabulated by response and crosstabs.  Crosstabs will focus on how services (Part I) vary by workforce (Part II) and budget (Part III) characteristics (e.g., such as the number of respondents who offer varying types of services [questions 4,5, and 7] by numbers of FTEs [question 21] and whether the program charges fees and bills for services [questions 35 and 36].</w:t>
      </w:r>
      <w:r>
        <w:rPr>
          <w:rFonts w:asciiTheme="majorHAnsi" w:hAnsiTheme="majorHAnsi"/>
        </w:rPr>
        <w:t xml:space="preserve"> Variables in this data collection will also be analyzed with publicly-available data on population, governance, and other demographic information for each jurisdiction to assess whether such factors impact the availability of STD prevention services, staffing, or budget levels.</w:t>
      </w:r>
    </w:p>
    <w:p w:rsidR="00010044" w:rsidRDefault="00010044" w:rsidP="00F52BCC">
      <w:pPr>
        <w:pStyle w:val="ListParagraph"/>
        <w:spacing w:after="0"/>
        <w:rPr>
          <w:rFonts w:asciiTheme="majorHAnsi" w:hAnsiTheme="majorHAnsi"/>
        </w:rPr>
      </w:pPr>
    </w:p>
    <w:p w:rsidR="00010044" w:rsidRDefault="00010044" w:rsidP="00F52BCC">
      <w:pPr>
        <w:pStyle w:val="ListParagraph"/>
        <w:spacing w:after="0"/>
        <w:rPr>
          <w:rFonts w:asciiTheme="majorHAnsi" w:hAnsiTheme="majorHAnsi"/>
        </w:rPr>
      </w:pPr>
    </w:p>
    <w:p w:rsidR="000C06BE" w:rsidRDefault="000C06BE" w:rsidP="000A71DF">
      <w:pPr>
        <w:spacing w:after="0"/>
        <w:ind w:firstLine="720"/>
        <w:rPr>
          <w:rFonts w:asciiTheme="majorHAnsi" w:hAnsiTheme="majorHAnsi"/>
          <w:sz w:val="24"/>
          <w:u w:val="single"/>
        </w:rPr>
      </w:pPr>
    </w:p>
    <w:p w:rsidR="00010044" w:rsidRPr="000A71DF" w:rsidRDefault="00010044" w:rsidP="000A71DF">
      <w:pPr>
        <w:spacing w:after="0"/>
        <w:ind w:firstLine="720"/>
        <w:rPr>
          <w:rFonts w:asciiTheme="majorHAnsi" w:hAnsiTheme="majorHAnsi"/>
          <w:sz w:val="24"/>
          <w:u w:val="single"/>
        </w:rPr>
      </w:pPr>
      <w:r>
        <w:rPr>
          <w:rFonts w:asciiTheme="majorHAnsi" w:hAnsiTheme="majorHAnsi"/>
          <w:sz w:val="24"/>
          <w:u w:val="single"/>
        </w:rPr>
        <w:lastRenderedPageBreak/>
        <w:t>Project Time Schedule</w:t>
      </w:r>
    </w:p>
    <w:p w:rsidR="00010044" w:rsidRPr="000A71DF" w:rsidRDefault="00010044" w:rsidP="007A0D73">
      <w:pPr>
        <w:pStyle w:val="ListParagraph"/>
        <w:tabs>
          <w:tab w:val="right" w:leader="dot" w:pos="9360"/>
        </w:tabs>
        <w:spacing w:after="0"/>
        <w:ind w:left="1440"/>
        <w:rPr>
          <w:rFonts w:asciiTheme="majorHAnsi" w:hAnsiTheme="majorHAnsi"/>
        </w:rPr>
      </w:pPr>
      <w:r>
        <w:rPr>
          <w:rFonts w:asciiTheme="majorHAnsi" w:hAnsiTheme="majorHAnsi"/>
        </w:rPr>
        <w:t xml:space="preserve"> </w:t>
      </w:r>
    </w:p>
    <w:tbl>
      <w:tblPr>
        <w:tblStyle w:val="TableGrid"/>
        <w:tblW w:w="0" w:type="auto"/>
        <w:tblInd w:w="720" w:type="dxa"/>
        <w:tblLook w:val="04A0" w:firstRow="1" w:lastRow="0" w:firstColumn="1" w:lastColumn="0" w:noHBand="0" w:noVBand="1"/>
      </w:tblPr>
      <w:tblGrid>
        <w:gridCol w:w="4416"/>
        <w:gridCol w:w="4440"/>
      </w:tblGrid>
      <w:tr w:rsidR="00010044" w:rsidTr="0040455A">
        <w:tc>
          <w:tcPr>
            <w:tcW w:w="4416" w:type="dxa"/>
          </w:tcPr>
          <w:p w:rsidR="00010044" w:rsidRDefault="00010044" w:rsidP="00F52BCC">
            <w:pPr>
              <w:pStyle w:val="ListParagraph"/>
              <w:ind w:left="0"/>
              <w:rPr>
                <w:rFonts w:asciiTheme="majorHAnsi" w:hAnsiTheme="majorHAnsi"/>
              </w:rPr>
            </w:pPr>
            <w:r>
              <w:rPr>
                <w:rFonts w:asciiTheme="majorHAnsi" w:hAnsiTheme="majorHAnsi"/>
              </w:rPr>
              <w:t>Business days following OMB approval</w:t>
            </w:r>
          </w:p>
        </w:tc>
        <w:tc>
          <w:tcPr>
            <w:tcW w:w="4440" w:type="dxa"/>
          </w:tcPr>
          <w:p w:rsidR="00010044" w:rsidRDefault="00010044" w:rsidP="00F52BCC">
            <w:pPr>
              <w:pStyle w:val="ListParagraph"/>
              <w:ind w:left="0"/>
              <w:rPr>
                <w:rFonts w:asciiTheme="majorHAnsi" w:hAnsiTheme="majorHAnsi"/>
              </w:rPr>
            </w:pPr>
            <w:r>
              <w:rPr>
                <w:rFonts w:asciiTheme="majorHAnsi" w:hAnsiTheme="majorHAnsi"/>
              </w:rPr>
              <w:t>Activity</w:t>
            </w:r>
          </w:p>
        </w:tc>
      </w:tr>
      <w:tr w:rsidR="00010044" w:rsidTr="0040455A">
        <w:tc>
          <w:tcPr>
            <w:tcW w:w="4416" w:type="dxa"/>
          </w:tcPr>
          <w:p w:rsidR="00010044" w:rsidRDefault="00010044" w:rsidP="00F52BCC">
            <w:pPr>
              <w:pStyle w:val="ListParagraph"/>
              <w:ind w:left="0"/>
              <w:rPr>
                <w:rFonts w:asciiTheme="majorHAnsi" w:hAnsiTheme="majorHAnsi"/>
              </w:rPr>
            </w:pPr>
            <w:r>
              <w:rPr>
                <w:rFonts w:asciiTheme="majorHAnsi" w:hAnsiTheme="majorHAnsi"/>
              </w:rPr>
              <w:t>≤5</w:t>
            </w:r>
          </w:p>
        </w:tc>
        <w:tc>
          <w:tcPr>
            <w:tcW w:w="4440" w:type="dxa"/>
          </w:tcPr>
          <w:p w:rsidR="00010044" w:rsidRDefault="00010044" w:rsidP="00F52BCC">
            <w:pPr>
              <w:pStyle w:val="ListParagraph"/>
              <w:ind w:left="0"/>
              <w:rPr>
                <w:rFonts w:asciiTheme="majorHAnsi" w:hAnsiTheme="majorHAnsi"/>
              </w:rPr>
            </w:pPr>
            <w:r>
              <w:rPr>
                <w:rFonts w:asciiTheme="majorHAnsi" w:hAnsiTheme="majorHAnsi"/>
              </w:rPr>
              <w:t>Send initial survey invitation e-mail</w:t>
            </w:r>
          </w:p>
        </w:tc>
      </w:tr>
      <w:tr w:rsidR="00010044" w:rsidTr="0040455A">
        <w:tc>
          <w:tcPr>
            <w:tcW w:w="4416" w:type="dxa"/>
          </w:tcPr>
          <w:p w:rsidR="00010044" w:rsidRDefault="00010044" w:rsidP="00F52BCC">
            <w:pPr>
              <w:pStyle w:val="ListParagraph"/>
              <w:ind w:left="0"/>
              <w:rPr>
                <w:rFonts w:asciiTheme="majorHAnsi" w:hAnsiTheme="majorHAnsi"/>
              </w:rPr>
            </w:pPr>
            <w:r>
              <w:rPr>
                <w:rFonts w:asciiTheme="majorHAnsi" w:hAnsiTheme="majorHAnsi"/>
              </w:rPr>
              <w:t>12</w:t>
            </w:r>
          </w:p>
        </w:tc>
        <w:tc>
          <w:tcPr>
            <w:tcW w:w="4440" w:type="dxa"/>
          </w:tcPr>
          <w:p w:rsidR="00010044" w:rsidRDefault="00010044" w:rsidP="00F52BCC">
            <w:pPr>
              <w:pStyle w:val="ListParagraph"/>
              <w:ind w:left="0"/>
              <w:rPr>
                <w:rFonts w:asciiTheme="majorHAnsi" w:hAnsiTheme="majorHAnsi"/>
              </w:rPr>
            </w:pPr>
            <w:r>
              <w:rPr>
                <w:rFonts w:asciiTheme="majorHAnsi" w:hAnsiTheme="majorHAnsi"/>
              </w:rPr>
              <w:t>Send first reminder e-mail</w:t>
            </w:r>
          </w:p>
        </w:tc>
      </w:tr>
      <w:tr w:rsidR="00010044" w:rsidTr="0040455A">
        <w:tc>
          <w:tcPr>
            <w:tcW w:w="4416" w:type="dxa"/>
          </w:tcPr>
          <w:p w:rsidR="00010044" w:rsidRDefault="00010044" w:rsidP="00F52BCC">
            <w:pPr>
              <w:pStyle w:val="ListParagraph"/>
              <w:ind w:left="0"/>
              <w:rPr>
                <w:rFonts w:asciiTheme="majorHAnsi" w:hAnsiTheme="majorHAnsi"/>
              </w:rPr>
            </w:pPr>
            <w:r>
              <w:rPr>
                <w:rFonts w:asciiTheme="majorHAnsi" w:hAnsiTheme="majorHAnsi"/>
              </w:rPr>
              <w:t>17</w:t>
            </w:r>
          </w:p>
        </w:tc>
        <w:tc>
          <w:tcPr>
            <w:tcW w:w="4440" w:type="dxa"/>
          </w:tcPr>
          <w:p w:rsidR="00010044" w:rsidRDefault="00010044" w:rsidP="00F52BCC">
            <w:pPr>
              <w:pStyle w:val="ListParagraph"/>
              <w:ind w:left="0"/>
              <w:rPr>
                <w:rFonts w:asciiTheme="majorHAnsi" w:hAnsiTheme="majorHAnsi"/>
              </w:rPr>
            </w:pPr>
            <w:r>
              <w:rPr>
                <w:rFonts w:asciiTheme="majorHAnsi" w:hAnsiTheme="majorHAnsi"/>
              </w:rPr>
              <w:t>Send second reminder e-mail</w:t>
            </w:r>
          </w:p>
        </w:tc>
      </w:tr>
      <w:tr w:rsidR="00010044" w:rsidTr="0040455A">
        <w:tc>
          <w:tcPr>
            <w:tcW w:w="4416" w:type="dxa"/>
          </w:tcPr>
          <w:p w:rsidR="00010044" w:rsidRDefault="00010044" w:rsidP="00F52BCC">
            <w:pPr>
              <w:pStyle w:val="ListParagraph"/>
              <w:ind w:left="0"/>
              <w:rPr>
                <w:rFonts w:asciiTheme="majorHAnsi" w:hAnsiTheme="majorHAnsi"/>
              </w:rPr>
            </w:pPr>
            <w:r>
              <w:rPr>
                <w:rFonts w:asciiTheme="majorHAnsi" w:hAnsiTheme="majorHAnsi"/>
              </w:rPr>
              <w:t>22</w:t>
            </w:r>
          </w:p>
        </w:tc>
        <w:tc>
          <w:tcPr>
            <w:tcW w:w="4440" w:type="dxa"/>
          </w:tcPr>
          <w:p w:rsidR="00010044" w:rsidRDefault="00010044" w:rsidP="00F52BCC">
            <w:pPr>
              <w:pStyle w:val="ListParagraph"/>
              <w:ind w:left="0"/>
              <w:rPr>
                <w:rFonts w:asciiTheme="majorHAnsi" w:hAnsiTheme="majorHAnsi"/>
              </w:rPr>
            </w:pPr>
            <w:r>
              <w:rPr>
                <w:rFonts w:asciiTheme="majorHAnsi" w:hAnsiTheme="majorHAnsi"/>
              </w:rPr>
              <w:t>Survey close</w:t>
            </w:r>
          </w:p>
        </w:tc>
      </w:tr>
      <w:tr w:rsidR="00010044" w:rsidTr="0040455A">
        <w:tc>
          <w:tcPr>
            <w:tcW w:w="4416" w:type="dxa"/>
          </w:tcPr>
          <w:p w:rsidR="00010044" w:rsidRDefault="00010044" w:rsidP="00F52BCC">
            <w:pPr>
              <w:pStyle w:val="ListParagraph"/>
              <w:ind w:left="0"/>
              <w:rPr>
                <w:rFonts w:asciiTheme="majorHAnsi" w:hAnsiTheme="majorHAnsi"/>
              </w:rPr>
            </w:pPr>
            <w:r>
              <w:rPr>
                <w:rFonts w:asciiTheme="majorHAnsi" w:hAnsiTheme="majorHAnsi"/>
              </w:rPr>
              <w:t>27</w:t>
            </w:r>
          </w:p>
        </w:tc>
        <w:tc>
          <w:tcPr>
            <w:tcW w:w="4440" w:type="dxa"/>
          </w:tcPr>
          <w:p w:rsidR="00010044" w:rsidRDefault="00010044" w:rsidP="00F52BCC">
            <w:pPr>
              <w:pStyle w:val="ListParagraph"/>
              <w:ind w:left="0"/>
              <w:rPr>
                <w:rFonts w:asciiTheme="majorHAnsi" w:hAnsiTheme="majorHAnsi"/>
              </w:rPr>
            </w:pPr>
            <w:r>
              <w:rPr>
                <w:rFonts w:asciiTheme="majorHAnsi" w:hAnsiTheme="majorHAnsi"/>
              </w:rPr>
              <w:t>Data transmitted to CDC</w:t>
            </w:r>
          </w:p>
        </w:tc>
      </w:tr>
      <w:tr w:rsidR="00010044" w:rsidTr="0040455A">
        <w:tc>
          <w:tcPr>
            <w:tcW w:w="4416" w:type="dxa"/>
          </w:tcPr>
          <w:p w:rsidR="00010044" w:rsidRDefault="00010044" w:rsidP="00F52BCC">
            <w:pPr>
              <w:pStyle w:val="ListParagraph"/>
              <w:ind w:left="0"/>
              <w:rPr>
                <w:rFonts w:asciiTheme="majorHAnsi" w:hAnsiTheme="majorHAnsi"/>
              </w:rPr>
            </w:pPr>
            <w:r>
              <w:rPr>
                <w:rFonts w:asciiTheme="majorHAnsi" w:hAnsiTheme="majorHAnsi"/>
              </w:rPr>
              <w:t>117</w:t>
            </w:r>
          </w:p>
        </w:tc>
        <w:tc>
          <w:tcPr>
            <w:tcW w:w="4440" w:type="dxa"/>
          </w:tcPr>
          <w:p w:rsidR="00010044" w:rsidRDefault="00010044" w:rsidP="00F52BCC">
            <w:pPr>
              <w:pStyle w:val="ListParagraph"/>
              <w:ind w:left="0"/>
              <w:rPr>
                <w:rFonts w:asciiTheme="majorHAnsi" w:hAnsiTheme="majorHAnsi"/>
              </w:rPr>
            </w:pPr>
            <w:r>
              <w:rPr>
                <w:rFonts w:asciiTheme="majorHAnsi" w:hAnsiTheme="majorHAnsi"/>
              </w:rPr>
              <w:t>Report or manuscript prepared</w:t>
            </w:r>
          </w:p>
        </w:tc>
      </w:tr>
    </w:tbl>
    <w:p w:rsidR="00010044" w:rsidRDefault="00010044" w:rsidP="00F52BCC">
      <w:pPr>
        <w:pStyle w:val="ListParagraph"/>
        <w:spacing w:after="0"/>
        <w:rPr>
          <w:rFonts w:asciiTheme="majorHAnsi" w:hAnsiTheme="majorHAnsi"/>
        </w:rPr>
      </w:pPr>
    </w:p>
    <w:p w:rsidR="000C06BE" w:rsidRPr="000C06BE" w:rsidRDefault="000C06BE" w:rsidP="000C06BE">
      <w:pPr>
        <w:pStyle w:val="ListParagraph"/>
        <w:numPr>
          <w:ilvl w:val="0"/>
          <w:numId w:val="2"/>
        </w:numPr>
        <w:rPr>
          <w:rFonts w:asciiTheme="majorHAnsi" w:hAnsiTheme="majorHAnsi"/>
          <w:b/>
        </w:rPr>
      </w:pPr>
      <w:r w:rsidRPr="000C06BE">
        <w:rPr>
          <w:rFonts w:asciiTheme="majorHAnsi" w:hAnsiTheme="majorHAnsi"/>
          <w:b/>
        </w:rPr>
        <w:t xml:space="preserve">Reason(s) Display of OMB Expiration Date is Inappropriate </w:t>
      </w:r>
    </w:p>
    <w:p w:rsidR="00010044" w:rsidRDefault="00010044" w:rsidP="00F52BCC">
      <w:pPr>
        <w:pStyle w:val="ListParagraph"/>
        <w:spacing w:after="0"/>
        <w:rPr>
          <w:rFonts w:asciiTheme="majorHAnsi" w:hAnsiTheme="majorHAnsi"/>
        </w:rPr>
      </w:pPr>
      <w:r>
        <w:rPr>
          <w:rFonts w:asciiTheme="majorHAnsi" w:hAnsiTheme="majorHAnsi"/>
        </w:rPr>
        <w:t>We are requesting no exemption.</w:t>
      </w:r>
    </w:p>
    <w:p w:rsidR="00010044" w:rsidRDefault="00010044" w:rsidP="00F52BCC">
      <w:pPr>
        <w:pStyle w:val="ListParagraph"/>
        <w:spacing w:after="0"/>
        <w:rPr>
          <w:rFonts w:asciiTheme="majorHAnsi" w:hAnsiTheme="majorHAnsi"/>
        </w:rPr>
      </w:pPr>
    </w:p>
    <w:p w:rsidR="00010044" w:rsidRPr="00D26A64" w:rsidRDefault="00010044" w:rsidP="00B12F51">
      <w:pPr>
        <w:pStyle w:val="ListParagraph"/>
        <w:numPr>
          <w:ilvl w:val="0"/>
          <w:numId w:val="2"/>
        </w:numPr>
        <w:spacing w:after="0"/>
        <w:rPr>
          <w:rFonts w:asciiTheme="majorHAnsi" w:hAnsiTheme="majorHAnsi"/>
          <w:b/>
        </w:rPr>
      </w:pPr>
      <w:r w:rsidRPr="00D26A64">
        <w:rPr>
          <w:rFonts w:asciiTheme="majorHAnsi" w:hAnsiTheme="majorHAnsi"/>
          <w:b/>
        </w:rPr>
        <w:t>Exceptions to Certification for Paperwork Reduction Act Submissions</w:t>
      </w:r>
    </w:p>
    <w:p w:rsidR="00010044" w:rsidRDefault="00010044" w:rsidP="00F52BCC">
      <w:pPr>
        <w:pStyle w:val="ListParagraph"/>
        <w:spacing w:after="0"/>
        <w:rPr>
          <w:rFonts w:asciiTheme="majorHAnsi" w:hAnsiTheme="majorHAnsi"/>
        </w:rPr>
      </w:pPr>
      <w:r>
        <w:rPr>
          <w:rFonts w:asciiTheme="majorHAnsi" w:hAnsiTheme="majorHAnsi"/>
        </w:rPr>
        <w:t>There are no exceptions to the certification.  These activities comply with the requirements in 5 CFR 1320.9.</w:t>
      </w:r>
    </w:p>
    <w:p w:rsidR="00010044" w:rsidRDefault="00010044">
      <w:pPr>
        <w:rPr>
          <w:rFonts w:asciiTheme="majorHAnsi" w:hAnsiTheme="majorHAnsi"/>
          <w:b/>
          <w:sz w:val="28"/>
        </w:rPr>
      </w:pPr>
      <w:r>
        <w:rPr>
          <w:rFonts w:asciiTheme="majorHAnsi" w:hAnsiTheme="majorHAnsi"/>
          <w:b/>
          <w:sz w:val="28"/>
        </w:rPr>
        <w:br w:type="page"/>
      </w:r>
    </w:p>
    <w:p w:rsidR="00010044" w:rsidRDefault="00010044" w:rsidP="00A36419">
      <w:pPr>
        <w:spacing w:after="0"/>
        <w:rPr>
          <w:rFonts w:asciiTheme="majorHAnsi" w:hAnsiTheme="majorHAnsi"/>
          <w:b/>
          <w:sz w:val="28"/>
        </w:rPr>
      </w:pPr>
      <w:r>
        <w:rPr>
          <w:rFonts w:asciiTheme="majorHAnsi" w:hAnsiTheme="majorHAnsi"/>
          <w:b/>
          <w:sz w:val="28"/>
        </w:rPr>
        <w:lastRenderedPageBreak/>
        <w:t>LIST OF ATTACHMENTS – Section A</w:t>
      </w:r>
    </w:p>
    <w:p w:rsidR="00010044" w:rsidRPr="00CD1EA8" w:rsidRDefault="00010044" w:rsidP="006B5E55">
      <w:pPr>
        <w:spacing w:after="0"/>
        <w:rPr>
          <w:rFonts w:asciiTheme="majorHAnsi" w:hAnsiTheme="majorHAnsi"/>
          <w:sz w:val="20"/>
        </w:rPr>
      </w:pPr>
      <w:r w:rsidRPr="00CD1EA8">
        <w:rPr>
          <w:rFonts w:asciiTheme="majorHAnsi" w:hAnsiTheme="majorHAnsi"/>
          <w:sz w:val="20"/>
        </w:rPr>
        <w:t>Note:</w:t>
      </w:r>
      <w:r>
        <w:rPr>
          <w:rFonts w:asciiTheme="majorHAnsi" w:hAnsiTheme="majorHAnsi"/>
          <w:sz w:val="20"/>
        </w:rPr>
        <w:t xml:space="preserve"> Attachments are included as separate files as instructed.</w:t>
      </w:r>
    </w:p>
    <w:p w:rsidR="00010044" w:rsidRDefault="00010044" w:rsidP="00A36419">
      <w:pPr>
        <w:spacing w:after="0" w:line="360" w:lineRule="auto"/>
        <w:rPr>
          <w:rFonts w:asciiTheme="majorHAnsi" w:hAnsiTheme="majorHAnsi"/>
          <w:b/>
        </w:rPr>
      </w:pPr>
    </w:p>
    <w:p w:rsidR="00010044" w:rsidRDefault="00010044" w:rsidP="00A36419">
      <w:pPr>
        <w:spacing w:after="0" w:line="360" w:lineRule="auto"/>
        <w:rPr>
          <w:rFonts w:asciiTheme="majorHAnsi" w:hAnsiTheme="majorHAnsi"/>
          <w:b/>
        </w:rPr>
      </w:pPr>
      <w:r>
        <w:rPr>
          <w:rFonts w:asciiTheme="majorHAnsi" w:hAnsiTheme="majorHAnsi"/>
          <w:b/>
        </w:rPr>
        <w:t>A:  Paper version of data collection</w:t>
      </w:r>
    </w:p>
    <w:p w:rsidR="00010044" w:rsidRDefault="00010044" w:rsidP="00A36419">
      <w:pPr>
        <w:spacing w:after="0" w:line="360" w:lineRule="auto"/>
        <w:rPr>
          <w:rFonts w:asciiTheme="majorHAnsi" w:hAnsiTheme="majorHAnsi"/>
          <w:b/>
        </w:rPr>
      </w:pPr>
      <w:r>
        <w:rPr>
          <w:rFonts w:asciiTheme="majorHAnsi" w:hAnsiTheme="majorHAnsi"/>
          <w:b/>
        </w:rPr>
        <w:t>A1: Data collection definitions</w:t>
      </w:r>
    </w:p>
    <w:p w:rsidR="00010044" w:rsidRDefault="00010044" w:rsidP="000C06BE">
      <w:pPr>
        <w:spacing w:after="0" w:line="360" w:lineRule="auto"/>
        <w:rPr>
          <w:rFonts w:asciiTheme="majorHAnsi" w:hAnsiTheme="majorHAnsi"/>
          <w:b/>
        </w:rPr>
      </w:pPr>
      <w:r>
        <w:rPr>
          <w:rFonts w:asciiTheme="majorHAnsi" w:hAnsiTheme="majorHAnsi"/>
          <w:b/>
        </w:rPr>
        <w:t>B:  Web version of data collection</w:t>
      </w:r>
    </w:p>
    <w:p w:rsidR="000C06BE" w:rsidRPr="000C06BE" w:rsidRDefault="000C06BE" w:rsidP="000C06BE">
      <w:pPr>
        <w:spacing w:after="0" w:line="360" w:lineRule="auto"/>
        <w:rPr>
          <w:rFonts w:asciiTheme="majorHAnsi" w:hAnsiTheme="majorHAnsi"/>
          <w:b/>
        </w:rPr>
      </w:pPr>
    </w:p>
    <w:p w:rsidR="00010044" w:rsidRPr="00010044" w:rsidRDefault="00010044" w:rsidP="00DB3AE1">
      <w:pPr>
        <w:jc w:val="center"/>
        <w:rPr>
          <w:rFonts w:ascii="Cambria" w:hAnsi="Cambria"/>
          <w:b/>
          <w:noProof/>
        </w:rPr>
      </w:pPr>
      <w:r w:rsidRPr="00010044">
        <w:rPr>
          <w:rFonts w:ascii="Cambria" w:hAnsi="Cambria"/>
          <w:b/>
          <w:noProof/>
        </w:rPr>
        <w:t>Reference List</w:t>
      </w:r>
    </w:p>
    <w:p w:rsidR="00010044" w:rsidRPr="00010044" w:rsidRDefault="00010044" w:rsidP="00DB3AE1">
      <w:pPr>
        <w:jc w:val="center"/>
        <w:rPr>
          <w:rFonts w:ascii="Cambria" w:hAnsi="Cambria"/>
          <w:noProof/>
        </w:rPr>
      </w:pPr>
    </w:p>
    <w:p w:rsidR="00010044" w:rsidRDefault="00010044" w:rsidP="00010044">
      <w:pPr>
        <w:tabs>
          <w:tab w:val="right" w:pos="540"/>
          <w:tab w:val="left" w:pos="720"/>
        </w:tabs>
        <w:spacing w:after="0" w:line="240" w:lineRule="auto"/>
        <w:ind w:left="720" w:hanging="720"/>
        <w:rPr>
          <w:rFonts w:ascii="Cambria" w:hAnsi="Cambria"/>
          <w:noProof/>
        </w:rPr>
      </w:pPr>
      <w:r w:rsidRPr="00010044">
        <w:rPr>
          <w:rFonts w:ascii="Cambria" w:hAnsi="Cambria"/>
          <w:noProof/>
        </w:rPr>
        <w:tab/>
        <w:t xml:space="preserve">(1) </w:t>
      </w:r>
      <w:r w:rsidRPr="00010044">
        <w:rPr>
          <w:rFonts w:ascii="Cambria" w:hAnsi="Cambria"/>
          <w:noProof/>
        </w:rPr>
        <w:tab/>
        <w:t xml:space="preserve">Centers for Disease Control and Prevention.  Centers for Disease Control and Prevention justification of estimates for appropriations committees.  2012. </w:t>
      </w:r>
      <w:r>
        <w:rPr>
          <w:rFonts w:ascii="Cambria" w:hAnsi="Cambria"/>
          <w:noProof/>
        </w:rPr>
        <w:t xml:space="preserve">Available from:  </w:t>
      </w:r>
      <w:r w:rsidRPr="00010044">
        <w:rPr>
          <w:rFonts w:ascii="Cambria" w:hAnsi="Cambria"/>
          <w:noProof/>
        </w:rPr>
        <w:t>http://www.cdc.gov/fmo/topic/Budget%20Information/appropriations_budget_form_pdf/FY2013_CDC_CJ_Final.pdf</w:t>
      </w:r>
      <w:r>
        <w:rPr>
          <w:rFonts w:ascii="Cambria" w:hAnsi="Cambria"/>
          <w:noProof/>
        </w:rPr>
        <w:t>.  Accessed 08/15/2013.</w:t>
      </w:r>
    </w:p>
    <w:p w:rsidR="00010044" w:rsidRPr="00010044" w:rsidRDefault="00010044" w:rsidP="00010044">
      <w:pPr>
        <w:tabs>
          <w:tab w:val="right" w:pos="540"/>
          <w:tab w:val="left" w:pos="720"/>
        </w:tabs>
        <w:spacing w:after="0" w:line="240" w:lineRule="auto"/>
        <w:ind w:left="720" w:hanging="720"/>
        <w:rPr>
          <w:rFonts w:ascii="Cambria" w:hAnsi="Cambria"/>
          <w:noProof/>
        </w:rPr>
      </w:pPr>
    </w:p>
    <w:p w:rsidR="00010044" w:rsidRPr="00010044" w:rsidRDefault="00010044" w:rsidP="00663957">
      <w:pPr>
        <w:tabs>
          <w:tab w:val="right" w:pos="540"/>
          <w:tab w:val="left" w:pos="720"/>
        </w:tabs>
        <w:spacing w:after="240" w:line="240" w:lineRule="auto"/>
        <w:ind w:left="720" w:hanging="720"/>
        <w:rPr>
          <w:rFonts w:ascii="Cambria" w:hAnsi="Cambria"/>
          <w:noProof/>
        </w:rPr>
      </w:pPr>
      <w:r w:rsidRPr="00010044">
        <w:rPr>
          <w:rFonts w:ascii="Cambria" w:hAnsi="Cambria"/>
          <w:noProof/>
        </w:rPr>
        <w:tab/>
        <w:t xml:space="preserve">(2) </w:t>
      </w:r>
      <w:r w:rsidRPr="00010044">
        <w:rPr>
          <w:rFonts w:ascii="Cambria" w:hAnsi="Cambria"/>
          <w:noProof/>
        </w:rPr>
        <w:tab/>
        <w:t>Golden MR, Kerndt PR. Improving clinical operations: can we and should we save our STD clinics? Sex Transm Dis 2010; 37(4):264-265.</w:t>
      </w:r>
    </w:p>
    <w:p w:rsidR="00010044" w:rsidRPr="00010044" w:rsidRDefault="00010044" w:rsidP="00DB3AE1">
      <w:pPr>
        <w:tabs>
          <w:tab w:val="right" w:pos="540"/>
          <w:tab w:val="left" w:pos="720"/>
        </w:tabs>
        <w:spacing w:after="0" w:line="240" w:lineRule="auto"/>
        <w:ind w:left="720" w:hanging="720"/>
        <w:rPr>
          <w:rFonts w:ascii="Cambria" w:hAnsi="Cambria"/>
          <w:noProof/>
        </w:rPr>
      </w:pPr>
      <w:r w:rsidRPr="00010044">
        <w:rPr>
          <w:rFonts w:ascii="Cambria" w:hAnsi="Cambria"/>
          <w:noProof/>
        </w:rPr>
        <w:tab/>
        <w:t xml:space="preserve">(3) </w:t>
      </w:r>
      <w:r w:rsidRPr="00010044">
        <w:rPr>
          <w:rFonts w:ascii="Cambria" w:hAnsi="Cambria"/>
          <w:noProof/>
        </w:rPr>
        <w:tab/>
        <w:t xml:space="preserve">Centers for Disease Control and Prevention. Program operations guidelines for STD prevention.  2011. </w:t>
      </w:r>
      <w:r>
        <w:rPr>
          <w:rFonts w:ascii="Cambria" w:hAnsi="Cambria"/>
          <w:noProof/>
        </w:rPr>
        <w:t xml:space="preserve"> Available from:  </w:t>
      </w:r>
      <w:r w:rsidRPr="00010044">
        <w:rPr>
          <w:rFonts w:ascii="Cambria" w:hAnsi="Cambria"/>
          <w:noProof/>
        </w:rPr>
        <w:t>http://www.cdc.gov/std/program/GL-2001.htm</w:t>
      </w:r>
      <w:r>
        <w:rPr>
          <w:rFonts w:ascii="Cambria" w:hAnsi="Cambria"/>
          <w:noProof/>
        </w:rPr>
        <w:t>.  Accessed 07/05/2013.</w:t>
      </w:r>
    </w:p>
    <w:p w:rsidR="00010044" w:rsidRDefault="00010044" w:rsidP="00663957">
      <w:pPr>
        <w:tabs>
          <w:tab w:val="right" w:pos="540"/>
          <w:tab w:val="left" w:pos="720"/>
        </w:tabs>
        <w:spacing w:after="240" w:line="240" w:lineRule="auto"/>
        <w:ind w:left="720" w:hanging="720"/>
        <w:rPr>
          <w:rFonts w:ascii="Cambria" w:hAnsi="Cambria"/>
          <w:noProof/>
        </w:rPr>
      </w:pPr>
    </w:p>
    <w:p w:rsidR="00010044" w:rsidRPr="00010044" w:rsidRDefault="00010044" w:rsidP="00663957">
      <w:pPr>
        <w:tabs>
          <w:tab w:val="right" w:pos="540"/>
          <w:tab w:val="left" w:pos="720"/>
        </w:tabs>
        <w:spacing w:after="240" w:line="240" w:lineRule="auto"/>
        <w:ind w:left="720" w:hanging="720"/>
        <w:rPr>
          <w:rFonts w:ascii="Cambria" w:hAnsi="Cambria"/>
          <w:noProof/>
        </w:rPr>
      </w:pPr>
      <w:r w:rsidRPr="00010044">
        <w:rPr>
          <w:rFonts w:ascii="Cambria" w:hAnsi="Cambria"/>
          <w:noProof/>
        </w:rPr>
        <w:tab/>
        <w:t xml:space="preserve">(4) </w:t>
      </w:r>
      <w:r w:rsidRPr="00010044">
        <w:rPr>
          <w:rFonts w:ascii="Cambria" w:hAnsi="Cambria"/>
          <w:noProof/>
        </w:rPr>
        <w:tab/>
        <w:t>Landry DJ, Forrest JD. Public health departments providing sexually transmitted disease services. Fam Plann Perspect 1996; 28(6):261-266.</w:t>
      </w:r>
    </w:p>
    <w:p w:rsidR="00010044" w:rsidRPr="00010044" w:rsidRDefault="00010044" w:rsidP="00663957">
      <w:pPr>
        <w:tabs>
          <w:tab w:val="right" w:pos="540"/>
          <w:tab w:val="left" w:pos="720"/>
        </w:tabs>
        <w:spacing w:after="240" w:line="240" w:lineRule="auto"/>
        <w:ind w:left="720" w:hanging="720"/>
        <w:rPr>
          <w:rFonts w:ascii="Cambria" w:hAnsi="Cambria"/>
          <w:noProof/>
        </w:rPr>
      </w:pPr>
      <w:r w:rsidRPr="00010044">
        <w:rPr>
          <w:rFonts w:ascii="Cambria" w:hAnsi="Cambria"/>
          <w:noProof/>
        </w:rPr>
        <w:tab/>
        <w:t xml:space="preserve">(5) </w:t>
      </w:r>
      <w:r w:rsidRPr="00010044">
        <w:rPr>
          <w:rFonts w:ascii="Cambria" w:hAnsi="Cambria"/>
          <w:noProof/>
        </w:rPr>
        <w:tab/>
        <w:t>Beck-Sague CM, Cordts JR, Brown K, Larsen SA, Black CM, Knapp JS et al. Laboratory diagnosis of sexually transmitted diseases in facilities within the United States. Sex Transm Dis 1996; 23(4):342-349.</w:t>
      </w:r>
    </w:p>
    <w:p w:rsidR="00010044" w:rsidRDefault="00010044" w:rsidP="00010044">
      <w:pPr>
        <w:tabs>
          <w:tab w:val="right" w:pos="540"/>
          <w:tab w:val="left" w:pos="720"/>
        </w:tabs>
        <w:spacing w:after="0" w:line="240" w:lineRule="auto"/>
        <w:ind w:left="720" w:hanging="720"/>
        <w:rPr>
          <w:rFonts w:ascii="Cambria" w:hAnsi="Cambria"/>
          <w:noProof/>
        </w:rPr>
      </w:pPr>
      <w:r w:rsidRPr="00010044">
        <w:rPr>
          <w:rFonts w:ascii="Cambria" w:hAnsi="Cambria"/>
          <w:noProof/>
        </w:rPr>
        <w:tab/>
        <w:t xml:space="preserve">(6) </w:t>
      </w:r>
      <w:r w:rsidRPr="00010044">
        <w:rPr>
          <w:rFonts w:ascii="Cambria" w:hAnsi="Cambria"/>
          <w:noProof/>
        </w:rPr>
        <w:tab/>
        <w:t xml:space="preserve">Ellison J, Gold S, Morgan L, VanRaemdonck L, Gebbie K, Mays G et al. 2010 national profile of local health departments.  1-94. 2011. Washington, National Association of County &amp; City Health Officials. </w:t>
      </w:r>
      <w:r>
        <w:rPr>
          <w:rFonts w:ascii="Cambria" w:hAnsi="Cambria"/>
          <w:noProof/>
        </w:rPr>
        <w:t xml:space="preserve"> Report. </w:t>
      </w:r>
    </w:p>
    <w:p w:rsidR="00010044" w:rsidRPr="00010044" w:rsidRDefault="00010044" w:rsidP="00010044">
      <w:pPr>
        <w:tabs>
          <w:tab w:val="right" w:pos="540"/>
          <w:tab w:val="left" w:pos="720"/>
        </w:tabs>
        <w:spacing w:after="0" w:line="240" w:lineRule="auto"/>
        <w:ind w:left="720" w:hanging="720"/>
        <w:rPr>
          <w:rFonts w:ascii="Cambria" w:hAnsi="Cambria"/>
          <w:noProof/>
        </w:rPr>
      </w:pPr>
    </w:p>
    <w:p w:rsidR="00010044" w:rsidRPr="00010044" w:rsidRDefault="00010044" w:rsidP="00663957">
      <w:pPr>
        <w:tabs>
          <w:tab w:val="right" w:pos="540"/>
          <w:tab w:val="left" w:pos="720"/>
        </w:tabs>
        <w:spacing w:after="240" w:line="240" w:lineRule="auto"/>
        <w:ind w:left="720" w:hanging="720"/>
        <w:rPr>
          <w:rFonts w:ascii="Cambria" w:hAnsi="Cambria"/>
          <w:noProof/>
        </w:rPr>
      </w:pPr>
      <w:r w:rsidRPr="00010044">
        <w:rPr>
          <w:rFonts w:ascii="Cambria" w:hAnsi="Cambria"/>
          <w:noProof/>
        </w:rPr>
        <w:tab/>
        <w:t xml:space="preserve">(7) </w:t>
      </w:r>
      <w:r w:rsidRPr="00010044">
        <w:rPr>
          <w:rFonts w:ascii="Cambria" w:hAnsi="Cambria"/>
          <w:noProof/>
        </w:rPr>
        <w:tab/>
        <w:t>Congressional Budget Office. CBO's February 2013 estimate of the effects of the Affordable Care Act on health insurance coverage. CBO [ 2013  [cited 2013 Feb. 21]; Available from: URL:</w:t>
      </w:r>
      <w:r w:rsidRPr="00010044">
        <w:rPr>
          <w:rFonts w:ascii="Cambria" w:hAnsi="Cambria"/>
          <w:noProof/>
          <w:u w:val="single"/>
        </w:rPr>
        <w:t>http://www.cbo.gov/sites/default/files/cbofiles/attachments/43900_ACAInsuranceCoverageEffects.pdf</w:t>
      </w:r>
      <w:r>
        <w:rPr>
          <w:rFonts w:ascii="Cambria" w:hAnsi="Cambria"/>
          <w:noProof/>
          <w:u w:val="single"/>
        </w:rPr>
        <w:t xml:space="preserve">. </w:t>
      </w:r>
      <w:r>
        <w:rPr>
          <w:rFonts w:ascii="Cambria" w:hAnsi="Cambria"/>
          <w:noProof/>
        </w:rPr>
        <w:t xml:space="preserve">  Accessed 05/01/2013.</w:t>
      </w:r>
    </w:p>
    <w:p w:rsidR="00010044" w:rsidRPr="00010044" w:rsidRDefault="00010044" w:rsidP="00DB3AE1">
      <w:pPr>
        <w:tabs>
          <w:tab w:val="right" w:pos="540"/>
          <w:tab w:val="left" w:pos="720"/>
        </w:tabs>
        <w:spacing w:after="0" w:line="240" w:lineRule="auto"/>
        <w:ind w:left="720" w:hanging="720"/>
        <w:rPr>
          <w:rFonts w:ascii="Cambria" w:hAnsi="Cambria"/>
          <w:noProof/>
        </w:rPr>
      </w:pPr>
      <w:r w:rsidRPr="00010044">
        <w:rPr>
          <w:rFonts w:ascii="Cambria" w:hAnsi="Cambria"/>
          <w:noProof/>
        </w:rPr>
        <w:tab/>
        <w:t xml:space="preserve">(8) </w:t>
      </w:r>
      <w:r w:rsidRPr="00010044">
        <w:rPr>
          <w:rFonts w:ascii="Cambria" w:hAnsi="Cambria"/>
          <w:noProof/>
        </w:rPr>
        <w:tab/>
        <w:t>Celum CL, Bolan G, Krone M, Code K, Leone P, Spaulding C et al. Patients attending STD clinics in an evolving health care environment. Sex Transm Dis 1997; 24(10):599-605.</w:t>
      </w:r>
    </w:p>
    <w:p w:rsidR="00010044" w:rsidRPr="00010044" w:rsidRDefault="00010044" w:rsidP="00663957">
      <w:pPr>
        <w:tabs>
          <w:tab w:val="right" w:pos="540"/>
          <w:tab w:val="left" w:pos="720"/>
        </w:tabs>
        <w:spacing w:after="0" w:line="240" w:lineRule="auto"/>
        <w:ind w:left="720" w:hanging="720"/>
        <w:rPr>
          <w:rFonts w:ascii="Cambria" w:hAnsi="Cambria"/>
          <w:noProof/>
        </w:rPr>
      </w:pPr>
    </w:p>
    <w:p w:rsidR="00010044" w:rsidRPr="00010044" w:rsidRDefault="00010044" w:rsidP="000E6577">
      <w:pPr>
        <w:spacing w:line="360" w:lineRule="auto"/>
        <w:rPr>
          <w:rFonts w:ascii="Cambria" w:hAnsi="Cambria"/>
        </w:rPr>
      </w:pPr>
    </w:p>
    <w:p w:rsidR="00A813CE" w:rsidRPr="00010044" w:rsidRDefault="00A813CE">
      <w:pPr>
        <w:rPr>
          <w:rFonts w:ascii="Cambria" w:hAnsi="Cambria"/>
        </w:rPr>
      </w:pPr>
    </w:p>
    <w:sectPr w:rsidR="00A813CE" w:rsidRPr="00010044" w:rsidSect="003B3A1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0A6" w:rsidRDefault="004870A6" w:rsidP="00010044">
      <w:pPr>
        <w:spacing w:after="0" w:line="240" w:lineRule="auto"/>
      </w:pPr>
      <w:r>
        <w:separator/>
      </w:r>
    </w:p>
  </w:endnote>
  <w:endnote w:type="continuationSeparator" w:id="0">
    <w:p w:rsidR="004870A6" w:rsidRDefault="004870A6" w:rsidP="00010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04727"/>
      <w:docPartObj>
        <w:docPartGallery w:val="Page Numbers (Bottom of Page)"/>
        <w:docPartUnique/>
      </w:docPartObj>
    </w:sdtPr>
    <w:sdtEndPr/>
    <w:sdtContent>
      <w:sdt>
        <w:sdtPr>
          <w:id w:val="565050523"/>
          <w:docPartObj>
            <w:docPartGallery w:val="Page Numbers (Top of Page)"/>
            <w:docPartUnique/>
          </w:docPartObj>
        </w:sdtPr>
        <w:sdtEndPr/>
        <w:sdtContent>
          <w:p w:rsidR="004517C3" w:rsidRDefault="002C0B70">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232D88">
              <w:rPr>
                <w:b/>
                <w:noProof/>
              </w:rPr>
              <w:t>6</w:t>
            </w:r>
            <w:r>
              <w:rPr>
                <w:b/>
                <w:sz w:val="24"/>
                <w:szCs w:val="24"/>
              </w:rPr>
              <w:fldChar w:fldCharType="end"/>
            </w:r>
            <w:r>
              <w:t xml:space="preserve"> of </w:t>
            </w:r>
            <w:r w:rsidR="00010044">
              <w:rPr>
                <w:b/>
                <w:szCs w:val="24"/>
              </w:rPr>
              <w:t>11</w:t>
            </w:r>
          </w:p>
        </w:sdtContent>
      </w:sdt>
    </w:sdtContent>
  </w:sdt>
  <w:p w:rsidR="004517C3" w:rsidRDefault="004870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0A6" w:rsidRDefault="004870A6" w:rsidP="00010044">
      <w:pPr>
        <w:spacing w:after="0" w:line="240" w:lineRule="auto"/>
      </w:pPr>
      <w:r>
        <w:separator/>
      </w:r>
    </w:p>
  </w:footnote>
  <w:footnote w:type="continuationSeparator" w:id="0">
    <w:p w:rsidR="004870A6" w:rsidRDefault="004870A6" w:rsidP="000100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C3" w:rsidRPr="00716F94" w:rsidRDefault="002C0B70"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A945051"/>
    <w:multiLevelType w:val="hybridMultilevel"/>
    <w:tmpl w:val="169CA1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3">
    <w:nsid w:val="55EA3171"/>
    <w:multiLevelType w:val="hybridMultilevel"/>
    <w:tmpl w:val="E7240F3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A676D7"/>
    <w:multiLevelType w:val="hybridMultilevel"/>
    <w:tmpl w:val="C2CC848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20"/>
  </w:num>
  <w:num w:numId="4">
    <w:abstractNumId w:val="9"/>
  </w:num>
  <w:num w:numId="5">
    <w:abstractNumId w:val="12"/>
  </w:num>
  <w:num w:numId="6">
    <w:abstractNumId w:val="6"/>
  </w:num>
  <w:num w:numId="7">
    <w:abstractNumId w:val="0"/>
  </w:num>
  <w:num w:numId="8">
    <w:abstractNumId w:val="4"/>
  </w:num>
  <w:num w:numId="9">
    <w:abstractNumId w:val="8"/>
  </w:num>
  <w:num w:numId="10">
    <w:abstractNumId w:val="14"/>
  </w:num>
  <w:num w:numId="11">
    <w:abstractNumId w:val="2"/>
  </w:num>
  <w:num w:numId="12">
    <w:abstractNumId w:val="19"/>
  </w:num>
  <w:num w:numId="13">
    <w:abstractNumId w:val="5"/>
  </w:num>
  <w:num w:numId="14">
    <w:abstractNumId w:val="3"/>
  </w:num>
  <w:num w:numId="15">
    <w:abstractNumId w:val="16"/>
  </w:num>
  <w:num w:numId="16">
    <w:abstractNumId w:val="17"/>
  </w:num>
  <w:num w:numId="17">
    <w:abstractNumId w:val="18"/>
  </w:num>
  <w:num w:numId="18">
    <w:abstractNumId w:val="10"/>
  </w:num>
  <w:num w:numId="19">
    <w:abstractNumId w:val="21"/>
  </w:num>
  <w:num w:numId="20">
    <w:abstractNumId w:val="13"/>
  </w:num>
  <w:num w:numId="21">
    <w:abstractNumId w:val="1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s>
  <w:rsids>
    <w:rsidRoot w:val="00010044"/>
    <w:rsid w:val="00010044"/>
    <w:rsid w:val="000C06BE"/>
    <w:rsid w:val="00150620"/>
    <w:rsid w:val="00232D88"/>
    <w:rsid w:val="002C0B70"/>
    <w:rsid w:val="004870A6"/>
    <w:rsid w:val="004C36CC"/>
    <w:rsid w:val="0062733C"/>
    <w:rsid w:val="00660FEA"/>
    <w:rsid w:val="00694F11"/>
    <w:rsid w:val="006B6ABF"/>
    <w:rsid w:val="0083054F"/>
    <w:rsid w:val="00A34EC2"/>
    <w:rsid w:val="00A65786"/>
    <w:rsid w:val="00A813CE"/>
    <w:rsid w:val="00C63C75"/>
    <w:rsid w:val="00E92800"/>
    <w:rsid w:val="00EF6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044"/>
    <w:pPr>
      <w:spacing w:after="200"/>
    </w:pPr>
    <w:rPr>
      <w:rFonts w:asciiTheme="minorHAnsi" w:eastAsiaTheme="minorEastAsia" w:hAnsiTheme="minorHAnsi" w:cstheme="minorBidi"/>
      <w:sz w:val="22"/>
      <w:szCs w:val="22"/>
    </w:rPr>
  </w:style>
  <w:style w:type="paragraph" w:styleId="Heading2">
    <w:name w:val="heading 2"/>
    <w:basedOn w:val="Normal"/>
    <w:link w:val="Heading2Char"/>
    <w:uiPriority w:val="9"/>
    <w:qFormat/>
    <w:rsid w:val="00010044"/>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0044"/>
    <w:rPr>
      <w:rFonts w:eastAsia="Times New Roman"/>
      <w:b/>
      <w:bCs/>
      <w:color w:val="660000"/>
      <w:sz w:val="32"/>
      <w:szCs w:val="32"/>
    </w:rPr>
  </w:style>
  <w:style w:type="paragraph" w:styleId="Header">
    <w:name w:val="header"/>
    <w:basedOn w:val="Normal"/>
    <w:link w:val="HeaderChar"/>
    <w:uiPriority w:val="99"/>
    <w:unhideWhenUsed/>
    <w:rsid w:val="000100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044"/>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0100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044"/>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010044"/>
    <w:rPr>
      <w:color w:val="0000FF" w:themeColor="hyperlink"/>
      <w:u w:val="single"/>
    </w:rPr>
  </w:style>
  <w:style w:type="paragraph" w:styleId="BalloonText">
    <w:name w:val="Balloon Text"/>
    <w:basedOn w:val="Normal"/>
    <w:link w:val="BalloonTextChar"/>
    <w:uiPriority w:val="99"/>
    <w:semiHidden/>
    <w:unhideWhenUsed/>
    <w:rsid w:val="00010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044"/>
    <w:rPr>
      <w:rFonts w:ascii="Tahoma" w:eastAsiaTheme="minorEastAsia" w:hAnsi="Tahoma" w:cs="Tahoma"/>
      <w:sz w:val="16"/>
      <w:szCs w:val="16"/>
    </w:rPr>
  </w:style>
  <w:style w:type="paragraph" w:styleId="ListParagraph">
    <w:name w:val="List Paragraph"/>
    <w:basedOn w:val="Normal"/>
    <w:uiPriority w:val="34"/>
    <w:qFormat/>
    <w:rsid w:val="00010044"/>
    <w:pPr>
      <w:ind w:left="720"/>
      <w:contextualSpacing/>
    </w:pPr>
  </w:style>
  <w:style w:type="table" w:styleId="TableGrid">
    <w:name w:val="Table Grid"/>
    <w:basedOn w:val="TableNormal"/>
    <w:uiPriority w:val="59"/>
    <w:rsid w:val="00010044"/>
    <w:pPr>
      <w:spacing w:line="240" w:lineRule="auto"/>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10044"/>
    <w:pPr>
      <w:autoSpaceDE w:val="0"/>
      <w:autoSpaceDN w:val="0"/>
      <w:adjustRightInd w:val="0"/>
      <w:spacing w:line="240" w:lineRule="auto"/>
    </w:pPr>
    <w:rPr>
      <w:rFonts w:ascii="Arial" w:eastAsia="Times New Roman" w:hAnsi="Arial" w:cs="Arial"/>
      <w:color w:val="000000"/>
    </w:rPr>
  </w:style>
  <w:style w:type="paragraph" w:customStyle="1" w:styleId="CM89">
    <w:name w:val="CM89"/>
    <w:basedOn w:val="Default"/>
    <w:next w:val="Default"/>
    <w:uiPriority w:val="99"/>
    <w:rsid w:val="00010044"/>
    <w:rPr>
      <w:color w:val="auto"/>
    </w:rPr>
  </w:style>
  <w:style w:type="paragraph" w:customStyle="1" w:styleId="B1BodyCopy">
    <w:name w:val="B1 Body Copy"/>
    <w:basedOn w:val="Normal"/>
    <w:qFormat/>
    <w:rsid w:val="00010044"/>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0100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0044"/>
    <w:rPr>
      <w:b/>
      <w:bCs/>
    </w:rPr>
  </w:style>
  <w:style w:type="character" w:styleId="CommentReference">
    <w:name w:val="annotation reference"/>
    <w:basedOn w:val="DefaultParagraphFont"/>
    <w:uiPriority w:val="99"/>
    <w:semiHidden/>
    <w:unhideWhenUsed/>
    <w:rsid w:val="00010044"/>
    <w:rPr>
      <w:sz w:val="16"/>
      <w:szCs w:val="16"/>
    </w:rPr>
  </w:style>
  <w:style w:type="paragraph" w:styleId="CommentText">
    <w:name w:val="annotation text"/>
    <w:basedOn w:val="Normal"/>
    <w:link w:val="CommentTextChar"/>
    <w:uiPriority w:val="99"/>
    <w:semiHidden/>
    <w:unhideWhenUsed/>
    <w:rsid w:val="00010044"/>
    <w:pPr>
      <w:spacing w:line="240" w:lineRule="auto"/>
    </w:pPr>
    <w:rPr>
      <w:sz w:val="20"/>
      <w:szCs w:val="20"/>
    </w:rPr>
  </w:style>
  <w:style w:type="character" w:customStyle="1" w:styleId="CommentTextChar">
    <w:name w:val="Comment Text Char"/>
    <w:basedOn w:val="DefaultParagraphFont"/>
    <w:link w:val="CommentText"/>
    <w:uiPriority w:val="99"/>
    <w:semiHidden/>
    <w:rsid w:val="00010044"/>
    <w:rPr>
      <w:rFonts w:asciiTheme="minorHAnsi" w:eastAsiaTheme="minorEastAsia"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10044"/>
    <w:rPr>
      <w:b/>
      <w:bCs/>
    </w:rPr>
  </w:style>
  <w:style w:type="character" w:customStyle="1" w:styleId="CommentSubjectChar">
    <w:name w:val="Comment Subject Char"/>
    <w:basedOn w:val="CommentTextChar"/>
    <w:link w:val="CommentSubject"/>
    <w:uiPriority w:val="99"/>
    <w:semiHidden/>
    <w:rsid w:val="00010044"/>
    <w:rPr>
      <w:rFonts w:asciiTheme="minorHAnsi" w:eastAsiaTheme="minorEastAsia" w:hAnsiTheme="minorHAnsi" w:cstheme="minorBidi"/>
      <w:b/>
      <w:bCs/>
      <w:sz w:val="20"/>
      <w:szCs w:val="20"/>
    </w:rPr>
  </w:style>
  <w:style w:type="paragraph" w:styleId="Revision">
    <w:name w:val="Revision"/>
    <w:hidden/>
    <w:uiPriority w:val="99"/>
    <w:semiHidden/>
    <w:rsid w:val="00010044"/>
    <w:pPr>
      <w:spacing w:line="240" w:lineRule="auto"/>
    </w:pPr>
    <w:rPr>
      <w:rFonts w:asciiTheme="minorHAnsi" w:eastAsiaTheme="minorEastAsia" w:hAnsiTheme="minorHAnsi" w:cstheme="minorBidi"/>
      <w:sz w:val="22"/>
      <w:szCs w:val="22"/>
    </w:rPr>
  </w:style>
  <w:style w:type="character" w:styleId="FollowedHyperlink">
    <w:name w:val="FollowedHyperlink"/>
    <w:basedOn w:val="DefaultParagraphFont"/>
    <w:uiPriority w:val="99"/>
    <w:semiHidden/>
    <w:unhideWhenUsed/>
    <w:rsid w:val="0001004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044"/>
    <w:pPr>
      <w:spacing w:after="200"/>
    </w:pPr>
    <w:rPr>
      <w:rFonts w:asciiTheme="minorHAnsi" w:eastAsiaTheme="minorEastAsia" w:hAnsiTheme="minorHAnsi" w:cstheme="minorBidi"/>
      <w:sz w:val="22"/>
      <w:szCs w:val="22"/>
    </w:rPr>
  </w:style>
  <w:style w:type="paragraph" w:styleId="Heading2">
    <w:name w:val="heading 2"/>
    <w:basedOn w:val="Normal"/>
    <w:link w:val="Heading2Char"/>
    <w:uiPriority w:val="9"/>
    <w:qFormat/>
    <w:rsid w:val="00010044"/>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0044"/>
    <w:rPr>
      <w:rFonts w:eastAsia="Times New Roman"/>
      <w:b/>
      <w:bCs/>
      <w:color w:val="660000"/>
      <w:sz w:val="32"/>
      <w:szCs w:val="32"/>
    </w:rPr>
  </w:style>
  <w:style w:type="paragraph" w:styleId="Header">
    <w:name w:val="header"/>
    <w:basedOn w:val="Normal"/>
    <w:link w:val="HeaderChar"/>
    <w:uiPriority w:val="99"/>
    <w:unhideWhenUsed/>
    <w:rsid w:val="000100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044"/>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0100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044"/>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010044"/>
    <w:rPr>
      <w:color w:val="0000FF" w:themeColor="hyperlink"/>
      <w:u w:val="single"/>
    </w:rPr>
  </w:style>
  <w:style w:type="paragraph" w:styleId="BalloonText">
    <w:name w:val="Balloon Text"/>
    <w:basedOn w:val="Normal"/>
    <w:link w:val="BalloonTextChar"/>
    <w:uiPriority w:val="99"/>
    <w:semiHidden/>
    <w:unhideWhenUsed/>
    <w:rsid w:val="00010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044"/>
    <w:rPr>
      <w:rFonts w:ascii="Tahoma" w:eastAsiaTheme="minorEastAsia" w:hAnsi="Tahoma" w:cs="Tahoma"/>
      <w:sz w:val="16"/>
      <w:szCs w:val="16"/>
    </w:rPr>
  </w:style>
  <w:style w:type="paragraph" w:styleId="ListParagraph">
    <w:name w:val="List Paragraph"/>
    <w:basedOn w:val="Normal"/>
    <w:uiPriority w:val="34"/>
    <w:qFormat/>
    <w:rsid w:val="00010044"/>
    <w:pPr>
      <w:ind w:left="720"/>
      <w:contextualSpacing/>
    </w:pPr>
  </w:style>
  <w:style w:type="table" w:styleId="TableGrid">
    <w:name w:val="Table Grid"/>
    <w:basedOn w:val="TableNormal"/>
    <w:uiPriority w:val="59"/>
    <w:rsid w:val="00010044"/>
    <w:pPr>
      <w:spacing w:line="240" w:lineRule="auto"/>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10044"/>
    <w:pPr>
      <w:autoSpaceDE w:val="0"/>
      <w:autoSpaceDN w:val="0"/>
      <w:adjustRightInd w:val="0"/>
      <w:spacing w:line="240" w:lineRule="auto"/>
    </w:pPr>
    <w:rPr>
      <w:rFonts w:ascii="Arial" w:eastAsia="Times New Roman" w:hAnsi="Arial" w:cs="Arial"/>
      <w:color w:val="000000"/>
    </w:rPr>
  </w:style>
  <w:style w:type="paragraph" w:customStyle="1" w:styleId="CM89">
    <w:name w:val="CM89"/>
    <w:basedOn w:val="Default"/>
    <w:next w:val="Default"/>
    <w:uiPriority w:val="99"/>
    <w:rsid w:val="00010044"/>
    <w:rPr>
      <w:color w:val="auto"/>
    </w:rPr>
  </w:style>
  <w:style w:type="paragraph" w:customStyle="1" w:styleId="B1BodyCopy">
    <w:name w:val="B1 Body Copy"/>
    <w:basedOn w:val="Normal"/>
    <w:qFormat/>
    <w:rsid w:val="00010044"/>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0100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0044"/>
    <w:rPr>
      <w:b/>
      <w:bCs/>
    </w:rPr>
  </w:style>
  <w:style w:type="character" w:styleId="CommentReference">
    <w:name w:val="annotation reference"/>
    <w:basedOn w:val="DefaultParagraphFont"/>
    <w:uiPriority w:val="99"/>
    <w:semiHidden/>
    <w:unhideWhenUsed/>
    <w:rsid w:val="00010044"/>
    <w:rPr>
      <w:sz w:val="16"/>
      <w:szCs w:val="16"/>
    </w:rPr>
  </w:style>
  <w:style w:type="paragraph" w:styleId="CommentText">
    <w:name w:val="annotation text"/>
    <w:basedOn w:val="Normal"/>
    <w:link w:val="CommentTextChar"/>
    <w:uiPriority w:val="99"/>
    <w:semiHidden/>
    <w:unhideWhenUsed/>
    <w:rsid w:val="00010044"/>
    <w:pPr>
      <w:spacing w:line="240" w:lineRule="auto"/>
    </w:pPr>
    <w:rPr>
      <w:sz w:val="20"/>
      <w:szCs w:val="20"/>
    </w:rPr>
  </w:style>
  <w:style w:type="character" w:customStyle="1" w:styleId="CommentTextChar">
    <w:name w:val="Comment Text Char"/>
    <w:basedOn w:val="DefaultParagraphFont"/>
    <w:link w:val="CommentText"/>
    <w:uiPriority w:val="99"/>
    <w:semiHidden/>
    <w:rsid w:val="00010044"/>
    <w:rPr>
      <w:rFonts w:asciiTheme="minorHAnsi" w:eastAsiaTheme="minorEastAsia"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10044"/>
    <w:rPr>
      <w:b/>
      <w:bCs/>
    </w:rPr>
  </w:style>
  <w:style w:type="character" w:customStyle="1" w:styleId="CommentSubjectChar">
    <w:name w:val="Comment Subject Char"/>
    <w:basedOn w:val="CommentTextChar"/>
    <w:link w:val="CommentSubject"/>
    <w:uiPriority w:val="99"/>
    <w:semiHidden/>
    <w:rsid w:val="00010044"/>
    <w:rPr>
      <w:rFonts w:asciiTheme="minorHAnsi" w:eastAsiaTheme="minorEastAsia" w:hAnsiTheme="minorHAnsi" w:cstheme="minorBidi"/>
      <w:b/>
      <w:bCs/>
      <w:sz w:val="20"/>
      <w:szCs w:val="20"/>
    </w:rPr>
  </w:style>
  <w:style w:type="paragraph" w:styleId="Revision">
    <w:name w:val="Revision"/>
    <w:hidden/>
    <w:uiPriority w:val="99"/>
    <w:semiHidden/>
    <w:rsid w:val="00010044"/>
    <w:pPr>
      <w:spacing w:line="240" w:lineRule="auto"/>
    </w:pPr>
    <w:rPr>
      <w:rFonts w:asciiTheme="minorHAnsi" w:eastAsiaTheme="minorEastAsia" w:hAnsiTheme="minorHAnsi" w:cstheme="minorBidi"/>
      <w:sz w:val="22"/>
      <w:szCs w:val="22"/>
    </w:rPr>
  </w:style>
  <w:style w:type="character" w:styleId="FollowedHyperlink">
    <w:name w:val="FollowedHyperlink"/>
    <w:basedOn w:val="DefaultParagraphFont"/>
    <w:uiPriority w:val="99"/>
    <w:semiHidden/>
    <w:unhideWhenUsed/>
    <w:rsid w:val="000100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ncs/ocs/sp/nctb1349.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10</Pages>
  <Words>2907</Words>
  <Characters>16571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Gift</dc:creator>
  <cp:lastModifiedBy>CDC User</cp:lastModifiedBy>
  <cp:revision>8</cp:revision>
  <dcterms:created xsi:type="dcterms:W3CDTF">2013-08-19T19:58:00Z</dcterms:created>
  <dcterms:modified xsi:type="dcterms:W3CDTF">2013-08-20T18:42:00Z</dcterms:modified>
</cp:coreProperties>
</file>