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F22F3" w:rsidRPr="003827F9" w:rsidRDefault="00EF22F3" w:rsidP="00EF22F3">
      <w:pPr>
        <w:jc w:val="center"/>
        <w:rPr>
          <w:rFonts w:ascii="Arial" w:hAnsi="Arial" w:cs="Arial"/>
          <w:sz w:val="22"/>
          <w:szCs w:val="22"/>
        </w:rPr>
      </w:pPr>
    </w:p>
    <w:p w:rsidR="00E9184B" w:rsidRDefault="00316FFB" w:rsidP="00E9184B">
      <w:pPr>
        <w:spacing w:before="150" w:after="75"/>
        <w:jc w:val="center"/>
        <w:outlineLvl w:val="2"/>
        <w:rPr>
          <w:rFonts w:ascii="Trebuchet MS" w:hAnsi="Trebuchet MS"/>
          <w:b/>
          <w:bCs/>
          <w:color w:val="000000"/>
        </w:rPr>
      </w:pPr>
      <w:r>
        <w:rPr>
          <w:rFonts w:ascii="Trebuchet MS" w:hAnsi="Trebuchet MS"/>
          <w:b/>
          <w:bCs/>
          <w:color w:val="000000"/>
        </w:rPr>
        <w:t xml:space="preserve">An Assessment of </w:t>
      </w:r>
      <w:r w:rsidR="00C448AE">
        <w:rPr>
          <w:rFonts w:ascii="Trebuchet MS" w:hAnsi="Trebuchet MS"/>
          <w:b/>
          <w:bCs/>
          <w:color w:val="000000"/>
        </w:rPr>
        <w:t xml:space="preserve">the Utility of </w:t>
      </w:r>
      <w:r w:rsidR="002A02C0">
        <w:rPr>
          <w:rFonts w:ascii="Trebuchet MS" w:hAnsi="Trebuchet MS"/>
          <w:b/>
          <w:bCs/>
          <w:color w:val="000000"/>
        </w:rPr>
        <w:t xml:space="preserve">CDC’s </w:t>
      </w:r>
      <w:r w:rsidR="00E9184B">
        <w:rPr>
          <w:rFonts w:ascii="Trebuchet MS" w:hAnsi="Trebuchet MS"/>
          <w:b/>
          <w:bCs/>
          <w:color w:val="000000"/>
        </w:rPr>
        <w:t xml:space="preserve">Inventory Management and Tracking System (IMATS) </w:t>
      </w:r>
      <w:r w:rsidR="00C448AE">
        <w:rPr>
          <w:rFonts w:ascii="Trebuchet MS" w:hAnsi="Trebuchet MS"/>
          <w:b/>
          <w:bCs/>
          <w:color w:val="000000"/>
        </w:rPr>
        <w:t xml:space="preserve">by </w:t>
      </w:r>
      <w:r>
        <w:rPr>
          <w:rFonts w:ascii="Trebuchet MS" w:hAnsi="Trebuchet MS"/>
          <w:b/>
          <w:bCs/>
          <w:color w:val="000000"/>
        </w:rPr>
        <w:t>Public Health Emergency Preparedness Awardees</w:t>
      </w:r>
    </w:p>
    <w:p w:rsidR="00EF22F3" w:rsidRDefault="00EF22F3" w:rsidP="00EF22F3">
      <w:pPr>
        <w:jc w:val="center"/>
        <w:rPr>
          <w:rFonts w:ascii="Arial" w:hAnsi="Arial" w:cs="Arial"/>
          <w:b/>
          <w:sz w:val="22"/>
          <w:szCs w:val="22"/>
        </w:rPr>
      </w:pPr>
    </w:p>
    <w:p w:rsidR="00EF22F3" w:rsidRDefault="00EF22F3" w:rsidP="00EF22F3">
      <w:pPr>
        <w:jc w:val="center"/>
        <w:rPr>
          <w:rFonts w:ascii="Arial" w:hAnsi="Arial" w:cs="Arial"/>
          <w:sz w:val="22"/>
          <w:szCs w:val="22"/>
        </w:rPr>
      </w:pPr>
    </w:p>
    <w:p w:rsidR="00EF22F3" w:rsidRDefault="00EF22F3" w:rsidP="00EF22F3">
      <w:pPr>
        <w:jc w:val="center"/>
        <w:rPr>
          <w:rFonts w:ascii="Arial" w:hAnsi="Arial" w:cs="Arial"/>
          <w:sz w:val="22"/>
          <w:szCs w:val="22"/>
        </w:rPr>
      </w:pPr>
      <w:r>
        <w:rPr>
          <w:rFonts w:ascii="Arial" w:hAnsi="Arial" w:cs="Arial"/>
          <w:sz w:val="22"/>
          <w:szCs w:val="22"/>
        </w:rPr>
        <w:t>OSTLTS Generic Information Collection Request</w:t>
      </w:r>
    </w:p>
    <w:p w:rsidR="00EF22F3" w:rsidRDefault="00EF22F3" w:rsidP="00EF22F3">
      <w:pPr>
        <w:jc w:val="center"/>
        <w:rPr>
          <w:rFonts w:ascii="Arial" w:hAnsi="Arial" w:cs="Arial"/>
          <w:sz w:val="22"/>
          <w:szCs w:val="22"/>
        </w:rPr>
      </w:pPr>
      <w:r>
        <w:rPr>
          <w:rFonts w:ascii="Arial" w:hAnsi="Arial" w:cs="Arial"/>
          <w:sz w:val="22"/>
          <w:szCs w:val="22"/>
        </w:rPr>
        <w:t>OMB No. 0920-0879</w:t>
      </w:r>
    </w:p>
    <w:p w:rsidR="00EF22F3" w:rsidRPr="003827F9" w:rsidRDefault="00EF22F3" w:rsidP="00EF22F3">
      <w:pPr>
        <w:jc w:val="center"/>
        <w:rPr>
          <w:rFonts w:ascii="Arial" w:hAnsi="Arial" w:cs="Arial"/>
          <w:sz w:val="22"/>
          <w:szCs w:val="22"/>
        </w:rPr>
      </w:pPr>
    </w:p>
    <w:p w:rsidR="00EF22F3" w:rsidRDefault="00EF22F3" w:rsidP="00EF22F3">
      <w:pPr>
        <w:jc w:val="center"/>
        <w:outlineLvl w:val="0"/>
        <w:rPr>
          <w:rFonts w:ascii="Arial" w:hAnsi="Arial" w:cs="Arial"/>
          <w:sz w:val="22"/>
          <w:szCs w:val="22"/>
        </w:rPr>
      </w:pPr>
    </w:p>
    <w:p w:rsidR="00EF22F3" w:rsidRDefault="00EF22F3" w:rsidP="00EF22F3">
      <w:pPr>
        <w:jc w:val="center"/>
        <w:outlineLvl w:val="0"/>
        <w:rPr>
          <w:rFonts w:ascii="Arial" w:hAnsi="Arial" w:cs="Arial"/>
          <w:sz w:val="22"/>
          <w:szCs w:val="22"/>
        </w:rPr>
      </w:pPr>
    </w:p>
    <w:p w:rsidR="00EF22F3" w:rsidRDefault="00EF22F3" w:rsidP="00EF22F3">
      <w:pPr>
        <w:jc w:val="center"/>
        <w:outlineLvl w:val="0"/>
        <w:rPr>
          <w:rFonts w:ascii="Arial" w:hAnsi="Arial" w:cs="Arial"/>
          <w:sz w:val="22"/>
          <w:szCs w:val="22"/>
        </w:rPr>
      </w:pPr>
    </w:p>
    <w:p w:rsidR="00EF22F3" w:rsidRDefault="00EF22F3" w:rsidP="00EF22F3">
      <w:pPr>
        <w:jc w:val="center"/>
        <w:outlineLvl w:val="0"/>
        <w:rPr>
          <w:rFonts w:ascii="Arial" w:hAnsi="Arial" w:cs="Arial"/>
          <w:sz w:val="22"/>
          <w:szCs w:val="22"/>
        </w:rPr>
      </w:pPr>
    </w:p>
    <w:p w:rsidR="00EF22F3" w:rsidRDefault="00EF22F3" w:rsidP="00EF22F3">
      <w:pPr>
        <w:jc w:val="center"/>
        <w:outlineLvl w:val="0"/>
        <w:rPr>
          <w:rFonts w:ascii="Arial" w:hAnsi="Arial" w:cs="Arial"/>
          <w:sz w:val="22"/>
          <w:szCs w:val="22"/>
        </w:rPr>
      </w:pPr>
    </w:p>
    <w:p w:rsidR="00EF22F3" w:rsidRPr="000D7C84" w:rsidRDefault="00EF22F3" w:rsidP="00EF22F3">
      <w:pPr>
        <w:jc w:val="center"/>
        <w:outlineLvl w:val="0"/>
        <w:rPr>
          <w:rFonts w:ascii="Arial" w:hAnsi="Arial" w:cs="Arial"/>
          <w:b/>
          <w:sz w:val="22"/>
          <w:szCs w:val="22"/>
        </w:rPr>
      </w:pPr>
      <w:r w:rsidRPr="000D7C84">
        <w:rPr>
          <w:rFonts w:ascii="Arial" w:hAnsi="Arial" w:cs="Arial"/>
          <w:b/>
          <w:sz w:val="22"/>
          <w:szCs w:val="22"/>
        </w:rPr>
        <w:t>SUPPORTING STATEMENT – Section A</w:t>
      </w:r>
    </w:p>
    <w:p w:rsidR="00EF22F3" w:rsidRDefault="00EF22F3" w:rsidP="00EF22F3">
      <w:pPr>
        <w:jc w:val="center"/>
        <w:outlineLvl w:val="0"/>
        <w:rPr>
          <w:rFonts w:ascii="Arial" w:hAnsi="Arial" w:cs="Arial"/>
          <w:b/>
          <w:sz w:val="22"/>
          <w:szCs w:val="22"/>
        </w:rPr>
      </w:pPr>
    </w:p>
    <w:p w:rsidR="00EF22F3" w:rsidRDefault="00EF22F3" w:rsidP="00EF22F3">
      <w:pPr>
        <w:jc w:val="center"/>
        <w:outlineLvl w:val="0"/>
        <w:rPr>
          <w:rFonts w:ascii="Arial" w:hAnsi="Arial" w:cs="Arial"/>
          <w:b/>
          <w:sz w:val="22"/>
          <w:szCs w:val="22"/>
        </w:rPr>
      </w:pPr>
    </w:p>
    <w:p w:rsidR="00EF22F3" w:rsidRDefault="00EF22F3" w:rsidP="00EF22F3">
      <w:pPr>
        <w:jc w:val="center"/>
        <w:outlineLvl w:val="0"/>
        <w:rPr>
          <w:rFonts w:ascii="Arial" w:hAnsi="Arial" w:cs="Arial"/>
          <w:b/>
          <w:sz w:val="22"/>
          <w:szCs w:val="22"/>
        </w:rPr>
      </w:pPr>
    </w:p>
    <w:p w:rsidR="00EF22F3" w:rsidRPr="000D7C84" w:rsidRDefault="00EF22F3" w:rsidP="00EF22F3">
      <w:pPr>
        <w:jc w:val="center"/>
        <w:outlineLvl w:val="0"/>
        <w:rPr>
          <w:rFonts w:ascii="Arial" w:hAnsi="Arial" w:cs="Arial"/>
          <w:b/>
          <w:sz w:val="22"/>
          <w:szCs w:val="22"/>
        </w:rPr>
      </w:pPr>
    </w:p>
    <w:p w:rsidR="00EF22F3" w:rsidRDefault="00EF22F3" w:rsidP="00EF22F3">
      <w:pPr>
        <w:jc w:val="center"/>
        <w:outlineLvl w:val="0"/>
        <w:rPr>
          <w:rFonts w:ascii="Arial" w:hAnsi="Arial" w:cs="Arial"/>
          <w:sz w:val="22"/>
          <w:szCs w:val="22"/>
        </w:rPr>
      </w:pPr>
    </w:p>
    <w:p w:rsidR="00EF22F3" w:rsidRPr="00D7018B" w:rsidRDefault="00EF22F3" w:rsidP="00EF22F3">
      <w:pPr>
        <w:jc w:val="center"/>
        <w:outlineLvl w:val="0"/>
        <w:rPr>
          <w:rFonts w:ascii="Arial" w:hAnsi="Arial" w:cs="Arial"/>
          <w:sz w:val="22"/>
          <w:szCs w:val="22"/>
        </w:rPr>
      </w:pPr>
      <w:r>
        <w:rPr>
          <w:rFonts w:ascii="Arial" w:hAnsi="Arial" w:cs="Arial"/>
          <w:b/>
          <w:sz w:val="22"/>
          <w:szCs w:val="22"/>
        </w:rPr>
        <w:t>Submitted:</w:t>
      </w:r>
      <w:r>
        <w:rPr>
          <w:rFonts w:ascii="Arial" w:hAnsi="Arial" w:cs="Arial"/>
          <w:sz w:val="22"/>
          <w:szCs w:val="22"/>
        </w:rPr>
        <w:t xml:space="preserve">  </w:t>
      </w:r>
      <w:r w:rsidR="008E5569">
        <w:rPr>
          <w:rFonts w:ascii="Arial" w:hAnsi="Arial" w:cs="Arial"/>
          <w:sz w:val="22"/>
          <w:szCs w:val="22"/>
        </w:rPr>
        <w:t>Monday July 3</w:t>
      </w:r>
      <w:r w:rsidR="00075892">
        <w:rPr>
          <w:rFonts w:ascii="Arial" w:hAnsi="Arial" w:cs="Arial"/>
          <w:sz w:val="22"/>
          <w:szCs w:val="22"/>
        </w:rPr>
        <w:t>0</w:t>
      </w:r>
      <w:bookmarkStart w:id="0" w:name="_GoBack"/>
      <w:bookmarkEnd w:id="0"/>
      <w:r w:rsidR="008E5569">
        <w:rPr>
          <w:rFonts w:ascii="Arial" w:hAnsi="Arial" w:cs="Arial"/>
          <w:sz w:val="22"/>
          <w:szCs w:val="22"/>
        </w:rPr>
        <w:t>, 2012</w:t>
      </w:r>
    </w:p>
    <w:p w:rsidR="00EF22F3" w:rsidRDefault="00EF22F3" w:rsidP="00806459">
      <w:pPr>
        <w:outlineLvl w:val="0"/>
        <w:rPr>
          <w:rFonts w:ascii="Arial" w:hAnsi="Arial" w:cs="Arial"/>
          <w:sz w:val="22"/>
          <w:szCs w:val="22"/>
        </w:rPr>
      </w:pPr>
    </w:p>
    <w:p w:rsidR="006A51DC" w:rsidRDefault="006A51DC" w:rsidP="006A51DC">
      <w:pPr>
        <w:rPr>
          <w:rFonts w:asciiTheme="majorHAnsi" w:hAnsiTheme="majorHAnsi"/>
          <w:b/>
          <w:u w:val="single"/>
        </w:rPr>
      </w:pPr>
    </w:p>
    <w:p w:rsidR="006A51DC" w:rsidRDefault="006A51DC" w:rsidP="006A51DC">
      <w:pPr>
        <w:rPr>
          <w:rFonts w:asciiTheme="majorHAnsi" w:hAnsiTheme="majorHAnsi"/>
          <w:b/>
          <w:u w:val="single"/>
        </w:rPr>
      </w:pPr>
    </w:p>
    <w:p w:rsidR="006A51DC" w:rsidRDefault="006A51DC" w:rsidP="006A51DC">
      <w:pPr>
        <w:rPr>
          <w:rFonts w:asciiTheme="majorHAnsi" w:hAnsiTheme="majorHAnsi"/>
          <w:b/>
          <w:u w:val="single"/>
        </w:rPr>
      </w:pPr>
    </w:p>
    <w:p w:rsidR="006A51DC" w:rsidRDefault="006A51DC" w:rsidP="006A51DC">
      <w:pPr>
        <w:rPr>
          <w:rFonts w:asciiTheme="majorHAnsi" w:hAnsiTheme="majorHAnsi"/>
          <w:b/>
          <w:u w:val="single"/>
        </w:rPr>
      </w:pPr>
    </w:p>
    <w:p w:rsidR="006A51DC" w:rsidRDefault="006A51DC" w:rsidP="006A51DC">
      <w:pPr>
        <w:rPr>
          <w:rFonts w:asciiTheme="majorHAnsi" w:hAnsiTheme="majorHAnsi"/>
          <w:b/>
          <w:u w:val="single"/>
        </w:rPr>
      </w:pPr>
    </w:p>
    <w:p w:rsidR="006A51DC" w:rsidRPr="00806459" w:rsidRDefault="006A51DC" w:rsidP="006A51DC">
      <w:pPr>
        <w:rPr>
          <w:rFonts w:ascii="Arial" w:hAnsi="Arial" w:cs="Arial"/>
          <w:sz w:val="22"/>
        </w:rPr>
      </w:pPr>
      <w:r w:rsidRPr="00806459">
        <w:rPr>
          <w:rFonts w:ascii="Arial" w:hAnsi="Arial" w:cs="Arial"/>
          <w:b/>
          <w:sz w:val="22"/>
          <w:u w:val="single"/>
        </w:rPr>
        <w:t>Program Official/Project Officer</w:t>
      </w:r>
      <w:r w:rsidRPr="00806459">
        <w:rPr>
          <w:rFonts w:ascii="Arial" w:hAnsi="Arial" w:cs="Arial"/>
          <w:sz w:val="22"/>
        </w:rPr>
        <w:tab/>
      </w:r>
    </w:p>
    <w:p w:rsidR="002E7046" w:rsidRPr="002E7046" w:rsidRDefault="002E7046" w:rsidP="002E7046">
      <w:pPr>
        <w:rPr>
          <w:rFonts w:ascii="Arial" w:hAnsi="Arial" w:cs="Arial"/>
          <w:bCs/>
          <w:sz w:val="22"/>
        </w:rPr>
      </w:pPr>
      <w:r w:rsidRPr="002E7046">
        <w:rPr>
          <w:rFonts w:ascii="Arial" w:hAnsi="Arial" w:cs="Arial"/>
          <w:bCs/>
          <w:sz w:val="22"/>
        </w:rPr>
        <w:t>Barbara Nichols</w:t>
      </w:r>
    </w:p>
    <w:p w:rsidR="002E7046" w:rsidRPr="002E7046" w:rsidRDefault="002E7046" w:rsidP="002E7046">
      <w:pPr>
        <w:rPr>
          <w:rFonts w:ascii="Arial" w:hAnsi="Arial" w:cs="Arial"/>
          <w:bCs/>
          <w:sz w:val="22"/>
        </w:rPr>
      </w:pPr>
      <w:r w:rsidRPr="002E7046">
        <w:rPr>
          <w:rFonts w:ascii="Arial" w:hAnsi="Arial" w:cs="Arial"/>
          <w:bCs/>
          <w:sz w:val="22"/>
        </w:rPr>
        <w:t>Project Manager</w:t>
      </w:r>
    </w:p>
    <w:p w:rsidR="002E7046" w:rsidRPr="002E7046" w:rsidRDefault="002E7046" w:rsidP="002E7046">
      <w:pPr>
        <w:rPr>
          <w:rFonts w:ascii="Arial" w:hAnsi="Arial" w:cs="Arial"/>
          <w:bCs/>
          <w:sz w:val="22"/>
        </w:rPr>
      </w:pPr>
      <w:r w:rsidRPr="002E7046">
        <w:rPr>
          <w:rFonts w:ascii="Arial" w:hAnsi="Arial" w:cs="Arial"/>
          <w:bCs/>
          <w:sz w:val="22"/>
        </w:rPr>
        <w:t>Countermeasure Tracking Systems</w:t>
      </w:r>
    </w:p>
    <w:p w:rsidR="002E7046" w:rsidRPr="002E7046" w:rsidRDefault="002E7046" w:rsidP="002E7046">
      <w:pPr>
        <w:rPr>
          <w:rFonts w:ascii="Arial" w:hAnsi="Arial" w:cs="Arial"/>
          <w:bCs/>
          <w:sz w:val="22"/>
        </w:rPr>
      </w:pPr>
      <w:r w:rsidRPr="002E7046">
        <w:rPr>
          <w:rFonts w:ascii="Arial" w:hAnsi="Arial" w:cs="Arial"/>
          <w:bCs/>
          <w:sz w:val="22"/>
        </w:rPr>
        <w:t>Division of Informatics Solutions and Operations</w:t>
      </w:r>
    </w:p>
    <w:p w:rsidR="002E7046" w:rsidRPr="002E7046" w:rsidRDefault="002E7046" w:rsidP="002E7046">
      <w:pPr>
        <w:rPr>
          <w:rFonts w:ascii="Arial" w:hAnsi="Arial" w:cs="Arial"/>
          <w:bCs/>
          <w:sz w:val="22"/>
        </w:rPr>
      </w:pPr>
      <w:r w:rsidRPr="002E7046">
        <w:rPr>
          <w:rFonts w:ascii="Arial" w:hAnsi="Arial" w:cs="Arial"/>
          <w:bCs/>
          <w:sz w:val="22"/>
        </w:rPr>
        <w:t>Centers for Disease Control and Prevention</w:t>
      </w:r>
    </w:p>
    <w:p w:rsidR="002E7046" w:rsidRPr="002E7046" w:rsidRDefault="002E7046" w:rsidP="002E7046">
      <w:pPr>
        <w:rPr>
          <w:rFonts w:ascii="Arial" w:hAnsi="Arial" w:cs="Arial"/>
          <w:bCs/>
          <w:sz w:val="22"/>
        </w:rPr>
      </w:pPr>
      <w:r w:rsidRPr="002E7046">
        <w:rPr>
          <w:rFonts w:ascii="Arial" w:hAnsi="Arial" w:cs="Arial"/>
          <w:bCs/>
          <w:sz w:val="22"/>
        </w:rPr>
        <w:t>1600 Clifton Road, Atlanta, 30333, Georgia</w:t>
      </w:r>
    </w:p>
    <w:p w:rsidR="002E7046" w:rsidRPr="002E7046" w:rsidRDefault="002E7046" w:rsidP="002E7046">
      <w:pPr>
        <w:rPr>
          <w:rFonts w:ascii="Arial" w:hAnsi="Arial" w:cs="Arial"/>
          <w:bCs/>
          <w:sz w:val="22"/>
        </w:rPr>
      </w:pPr>
      <w:r w:rsidRPr="002E7046">
        <w:rPr>
          <w:rFonts w:ascii="Arial" w:hAnsi="Arial" w:cs="Arial"/>
          <w:bCs/>
          <w:sz w:val="22"/>
        </w:rPr>
        <w:t>MS E 68</w:t>
      </w:r>
    </w:p>
    <w:p w:rsidR="002E7046" w:rsidRPr="002E7046" w:rsidRDefault="002E7046" w:rsidP="002E7046">
      <w:pPr>
        <w:rPr>
          <w:rFonts w:ascii="Arial" w:hAnsi="Arial" w:cs="Arial"/>
          <w:bCs/>
          <w:sz w:val="22"/>
        </w:rPr>
      </w:pPr>
      <w:r w:rsidRPr="002E7046">
        <w:rPr>
          <w:rFonts w:ascii="Arial" w:hAnsi="Arial" w:cs="Arial"/>
          <w:bCs/>
          <w:sz w:val="22"/>
        </w:rPr>
        <w:t>Phone</w:t>
      </w:r>
      <w:r>
        <w:rPr>
          <w:rFonts w:ascii="Arial" w:hAnsi="Arial" w:cs="Arial"/>
          <w:bCs/>
          <w:sz w:val="22"/>
        </w:rPr>
        <w:t>:</w:t>
      </w:r>
      <w:r w:rsidRPr="002E7046">
        <w:rPr>
          <w:rFonts w:ascii="Arial" w:hAnsi="Arial" w:cs="Arial"/>
          <w:bCs/>
          <w:sz w:val="22"/>
        </w:rPr>
        <w:t xml:space="preserve"> 404-498-2442</w:t>
      </w:r>
    </w:p>
    <w:p w:rsidR="002E7046" w:rsidRPr="002E7046" w:rsidRDefault="002E7046" w:rsidP="002E7046">
      <w:pPr>
        <w:rPr>
          <w:rFonts w:ascii="Arial" w:hAnsi="Arial" w:cs="Arial"/>
          <w:bCs/>
          <w:sz w:val="22"/>
        </w:rPr>
      </w:pPr>
      <w:r>
        <w:rPr>
          <w:rFonts w:ascii="Arial" w:hAnsi="Arial" w:cs="Arial"/>
          <w:bCs/>
          <w:sz w:val="22"/>
        </w:rPr>
        <w:t>Fax: 404-</w:t>
      </w:r>
      <w:r w:rsidRPr="002E7046">
        <w:rPr>
          <w:rFonts w:ascii="Arial" w:hAnsi="Arial" w:cs="Arial"/>
          <w:bCs/>
          <w:sz w:val="22"/>
        </w:rPr>
        <w:t>498</w:t>
      </w:r>
      <w:r>
        <w:rPr>
          <w:rFonts w:ascii="Arial" w:hAnsi="Arial" w:cs="Arial"/>
          <w:bCs/>
          <w:sz w:val="22"/>
        </w:rPr>
        <w:t>-</w:t>
      </w:r>
      <w:r w:rsidRPr="002E7046">
        <w:rPr>
          <w:rFonts w:ascii="Arial" w:hAnsi="Arial" w:cs="Arial"/>
          <w:bCs/>
          <w:sz w:val="22"/>
        </w:rPr>
        <w:t>6582</w:t>
      </w:r>
    </w:p>
    <w:p w:rsidR="00EF22F3" w:rsidRDefault="002E7046" w:rsidP="00F31BBD">
      <w:pPr>
        <w:outlineLvl w:val="0"/>
        <w:rPr>
          <w:rFonts w:ascii="Arial" w:hAnsi="Arial" w:cs="Arial"/>
          <w:sz w:val="22"/>
          <w:szCs w:val="22"/>
          <w:lang w:val="fr-FR"/>
        </w:rPr>
      </w:pPr>
      <w:r w:rsidRPr="002E7046">
        <w:rPr>
          <w:rFonts w:ascii="Arial" w:hAnsi="Arial" w:cs="Arial"/>
          <w:bCs/>
          <w:sz w:val="22"/>
        </w:rPr>
        <w:t>bnichols@cdc.gov</w:t>
      </w:r>
      <w:r w:rsidR="00EF22F3" w:rsidRPr="00BF2DC8">
        <w:rPr>
          <w:rFonts w:ascii="Arial" w:hAnsi="Arial" w:cs="Arial"/>
          <w:sz w:val="22"/>
          <w:szCs w:val="22"/>
        </w:rPr>
        <w:t xml:space="preserve">           </w:t>
      </w:r>
    </w:p>
    <w:p w:rsidR="006A51DC" w:rsidRDefault="006A51DC" w:rsidP="00F31BBD">
      <w:pPr>
        <w:outlineLvl w:val="0"/>
        <w:rPr>
          <w:rFonts w:ascii="Arial" w:hAnsi="Arial" w:cs="Arial"/>
          <w:sz w:val="22"/>
          <w:szCs w:val="22"/>
          <w:lang w:val="fr-FR"/>
        </w:rPr>
      </w:pPr>
    </w:p>
    <w:p w:rsidR="006A51DC" w:rsidRDefault="006A51DC" w:rsidP="00F31BBD">
      <w:pPr>
        <w:outlineLvl w:val="0"/>
        <w:rPr>
          <w:rFonts w:ascii="Arial" w:hAnsi="Arial" w:cs="Arial"/>
          <w:sz w:val="22"/>
          <w:szCs w:val="22"/>
          <w:lang w:val="fr-FR"/>
        </w:rPr>
      </w:pPr>
    </w:p>
    <w:p w:rsidR="006A51DC" w:rsidRDefault="006A51DC" w:rsidP="00F31BBD">
      <w:pPr>
        <w:outlineLvl w:val="0"/>
        <w:rPr>
          <w:rFonts w:ascii="Arial" w:hAnsi="Arial" w:cs="Arial"/>
          <w:sz w:val="22"/>
          <w:szCs w:val="22"/>
          <w:lang w:val="fr-FR"/>
        </w:rPr>
      </w:pPr>
    </w:p>
    <w:p w:rsidR="00EF22F3" w:rsidRPr="00170DD3" w:rsidRDefault="00EF22F3" w:rsidP="00EF22F3">
      <w:pPr>
        <w:jc w:val="center"/>
        <w:rPr>
          <w:rFonts w:ascii="Arial" w:hAnsi="Arial" w:cs="Arial"/>
          <w:b/>
          <w:sz w:val="22"/>
          <w:szCs w:val="22"/>
          <w:lang w:val="fr-FR"/>
        </w:rPr>
      </w:pPr>
    </w:p>
    <w:p w:rsidR="00EF22F3" w:rsidRPr="003827F9" w:rsidRDefault="00EF22F3" w:rsidP="00EF22F3">
      <w:pPr>
        <w:rPr>
          <w:rFonts w:ascii="Arial" w:hAnsi="Arial" w:cs="Arial"/>
          <w:b/>
          <w:sz w:val="22"/>
          <w:szCs w:val="22"/>
        </w:rPr>
      </w:pPr>
      <w:r>
        <w:rPr>
          <w:rFonts w:ascii="Arial" w:hAnsi="Arial" w:cs="Arial"/>
          <w:b/>
          <w:sz w:val="22"/>
          <w:szCs w:val="22"/>
        </w:rPr>
        <w:lastRenderedPageBreak/>
        <w:t>Section</w:t>
      </w:r>
      <w:r w:rsidRPr="003827F9">
        <w:rPr>
          <w:rFonts w:ascii="Arial" w:hAnsi="Arial" w:cs="Arial"/>
          <w:b/>
          <w:sz w:val="22"/>
          <w:szCs w:val="22"/>
        </w:rPr>
        <w:t xml:space="preserve"> A.  JUSTIFICATION</w:t>
      </w:r>
    </w:p>
    <w:p w:rsidR="00EF22F3" w:rsidRPr="003827F9" w:rsidRDefault="00EF22F3" w:rsidP="00EF22F3">
      <w:pPr>
        <w:rPr>
          <w:rFonts w:ascii="Arial" w:hAnsi="Arial" w:cs="Arial"/>
          <w:sz w:val="22"/>
          <w:szCs w:val="22"/>
        </w:rPr>
      </w:pPr>
    </w:p>
    <w:p w:rsidR="00EF22F3" w:rsidRPr="00D7018B" w:rsidRDefault="00EF22F3" w:rsidP="00EF22F3">
      <w:pPr>
        <w:pStyle w:val="ListParagraph"/>
        <w:numPr>
          <w:ilvl w:val="0"/>
          <w:numId w:val="1"/>
        </w:numPr>
        <w:rPr>
          <w:rFonts w:ascii="Arial" w:hAnsi="Arial" w:cs="Arial"/>
          <w:sz w:val="22"/>
          <w:szCs w:val="22"/>
          <w:u w:val="single"/>
        </w:rPr>
      </w:pPr>
      <w:r w:rsidRPr="003827F9">
        <w:rPr>
          <w:rFonts w:ascii="Arial" w:hAnsi="Arial" w:cs="Arial"/>
          <w:sz w:val="22"/>
          <w:szCs w:val="22"/>
          <w:u w:val="single"/>
        </w:rPr>
        <w:t>Circumstances Making the Collection of Information Necessary</w:t>
      </w:r>
    </w:p>
    <w:p w:rsidR="00EF22F3" w:rsidRDefault="00EF22F3" w:rsidP="00EF22F3">
      <w:pPr>
        <w:pStyle w:val="ListParagraph"/>
        <w:ind w:left="630"/>
        <w:rPr>
          <w:rFonts w:ascii="Arial" w:hAnsi="Arial" w:cs="Arial"/>
          <w:sz w:val="22"/>
          <w:szCs w:val="22"/>
        </w:rPr>
      </w:pPr>
    </w:p>
    <w:p w:rsidR="00EF22F3" w:rsidRPr="00F31BBD" w:rsidRDefault="00EF22F3" w:rsidP="002B0AC9">
      <w:pPr>
        <w:ind w:firstLine="720"/>
        <w:rPr>
          <w:rFonts w:ascii="Arial" w:hAnsi="Arial" w:cs="Arial"/>
          <w:sz w:val="20"/>
          <w:szCs w:val="20"/>
        </w:rPr>
      </w:pPr>
      <w:r w:rsidRPr="00F31BBD">
        <w:rPr>
          <w:rFonts w:ascii="Arial" w:hAnsi="Arial" w:cs="Arial"/>
          <w:b/>
          <w:sz w:val="20"/>
          <w:szCs w:val="20"/>
        </w:rPr>
        <w:t>Background</w:t>
      </w:r>
    </w:p>
    <w:p w:rsidR="00A178DD" w:rsidRPr="00A178DD" w:rsidRDefault="00EF22F3" w:rsidP="00A178DD">
      <w:pPr>
        <w:ind w:left="720"/>
        <w:rPr>
          <w:rFonts w:ascii="Arial" w:hAnsi="Arial" w:cs="Arial"/>
          <w:sz w:val="20"/>
          <w:szCs w:val="20"/>
        </w:rPr>
      </w:pPr>
      <w:r w:rsidRPr="00F31BBD">
        <w:rPr>
          <w:rFonts w:ascii="Arial" w:hAnsi="Arial" w:cs="Arial"/>
          <w:sz w:val="20"/>
          <w:szCs w:val="20"/>
        </w:rPr>
        <w:t xml:space="preserve">This data collection is being conducted using the Generic Information Collection mechanism of the OSTLTS Survey Center (OSC) – OMB No. 0920-0879. The respondent universe for this data collection aligns with that of the OSC.  Data will be collected from </w:t>
      </w:r>
      <w:r w:rsidR="004D4899">
        <w:rPr>
          <w:rFonts w:ascii="Arial" w:hAnsi="Arial" w:cs="Arial"/>
          <w:sz w:val="20"/>
          <w:szCs w:val="20"/>
        </w:rPr>
        <w:t xml:space="preserve">one representative (i.e., designee) from </w:t>
      </w:r>
      <w:r w:rsidR="002079C1">
        <w:rPr>
          <w:rFonts w:ascii="Arial" w:hAnsi="Arial" w:cs="Arial"/>
          <w:sz w:val="20"/>
          <w:szCs w:val="20"/>
        </w:rPr>
        <w:t>CDC’s Public Health E</w:t>
      </w:r>
      <w:r w:rsidR="00AE37EA" w:rsidRPr="00AE37EA">
        <w:rPr>
          <w:rFonts w:ascii="Arial" w:hAnsi="Arial" w:cs="Arial"/>
          <w:sz w:val="20"/>
          <w:szCs w:val="20"/>
        </w:rPr>
        <w:t xml:space="preserve">mergency </w:t>
      </w:r>
      <w:r w:rsidR="002079C1">
        <w:rPr>
          <w:rFonts w:ascii="Arial" w:hAnsi="Arial" w:cs="Arial"/>
          <w:sz w:val="20"/>
          <w:szCs w:val="20"/>
        </w:rPr>
        <w:t>P</w:t>
      </w:r>
      <w:r w:rsidR="00AE37EA" w:rsidRPr="00AE37EA">
        <w:rPr>
          <w:rFonts w:ascii="Arial" w:hAnsi="Arial" w:cs="Arial"/>
          <w:sz w:val="20"/>
          <w:szCs w:val="20"/>
        </w:rPr>
        <w:t>reparedness</w:t>
      </w:r>
      <w:r w:rsidR="00A178DD">
        <w:rPr>
          <w:rFonts w:ascii="Arial" w:hAnsi="Arial" w:cs="Arial"/>
          <w:sz w:val="20"/>
          <w:szCs w:val="20"/>
        </w:rPr>
        <w:t xml:space="preserve"> (PHEP)</w:t>
      </w:r>
      <w:r w:rsidR="00AE37EA" w:rsidRPr="00AE37EA">
        <w:rPr>
          <w:rFonts w:ascii="Arial" w:hAnsi="Arial" w:cs="Arial"/>
          <w:sz w:val="20"/>
          <w:szCs w:val="20"/>
        </w:rPr>
        <w:t xml:space="preserve"> </w:t>
      </w:r>
      <w:r w:rsidR="004570E1">
        <w:rPr>
          <w:rFonts w:ascii="Arial" w:hAnsi="Arial" w:cs="Arial"/>
          <w:sz w:val="20"/>
          <w:szCs w:val="20"/>
        </w:rPr>
        <w:t>awardees</w:t>
      </w:r>
      <w:r w:rsidR="004570E1" w:rsidRPr="00AE37EA">
        <w:rPr>
          <w:rFonts w:ascii="Arial" w:hAnsi="Arial" w:cs="Arial"/>
          <w:sz w:val="20"/>
          <w:szCs w:val="20"/>
        </w:rPr>
        <w:t xml:space="preserve"> </w:t>
      </w:r>
      <w:r w:rsidR="002079C1" w:rsidRPr="00C72481">
        <w:rPr>
          <w:rFonts w:ascii="Arial" w:hAnsi="Arial" w:cs="Arial"/>
          <w:color w:val="000000"/>
          <w:sz w:val="20"/>
          <w:szCs w:val="20"/>
        </w:rPr>
        <w:t xml:space="preserve">(50 states, New York City, Chicago, Los Angeles, Washington, D.C. and 8 island territories) </w:t>
      </w:r>
      <w:r w:rsidR="00AE37EA" w:rsidRPr="00AE37EA">
        <w:rPr>
          <w:rFonts w:ascii="Arial" w:hAnsi="Arial" w:cs="Arial"/>
          <w:sz w:val="20"/>
          <w:szCs w:val="20"/>
        </w:rPr>
        <w:t xml:space="preserve">and </w:t>
      </w:r>
      <w:r w:rsidR="004D4899">
        <w:rPr>
          <w:rFonts w:ascii="Arial" w:hAnsi="Arial" w:cs="Arial"/>
          <w:color w:val="000000"/>
          <w:sz w:val="20"/>
          <w:szCs w:val="20"/>
        </w:rPr>
        <w:t>their localities</w:t>
      </w:r>
      <w:r w:rsidR="00AE37EA" w:rsidRPr="00AE37EA">
        <w:rPr>
          <w:rFonts w:ascii="Arial" w:hAnsi="Arial" w:cs="Arial"/>
          <w:sz w:val="20"/>
          <w:szCs w:val="20"/>
        </w:rPr>
        <w:t xml:space="preserve"> </w:t>
      </w:r>
      <w:r w:rsidR="00C72481">
        <w:rPr>
          <w:rFonts w:ascii="Arial" w:hAnsi="Arial" w:cs="Arial"/>
          <w:sz w:val="20"/>
          <w:szCs w:val="20"/>
        </w:rPr>
        <w:t>that have evaluated</w:t>
      </w:r>
      <w:r w:rsidR="00466988" w:rsidRPr="00F31BBD">
        <w:rPr>
          <w:rFonts w:ascii="Arial" w:hAnsi="Arial" w:cs="Arial"/>
          <w:sz w:val="20"/>
          <w:szCs w:val="20"/>
        </w:rPr>
        <w:t xml:space="preserve"> the Inventory Management and Tracking System (IMAT</w:t>
      </w:r>
      <w:r w:rsidR="00AD3744">
        <w:rPr>
          <w:rFonts w:ascii="Arial" w:hAnsi="Arial" w:cs="Arial"/>
          <w:sz w:val="20"/>
          <w:szCs w:val="20"/>
        </w:rPr>
        <w:t>S</w:t>
      </w:r>
      <w:r w:rsidR="00466988" w:rsidRPr="00F31BBD">
        <w:rPr>
          <w:rFonts w:ascii="Arial" w:hAnsi="Arial" w:cs="Arial"/>
          <w:sz w:val="20"/>
          <w:szCs w:val="20"/>
        </w:rPr>
        <w:t>), an inform</w:t>
      </w:r>
      <w:r w:rsidR="00F74F05" w:rsidRPr="00F31BBD">
        <w:rPr>
          <w:rFonts w:ascii="Arial" w:hAnsi="Arial" w:cs="Arial"/>
          <w:sz w:val="20"/>
          <w:szCs w:val="20"/>
        </w:rPr>
        <w:t xml:space="preserve">atics </w:t>
      </w:r>
      <w:r w:rsidR="00AD3744" w:rsidRPr="00AD3744">
        <w:rPr>
          <w:rFonts w:ascii="Arial" w:hAnsi="Arial" w:cs="Arial"/>
          <w:sz w:val="20"/>
          <w:szCs w:val="20"/>
        </w:rPr>
        <w:t>tool to track medical and non-medical countermeasure inventory and supplies</w:t>
      </w:r>
      <w:r w:rsidR="006409DF">
        <w:rPr>
          <w:rFonts w:ascii="Arial" w:hAnsi="Arial" w:cs="Arial"/>
          <w:sz w:val="20"/>
          <w:szCs w:val="20"/>
        </w:rPr>
        <w:t xml:space="preserve"> (e.g., vaccines, antibiotics, surgical masks, etc.)</w:t>
      </w:r>
      <w:r w:rsidR="00AD3744" w:rsidRPr="00AD3744">
        <w:rPr>
          <w:rFonts w:ascii="Arial" w:hAnsi="Arial" w:cs="Arial"/>
          <w:sz w:val="20"/>
          <w:szCs w:val="20"/>
        </w:rPr>
        <w:t xml:space="preserve"> </w:t>
      </w:r>
      <w:r w:rsidR="00281904">
        <w:rPr>
          <w:rFonts w:ascii="Arial" w:hAnsi="Arial" w:cs="Arial"/>
          <w:sz w:val="20"/>
          <w:szCs w:val="20"/>
        </w:rPr>
        <w:t xml:space="preserve">used by state and local health departments </w:t>
      </w:r>
      <w:r w:rsidR="00AD3744" w:rsidRPr="00AD3744">
        <w:rPr>
          <w:rFonts w:ascii="Arial" w:hAnsi="Arial" w:cs="Arial"/>
          <w:sz w:val="20"/>
          <w:szCs w:val="20"/>
        </w:rPr>
        <w:t>during daily operations or an event</w:t>
      </w:r>
      <w:r w:rsidR="00AD3744">
        <w:rPr>
          <w:rFonts w:ascii="Arial" w:hAnsi="Arial" w:cs="Arial"/>
          <w:sz w:val="20"/>
          <w:szCs w:val="20"/>
        </w:rPr>
        <w:t>.</w:t>
      </w:r>
      <w:r w:rsidR="00FE3BD4">
        <w:rPr>
          <w:rFonts w:ascii="Arial" w:hAnsi="Arial" w:cs="Arial"/>
          <w:sz w:val="20"/>
          <w:szCs w:val="20"/>
        </w:rPr>
        <w:t xml:space="preserve"> </w:t>
      </w:r>
      <w:r w:rsidR="00A178DD" w:rsidRPr="00A178DD">
        <w:rPr>
          <w:rFonts w:ascii="Arial" w:hAnsi="Arial" w:cs="Arial"/>
          <w:sz w:val="20"/>
          <w:szCs w:val="20"/>
        </w:rPr>
        <w:t xml:space="preserve">As part of the established process for evaluating IMATS, the CTS team would like to collect information from state and local </w:t>
      </w:r>
      <w:r w:rsidR="00150AAA">
        <w:rPr>
          <w:rFonts w:ascii="Arial" w:hAnsi="Arial" w:cs="Arial"/>
          <w:sz w:val="20"/>
          <w:szCs w:val="20"/>
        </w:rPr>
        <w:t>awardees</w:t>
      </w:r>
      <w:r w:rsidR="00150AAA" w:rsidRPr="00A178DD">
        <w:rPr>
          <w:rFonts w:ascii="Arial" w:hAnsi="Arial" w:cs="Arial"/>
          <w:sz w:val="20"/>
          <w:szCs w:val="20"/>
        </w:rPr>
        <w:t xml:space="preserve"> </w:t>
      </w:r>
      <w:r w:rsidR="00A178DD" w:rsidRPr="00A178DD">
        <w:rPr>
          <w:rFonts w:ascii="Arial" w:hAnsi="Arial" w:cs="Arial"/>
          <w:sz w:val="20"/>
          <w:szCs w:val="20"/>
        </w:rPr>
        <w:t>on the impact of IMATS in meeting the needs within their jurisdiction</w:t>
      </w:r>
      <w:r w:rsidR="00A178DD">
        <w:rPr>
          <w:rFonts w:ascii="Arial" w:hAnsi="Arial" w:cs="Arial"/>
          <w:sz w:val="20"/>
          <w:szCs w:val="20"/>
        </w:rPr>
        <w:t>.</w:t>
      </w:r>
    </w:p>
    <w:p w:rsidR="00F5638F" w:rsidRPr="00F31BBD" w:rsidRDefault="00F5638F" w:rsidP="001A7200">
      <w:pPr>
        <w:ind w:left="720"/>
        <w:rPr>
          <w:rFonts w:ascii="Arial" w:hAnsi="Arial" w:cs="Arial"/>
          <w:color w:val="000000"/>
          <w:sz w:val="20"/>
          <w:szCs w:val="20"/>
          <w:lang w:val="en"/>
        </w:rPr>
      </w:pPr>
    </w:p>
    <w:p w:rsidR="00EE4D59" w:rsidRDefault="00BB04F7" w:rsidP="001A7200">
      <w:pPr>
        <w:pStyle w:val="NormalWeb"/>
        <w:ind w:left="720"/>
      </w:pPr>
      <w:r w:rsidRPr="00F31BBD">
        <w:rPr>
          <w:rFonts w:ascii="Arial" w:hAnsi="Arial" w:cs="Arial"/>
          <w:color w:val="000000"/>
          <w:sz w:val="20"/>
          <w:szCs w:val="20"/>
          <w:lang w:val="en"/>
        </w:rPr>
        <w:t xml:space="preserve">The </w:t>
      </w:r>
      <w:r>
        <w:rPr>
          <w:rFonts w:ascii="Arial" w:hAnsi="Arial" w:cs="Arial"/>
          <w:color w:val="000000"/>
          <w:sz w:val="20"/>
          <w:szCs w:val="20"/>
          <w:lang w:val="en"/>
        </w:rPr>
        <w:t>purpose</w:t>
      </w:r>
      <w:r w:rsidRPr="00F31BBD">
        <w:rPr>
          <w:rFonts w:ascii="Arial" w:hAnsi="Arial" w:cs="Arial"/>
          <w:color w:val="000000"/>
          <w:sz w:val="20"/>
          <w:szCs w:val="20"/>
          <w:lang w:val="en"/>
        </w:rPr>
        <w:t xml:space="preserve"> of IMATS is to increase the capacity of all levels of public health to track and manage inventory of medical and non-medical countermeasures during daily operations or an emergency response</w:t>
      </w:r>
      <w:r>
        <w:rPr>
          <w:rFonts w:ascii="Arial" w:hAnsi="Arial" w:cs="Arial"/>
          <w:color w:val="000000"/>
          <w:sz w:val="20"/>
          <w:szCs w:val="20"/>
          <w:lang w:val="en"/>
        </w:rPr>
        <w:t>.</w:t>
      </w:r>
      <w:r w:rsidRPr="00F31BBD">
        <w:rPr>
          <w:rFonts w:ascii="Arial" w:hAnsi="Arial" w:cs="Arial"/>
          <w:color w:val="000000"/>
          <w:sz w:val="20"/>
          <w:szCs w:val="20"/>
          <w:lang w:val="en"/>
        </w:rPr>
        <w:t xml:space="preserve"> The IMATS solution provides state and local public health providers with a tool to track quantities of inventory, monitor reorder thresholds, and facilitate warehouse operations including receiving, staging, and storing of inventory.</w:t>
      </w:r>
      <w:r>
        <w:rPr>
          <w:rFonts w:ascii="Arial" w:hAnsi="Arial" w:cs="Arial"/>
          <w:color w:val="000000"/>
          <w:sz w:val="20"/>
          <w:szCs w:val="20"/>
          <w:lang w:val="en"/>
        </w:rPr>
        <w:t xml:space="preserve"> </w:t>
      </w:r>
      <w:r w:rsidRPr="00E5270B">
        <w:rPr>
          <w:rFonts w:ascii="Arial" w:hAnsi="Arial" w:cs="Arial"/>
          <w:color w:val="000000"/>
          <w:sz w:val="20"/>
          <w:szCs w:val="20"/>
        </w:rPr>
        <w:t>All levels of public health benefit from IMATS, which provides a line of sight for medical and non-medical countermeasure inventory. At the federal level, IMATS will increase the efficiency of collecting data during an event and reporting data to CDC.  This understanding is critical for decisions regarding allocation and re-supply of federal assets. IMATS is available free of charge to users and does not require additional development and maintenance fees.</w:t>
      </w:r>
      <w:r>
        <w:rPr>
          <w:rFonts w:ascii="Arial" w:hAnsi="Arial" w:cs="Arial"/>
          <w:color w:val="000000"/>
          <w:sz w:val="20"/>
          <w:szCs w:val="20"/>
        </w:rPr>
        <w:t xml:space="preserve"> </w:t>
      </w:r>
      <w:r w:rsidRPr="00E5270B">
        <w:rPr>
          <w:rFonts w:ascii="Arial" w:hAnsi="Arial" w:cs="Arial"/>
          <w:color w:val="000000"/>
          <w:sz w:val="20"/>
          <w:szCs w:val="20"/>
        </w:rPr>
        <w:t>At the state and local level, IMATS allows inventory management and tracking of medical and non-medical countermeasures obtained from either commercial suppliers or the federal government. The use of IMATS improves event response coordination and communication of inventory information within a locality</w:t>
      </w:r>
      <w:r>
        <w:rPr>
          <w:rFonts w:ascii="Arial" w:hAnsi="Arial" w:cs="Arial"/>
          <w:color w:val="000000"/>
          <w:sz w:val="20"/>
          <w:szCs w:val="20"/>
        </w:rPr>
        <w:t xml:space="preserve">. </w:t>
      </w:r>
      <w:r w:rsidRPr="00E5270B">
        <w:rPr>
          <w:rFonts w:ascii="Arial" w:hAnsi="Arial" w:cs="Arial"/>
          <w:color w:val="000000"/>
          <w:sz w:val="20"/>
          <w:szCs w:val="20"/>
        </w:rPr>
        <w:t xml:space="preserve">IMATS </w:t>
      </w:r>
      <w:r>
        <w:rPr>
          <w:rFonts w:ascii="Arial" w:hAnsi="Arial" w:cs="Arial"/>
          <w:color w:val="000000"/>
          <w:sz w:val="20"/>
          <w:szCs w:val="20"/>
        </w:rPr>
        <w:t xml:space="preserve">also </w:t>
      </w:r>
      <w:r w:rsidRPr="00E5270B">
        <w:rPr>
          <w:rFonts w:ascii="Arial" w:hAnsi="Arial" w:cs="Arial"/>
          <w:color w:val="000000"/>
          <w:sz w:val="20"/>
          <w:szCs w:val="20"/>
        </w:rPr>
        <w:t>eases the burden of collecting critical inventory information and reporting it to CDC.</w:t>
      </w:r>
      <w:r w:rsidRPr="003A70D8">
        <w:rPr>
          <w:rFonts w:ascii="Arial" w:hAnsi="Arial" w:cs="Arial"/>
          <w:color w:val="000000"/>
          <w:sz w:val="20"/>
          <w:szCs w:val="20"/>
        </w:rPr>
        <w:t xml:space="preserve"> </w:t>
      </w:r>
      <w:r w:rsidRPr="00E5270B">
        <w:rPr>
          <w:rFonts w:ascii="Arial" w:hAnsi="Arial" w:cs="Arial"/>
          <w:color w:val="000000"/>
          <w:sz w:val="20"/>
          <w:szCs w:val="20"/>
        </w:rPr>
        <w:t>A</w:t>
      </w:r>
      <w:r>
        <w:rPr>
          <w:rFonts w:ascii="Arial" w:hAnsi="Arial" w:cs="Arial"/>
          <w:color w:val="000000"/>
          <w:sz w:val="20"/>
          <w:szCs w:val="20"/>
        </w:rPr>
        <w:t>dditionally, a</w:t>
      </w:r>
      <w:r w:rsidRPr="00E5270B">
        <w:rPr>
          <w:rFonts w:ascii="Arial" w:hAnsi="Arial" w:cs="Arial"/>
          <w:color w:val="000000"/>
          <w:sz w:val="20"/>
          <w:szCs w:val="20"/>
        </w:rPr>
        <w:t>n IMATS training environment is available for users to conduct trainings and exercises without having to use or modify their live data.</w:t>
      </w:r>
    </w:p>
    <w:p w:rsidR="00C72481" w:rsidRPr="00C72481" w:rsidRDefault="00FE0533" w:rsidP="00C72481">
      <w:pPr>
        <w:pStyle w:val="NormalWeb"/>
        <w:ind w:left="720"/>
        <w:rPr>
          <w:rFonts w:ascii="Arial" w:hAnsi="Arial" w:cs="Arial"/>
          <w:color w:val="000000"/>
          <w:sz w:val="20"/>
          <w:szCs w:val="20"/>
        </w:rPr>
      </w:pPr>
      <w:r>
        <w:rPr>
          <w:rFonts w:ascii="Arial" w:hAnsi="Arial" w:cs="Arial"/>
          <w:color w:val="000000"/>
          <w:sz w:val="20"/>
          <w:szCs w:val="20"/>
        </w:rPr>
        <w:t xml:space="preserve">The </w:t>
      </w:r>
      <w:r w:rsidR="0098785E">
        <w:rPr>
          <w:rFonts w:ascii="Arial" w:hAnsi="Arial" w:cs="Arial"/>
          <w:color w:val="000000"/>
          <w:sz w:val="20"/>
          <w:szCs w:val="20"/>
        </w:rPr>
        <w:t>rationale for</w:t>
      </w:r>
      <w:r>
        <w:rPr>
          <w:rFonts w:ascii="Arial" w:hAnsi="Arial" w:cs="Arial"/>
          <w:color w:val="000000"/>
          <w:sz w:val="20"/>
          <w:szCs w:val="20"/>
        </w:rPr>
        <w:t xml:space="preserve"> IMATS </w:t>
      </w:r>
      <w:r w:rsidR="00345E9C">
        <w:rPr>
          <w:rFonts w:ascii="Arial" w:hAnsi="Arial" w:cs="Arial"/>
          <w:color w:val="000000"/>
          <w:sz w:val="20"/>
          <w:szCs w:val="20"/>
        </w:rPr>
        <w:t>follow</w:t>
      </w:r>
      <w:r w:rsidR="0098785E">
        <w:rPr>
          <w:rFonts w:ascii="Arial" w:hAnsi="Arial" w:cs="Arial"/>
          <w:color w:val="000000"/>
          <w:sz w:val="20"/>
          <w:szCs w:val="20"/>
        </w:rPr>
        <w:t>ed</w:t>
      </w:r>
      <w:r w:rsidR="00345E9C">
        <w:rPr>
          <w:rFonts w:ascii="Arial" w:hAnsi="Arial" w:cs="Arial"/>
          <w:color w:val="000000"/>
          <w:sz w:val="20"/>
          <w:szCs w:val="20"/>
        </w:rPr>
        <w:t xml:space="preserve"> t</w:t>
      </w:r>
      <w:r w:rsidR="00C72481" w:rsidRPr="00C72481">
        <w:rPr>
          <w:rFonts w:ascii="Arial" w:hAnsi="Arial" w:cs="Arial"/>
          <w:color w:val="000000"/>
          <w:sz w:val="20"/>
          <w:szCs w:val="20"/>
        </w:rPr>
        <w:t>he 2009 H1N1 pandemic</w:t>
      </w:r>
      <w:r w:rsidR="00345E9C">
        <w:rPr>
          <w:rFonts w:ascii="Arial" w:hAnsi="Arial" w:cs="Arial"/>
          <w:color w:val="000000"/>
          <w:sz w:val="20"/>
          <w:szCs w:val="20"/>
        </w:rPr>
        <w:t>, which</w:t>
      </w:r>
      <w:r w:rsidR="00C72481" w:rsidRPr="00C72481">
        <w:rPr>
          <w:rFonts w:ascii="Arial" w:hAnsi="Arial" w:cs="Arial"/>
          <w:color w:val="000000"/>
          <w:sz w:val="20"/>
          <w:szCs w:val="20"/>
        </w:rPr>
        <w:t xml:space="preserve"> highlighted the need for a nationwide inventory management and tracking system with the capability to provide an inventory line of sight, detailing what is available and on-hand at all levels, including state, regional, local and point of dispensing levels.  During the H1N1 event, the Centers for Disease Control and Prevention (CDC), Division of Strategic National Stockpile (DSNS) was tasked with tracking quantities of antiviral drugs and personal protective equipment distributed to states and local points of distribution. </w:t>
      </w:r>
      <w:r w:rsidR="006A7B7A">
        <w:rPr>
          <w:rFonts w:ascii="Arial" w:hAnsi="Arial" w:cs="Arial"/>
          <w:color w:val="000000"/>
          <w:sz w:val="20"/>
          <w:szCs w:val="20"/>
        </w:rPr>
        <w:t xml:space="preserve">CDC staff had to email all </w:t>
      </w:r>
      <w:r w:rsidR="00AB6EE9">
        <w:rPr>
          <w:rFonts w:ascii="Arial" w:hAnsi="Arial" w:cs="Arial"/>
          <w:color w:val="000000"/>
          <w:sz w:val="20"/>
          <w:szCs w:val="20"/>
        </w:rPr>
        <w:t>PHEP</w:t>
      </w:r>
      <w:r w:rsidR="006A7B7A">
        <w:rPr>
          <w:rFonts w:ascii="Arial" w:hAnsi="Arial" w:cs="Arial"/>
          <w:color w:val="000000"/>
          <w:sz w:val="20"/>
          <w:szCs w:val="20"/>
        </w:rPr>
        <w:t xml:space="preserve"> </w:t>
      </w:r>
      <w:r w:rsidR="00150AAA">
        <w:rPr>
          <w:rFonts w:ascii="Arial" w:hAnsi="Arial" w:cs="Arial"/>
          <w:color w:val="000000"/>
          <w:sz w:val="20"/>
          <w:szCs w:val="20"/>
        </w:rPr>
        <w:t xml:space="preserve">awardees </w:t>
      </w:r>
      <w:r w:rsidR="006A7B7A">
        <w:rPr>
          <w:rFonts w:ascii="Arial" w:hAnsi="Arial" w:cs="Arial"/>
          <w:color w:val="000000"/>
          <w:sz w:val="20"/>
          <w:szCs w:val="20"/>
        </w:rPr>
        <w:t xml:space="preserve">to collect </w:t>
      </w:r>
      <w:r w:rsidR="002079C1">
        <w:rPr>
          <w:rFonts w:ascii="Arial" w:hAnsi="Arial" w:cs="Arial"/>
          <w:color w:val="000000"/>
          <w:sz w:val="20"/>
          <w:szCs w:val="20"/>
        </w:rPr>
        <w:t>and collate information in order to make a decision on which areas needed countermeasures</w:t>
      </w:r>
      <w:r w:rsidR="00665A59">
        <w:rPr>
          <w:rFonts w:ascii="Arial" w:hAnsi="Arial" w:cs="Arial"/>
          <w:color w:val="000000"/>
          <w:sz w:val="20"/>
          <w:szCs w:val="20"/>
        </w:rPr>
        <w:t>.</w:t>
      </w:r>
    </w:p>
    <w:p w:rsidR="00C72481" w:rsidRPr="00C72481" w:rsidRDefault="00C72481" w:rsidP="00C72481">
      <w:pPr>
        <w:pStyle w:val="NormalWeb"/>
        <w:ind w:left="720"/>
        <w:rPr>
          <w:rFonts w:ascii="Arial" w:hAnsi="Arial" w:cs="Arial"/>
          <w:color w:val="000000"/>
          <w:sz w:val="20"/>
          <w:szCs w:val="20"/>
        </w:rPr>
      </w:pPr>
      <w:r w:rsidRPr="00C72481">
        <w:rPr>
          <w:rFonts w:ascii="Arial" w:hAnsi="Arial" w:cs="Arial"/>
          <w:color w:val="000000"/>
          <w:sz w:val="20"/>
          <w:szCs w:val="20"/>
        </w:rPr>
        <w:t xml:space="preserve">CDC’s </w:t>
      </w:r>
      <w:r w:rsidR="00925B22">
        <w:rPr>
          <w:rFonts w:ascii="Arial" w:hAnsi="Arial" w:cs="Arial"/>
          <w:color w:val="000000"/>
          <w:sz w:val="20"/>
          <w:szCs w:val="20"/>
        </w:rPr>
        <w:t>PHEP</w:t>
      </w:r>
      <w:r w:rsidRPr="00C72481">
        <w:rPr>
          <w:rFonts w:ascii="Arial" w:hAnsi="Arial" w:cs="Arial"/>
          <w:color w:val="000000"/>
          <w:sz w:val="20"/>
          <w:szCs w:val="20"/>
        </w:rPr>
        <w:t xml:space="preserve"> </w:t>
      </w:r>
      <w:r w:rsidR="00150AAA">
        <w:rPr>
          <w:rFonts w:ascii="Arial" w:hAnsi="Arial" w:cs="Arial"/>
          <w:color w:val="000000"/>
          <w:sz w:val="20"/>
          <w:szCs w:val="20"/>
        </w:rPr>
        <w:t>awardees</w:t>
      </w:r>
      <w:r w:rsidR="00150AAA" w:rsidRPr="00C72481">
        <w:rPr>
          <w:rFonts w:ascii="Arial" w:hAnsi="Arial" w:cs="Arial"/>
          <w:color w:val="000000"/>
          <w:sz w:val="20"/>
          <w:szCs w:val="20"/>
        </w:rPr>
        <w:t xml:space="preserve"> </w:t>
      </w:r>
      <w:r w:rsidRPr="00C72481">
        <w:rPr>
          <w:rFonts w:ascii="Arial" w:hAnsi="Arial" w:cs="Arial"/>
          <w:color w:val="000000"/>
          <w:sz w:val="20"/>
          <w:szCs w:val="20"/>
        </w:rPr>
        <w:t xml:space="preserve">were mandated to track this material, and reported inventory data to CDC via paper-based methods or through CDC’s Countermeasure and Response Administration (CRA) system.  This data was merged with data from commercial drug suppliers to provide an overall picture of the countermeasure inventory supply chain.  This information was aggregated, analyzed, and provided to federal government decision makers, and used to determine countermeasure allocation to the public. </w:t>
      </w:r>
    </w:p>
    <w:p w:rsidR="00C72481" w:rsidRDefault="00C72481" w:rsidP="00A47E42">
      <w:pPr>
        <w:pStyle w:val="NormalWeb"/>
        <w:ind w:left="720"/>
        <w:rPr>
          <w:rFonts w:ascii="Arial" w:hAnsi="Arial" w:cs="Arial"/>
          <w:color w:val="000000"/>
          <w:sz w:val="20"/>
          <w:szCs w:val="20"/>
        </w:rPr>
      </w:pPr>
      <w:r w:rsidRPr="00C72481">
        <w:rPr>
          <w:rFonts w:ascii="Arial" w:hAnsi="Arial" w:cs="Arial"/>
          <w:color w:val="000000"/>
          <w:sz w:val="20"/>
          <w:szCs w:val="20"/>
        </w:rPr>
        <w:t>The collection and analysis of the data proved to be a</w:t>
      </w:r>
      <w:r w:rsidR="003A66BB">
        <w:rPr>
          <w:rFonts w:ascii="Arial" w:hAnsi="Arial" w:cs="Arial"/>
          <w:color w:val="000000"/>
          <w:sz w:val="20"/>
          <w:szCs w:val="20"/>
        </w:rPr>
        <w:t>n extremely time consuming and</w:t>
      </w:r>
      <w:r w:rsidRPr="00C72481">
        <w:rPr>
          <w:rFonts w:ascii="Arial" w:hAnsi="Arial" w:cs="Arial"/>
          <w:color w:val="000000"/>
          <w:sz w:val="20"/>
          <w:szCs w:val="20"/>
        </w:rPr>
        <w:t xml:space="preserve"> labor intensive process due to the variety of methods that </w:t>
      </w:r>
      <w:r w:rsidR="004570E1">
        <w:rPr>
          <w:rFonts w:ascii="Arial" w:hAnsi="Arial" w:cs="Arial"/>
          <w:color w:val="000000"/>
          <w:sz w:val="20"/>
          <w:szCs w:val="20"/>
        </w:rPr>
        <w:t>PHEP awardees</w:t>
      </w:r>
      <w:r w:rsidRPr="00C72481">
        <w:rPr>
          <w:rFonts w:ascii="Arial" w:hAnsi="Arial" w:cs="Arial"/>
          <w:color w:val="000000"/>
          <w:sz w:val="20"/>
          <w:szCs w:val="20"/>
        </w:rPr>
        <w:t xml:space="preserve"> employed.  In addition, the data that was received was not sufficient to provide full visibility of inventory at the local level. CDC was able to respond to requests for information from national leadership but could not provide for any plan-ahead capabilities, making it apparent that a more robust data collection tool was needed in order to capture an inventory line of sight down to the point of dispensing level.  To ensure these issues were addressed for future events, DSNS partnered with CDC’s Division of Informatics Solutions and Operations (DISO) Countermeasure Tracking Systems (CTS) team </w:t>
      </w:r>
      <w:r w:rsidR="00E80500">
        <w:rPr>
          <w:rFonts w:ascii="Arial" w:hAnsi="Arial" w:cs="Arial"/>
          <w:color w:val="000000"/>
          <w:sz w:val="20"/>
          <w:szCs w:val="20"/>
        </w:rPr>
        <w:t xml:space="preserve">(See </w:t>
      </w:r>
      <w:r w:rsidR="00E80500" w:rsidRPr="0065516D">
        <w:rPr>
          <w:rFonts w:ascii="Arial" w:hAnsi="Arial" w:cs="Arial"/>
          <w:b/>
          <w:color w:val="000000"/>
          <w:sz w:val="20"/>
          <w:szCs w:val="20"/>
        </w:rPr>
        <w:t>Attachment A – CTS brochure</w:t>
      </w:r>
      <w:r w:rsidR="0065516D" w:rsidRPr="0065516D">
        <w:rPr>
          <w:rFonts w:ascii="Arial" w:hAnsi="Arial" w:cs="Arial"/>
          <w:b/>
          <w:color w:val="000000"/>
          <w:sz w:val="20"/>
          <w:szCs w:val="20"/>
        </w:rPr>
        <w:t>,</w:t>
      </w:r>
      <w:r w:rsidR="0065516D">
        <w:rPr>
          <w:rFonts w:ascii="Arial" w:hAnsi="Arial" w:cs="Arial"/>
          <w:b/>
          <w:color w:val="000000"/>
          <w:sz w:val="20"/>
          <w:szCs w:val="20"/>
        </w:rPr>
        <w:t xml:space="preserve"> Attachment B – CTS poster</w:t>
      </w:r>
      <w:r w:rsidR="00E80500">
        <w:rPr>
          <w:rFonts w:ascii="Arial" w:hAnsi="Arial" w:cs="Arial"/>
          <w:color w:val="000000"/>
          <w:sz w:val="20"/>
          <w:szCs w:val="20"/>
        </w:rPr>
        <w:t xml:space="preserve">) </w:t>
      </w:r>
      <w:r w:rsidRPr="00C72481">
        <w:rPr>
          <w:rFonts w:ascii="Arial" w:hAnsi="Arial" w:cs="Arial"/>
          <w:color w:val="000000"/>
          <w:sz w:val="20"/>
          <w:szCs w:val="20"/>
        </w:rPr>
        <w:t>to initiate a new project to build a nationwide Inventory Management and Tracking System, which provide</w:t>
      </w:r>
      <w:r w:rsidR="00925B22">
        <w:rPr>
          <w:rFonts w:ascii="Arial" w:hAnsi="Arial" w:cs="Arial"/>
          <w:color w:val="000000"/>
          <w:sz w:val="20"/>
          <w:szCs w:val="20"/>
        </w:rPr>
        <w:t>s</w:t>
      </w:r>
      <w:r w:rsidRPr="00C72481">
        <w:rPr>
          <w:rFonts w:ascii="Arial" w:hAnsi="Arial" w:cs="Arial"/>
          <w:color w:val="000000"/>
          <w:sz w:val="20"/>
          <w:szCs w:val="20"/>
        </w:rPr>
        <w:t xml:space="preserve"> a more complete data set including state, regional, and local inventory data.  </w:t>
      </w:r>
    </w:p>
    <w:p w:rsidR="00E5270B" w:rsidRPr="00E5270B" w:rsidRDefault="0098785E" w:rsidP="00E5270B">
      <w:pPr>
        <w:pStyle w:val="NormalWeb"/>
        <w:ind w:left="720"/>
        <w:rPr>
          <w:rFonts w:ascii="Arial" w:hAnsi="Arial" w:cs="Arial"/>
          <w:color w:val="000000"/>
          <w:sz w:val="20"/>
          <w:szCs w:val="20"/>
        </w:rPr>
      </w:pPr>
      <w:r>
        <w:rPr>
          <w:rFonts w:ascii="Arial" w:hAnsi="Arial" w:cs="Arial"/>
          <w:color w:val="000000"/>
          <w:sz w:val="20"/>
          <w:szCs w:val="20"/>
        </w:rPr>
        <w:lastRenderedPageBreak/>
        <w:t>The CTS team applied</w:t>
      </w:r>
      <w:r w:rsidR="00E5270B" w:rsidRPr="00E5270B">
        <w:rPr>
          <w:rFonts w:ascii="Arial" w:hAnsi="Arial" w:cs="Arial"/>
          <w:color w:val="000000"/>
          <w:sz w:val="20"/>
          <w:szCs w:val="20"/>
        </w:rPr>
        <w:t xml:space="preserve"> innovative, user-centered design methods, incorporat</w:t>
      </w:r>
      <w:r>
        <w:rPr>
          <w:rFonts w:ascii="Arial" w:hAnsi="Arial" w:cs="Arial"/>
          <w:color w:val="000000"/>
          <w:sz w:val="20"/>
          <w:szCs w:val="20"/>
        </w:rPr>
        <w:t>ing</w:t>
      </w:r>
      <w:r w:rsidR="00E5270B" w:rsidRPr="00E5270B">
        <w:rPr>
          <w:rFonts w:ascii="Arial" w:hAnsi="Arial" w:cs="Arial"/>
          <w:color w:val="000000"/>
          <w:sz w:val="20"/>
          <w:szCs w:val="20"/>
        </w:rPr>
        <w:t xml:space="preserve"> user input throughout each stage of IMATS development</w:t>
      </w:r>
      <w:r>
        <w:rPr>
          <w:rFonts w:ascii="Arial" w:hAnsi="Arial" w:cs="Arial"/>
          <w:color w:val="000000"/>
          <w:sz w:val="20"/>
          <w:szCs w:val="20"/>
        </w:rPr>
        <w:t>. This approach</w:t>
      </w:r>
      <w:r w:rsidR="00E5270B" w:rsidRPr="00E5270B">
        <w:rPr>
          <w:rFonts w:ascii="Arial" w:hAnsi="Arial" w:cs="Arial"/>
          <w:color w:val="000000"/>
          <w:sz w:val="20"/>
          <w:szCs w:val="20"/>
        </w:rPr>
        <w:t xml:space="preserve"> ensur</w:t>
      </w:r>
      <w:r>
        <w:rPr>
          <w:rFonts w:ascii="Arial" w:hAnsi="Arial" w:cs="Arial"/>
          <w:color w:val="000000"/>
          <w:sz w:val="20"/>
          <w:szCs w:val="20"/>
        </w:rPr>
        <w:t>ed</w:t>
      </w:r>
      <w:r w:rsidR="00E5270B" w:rsidRPr="00E5270B">
        <w:rPr>
          <w:rFonts w:ascii="Arial" w:hAnsi="Arial" w:cs="Arial"/>
          <w:color w:val="000000"/>
          <w:sz w:val="20"/>
          <w:szCs w:val="20"/>
        </w:rPr>
        <w:t xml:space="preserve"> that this inventory management solution </w:t>
      </w:r>
      <w:r>
        <w:rPr>
          <w:rFonts w:ascii="Arial" w:hAnsi="Arial" w:cs="Arial"/>
          <w:color w:val="000000"/>
          <w:sz w:val="20"/>
          <w:szCs w:val="20"/>
        </w:rPr>
        <w:t>met</w:t>
      </w:r>
      <w:r w:rsidR="00E5270B" w:rsidRPr="00E5270B">
        <w:rPr>
          <w:rFonts w:ascii="Arial" w:hAnsi="Arial" w:cs="Arial"/>
          <w:color w:val="000000"/>
          <w:sz w:val="20"/>
          <w:szCs w:val="20"/>
        </w:rPr>
        <w:t xml:space="preserve"> user needs, preferences, goals and business objectives.  To accomplish this, the CTS team engaged state and local </w:t>
      </w:r>
      <w:r w:rsidR="000F0A55">
        <w:rPr>
          <w:rFonts w:ascii="Arial" w:hAnsi="Arial" w:cs="Arial"/>
          <w:color w:val="000000"/>
          <w:sz w:val="20"/>
          <w:szCs w:val="20"/>
        </w:rPr>
        <w:t>designees</w:t>
      </w:r>
      <w:r w:rsidR="000F0A55" w:rsidRPr="00E5270B">
        <w:rPr>
          <w:rFonts w:ascii="Arial" w:hAnsi="Arial" w:cs="Arial"/>
          <w:color w:val="000000"/>
          <w:sz w:val="20"/>
          <w:szCs w:val="20"/>
        </w:rPr>
        <w:t xml:space="preserve"> </w:t>
      </w:r>
      <w:r w:rsidR="00E5270B" w:rsidRPr="00E5270B">
        <w:rPr>
          <w:rFonts w:ascii="Arial" w:hAnsi="Arial" w:cs="Arial"/>
          <w:color w:val="000000"/>
          <w:sz w:val="20"/>
          <w:szCs w:val="20"/>
        </w:rPr>
        <w:t xml:space="preserve">across the nation and hosted online, virtual focus group meetings, technical requirements gathering webinars, system demonstrations, in-person user experience and usability workshops, and conference presentations. </w:t>
      </w:r>
    </w:p>
    <w:p w:rsidR="00E5270B" w:rsidRPr="00E5270B" w:rsidRDefault="00E5270B" w:rsidP="00E5270B">
      <w:pPr>
        <w:pStyle w:val="NormalWeb"/>
        <w:ind w:left="720"/>
        <w:rPr>
          <w:rFonts w:ascii="Arial" w:hAnsi="Arial" w:cs="Arial"/>
          <w:color w:val="000000"/>
          <w:sz w:val="20"/>
          <w:szCs w:val="20"/>
        </w:rPr>
      </w:pPr>
      <w:r w:rsidRPr="00E5270B">
        <w:rPr>
          <w:rFonts w:ascii="Arial" w:hAnsi="Arial" w:cs="Arial"/>
          <w:color w:val="000000"/>
          <w:sz w:val="20"/>
          <w:szCs w:val="20"/>
        </w:rPr>
        <w:t xml:space="preserve">As development began, a technical work group consisting of </w:t>
      </w:r>
      <w:r w:rsidR="007E049F">
        <w:rPr>
          <w:rFonts w:ascii="Arial" w:hAnsi="Arial" w:cs="Arial"/>
          <w:color w:val="000000"/>
          <w:sz w:val="20"/>
          <w:szCs w:val="20"/>
        </w:rPr>
        <w:t>PHEP awardees</w:t>
      </w:r>
      <w:r w:rsidR="00C7059C">
        <w:rPr>
          <w:rFonts w:ascii="Arial" w:hAnsi="Arial" w:cs="Arial"/>
          <w:color w:val="000000"/>
          <w:sz w:val="20"/>
          <w:szCs w:val="20"/>
        </w:rPr>
        <w:t xml:space="preserve"> and local jurisdiction representatives</w:t>
      </w:r>
      <w:r w:rsidR="00150AAA" w:rsidRPr="00E5270B">
        <w:rPr>
          <w:rFonts w:ascii="Arial" w:hAnsi="Arial" w:cs="Arial"/>
          <w:color w:val="000000"/>
          <w:sz w:val="20"/>
          <w:szCs w:val="20"/>
        </w:rPr>
        <w:t xml:space="preserve"> </w:t>
      </w:r>
      <w:r w:rsidRPr="00E5270B">
        <w:rPr>
          <w:rFonts w:ascii="Arial" w:hAnsi="Arial" w:cs="Arial"/>
          <w:color w:val="000000"/>
          <w:sz w:val="20"/>
          <w:szCs w:val="20"/>
        </w:rPr>
        <w:t>with emergency response and inventory management expertise met regularly via webinar meetings to define and review technical requirements, design layouts, screen mockups and business rules.  An additional in-person meeting offered the work group members hands-on experience with IMATS and provided an opportunity to share their feedback on its usability well in advance of the initial release of the system.</w:t>
      </w:r>
    </w:p>
    <w:p w:rsidR="00BD123F" w:rsidRPr="00E5270B" w:rsidRDefault="00E5270B" w:rsidP="00B654EE">
      <w:pPr>
        <w:pStyle w:val="NormalWeb"/>
        <w:ind w:left="720"/>
        <w:rPr>
          <w:rFonts w:ascii="Arial" w:hAnsi="Arial" w:cs="Arial"/>
          <w:color w:val="000000"/>
          <w:sz w:val="20"/>
          <w:szCs w:val="20"/>
        </w:rPr>
      </w:pPr>
      <w:r w:rsidRPr="00E5270B">
        <w:rPr>
          <w:rFonts w:ascii="Arial" w:hAnsi="Arial" w:cs="Arial"/>
          <w:color w:val="000000"/>
          <w:sz w:val="20"/>
          <w:szCs w:val="20"/>
        </w:rPr>
        <w:t xml:space="preserve">In addition to ongoing collaboration with </w:t>
      </w:r>
      <w:r w:rsidR="00DF7347">
        <w:rPr>
          <w:rFonts w:ascii="Arial" w:hAnsi="Arial" w:cs="Arial"/>
          <w:color w:val="000000"/>
          <w:sz w:val="20"/>
          <w:szCs w:val="20"/>
        </w:rPr>
        <w:t>the technical work group</w:t>
      </w:r>
      <w:r w:rsidRPr="00E5270B">
        <w:rPr>
          <w:rFonts w:ascii="Arial" w:hAnsi="Arial" w:cs="Arial"/>
          <w:color w:val="000000"/>
          <w:sz w:val="20"/>
          <w:szCs w:val="20"/>
        </w:rPr>
        <w:t xml:space="preserve">, Agile </w:t>
      </w:r>
      <w:r w:rsidR="00DF005B">
        <w:rPr>
          <w:rFonts w:ascii="Arial" w:hAnsi="Arial" w:cs="Arial"/>
          <w:color w:val="000000"/>
          <w:sz w:val="20"/>
          <w:szCs w:val="20"/>
        </w:rPr>
        <w:t>Development M</w:t>
      </w:r>
      <w:r w:rsidRPr="00E5270B">
        <w:rPr>
          <w:rFonts w:ascii="Arial" w:hAnsi="Arial" w:cs="Arial"/>
          <w:color w:val="000000"/>
          <w:sz w:val="20"/>
          <w:szCs w:val="20"/>
        </w:rPr>
        <w:t xml:space="preserve">ethodology was used for the software development process. </w:t>
      </w:r>
      <w:r w:rsidR="00DF005B">
        <w:rPr>
          <w:rFonts w:ascii="Arial" w:hAnsi="Arial" w:cs="Arial"/>
          <w:color w:val="000000"/>
          <w:sz w:val="20"/>
          <w:szCs w:val="20"/>
        </w:rPr>
        <w:t>The Agile process</w:t>
      </w:r>
      <w:r w:rsidRPr="00E5270B">
        <w:rPr>
          <w:rFonts w:ascii="Arial" w:hAnsi="Arial" w:cs="Arial"/>
          <w:color w:val="000000"/>
          <w:sz w:val="20"/>
          <w:szCs w:val="20"/>
        </w:rPr>
        <w:t xml:space="preserve"> </w:t>
      </w:r>
      <w:r w:rsidR="00DF005B" w:rsidRPr="00DF005B">
        <w:rPr>
          <w:rFonts w:ascii="Arial" w:hAnsi="Arial" w:cs="Arial"/>
          <w:color w:val="000000"/>
          <w:sz w:val="20"/>
          <w:szCs w:val="20"/>
        </w:rPr>
        <w:t>utilizes an iterative approach to software requirements</w:t>
      </w:r>
      <w:r w:rsidR="00085C1A">
        <w:rPr>
          <w:rFonts w:ascii="Arial" w:hAnsi="Arial" w:cs="Arial"/>
          <w:color w:val="000000"/>
          <w:sz w:val="20"/>
          <w:szCs w:val="20"/>
        </w:rPr>
        <w:t>,</w:t>
      </w:r>
      <w:r w:rsidR="00DF005B" w:rsidRPr="00DF005B">
        <w:rPr>
          <w:rFonts w:ascii="Arial" w:hAnsi="Arial" w:cs="Arial"/>
          <w:color w:val="000000"/>
          <w:sz w:val="20"/>
          <w:szCs w:val="20"/>
        </w:rPr>
        <w:t xml:space="preserve"> design</w:t>
      </w:r>
      <w:r w:rsidR="00085C1A">
        <w:rPr>
          <w:rFonts w:ascii="Arial" w:hAnsi="Arial" w:cs="Arial"/>
          <w:color w:val="000000"/>
          <w:sz w:val="20"/>
          <w:szCs w:val="20"/>
        </w:rPr>
        <w:t>,</w:t>
      </w:r>
      <w:r w:rsidR="00DF005B" w:rsidRPr="00DF005B">
        <w:rPr>
          <w:rFonts w:ascii="Arial" w:hAnsi="Arial" w:cs="Arial"/>
          <w:color w:val="000000"/>
          <w:sz w:val="20"/>
          <w:szCs w:val="20"/>
        </w:rPr>
        <w:t xml:space="preserve"> development</w:t>
      </w:r>
      <w:r w:rsidR="00085C1A">
        <w:rPr>
          <w:rFonts w:ascii="Arial" w:hAnsi="Arial" w:cs="Arial"/>
          <w:color w:val="000000"/>
          <w:sz w:val="20"/>
          <w:szCs w:val="20"/>
        </w:rPr>
        <w:t>,</w:t>
      </w:r>
      <w:r w:rsidR="00DF005B" w:rsidRPr="00DF005B">
        <w:rPr>
          <w:rFonts w:ascii="Arial" w:hAnsi="Arial" w:cs="Arial"/>
          <w:color w:val="000000"/>
          <w:sz w:val="20"/>
          <w:szCs w:val="20"/>
        </w:rPr>
        <w:t xml:space="preserve"> and testing activities.</w:t>
      </w:r>
      <w:r w:rsidR="00DF005B">
        <w:rPr>
          <w:rFonts w:ascii="Arial" w:hAnsi="Arial" w:cs="Arial"/>
          <w:color w:val="000000"/>
          <w:sz w:val="20"/>
          <w:szCs w:val="20"/>
        </w:rPr>
        <w:t xml:space="preserve"> </w:t>
      </w:r>
      <w:r w:rsidR="00DF005B" w:rsidRPr="00DF005B">
        <w:rPr>
          <w:rFonts w:ascii="Arial" w:hAnsi="Arial" w:cs="Arial"/>
          <w:bCs/>
          <w:iCs/>
          <w:color w:val="000000"/>
          <w:sz w:val="20"/>
          <w:szCs w:val="20"/>
        </w:rPr>
        <w:t xml:space="preserve">It is an empirical process that uses frequent inspection, collaboration, and adaptive responses to reduce risk and ensure delivery of a reliable, quality product. </w:t>
      </w:r>
      <w:r w:rsidRPr="00E5270B">
        <w:rPr>
          <w:rFonts w:ascii="Arial" w:hAnsi="Arial" w:cs="Arial"/>
          <w:color w:val="000000"/>
          <w:sz w:val="20"/>
          <w:szCs w:val="20"/>
        </w:rPr>
        <w:t>Work was divided into manageable “sprints</w:t>
      </w:r>
      <w:r w:rsidR="00DF005B">
        <w:rPr>
          <w:rFonts w:ascii="Arial" w:hAnsi="Arial" w:cs="Arial"/>
          <w:color w:val="000000"/>
          <w:sz w:val="20"/>
          <w:szCs w:val="20"/>
        </w:rPr>
        <w:t>,</w:t>
      </w:r>
      <w:r w:rsidRPr="00E5270B">
        <w:rPr>
          <w:rFonts w:ascii="Arial" w:hAnsi="Arial" w:cs="Arial"/>
          <w:color w:val="000000"/>
          <w:sz w:val="20"/>
          <w:szCs w:val="20"/>
        </w:rPr>
        <w:t>”</w:t>
      </w:r>
      <w:r w:rsidR="00DF005B">
        <w:rPr>
          <w:rFonts w:ascii="Arial" w:hAnsi="Arial" w:cs="Arial"/>
          <w:color w:val="000000"/>
          <w:sz w:val="20"/>
          <w:szCs w:val="20"/>
        </w:rPr>
        <w:t xml:space="preserve"> which are iterations of </w:t>
      </w:r>
      <w:proofErr w:type="gramStart"/>
      <w:r w:rsidR="00DF005B">
        <w:rPr>
          <w:rFonts w:ascii="Arial" w:hAnsi="Arial" w:cs="Arial"/>
          <w:color w:val="000000"/>
          <w:sz w:val="20"/>
          <w:szCs w:val="20"/>
        </w:rPr>
        <w:t>a fixed</w:t>
      </w:r>
      <w:proofErr w:type="gramEnd"/>
      <w:r w:rsidR="00DF005B">
        <w:rPr>
          <w:rFonts w:ascii="Arial" w:hAnsi="Arial" w:cs="Arial"/>
          <w:color w:val="000000"/>
          <w:sz w:val="20"/>
          <w:szCs w:val="20"/>
        </w:rPr>
        <w:t xml:space="preserve"> 30 days duration (see </w:t>
      </w:r>
      <w:r w:rsidR="00B654EE">
        <w:rPr>
          <w:rFonts w:ascii="Arial" w:hAnsi="Arial" w:cs="Arial"/>
          <w:b/>
          <w:color w:val="000000"/>
          <w:sz w:val="20"/>
          <w:szCs w:val="20"/>
        </w:rPr>
        <w:t>Attachment C – Agile Methodology)</w:t>
      </w:r>
      <w:r w:rsidR="00DF005B">
        <w:rPr>
          <w:rFonts w:ascii="Arial" w:hAnsi="Arial" w:cs="Arial"/>
          <w:color w:val="000000"/>
          <w:sz w:val="20"/>
          <w:szCs w:val="20"/>
        </w:rPr>
        <w:t>.</w:t>
      </w:r>
      <w:r w:rsidRPr="00E5270B">
        <w:rPr>
          <w:rFonts w:ascii="Arial" w:hAnsi="Arial" w:cs="Arial"/>
          <w:color w:val="000000"/>
          <w:sz w:val="20"/>
          <w:szCs w:val="20"/>
        </w:rPr>
        <w:t xml:space="preserve">  At the conclusion of each sprint, the accomplished work was presented to </w:t>
      </w:r>
      <w:r w:rsidR="00DF7347">
        <w:rPr>
          <w:rFonts w:ascii="Arial" w:hAnsi="Arial" w:cs="Arial"/>
          <w:color w:val="000000"/>
          <w:sz w:val="20"/>
          <w:szCs w:val="20"/>
        </w:rPr>
        <w:t>the technical work group</w:t>
      </w:r>
      <w:r w:rsidR="00150AAA" w:rsidRPr="00E5270B">
        <w:rPr>
          <w:rFonts w:ascii="Arial" w:hAnsi="Arial" w:cs="Arial"/>
          <w:color w:val="000000"/>
          <w:sz w:val="20"/>
          <w:szCs w:val="20"/>
        </w:rPr>
        <w:t xml:space="preserve"> </w:t>
      </w:r>
      <w:r w:rsidRPr="00E5270B">
        <w:rPr>
          <w:rFonts w:ascii="Arial" w:hAnsi="Arial" w:cs="Arial"/>
          <w:color w:val="000000"/>
          <w:sz w:val="20"/>
          <w:szCs w:val="20"/>
        </w:rPr>
        <w:t>for feedback, and changes were continuously incorporated.  This process helped to identify issues early on during development and ensured the system met user needs.</w:t>
      </w:r>
    </w:p>
    <w:p w:rsidR="00A96766" w:rsidRDefault="00111C1D" w:rsidP="005A20FC">
      <w:pPr>
        <w:pStyle w:val="NormalWeb"/>
        <w:ind w:left="720"/>
        <w:rPr>
          <w:rFonts w:ascii="Arial" w:hAnsi="Arial" w:cs="Arial"/>
          <w:color w:val="000000"/>
          <w:sz w:val="20"/>
          <w:szCs w:val="20"/>
        </w:rPr>
      </w:pPr>
      <w:r w:rsidRPr="00E5270B">
        <w:rPr>
          <w:rFonts w:ascii="Arial" w:hAnsi="Arial" w:cs="Arial"/>
          <w:color w:val="000000"/>
          <w:sz w:val="20"/>
          <w:szCs w:val="20"/>
        </w:rPr>
        <w:t xml:space="preserve">Through the dedication of </w:t>
      </w:r>
      <w:r w:rsidR="00CB170D">
        <w:rPr>
          <w:rFonts w:ascii="Arial" w:hAnsi="Arial" w:cs="Arial"/>
          <w:color w:val="000000"/>
          <w:sz w:val="20"/>
          <w:szCs w:val="20"/>
        </w:rPr>
        <w:t xml:space="preserve">the </w:t>
      </w:r>
      <w:r w:rsidR="00DF7347">
        <w:rPr>
          <w:rFonts w:ascii="Arial" w:hAnsi="Arial" w:cs="Arial"/>
          <w:color w:val="000000"/>
          <w:sz w:val="20"/>
          <w:szCs w:val="20"/>
        </w:rPr>
        <w:t>technical work group</w:t>
      </w:r>
      <w:r w:rsidR="00150AAA" w:rsidRPr="00E5270B">
        <w:rPr>
          <w:rFonts w:ascii="Arial" w:hAnsi="Arial" w:cs="Arial"/>
          <w:color w:val="000000"/>
          <w:sz w:val="20"/>
          <w:szCs w:val="20"/>
        </w:rPr>
        <w:t xml:space="preserve"> </w:t>
      </w:r>
      <w:r w:rsidRPr="00E5270B">
        <w:rPr>
          <w:rFonts w:ascii="Arial" w:hAnsi="Arial" w:cs="Arial"/>
          <w:color w:val="000000"/>
          <w:sz w:val="20"/>
          <w:szCs w:val="20"/>
        </w:rPr>
        <w:t>and the CTS development team, IMATS was successfully launched on September 30, 2011</w:t>
      </w:r>
      <w:r w:rsidR="00ED01F1">
        <w:rPr>
          <w:rFonts w:ascii="Arial" w:hAnsi="Arial" w:cs="Arial"/>
          <w:color w:val="000000"/>
          <w:sz w:val="20"/>
          <w:szCs w:val="20"/>
        </w:rPr>
        <w:t xml:space="preserve"> (see </w:t>
      </w:r>
      <w:r w:rsidR="00A951B0">
        <w:rPr>
          <w:rFonts w:ascii="Arial" w:hAnsi="Arial" w:cs="Arial"/>
          <w:b/>
          <w:color w:val="000000"/>
          <w:sz w:val="20"/>
          <w:szCs w:val="20"/>
        </w:rPr>
        <w:t>Attachment D</w:t>
      </w:r>
      <w:r w:rsidR="00ED01F1">
        <w:rPr>
          <w:rFonts w:ascii="Arial" w:hAnsi="Arial" w:cs="Arial"/>
          <w:b/>
          <w:color w:val="000000"/>
          <w:sz w:val="20"/>
          <w:szCs w:val="20"/>
        </w:rPr>
        <w:t xml:space="preserve"> – Application Screenshots</w:t>
      </w:r>
      <w:r w:rsidR="00ED01F1">
        <w:rPr>
          <w:rFonts w:ascii="Arial" w:hAnsi="Arial" w:cs="Arial"/>
          <w:color w:val="000000"/>
          <w:sz w:val="20"/>
          <w:szCs w:val="20"/>
        </w:rPr>
        <w:t>)</w:t>
      </w:r>
      <w:r w:rsidRPr="00E5270B">
        <w:rPr>
          <w:rFonts w:ascii="Arial" w:hAnsi="Arial" w:cs="Arial"/>
          <w:color w:val="000000"/>
          <w:sz w:val="20"/>
          <w:szCs w:val="20"/>
        </w:rPr>
        <w:t xml:space="preserve">. In addition to IMATS, an IMATS </w:t>
      </w:r>
      <w:r w:rsidR="000D65AD">
        <w:rPr>
          <w:rFonts w:ascii="Arial" w:hAnsi="Arial" w:cs="Arial"/>
          <w:color w:val="000000"/>
          <w:sz w:val="20"/>
          <w:szCs w:val="20"/>
        </w:rPr>
        <w:t>assessment</w:t>
      </w:r>
      <w:r w:rsidR="000D65AD" w:rsidRPr="00E5270B">
        <w:rPr>
          <w:rFonts w:ascii="Arial" w:hAnsi="Arial" w:cs="Arial"/>
          <w:color w:val="000000"/>
          <w:sz w:val="20"/>
          <w:szCs w:val="20"/>
        </w:rPr>
        <w:t xml:space="preserve"> </w:t>
      </w:r>
      <w:r w:rsidRPr="00E5270B">
        <w:rPr>
          <w:rFonts w:ascii="Arial" w:hAnsi="Arial" w:cs="Arial"/>
          <w:color w:val="000000"/>
          <w:sz w:val="20"/>
          <w:szCs w:val="20"/>
        </w:rPr>
        <w:t xml:space="preserve">environment was created in collaboration with the Informatics Research and Design Unit Lab to allow interested </w:t>
      </w:r>
      <w:r w:rsidR="000F0A55">
        <w:rPr>
          <w:rFonts w:ascii="Arial" w:hAnsi="Arial" w:cs="Arial"/>
          <w:color w:val="000000"/>
          <w:sz w:val="20"/>
          <w:szCs w:val="20"/>
        </w:rPr>
        <w:t>jurisdictions</w:t>
      </w:r>
      <w:r w:rsidR="000F0A55" w:rsidRPr="00E5270B">
        <w:rPr>
          <w:rFonts w:ascii="Arial" w:hAnsi="Arial" w:cs="Arial"/>
          <w:color w:val="000000"/>
          <w:sz w:val="20"/>
          <w:szCs w:val="20"/>
        </w:rPr>
        <w:t xml:space="preserve"> </w:t>
      </w:r>
      <w:r w:rsidRPr="00E5270B">
        <w:rPr>
          <w:rFonts w:ascii="Arial" w:hAnsi="Arial" w:cs="Arial"/>
          <w:color w:val="000000"/>
          <w:sz w:val="20"/>
          <w:szCs w:val="20"/>
        </w:rPr>
        <w:t xml:space="preserve">a chance to evaluate the system before they decide to implement it as their inventory management solution. </w:t>
      </w:r>
    </w:p>
    <w:p w:rsidR="003A70D8" w:rsidRDefault="003A70D8" w:rsidP="003A70D8">
      <w:pPr>
        <w:pStyle w:val="NormalWeb"/>
        <w:ind w:left="720"/>
        <w:rPr>
          <w:rFonts w:ascii="Arial" w:hAnsi="Arial" w:cs="Arial"/>
          <w:color w:val="000000"/>
          <w:sz w:val="20"/>
          <w:szCs w:val="20"/>
        </w:rPr>
      </w:pPr>
      <w:r w:rsidRPr="00E5270B">
        <w:rPr>
          <w:rFonts w:ascii="Arial" w:hAnsi="Arial" w:cs="Arial"/>
          <w:color w:val="000000"/>
          <w:sz w:val="20"/>
          <w:szCs w:val="20"/>
        </w:rPr>
        <w:t xml:space="preserve">As of </w:t>
      </w:r>
      <w:r w:rsidR="004570E1">
        <w:rPr>
          <w:rFonts w:ascii="Arial" w:hAnsi="Arial" w:cs="Arial"/>
          <w:color w:val="000000"/>
          <w:sz w:val="20"/>
          <w:szCs w:val="20"/>
        </w:rPr>
        <w:t>July</w:t>
      </w:r>
      <w:r w:rsidR="004570E1" w:rsidRPr="00E5270B">
        <w:rPr>
          <w:rFonts w:ascii="Arial" w:hAnsi="Arial" w:cs="Arial"/>
          <w:color w:val="000000"/>
          <w:sz w:val="20"/>
          <w:szCs w:val="20"/>
        </w:rPr>
        <w:t xml:space="preserve"> </w:t>
      </w:r>
      <w:r w:rsidR="004570E1">
        <w:rPr>
          <w:rFonts w:ascii="Arial" w:hAnsi="Arial" w:cs="Arial"/>
          <w:color w:val="000000"/>
          <w:sz w:val="20"/>
          <w:szCs w:val="20"/>
        </w:rPr>
        <w:t>23</w:t>
      </w:r>
      <w:r w:rsidRPr="00E5270B">
        <w:rPr>
          <w:rFonts w:ascii="Arial" w:hAnsi="Arial" w:cs="Arial"/>
          <w:color w:val="000000"/>
          <w:sz w:val="20"/>
          <w:szCs w:val="20"/>
        </w:rPr>
        <w:t xml:space="preserve">, 2012, </w:t>
      </w:r>
      <w:r>
        <w:rPr>
          <w:rFonts w:ascii="Arial" w:hAnsi="Arial" w:cs="Arial"/>
          <w:color w:val="000000"/>
          <w:sz w:val="20"/>
          <w:szCs w:val="20"/>
        </w:rPr>
        <w:t xml:space="preserve">14 </w:t>
      </w:r>
      <w:r w:rsidR="004570E1">
        <w:rPr>
          <w:rFonts w:ascii="Arial" w:hAnsi="Arial" w:cs="Arial"/>
          <w:color w:val="000000"/>
          <w:sz w:val="20"/>
          <w:szCs w:val="20"/>
        </w:rPr>
        <w:t>PHEP awardees</w:t>
      </w:r>
      <w:r>
        <w:rPr>
          <w:rFonts w:ascii="Arial" w:hAnsi="Arial" w:cs="Arial"/>
          <w:color w:val="000000"/>
          <w:sz w:val="20"/>
          <w:szCs w:val="20"/>
        </w:rPr>
        <w:t xml:space="preserve"> and 9</w:t>
      </w:r>
      <w:r w:rsidR="0059280F">
        <w:rPr>
          <w:rFonts w:ascii="Arial" w:hAnsi="Arial" w:cs="Arial"/>
          <w:color w:val="000000"/>
          <w:sz w:val="20"/>
          <w:szCs w:val="20"/>
        </w:rPr>
        <w:t>4</w:t>
      </w:r>
      <w:r w:rsidRPr="00E5270B">
        <w:rPr>
          <w:rFonts w:ascii="Arial" w:hAnsi="Arial" w:cs="Arial"/>
          <w:color w:val="000000"/>
          <w:sz w:val="20"/>
          <w:szCs w:val="20"/>
        </w:rPr>
        <w:t xml:space="preserve"> local jurisdictions have implemented IMATS as their primary or secondary inventory management system.</w:t>
      </w:r>
      <w:r>
        <w:rPr>
          <w:rFonts w:ascii="Arial" w:hAnsi="Arial" w:cs="Arial"/>
          <w:color w:val="000000"/>
          <w:sz w:val="20"/>
          <w:szCs w:val="20"/>
        </w:rPr>
        <w:t xml:space="preserve"> </w:t>
      </w:r>
      <w:r w:rsidRPr="005A20FC">
        <w:rPr>
          <w:rFonts w:ascii="Arial" w:hAnsi="Arial" w:cs="Arial"/>
          <w:color w:val="000000"/>
          <w:sz w:val="20"/>
          <w:szCs w:val="20"/>
        </w:rPr>
        <w:t xml:space="preserve">Twenty-one </w:t>
      </w:r>
      <w:r w:rsidR="0059280F">
        <w:rPr>
          <w:rFonts w:ascii="Arial" w:hAnsi="Arial" w:cs="Arial"/>
          <w:color w:val="000000"/>
          <w:sz w:val="20"/>
          <w:szCs w:val="20"/>
        </w:rPr>
        <w:t>PHEP awardees</w:t>
      </w:r>
      <w:r w:rsidRPr="005A20FC">
        <w:rPr>
          <w:rFonts w:ascii="Arial" w:hAnsi="Arial" w:cs="Arial"/>
          <w:color w:val="000000"/>
          <w:sz w:val="20"/>
          <w:szCs w:val="20"/>
        </w:rPr>
        <w:t xml:space="preserve"> have adopted IMATS at either the state and/or local level</w:t>
      </w:r>
      <w:r>
        <w:rPr>
          <w:rFonts w:ascii="Arial" w:hAnsi="Arial" w:cs="Arial"/>
          <w:color w:val="000000"/>
          <w:sz w:val="20"/>
          <w:szCs w:val="20"/>
        </w:rPr>
        <w:t xml:space="preserve"> (</w:t>
      </w:r>
      <w:r w:rsidR="00C7640B">
        <w:rPr>
          <w:rFonts w:ascii="Arial" w:hAnsi="Arial" w:cs="Arial"/>
          <w:color w:val="000000"/>
          <w:sz w:val="20"/>
          <w:szCs w:val="20"/>
        </w:rPr>
        <w:t xml:space="preserve">see </w:t>
      </w:r>
      <w:r w:rsidRPr="00C7640B">
        <w:rPr>
          <w:rFonts w:ascii="Arial" w:hAnsi="Arial" w:cs="Arial"/>
          <w:b/>
          <w:color w:val="000000"/>
          <w:sz w:val="20"/>
          <w:szCs w:val="20"/>
        </w:rPr>
        <w:t xml:space="preserve">Attachment </w:t>
      </w:r>
      <w:r w:rsidR="00A951B0">
        <w:rPr>
          <w:rFonts w:ascii="Arial" w:hAnsi="Arial" w:cs="Arial"/>
          <w:b/>
          <w:color w:val="000000"/>
          <w:sz w:val="20"/>
          <w:szCs w:val="20"/>
        </w:rPr>
        <w:t>E</w:t>
      </w:r>
      <w:r w:rsidR="00ED01F1">
        <w:rPr>
          <w:rFonts w:ascii="Arial" w:hAnsi="Arial" w:cs="Arial"/>
          <w:b/>
          <w:color w:val="000000"/>
          <w:sz w:val="20"/>
          <w:szCs w:val="20"/>
        </w:rPr>
        <w:t xml:space="preserve"> – Implementation Map</w:t>
      </w:r>
      <w:r>
        <w:rPr>
          <w:rFonts w:ascii="Arial" w:hAnsi="Arial" w:cs="Arial"/>
          <w:color w:val="000000"/>
          <w:sz w:val="20"/>
          <w:szCs w:val="20"/>
        </w:rPr>
        <w:t>)</w:t>
      </w:r>
      <w:r w:rsidRPr="005A20FC">
        <w:rPr>
          <w:rFonts w:ascii="Arial" w:hAnsi="Arial" w:cs="Arial"/>
          <w:color w:val="000000"/>
          <w:sz w:val="20"/>
          <w:szCs w:val="20"/>
        </w:rPr>
        <w:t>.</w:t>
      </w:r>
      <w:r>
        <w:rPr>
          <w:rFonts w:ascii="Arial" w:hAnsi="Arial" w:cs="Arial"/>
          <w:color w:val="000000"/>
          <w:sz w:val="20"/>
          <w:szCs w:val="20"/>
        </w:rPr>
        <w:t xml:space="preserve"> </w:t>
      </w:r>
      <w:r w:rsidRPr="00E5270B">
        <w:rPr>
          <w:rFonts w:ascii="Arial" w:hAnsi="Arial" w:cs="Arial"/>
          <w:color w:val="000000"/>
          <w:sz w:val="20"/>
          <w:szCs w:val="20"/>
        </w:rPr>
        <w:t xml:space="preserve">The collaboration with state and local end users ensures a solution that is intuitive, simple to use, and meets user needs. Users continue to impact future enhancements to the system through communication with the development team via a dedicated “help desk.”  </w:t>
      </w:r>
    </w:p>
    <w:p w:rsidR="009045EE" w:rsidRDefault="009045EE" w:rsidP="003A70D8">
      <w:pPr>
        <w:pStyle w:val="NormalWeb"/>
        <w:ind w:left="720"/>
        <w:rPr>
          <w:rFonts w:ascii="Arial" w:hAnsi="Arial" w:cs="Arial"/>
          <w:color w:val="000000"/>
          <w:sz w:val="20"/>
          <w:szCs w:val="20"/>
          <w:lang w:val="en"/>
        </w:rPr>
      </w:pPr>
      <w:r>
        <w:rPr>
          <w:rFonts w:ascii="Arial" w:hAnsi="Arial" w:cs="Arial"/>
          <w:color w:val="000000"/>
          <w:sz w:val="20"/>
          <w:szCs w:val="20"/>
          <w:lang w:val="en"/>
        </w:rPr>
        <w:t xml:space="preserve">The purpose of this data collection is to collect information from </w:t>
      </w:r>
      <w:r>
        <w:rPr>
          <w:rFonts w:ascii="Arial" w:hAnsi="Arial" w:cs="Arial"/>
          <w:sz w:val="20"/>
          <w:szCs w:val="20"/>
        </w:rPr>
        <w:t>designees from</w:t>
      </w:r>
      <w:r w:rsidRPr="00F31BBD">
        <w:rPr>
          <w:rFonts w:ascii="Arial" w:hAnsi="Arial" w:cs="Arial"/>
          <w:sz w:val="20"/>
          <w:szCs w:val="20"/>
        </w:rPr>
        <w:t xml:space="preserve"> </w:t>
      </w:r>
      <w:r>
        <w:rPr>
          <w:rFonts w:ascii="Arial" w:hAnsi="Arial" w:cs="Arial"/>
          <w:sz w:val="20"/>
          <w:szCs w:val="20"/>
        </w:rPr>
        <w:t>s</w:t>
      </w:r>
      <w:r w:rsidRPr="00F31BBD">
        <w:rPr>
          <w:rFonts w:ascii="Arial" w:hAnsi="Arial" w:cs="Arial"/>
          <w:sz w:val="20"/>
          <w:szCs w:val="20"/>
        </w:rPr>
        <w:t xml:space="preserve">tate, county and territorial </w:t>
      </w:r>
      <w:r>
        <w:rPr>
          <w:rFonts w:ascii="Arial" w:hAnsi="Arial" w:cs="Arial"/>
          <w:sz w:val="20"/>
          <w:szCs w:val="20"/>
        </w:rPr>
        <w:t>jurisdictions that have evaluated IMATS</w:t>
      </w:r>
      <w:r>
        <w:rPr>
          <w:rFonts w:ascii="Arial" w:hAnsi="Arial" w:cs="Arial"/>
          <w:color w:val="000000"/>
          <w:sz w:val="20"/>
          <w:szCs w:val="20"/>
          <w:lang w:val="en"/>
        </w:rPr>
        <w:t xml:space="preserve"> about how IMATS is working to meet their needs. User input and collaboration continuously impacts system enhancements to ensure that IMATS remains intuitive and meets user requirements.</w:t>
      </w:r>
    </w:p>
    <w:p w:rsidR="00D62A25" w:rsidRPr="00D62A25" w:rsidRDefault="00D62A25" w:rsidP="00806459">
      <w:pPr>
        <w:pStyle w:val="NormalWeb"/>
        <w:ind w:left="720"/>
        <w:rPr>
          <w:rFonts w:ascii="Arial" w:hAnsi="Arial" w:cs="Arial"/>
          <w:b/>
          <w:sz w:val="20"/>
          <w:szCs w:val="20"/>
        </w:rPr>
      </w:pPr>
      <w:r w:rsidRPr="00D62A25">
        <w:rPr>
          <w:rFonts w:ascii="Arial" w:hAnsi="Arial" w:cs="Arial"/>
          <w:b/>
          <w:sz w:val="20"/>
          <w:szCs w:val="20"/>
        </w:rPr>
        <w:t>Privacy Impact Assessment</w:t>
      </w:r>
    </w:p>
    <w:p w:rsidR="00D62A25" w:rsidRPr="00D62A25" w:rsidRDefault="00D62A25" w:rsidP="00806459">
      <w:pPr>
        <w:pStyle w:val="NormalWeb"/>
        <w:ind w:left="720"/>
        <w:rPr>
          <w:rFonts w:ascii="Arial" w:hAnsi="Arial" w:cs="Arial"/>
          <w:sz w:val="20"/>
          <w:szCs w:val="20"/>
        </w:rPr>
      </w:pPr>
      <w:r w:rsidRPr="00D62A25">
        <w:rPr>
          <w:rFonts w:ascii="Arial" w:hAnsi="Arial" w:cs="Arial"/>
          <w:sz w:val="20"/>
          <w:szCs w:val="20"/>
          <w:u w:val="single"/>
        </w:rPr>
        <w:t>Overview of the Data Collection System</w:t>
      </w:r>
      <w:r w:rsidRPr="00D62A25">
        <w:rPr>
          <w:rFonts w:ascii="Arial" w:hAnsi="Arial" w:cs="Arial"/>
          <w:sz w:val="20"/>
          <w:szCs w:val="20"/>
        </w:rPr>
        <w:t xml:space="preserve"> – The data collection system consists of a web-based questionnaire (</w:t>
      </w:r>
      <w:r w:rsidR="00697455" w:rsidRPr="000A0C1F">
        <w:rPr>
          <w:rFonts w:ascii="Arial" w:hAnsi="Arial" w:cs="Arial"/>
          <w:sz w:val="20"/>
          <w:szCs w:val="20"/>
        </w:rPr>
        <w:t>see</w:t>
      </w:r>
      <w:r w:rsidR="00697455">
        <w:rPr>
          <w:rFonts w:ascii="Arial" w:hAnsi="Arial" w:cs="Arial"/>
          <w:b/>
          <w:sz w:val="20"/>
          <w:szCs w:val="20"/>
        </w:rPr>
        <w:t xml:space="preserve"> Attachment </w:t>
      </w:r>
      <w:r w:rsidR="00A951B0">
        <w:rPr>
          <w:rFonts w:ascii="Arial" w:hAnsi="Arial" w:cs="Arial"/>
          <w:b/>
          <w:sz w:val="20"/>
          <w:szCs w:val="20"/>
        </w:rPr>
        <w:t>F</w:t>
      </w:r>
      <w:r w:rsidRPr="00D62A25">
        <w:rPr>
          <w:rFonts w:ascii="Arial" w:hAnsi="Arial" w:cs="Arial"/>
          <w:b/>
          <w:sz w:val="20"/>
          <w:szCs w:val="20"/>
        </w:rPr>
        <w:t xml:space="preserve"> – </w:t>
      </w:r>
      <w:r w:rsidR="0013539B">
        <w:rPr>
          <w:rFonts w:ascii="Arial" w:hAnsi="Arial" w:cs="Arial"/>
          <w:b/>
          <w:sz w:val="20"/>
          <w:szCs w:val="20"/>
        </w:rPr>
        <w:t>IMATS Questionnaire</w:t>
      </w:r>
      <w:r w:rsidR="00697455">
        <w:rPr>
          <w:rFonts w:ascii="Arial" w:hAnsi="Arial" w:cs="Arial"/>
          <w:b/>
          <w:sz w:val="20"/>
          <w:szCs w:val="20"/>
        </w:rPr>
        <w:t xml:space="preserve"> </w:t>
      </w:r>
      <w:r w:rsidR="00697455" w:rsidRPr="000A0C1F">
        <w:rPr>
          <w:rFonts w:ascii="Arial" w:hAnsi="Arial" w:cs="Arial"/>
          <w:sz w:val="20"/>
          <w:szCs w:val="20"/>
        </w:rPr>
        <w:t>and</w:t>
      </w:r>
      <w:r w:rsidR="00697455">
        <w:rPr>
          <w:rFonts w:ascii="Arial" w:hAnsi="Arial" w:cs="Arial"/>
          <w:b/>
          <w:sz w:val="20"/>
          <w:szCs w:val="20"/>
        </w:rPr>
        <w:t xml:space="preserve"> Attachment </w:t>
      </w:r>
      <w:r w:rsidR="00A951B0">
        <w:rPr>
          <w:rFonts w:ascii="Arial" w:hAnsi="Arial" w:cs="Arial"/>
          <w:b/>
          <w:sz w:val="20"/>
          <w:szCs w:val="20"/>
        </w:rPr>
        <w:t>G</w:t>
      </w:r>
      <w:r w:rsidRPr="00D62A25">
        <w:rPr>
          <w:rFonts w:ascii="Arial" w:hAnsi="Arial" w:cs="Arial"/>
          <w:b/>
          <w:sz w:val="20"/>
          <w:szCs w:val="20"/>
        </w:rPr>
        <w:t xml:space="preserve"> – </w:t>
      </w:r>
      <w:r w:rsidR="0013539B">
        <w:rPr>
          <w:rFonts w:ascii="Arial" w:hAnsi="Arial" w:cs="Arial"/>
          <w:b/>
          <w:sz w:val="20"/>
          <w:szCs w:val="20"/>
        </w:rPr>
        <w:t>IMATS Screenshot of Online Questionnaire</w:t>
      </w:r>
      <w:r w:rsidRPr="00D62A25">
        <w:rPr>
          <w:rFonts w:ascii="Arial" w:hAnsi="Arial" w:cs="Arial"/>
          <w:sz w:val="20"/>
          <w:szCs w:val="20"/>
        </w:rPr>
        <w:t xml:space="preserve">) designed to </w:t>
      </w:r>
      <w:r w:rsidR="000C7BB4">
        <w:rPr>
          <w:rFonts w:ascii="Arial" w:hAnsi="Arial" w:cs="Arial"/>
          <w:sz w:val="20"/>
          <w:szCs w:val="20"/>
        </w:rPr>
        <w:t xml:space="preserve">collect data from </w:t>
      </w:r>
      <w:r w:rsidR="0053380D">
        <w:rPr>
          <w:rFonts w:ascii="Arial" w:hAnsi="Arial" w:cs="Arial"/>
          <w:sz w:val="20"/>
          <w:szCs w:val="20"/>
        </w:rPr>
        <w:t>designees</w:t>
      </w:r>
      <w:r w:rsidR="000C4417">
        <w:rPr>
          <w:rFonts w:ascii="Arial" w:hAnsi="Arial" w:cs="Arial"/>
          <w:sz w:val="20"/>
          <w:szCs w:val="20"/>
        </w:rPr>
        <w:t xml:space="preserve"> </w:t>
      </w:r>
      <w:r w:rsidR="00F46D59">
        <w:rPr>
          <w:rFonts w:ascii="Arial" w:hAnsi="Arial" w:cs="Arial"/>
          <w:sz w:val="20"/>
          <w:szCs w:val="20"/>
        </w:rPr>
        <w:t>from</w:t>
      </w:r>
      <w:r w:rsidR="00F46D59" w:rsidRPr="00F31BBD">
        <w:rPr>
          <w:rFonts w:ascii="Arial" w:hAnsi="Arial" w:cs="Arial"/>
          <w:sz w:val="20"/>
          <w:szCs w:val="20"/>
        </w:rPr>
        <w:t xml:space="preserve"> </w:t>
      </w:r>
      <w:r w:rsidR="00F46D59">
        <w:rPr>
          <w:rFonts w:ascii="Arial" w:hAnsi="Arial" w:cs="Arial"/>
          <w:sz w:val="20"/>
          <w:szCs w:val="20"/>
        </w:rPr>
        <w:t>s</w:t>
      </w:r>
      <w:r w:rsidR="00F46D59" w:rsidRPr="00F31BBD">
        <w:rPr>
          <w:rFonts w:ascii="Arial" w:hAnsi="Arial" w:cs="Arial"/>
          <w:sz w:val="20"/>
          <w:szCs w:val="20"/>
        </w:rPr>
        <w:t xml:space="preserve">tate, county and territorial </w:t>
      </w:r>
      <w:r w:rsidR="00F46D59">
        <w:rPr>
          <w:rFonts w:ascii="Arial" w:hAnsi="Arial" w:cs="Arial"/>
          <w:sz w:val="20"/>
          <w:szCs w:val="20"/>
        </w:rPr>
        <w:t>jurisdictions</w:t>
      </w:r>
      <w:r w:rsidR="00AF228A">
        <w:rPr>
          <w:rFonts w:ascii="Arial" w:hAnsi="Arial" w:cs="Arial"/>
          <w:sz w:val="20"/>
          <w:szCs w:val="20"/>
        </w:rPr>
        <w:t xml:space="preserve"> that have </w:t>
      </w:r>
      <w:r w:rsidR="00CB170D">
        <w:rPr>
          <w:rFonts w:ascii="Arial" w:hAnsi="Arial" w:cs="Arial"/>
          <w:sz w:val="20"/>
          <w:szCs w:val="20"/>
        </w:rPr>
        <w:t xml:space="preserve">assessed </w:t>
      </w:r>
      <w:r w:rsidR="00AF228A">
        <w:rPr>
          <w:rFonts w:ascii="Arial" w:hAnsi="Arial" w:cs="Arial"/>
          <w:sz w:val="20"/>
          <w:szCs w:val="20"/>
        </w:rPr>
        <w:t>IMATS</w:t>
      </w:r>
      <w:r w:rsidR="00892058">
        <w:rPr>
          <w:rFonts w:ascii="Arial" w:hAnsi="Arial" w:cs="Arial"/>
          <w:sz w:val="20"/>
          <w:szCs w:val="20"/>
        </w:rPr>
        <w:t xml:space="preserve"> to determine whether the system meets their</w:t>
      </w:r>
      <w:r w:rsidR="005D4FA4">
        <w:rPr>
          <w:rFonts w:ascii="Arial" w:hAnsi="Arial" w:cs="Arial"/>
          <w:sz w:val="20"/>
          <w:szCs w:val="20"/>
        </w:rPr>
        <w:t xml:space="preserve"> </w:t>
      </w:r>
      <w:r w:rsidR="00892058">
        <w:rPr>
          <w:rFonts w:ascii="Arial" w:hAnsi="Arial" w:cs="Arial"/>
          <w:sz w:val="20"/>
          <w:szCs w:val="20"/>
        </w:rPr>
        <w:t xml:space="preserve">needs for inventory management. </w:t>
      </w:r>
      <w:r w:rsidRPr="00D62A25">
        <w:rPr>
          <w:rFonts w:ascii="Arial" w:hAnsi="Arial" w:cs="Arial"/>
          <w:sz w:val="20"/>
          <w:szCs w:val="20"/>
        </w:rPr>
        <w:t xml:space="preserve">The data collection instrument will be administered as a web-based </w:t>
      </w:r>
      <w:r w:rsidR="000C7BB4">
        <w:rPr>
          <w:rFonts w:ascii="Arial" w:hAnsi="Arial" w:cs="Arial"/>
          <w:sz w:val="20"/>
          <w:szCs w:val="20"/>
        </w:rPr>
        <w:t>data collection tool</w:t>
      </w:r>
      <w:r w:rsidRPr="00D62A25">
        <w:rPr>
          <w:rFonts w:ascii="Arial" w:hAnsi="Arial" w:cs="Arial"/>
          <w:sz w:val="20"/>
          <w:szCs w:val="20"/>
        </w:rPr>
        <w:t xml:space="preserve">. The </w:t>
      </w:r>
      <w:r w:rsidR="000C7BB4">
        <w:rPr>
          <w:rFonts w:ascii="Arial" w:hAnsi="Arial" w:cs="Arial"/>
          <w:sz w:val="20"/>
          <w:szCs w:val="20"/>
        </w:rPr>
        <w:t>data collection tool</w:t>
      </w:r>
      <w:r w:rsidRPr="00D62A25">
        <w:rPr>
          <w:rFonts w:ascii="Arial" w:hAnsi="Arial" w:cs="Arial"/>
          <w:sz w:val="20"/>
          <w:szCs w:val="20"/>
        </w:rPr>
        <w:t xml:space="preserve"> was pilot tested by </w:t>
      </w:r>
      <w:r w:rsidR="007017DB">
        <w:rPr>
          <w:rFonts w:ascii="Arial" w:hAnsi="Arial" w:cs="Arial"/>
          <w:sz w:val="20"/>
          <w:szCs w:val="20"/>
        </w:rPr>
        <w:t>four (4)</w:t>
      </w:r>
      <w:r w:rsidRPr="00D62A25">
        <w:rPr>
          <w:rFonts w:ascii="Arial" w:hAnsi="Arial" w:cs="Arial"/>
          <w:sz w:val="20"/>
          <w:szCs w:val="20"/>
        </w:rPr>
        <w:t xml:space="preserve"> public health professionals</w:t>
      </w:r>
      <w:r w:rsidR="0013539B">
        <w:rPr>
          <w:rFonts w:ascii="Arial" w:hAnsi="Arial" w:cs="Arial"/>
          <w:sz w:val="20"/>
          <w:szCs w:val="20"/>
        </w:rPr>
        <w:t xml:space="preserve"> representing the target audience of state and local public health agencies</w:t>
      </w:r>
      <w:r w:rsidRPr="00D62A25">
        <w:rPr>
          <w:rFonts w:ascii="Arial" w:hAnsi="Arial" w:cs="Arial"/>
          <w:sz w:val="20"/>
          <w:szCs w:val="20"/>
        </w:rPr>
        <w:t xml:space="preserve">. Feedback from this group was used to refine questions as needed, ensure accurate programming and skip patterns and establish the estimated time required to complete the </w:t>
      </w:r>
      <w:r w:rsidR="000C7BB4">
        <w:rPr>
          <w:rFonts w:ascii="Arial" w:hAnsi="Arial" w:cs="Arial"/>
          <w:sz w:val="20"/>
          <w:szCs w:val="20"/>
        </w:rPr>
        <w:t>questions</w:t>
      </w:r>
      <w:r w:rsidRPr="00D62A25">
        <w:rPr>
          <w:rFonts w:ascii="Arial" w:hAnsi="Arial" w:cs="Arial"/>
          <w:sz w:val="20"/>
          <w:szCs w:val="20"/>
        </w:rPr>
        <w:t>.</w:t>
      </w:r>
    </w:p>
    <w:p w:rsidR="00456296" w:rsidRPr="00456296" w:rsidRDefault="00D62A25" w:rsidP="00806459">
      <w:pPr>
        <w:pStyle w:val="NormalWeb"/>
        <w:ind w:left="720"/>
        <w:rPr>
          <w:rFonts w:ascii="Arial" w:hAnsi="Arial" w:cs="Arial"/>
          <w:sz w:val="20"/>
          <w:szCs w:val="20"/>
        </w:rPr>
      </w:pPr>
      <w:r w:rsidRPr="00D62A25">
        <w:rPr>
          <w:rFonts w:ascii="Arial" w:hAnsi="Arial" w:cs="Arial"/>
          <w:sz w:val="20"/>
          <w:szCs w:val="20"/>
          <w:u w:val="single"/>
        </w:rPr>
        <w:t xml:space="preserve">Items of Information to be </w:t>
      </w:r>
      <w:proofErr w:type="gramStart"/>
      <w:r w:rsidRPr="00D62A25">
        <w:rPr>
          <w:rFonts w:ascii="Arial" w:hAnsi="Arial" w:cs="Arial"/>
          <w:sz w:val="20"/>
          <w:szCs w:val="20"/>
          <w:u w:val="single"/>
        </w:rPr>
        <w:t>Collected</w:t>
      </w:r>
      <w:proofErr w:type="gramEnd"/>
      <w:r w:rsidRPr="00D62A25">
        <w:rPr>
          <w:rFonts w:ascii="Arial" w:hAnsi="Arial" w:cs="Arial"/>
          <w:sz w:val="20"/>
          <w:szCs w:val="20"/>
        </w:rPr>
        <w:t xml:space="preserve"> – </w:t>
      </w:r>
      <w:r w:rsidR="00FC6D8C">
        <w:rPr>
          <w:rFonts w:ascii="Arial" w:hAnsi="Arial" w:cs="Arial"/>
          <w:sz w:val="20"/>
          <w:szCs w:val="20"/>
        </w:rPr>
        <w:t>There are a total of 2</w:t>
      </w:r>
      <w:r w:rsidR="00897E2F">
        <w:rPr>
          <w:rFonts w:ascii="Arial" w:hAnsi="Arial" w:cs="Arial"/>
          <w:sz w:val="20"/>
          <w:szCs w:val="20"/>
        </w:rPr>
        <w:t>6</w:t>
      </w:r>
      <w:r w:rsidR="00FC6D8C">
        <w:rPr>
          <w:rFonts w:ascii="Arial" w:hAnsi="Arial" w:cs="Arial"/>
          <w:sz w:val="20"/>
          <w:szCs w:val="20"/>
        </w:rPr>
        <w:t xml:space="preserve"> questions</w:t>
      </w:r>
      <w:r w:rsidR="003B4C36">
        <w:rPr>
          <w:rFonts w:ascii="Arial" w:hAnsi="Arial" w:cs="Arial"/>
          <w:sz w:val="20"/>
          <w:szCs w:val="20"/>
        </w:rPr>
        <w:t xml:space="preserve"> in the questionnaire. </w:t>
      </w:r>
      <w:r w:rsidR="00D82450">
        <w:rPr>
          <w:rFonts w:ascii="Arial" w:hAnsi="Arial" w:cs="Arial"/>
          <w:sz w:val="20"/>
          <w:szCs w:val="20"/>
        </w:rPr>
        <w:t xml:space="preserve">Twenty-two </w:t>
      </w:r>
      <w:r w:rsidR="003B4C36">
        <w:rPr>
          <w:rFonts w:ascii="Arial" w:hAnsi="Arial" w:cs="Arial"/>
          <w:sz w:val="20"/>
          <w:szCs w:val="20"/>
        </w:rPr>
        <w:t>of these are</w:t>
      </w:r>
      <w:r w:rsidR="00651E16">
        <w:rPr>
          <w:rFonts w:ascii="Arial" w:hAnsi="Arial" w:cs="Arial"/>
          <w:sz w:val="20"/>
          <w:szCs w:val="20"/>
        </w:rPr>
        <w:t xml:space="preserve"> </w:t>
      </w:r>
      <w:r w:rsidR="003C47A2">
        <w:rPr>
          <w:rFonts w:ascii="Arial" w:hAnsi="Arial" w:cs="Arial"/>
          <w:sz w:val="20"/>
          <w:szCs w:val="20"/>
        </w:rPr>
        <w:t>multiple choice or scale</w:t>
      </w:r>
      <w:r w:rsidR="00B873B8">
        <w:rPr>
          <w:rFonts w:ascii="Arial" w:hAnsi="Arial" w:cs="Arial"/>
          <w:sz w:val="20"/>
          <w:szCs w:val="20"/>
        </w:rPr>
        <w:t>-based</w:t>
      </w:r>
      <w:r w:rsidR="004350C5" w:rsidRPr="00F31BBD">
        <w:rPr>
          <w:rFonts w:ascii="Arial" w:hAnsi="Arial" w:cs="Arial"/>
          <w:sz w:val="20"/>
          <w:szCs w:val="20"/>
        </w:rPr>
        <w:t xml:space="preserve"> and </w:t>
      </w:r>
      <w:r w:rsidR="000110F7">
        <w:rPr>
          <w:rFonts w:ascii="Arial" w:hAnsi="Arial" w:cs="Arial"/>
          <w:sz w:val="20"/>
          <w:szCs w:val="20"/>
        </w:rPr>
        <w:t xml:space="preserve">four </w:t>
      </w:r>
      <w:r w:rsidR="003C47A2">
        <w:rPr>
          <w:rFonts w:ascii="Arial" w:hAnsi="Arial" w:cs="Arial"/>
          <w:sz w:val="20"/>
          <w:szCs w:val="20"/>
        </w:rPr>
        <w:t>are</w:t>
      </w:r>
      <w:r w:rsidR="003C47A2" w:rsidRPr="00F31BBD">
        <w:rPr>
          <w:rFonts w:ascii="Arial" w:hAnsi="Arial" w:cs="Arial"/>
          <w:sz w:val="20"/>
          <w:szCs w:val="20"/>
        </w:rPr>
        <w:t xml:space="preserve"> </w:t>
      </w:r>
      <w:r w:rsidR="004350C5" w:rsidRPr="00F31BBD">
        <w:rPr>
          <w:rFonts w:ascii="Arial" w:hAnsi="Arial" w:cs="Arial"/>
          <w:sz w:val="20"/>
          <w:szCs w:val="20"/>
        </w:rPr>
        <w:t>open ended</w:t>
      </w:r>
      <w:r w:rsidR="003C47A2">
        <w:rPr>
          <w:rFonts w:ascii="Arial" w:hAnsi="Arial" w:cs="Arial"/>
          <w:sz w:val="20"/>
          <w:szCs w:val="20"/>
        </w:rPr>
        <w:t>. R</w:t>
      </w:r>
      <w:r w:rsidR="004350C5" w:rsidRPr="00F31BBD">
        <w:rPr>
          <w:rFonts w:ascii="Arial" w:hAnsi="Arial" w:cs="Arial"/>
          <w:sz w:val="20"/>
          <w:szCs w:val="20"/>
        </w:rPr>
        <w:t xml:space="preserve">espondents have the </w:t>
      </w:r>
      <w:r w:rsidR="003C47A2">
        <w:rPr>
          <w:rFonts w:ascii="Arial" w:hAnsi="Arial" w:cs="Arial"/>
          <w:sz w:val="20"/>
          <w:szCs w:val="20"/>
        </w:rPr>
        <w:t>opportunity</w:t>
      </w:r>
      <w:r w:rsidR="003C47A2" w:rsidRPr="00F31BBD">
        <w:rPr>
          <w:rFonts w:ascii="Arial" w:hAnsi="Arial" w:cs="Arial"/>
          <w:sz w:val="20"/>
          <w:szCs w:val="20"/>
        </w:rPr>
        <w:t xml:space="preserve"> </w:t>
      </w:r>
      <w:r w:rsidR="004350C5" w:rsidRPr="00F31BBD">
        <w:rPr>
          <w:rFonts w:ascii="Arial" w:hAnsi="Arial" w:cs="Arial"/>
          <w:sz w:val="20"/>
          <w:szCs w:val="20"/>
        </w:rPr>
        <w:t xml:space="preserve">to </w:t>
      </w:r>
      <w:r w:rsidR="003C47A2">
        <w:rPr>
          <w:rFonts w:ascii="Arial" w:hAnsi="Arial" w:cs="Arial"/>
          <w:sz w:val="20"/>
          <w:szCs w:val="20"/>
        </w:rPr>
        <w:t xml:space="preserve">provide a narrative </w:t>
      </w:r>
      <w:r w:rsidR="004350C5" w:rsidRPr="00F31BBD">
        <w:rPr>
          <w:rFonts w:ascii="Arial" w:hAnsi="Arial" w:cs="Arial"/>
          <w:sz w:val="20"/>
          <w:szCs w:val="20"/>
        </w:rPr>
        <w:t xml:space="preserve">response </w:t>
      </w:r>
      <w:r w:rsidR="00A7568C" w:rsidRPr="00F31BBD">
        <w:rPr>
          <w:rFonts w:ascii="Arial" w:hAnsi="Arial" w:cs="Arial"/>
          <w:sz w:val="20"/>
          <w:szCs w:val="20"/>
        </w:rPr>
        <w:t>at the end of each question</w:t>
      </w:r>
      <w:r w:rsidR="004350C5" w:rsidRPr="00F31BBD">
        <w:rPr>
          <w:rFonts w:ascii="Arial" w:hAnsi="Arial" w:cs="Arial"/>
          <w:sz w:val="20"/>
          <w:szCs w:val="20"/>
        </w:rPr>
        <w:t>.</w:t>
      </w:r>
      <w:r w:rsidR="00EF22F3" w:rsidRPr="00F31BBD">
        <w:rPr>
          <w:rFonts w:ascii="Arial" w:hAnsi="Arial" w:cs="Arial"/>
          <w:sz w:val="20"/>
          <w:szCs w:val="20"/>
        </w:rPr>
        <w:t xml:space="preserve">  Open ended questions are limited to a maximum of 1000 characters in length.  This </w:t>
      </w:r>
      <w:r w:rsidR="000110F7">
        <w:rPr>
          <w:rFonts w:ascii="Arial" w:hAnsi="Arial" w:cs="Arial"/>
          <w:sz w:val="20"/>
          <w:szCs w:val="20"/>
        </w:rPr>
        <w:t>questionnaire will</w:t>
      </w:r>
      <w:r w:rsidR="000110F7" w:rsidRPr="00F31BBD">
        <w:rPr>
          <w:rFonts w:ascii="Arial" w:hAnsi="Arial" w:cs="Arial"/>
          <w:sz w:val="20"/>
          <w:szCs w:val="20"/>
        </w:rPr>
        <w:t xml:space="preserve"> </w:t>
      </w:r>
      <w:r w:rsidR="00020CE9">
        <w:rPr>
          <w:rFonts w:ascii="Arial" w:hAnsi="Arial" w:cs="Arial"/>
          <w:sz w:val="20"/>
          <w:szCs w:val="20"/>
        </w:rPr>
        <w:t xml:space="preserve">be </w:t>
      </w:r>
      <w:r w:rsidR="000110F7">
        <w:rPr>
          <w:rFonts w:ascii="Arial" w:hAnsi="Arial" w:cs="Arial"/>
          <w:sz w:val="20"/>
          <w:szCs w:val="20"/>
        </w:rPr>
        <w:t xml:space="preserve">distributed </w:t>
      </w:r>
      <w:r w:rsidR="006F36D4">
        <w:rPr>
          <w:rFonts w:ascii="Arial" w:hAnsi="Arial" w:cs="Arial"/>
          <w:sz w:val="20"/>
          <w:szCs w:val="20"/>
        </w:rPr>
        <w:t>and data collected using</w:t>
      </w:r>
      <w:r w:rsidR="00EF22F3" w:rsidRPr="00F31BBD">
        <w:rPr>
          <w:rFonts w:ascii="Arial" w:hAnsi="Arial" w:cs="Arial"/>
          <w:sz w:val="20"/>
          <w:szCs w:val="20"/>
        </w:rPr>
        <w:t xml:space="preserve"> </w:t>
      </w:r>
      <w:r w:rsidR="000110F7">
        <w:rPr>
          <w:rFonts w:ascii="Arial" w:hAnsi="Arial" w:cs="Arial"/>
          <w:sz w:val="20"/>
          <w:szCs w:val="20"/>
        </w:rPr>
        <w:t>the</w:t>
      </w:r>
      <w:r w:rsidR="00EF22F3" w:rsidRPr="00F31BBD">
        <w:rPr>
          <w:rFonts w:ascii="Arial" w:hAnsi="Arial" w:cs="Arial"/>
          <w:sz w:val="20"/>
          <w:szCs w:val="20"/>
        </w:rPr>
        <w:t xml:space="preserve"> </w:t>
      </w:r>
      <w:r w:rsidR="00387707">
        <w:rPr>
          <w:rFonts w:ascii="Arial" w:hAnsi="Arial" w:cs="Arial"/>
          <w:sz w:val="20"/>
          <w:szCs w:val="20"/>
        </w:rPr>
        <w:t>web-based</w:t>
      </w:r>
      <w:r w:rsidR="00EF22F3" w:rsidRPr="00F31BBD">
        <w:rPr>
          <w:rFonts w:ascii="Arial" w:hAnsi="Arial" w:cs="Arial"/>
          <w:sz w:val="20"/>
          <w:szCs w:val="20"/>
        </w:rPr>
        <w:t xml:space="preserve"> </w:t>
      </w:r>
      <w:r w:rsidR="000C7BB4">
        <w:rPr>
          <w:rFonts w:ascii="Arial" w:hAnsi="Arial" w:cs="Arial"/>
          <w:sz w:val="20"/>
          <w:szCs w:val="20"/>
        </w:rPr>
        <w:t>data collection</w:t>
      </w:r>
      <w:r w:rsidR="003C47A2">
        <w:rPr>
          <w:rFonts w:ascii="Arial" w:hAnsi="Arial" w:cs="Arial"/>
          <w:sz w:val="20"/>
          <w:szCs w:val="20"/>
        </w:rPr>
        <w:t xml:space="preserve"> tool</w:t>
      </w:r>
      <w:r w:rsidR="000110F7">
        <w:rPr>
          <w:rFonts w:ascii="Arial" w:hAnsi="Arial" w:cs="Arial"/>
          <w:sz w:val="20"/>
          <w:szCs w:val="20"/>
        </w:rPr>
        <w:t xml:space="preserve">, </w:t>
      </w:r>
      <w:r w:rsidR="00EF22F3" w:rsidRPr="00F31BBD">
        <w:rPr>
          <w:rFonts w:ascii="Arial" w:hAnsi="Arial" w:cs="Arial"/>
          <w:sz w:val="20"/>
          <w:szCs w:val="20"/>
        </w:rPr>
        <w:t>Survey Monkey®</w:t>
      </w:r>
      <w:r w:rsidR="00512C18">
        <w:rPr>
          <w:rFonts w:ascii="Arial" w:hAnsi="Arial" w:cs="Arial"/>
          <w:sz w:val="20"/>
          <w:szCs w:val="20"/>
        </w:rPr>
        <w:t>.</w:t>
      </w:r>
      <w:r w:rsidR="00456296" w:rsidRPr="00456296">
        <w:rPr>
          <w:rFonts w:asciiTheme="majorHAnsi" w:hAnsiTheme="majorHAnsi"/>
        </w:rPr>
        <w:t xml:space="preserve"> </w:t>
      </w:r>
      <w:r w:rsidR="00456296" w:rsidRPr="00456296">
        <w:rPr>
          <w:rFonts w:ascii="Arial" w:hAnsi="Arial" w:cs="Arial"/>
          <w:sz w:val="20"/>
          <w:szCs w:val="20"/>
        </w:rPr>
        <w:t>The survey will collect information on the following:</w:t>
      </w:r>
    </w:p>
    <w:p w:rsidR="00456296" w:rsidRPr="00456296" w:rsidRDefault="00456296" w:rsidP="00456296">
      <w:pPr>
        <w:pStyle w:val="NormalWeb"/>
        <w:numPr>
          <w:ilvl w:val="0"/>
          <w:numId w:val="5"/>
        </w:numPr>
        <w:rPr>
          <w:rFonts w:ascii="Arial" w:hAnsi="Arial" w:cs="Arial"/>
          <w:sz w:val="20"/>
          <w:szCs w:val="20"/>
        </w:rPr>
      </w:pPr>
      <w:r w:rsidRPr="00456296">
        <w:rPr>
          <w:rFonts w:ascii="Arial" w:hAnsi="Arial" w:cs="Arial"/>
          <w:sz w:val="20"/>
          <w:szCs w:val="20"/>
        </w:rPr>
        <w:lastRenderedPageBreak/>
        <w:t>respondent characteristics</w:t>
      </w:r>
      <w:r w:rsidR="00806459">
        <w:rPr>
          <w:rFonts w:ascii="Arial" w:hAnsi="Arial" w:cs="Arial"/>
          <w:sz w:val="20"/>
          <w:szCs w:val="20"/>
        </w:rPr>
        <w:t xml:space="preserve"> (optional)</w:t>
      </w:r>
      <w:r w:rsidRPr="00456296">
        <w:rPr>
          <w:rFonts w:ascii="Arial" w:hAnsi="Arial" w:cs="Arial"/>
          <w:sz w:val="20"/>
          <w:szCs w:val="20"/>
        </w:rPr>
        <w:t xml:space="preserve"> –</w:t>
      </w:r>
      <w:r w:rsidR="0059280F">
        <w:rPr>
          <w:rFonts w:ascii="Arial" w:hAnsi="Arial" w:cs="Arial"/>
          <w:sz w:val="20"/>
          <w:szCs w:val="20"/>
        </w:rPr>
        <w:t xml:space="preserve"> </w:t>
      </w:r>
      <w:r w:rsidRPr="00456296">
        <w:rPr>
          <w:rFonts w:ascii="Arial" w:hAnsi="Arial" w:cs="Arial"/>
          <w:sz w:val="20"/>
          <w:szCs w:val="20"/>
        </w:rPr>
        <w:t xml:space="preserve">public health agency; </w:t>
      </w:r>
      <w:r w:rsidR="00DB357F">
        <w:rPr>
          <w:rFonts w:ascii="Arial" w:hAnsi="Arial" w:cs="Arial"/>
          <w:sz w:val="20"/>
          <w:szCs w:val="20"/>
        </w:rPr>
        <w:t xml:space="preserve">city; state </w:t>
      </w:r>
      <w:r w:rsidRPr="00456296">
        <w:rPr>
          <w:rFonts w:ascii="Arial" w:hAnsi="Arial" w:cs="Arial"/>
          <w:sz w:val="20"/>
          <w:szCs w:val="20"/>
        </w:rPr>
        <w:t xml:space="preserve">(multiple response </w:t>
      </w:r>
      <w:r w:rsidR="00DB357F">
        <w:rPr>
          <w:rFonts w:ascii="Arial" w:hAnsi="Arial" w:cs="Arial"/>
          <w:sz w:val="20"/>
          <w:szCs w:val="20"/>
        </w:rPr>
        <w:t>format</w:t>
      </w:r>
      <w:r w:rsidRPr="00456296">
        <w:rPr>
          <w:rFonts w:ascii="Arial" w:hAnsi="Arial" w:cs="Arial"/>
          <w:sz w:val="20"/>
          <w:szCs w:val="20"/>
        </w:rPr>
        <w:t>)</w:t>
      </w:r>
    </w:p>
    <w:p w:rsidR="00456296" w:rsidRPr="00456296" w:rsidRDefault="00456296" w:rsidP="00456296">
      <w:pPr>
        <w:pStyle w:val="NormalWeb"/>
        <w:numPr>
          <w:ilvl w:val="0"/>
          <w:numId w:val="5"/>
        </w:numPr>
        <w:rPr>
          <w:rFonts w:ascii="Arial" w:hAnsi="Arial" w:cs="Arial"/>
          <w:sz w:val="20"/>
          <w:szCs w:val="20"/>
        </w:rPr>
      </w:pPr>
      <w:r w:rsidRPr="00456296">
        <w:rPr>
          <w:rFonts w:ascii="Arial" w:hAnsi="Arial" w:cs="Arial"/>
          <w:sz w:val="20"/>
          <w:szCs w:val="20"/>
        </w:rPr>
        <w:t xml:space="preserve">respondent </w:t>
      </w:r>
      <w:r w:rsidR="008332FA">
        <w:rPr>
          <w:rFonts w:ascii="Arial" w:hAnsi="Arial" w:cs="Arial"/>
          <w:sz w:val="20"/>
          <w:szCs w:val="20"/>
        </w:rPr>
        <w:t xml:space="preserve">experiences with IMATS </w:t>
      </w:r>
      <w:r w:rsidR="000D65AD">
        <w:rPr>
          <w:rFonts w:ascii="Arial" w:hAnsi="Arial" w:cs="Arial"/>
          <w:sz w:val="20"/>
          <w:szCs w:val="20"/>
        </w:rPr>
        <w:t xml:space="preserve">assessment </w:t>
      </w:r>
      <w:r w:rsidRPr="00456296">
        <w:rPr>
          <w:rFonts w:ascii="Arial" w:hAnsi="Arial" w:cs="Arial"/>
          <w:sz w:val="20"/>
          <w:szCs w:val="20"/>
        </w:rPr>
        <w:t xml:space="preserve">– </w:t>
      </w:r>
      <w:r w:rsidR="008332FA">
        <w:rPr>
          <w:rFonts w:ascii="Arial" w:hAnsi="Arial" w:cs="Arial"/>
          <w:sz w:val="20"/>
          <w:szCs w:val="20"/>
        </w:rPr>
        <w:t xml:space="preserve">how respondents heard about IMATS, reasons for </w:t>
      </w:r>
      <w:r w:rsidR="000D65AD">
        <w:rPr>
          <w:rFonts w:ascii="Arial" w:hAnsi="Arial" w:cs="Arial"/>
          <w:sz w:val="20"/>
          <w:szCs w:val="20"/>
        </w:rPr>
        <w:t xml:space="preserve">assessing </w:t>
      </w:r>
      <w:r w:rsidR="008332FA">
        <w:rPr>
          <w:rFonts w:ascii="Arial" w:hAnsi="Arial" w:cs="Arial"/>
          <w:sz w:val="20"/>
          <w:szCs w:val="20"/>
        </w:rPr>
        <w:t xml:space="preserve">IMATS, factors playing a role for system adoption, current inventory management system information </w:t>
      </w:r>
      <w:r w:rsidRPr="00456296">
        <w:rPr>
          <w:rFonts w:ascii="Arial" w:hAnsi="Arial" w:cs="Arial"/>
          <w:sz w:val="20"/>
          <w:szCs w:val="20"/>
        </w:rPr>
        <w:t>(single response, multiple response</w:t>
      </w:r>
      <w:r w:rsidR="00C2690C">
        <w:rPr>
          <w:rFonts w:ascii="Arial" w:hAnsi="Arial" w:cs="Arial"/>
          <w:sz w:val="20"/>
          <w:szCs w:val="20"/>
        </w:rPr>
        <w:t>, rating</w:t>
      </w:r>
      <w:r w:rsidRPr="00456296">
        <w:rPr>
          <w:rFonts w:ascii="Arial" w:hAnsi="Arial" w:cs="Arial"/>
          <w:sz w:val="20"/>
          <w:szCs w:val="20"/>
        </w:rPr>
        <w:t xml:space="preserve"> and open-ended format)</w:t>
      </w:r>
    </w:p>
    <w:p w:rsidR="00456296" w:rsidRPr="00456296" w:rsidRDefault="00456296" w:rsidP="00456296">
      <w:pPr>
        <w:pStyle w:val="NormalWeb"/>
        <w:numPr>
          <w:ilvl w:val="0"/>
          <w:numId w:val="5"/>
        </w:numPr>
        <w:rPr>
          <w:rFonts w:ascii="Arial" w:hAnsi="Arial" w:cs="Arial"/>
          <w:sz w:val="20"/>
          <w:szCs w:val="20"/>
        </w:rPr>
      </w:pPr>
      <w:r w:rsidRPr="00456296">
        <w:rPr>
          <w:rFonts w:ascii="Arial" w:hAnsi="Arial" w:cs="Arial"/>
          <w:sz w:val="20"/>
          <w:szCs w:val="20"/>
        </w:rPr>
        <w:t xml:space="preserve">respondent </w:t>
      </w:r>
      <w:r w:rsidR="00C2690C">
        <w:rPr>
          <w:rFonts w:ascii="Arial" w:hAnsi="Arial" w:cs="Arial"/>
          <w:sz w:val="20"/>
          <w:szCs w:val="20"/>
        </w:rPr>
        <w:t xml:space="preserve">criteria for system adoption </w:t>
      </w:r>
      <w:r w:rsidRPr="00456296">
        <w:rPr>
          <w:rFonts w:ascii="Arial" w:hAnsi="Arial" w:cs="Arial"/>
          <w:sz w:val="20"/>
          <w:szCs w:val="20"/>
        </w:rPr>
        <w:t xml:space="preserve">– </w:t>
      </w:r>
      <w:r w:rsidR="00B52C14">
        <w:rPr>
          <w:rFonts w:ascii="Arial" w:hAnsi="Arial" w:cs="Arial"/>
          <w:sz w:val="20"/>
          <w:szCs w:val="20"/>
        </w:rPr>
        <w:t xml:space="preserve">IMATS ease of use, suitability for an event, feature completeness </w:t>
      </w:r>
      <w:r w:rsidRPr="00456296">
        <w:rPr>
          <w:rFonts w:ascii="Arial" w:hAnsi="Arial" w:cs="Arial"/>
          <w:sz w:val="20"/>
          <w:szCs w:val="20"/>
        </w:rPr>
        <w:t>(</w:t>
      </w:r>
      <w:r w:rsidR="00B52C14">
        <w:rPr>
          <w:rFonts w:ascii="Arial" w:hAnsi="Arial" w:cs="Arial"/>
          <w:sz w:val="20"/>
          <w:szCs w:val="20"/>
        </w:rPr>
        <w:t>rating</w:t>
      </w:r>
      <w:r w:rsidRPr="00456296">
        <w:rPr>
          <w:rFonts w:ascii="Arial" w:hAnsi="Arial" w:cs="Arial"/>
          <w:sz w:val="20"/>
          <w:szCs w:val="20"/>
        </w:rPr>
        <w:t xml:space="preserve"> and open-ended format)</w:t>
      </w:r>
    </w:p>
    <w:p w:rsidR="00886AA5" w:rsidRPr="001E51C1" w:rsidRDefault="00886AA5" w:rsidP="00886AA5">
      <w:pPr>
        <w:pStyle w:val="NormalWeb"/>
        <w:ind w:left="720"/>
        <w:rPr>
          <w:rFonts w:ascii="Georgia" w:hAnsi="Georgia"/>
          <w:color w:val="000000"/>
          <w:sz w:val="20"/>
          <w:szCs w:val="20"/>
        </w:rPr>
      </w:pPr>
      <w:r w:rsidRPr="001E51C1">
        <w:rPr>
          <w:rFonts w:ascii="Arial" w:hAnsi="Arial" w:cs="Arial"/>
          <w:color w:val="000000"/>
          <w:sz w:val="20"/>
          <w:szCs w:val="20"/>
          <w:u w:val="single"/>
        </w:rPr>
        <w:t xml:space="preserve">Identification of Website(s) and Website Content Directed at Children </w:t>
      </w:r>
      <w:proofErr w:type="gramStart"/>
      <w:r w:rsidRPr="001E51C1">
        <w:rPr>
          <w:rFonts w:ascii="Arial" w:hAnsi="Arial" w:cs="Arial"/>
          <w:color w:val="000000"/>
          <w:sz w:val="20"/>
          <w:szCs w:val="20"/>
          <w:u w:val="single"/>
        </w:rPr>
        <w:t>Under</w:t>
      </w:r>
      <w:proofErr w:type="gramEnd"/>
      <w:r w:rsidRPr="001E51C1">
        <w:rPr>
          <w:rFonts w:ascii="Arial" w:hAnsi="Arial" w:cs="Arial"/>
          <w:color w:val="000000"/>
          <w:sz w:val="20"/>
          <w:szCs w:val="20"/>
          <w:u w:val="single"/>
        </w:rPr>
        <w:t xml:space="preserve"> 13 Years of Age</w:t>
      </w:r>
      <w:r w:rsidRPr="00886AA5">
        <w:rPr>
          <w:rFonts w:ascii="Georgia" w:hAnsi="Georgia"/>
          <w:color w:val="000000"/>
          <w:sz w:val="20"/>
          <w:szCs w:val="20"/>
        </w:rPr>
        <w:t xml:space="preserve"> </w:t>
      </w:r>
      <w:r w:rsidRPr="001E51C1">
        <w:rPr>
          <w:rFonts w:ascii="Arial" w:hAnsi="Arial" w:cs="Arial"/>
          <w:sz w:val="20"/>
          <w:szCs w:val="20"/>
        </w:rPr>
        <w:t xml:space="preserve">– The data collection system involves using a web-based </w:t>
      </w:r>
      <w:r w:rsidR="000C7BB4">
        <w:rPr>
          <w:rFonts w:ascii="Arial" w:hAnsi="Arial" w:cs="Arial"/>
          <w:sz w:val="20"/>
          <w:szCs w:val="20"/>
        </w:rPr>
        <w:t>data collection tool</w:t>
      </w:r>
      <w:r w:rsidRPr="001E51C1">
        <w:rPr>
          <w:rFonts w:ascii="Arial" w:hAnsi="Arial" w:cs="Arial"/>
          <w:sz w:val="20"/>
          <w:szCs w:val="20"/>
        </w:rPr>
        <w:t xml:space="preserve">. Respondents will be sent a link directing them to the online </w:t>
      </w:r>
      <w:r w:rsidR="000C7BB4">
        <w:rPr>
          <w:rFonts w:ascii="Arial" w:hAnsi="Arial" w:cs="Arial"/>
          <w:sz w:val="20"/>
          <w:szCs w:val="20"/>
        </w:rPr>
        <w:t>data collection tool</w:t>
      </w:r>
      <w:r w:rsidRPr="001E51C1">
        <w:rPr>
          <w:rFonts w:ascii="Arial" w:hAnsi="Arial" w:cs="Arial"/>
          <w:sz w:val="20"/>
          <w:szCs w:val="20"/>
        </w:rPr>
        <w:t xml:space="preserve"> only (i.e., not a website). No website content will be directed at children.</w:t>
      </w:r>
    </w:p>
    <w:p w:rsidR="00EF22F3" w:rsidRPr="00A50EFC" w:rsidRDefault="00EF22F3" w:rsidP="00EF22F3">
      <w:pPr>
        <w:rPr>
          <w:rFonts w:ascii="Arial" w:hAnsi="Arial" w:cs="Arial"/>
          <w:sz w:val="22"/>
          <w:szCs w:val="22"/>
          <w:u w:val="single"/>
        </w:rPr>
      </w:pPr>
    </w:p>
    <w:p w:rsidR="00EF22F3" w:rsidRPr="00806459" w:rsidRDefault="00EF22F3" w:rsidP="00EF22F3">
      <w:pPr>
        <w:pStyle w:val="ListParagraph"/>
        <w:numPr>
          <w:ilvl w:val="0"/>
          <w:numId w:val="1"/>
        </w:numPr>
        <w:rPr>
          <w:rFonts w:ascii="Arial" w:hAnsi="Arial" w:cs="Arial"/>
          <w:sz w:val="22"/>
          <w:szCs w:val="22"/>
          <w:u w:val="single"/>
        </w:rPr>
      </w:pPr>
      <w:r w:rsidRPr="00806459">
        <w:rPr>
          <w:rFonts w:ascii="Arial" w:hAnsi="Arial" w:cs="Arial"/>
          <w:sz w:val="22"/>
          <w:szCs w:val="22"/>
          <w:u w:val="single"/>
        </w:rPr>
        <w:t>Purpose and Use of Information Collection</w:t>
      </w:r>
    </w:p>
    <w:p w:rsidR="00EF22F3" w:rsidRPr="003827F9" w:rsidRDefault="00EF22F3" w:rsidP="00EF22F3">
      <w:pPr>
        <w:pStyle w:val="ListParagraph"/>
        <w:ind w:left="1080"/>
        <w:rPr>
          <w:rFonts w:ascii="Arial" w:hAnsi="Arial" w:cs="Arial"/>
          <w:sz w:val="22"/>
          <w:szCs w:val="22"/>
        </w:rPr>
      </w:pPr>
    </w:p>
    <w:p w:rsidR="003F26B0" w:rsidRDefault="003960F8" w:rsidP="00FB0E49">
      <w:pPr>
        <w:pStyle w:val="NormalWeb"/>
        <w:ind w:left="720"/>
        <w:rPr>
          <w:rFonts w:ascii="Arial" w:hAnsi="Arial" w:cs="Arial"/>
          <w:sz w:val="20"/>
          <w:szCs w:val="20"/>
        </w:rPr>
      </w:pPr>
      <w:r>
        <w:rPr>
          <w:rFonts w:ascii="Arial" w:hAnsi="Arial" w:cs="Arial"/>
          <w:color w:val="000000"/>
          <w:sz w:val="20"/>
          <w:szCs w:val="20"/>
          <w:lang w:val="en"/>
        </w:rPr>
        <w:t xml:space="preserve">The purpose of this </w:t>
      </w:r>
      <w:r w:rsidR="00B74F4B">
        <w:rPr>
          <w:rFonts w:ascii="Arial" w:hAnsi="Arial" w:cs="Arial"/>
          <w:color w:val="000000"/>
          <w:sz w:val="20"/>
          <w:szCs w:val="20"/>
          <w:lang w:val="en"/>
        </w:rPr>
        <w:t>data collection</w:t>
      </w:r>
      <w:r>
        <w:rPr>
          <w:rFonts w:ascii="Arial" w:hAnsi="Arial" w:cs="Arial"/>
          <w:color w:val="000000"/>
          <w:sz w:val="20"/>
          <w:szCs w:val="20"/>
          <w:lang w:val="en"/>
        </w:rPr>
        <w:t xml:space="preserve"> is to collect information from </w:t>
      </w:r>
      <w:r w:rsidR="0053380D">
        <w:rPr>
          <w:rFonts w:ascii="Arial" w:hAnsi="Arial" w:cs="Arial"/>
          <w:sz w:val="20"/>
          <w:szCs w:val="20"/>
        </w:rPr>
        <w:t>designees</w:t>
      </w:r>
      <w:r>
        <w:rPr>
          <w:rFonts w:ascii="Arial" w:hAnsi="Arial" w:cs="Arial"/>
          <w:sz w:val="20"/>
          <w:szCs w:val="20"/>
        </w:rPr>
        <w:t xml:space="preserve"> from</w:t>
      </w:r>
      <w:r w:rsidRPr="00F31BBD">
        <w:rPr>
          <w:rFonts w:ascii="Arial" w:hAnsi="Arial" w:cs="Arial"/>
          <w:sz w:val="20"/>
          <w:szCs w:val="20"/>
        </w:rPr>
        <w:t xml:space="preserve"> </w:t>
      </w:r>
      <w:r>
        <w:rPr>
          <w:rFonts w:ascii="Arial" w:hAnsi="Arial" w:cs="Arial"/>
          <w:sz w:val="20"/>
          <w:szCs w:val="20"/>
        </w:rPr>
        <w:t>s</w:t>
      </w:r>
      <w:r w:rsidRPr="00F31BBD">
        <w:rPr>
          <w:rFonts w:ascii="Arial" w:hAnsi="Arial" w:cs="Arial"/>
          <w:sz w:val="20"/>
          <w:szCs w:val="20"/>
        </w:rPr>
        <w:t xml:space="preserve">tate, county and territorial </w:t>
      </w:r>
      <w:r>
        <w:rPr>
          <w:rFonts w:ascii="Arial" w:hAnsi="Arial" w:cs="Arial"/>
          <w:sz w:val="20"/>
          <w:szCs w:val="20"/>
        </w:rPr>
        <w:t>jurisdictions that have evaluated IMATS</w:t>
      </w:r>
      <w:r>
        <w:rPr>
          <w:rFonts w:ascii="Arial" w:hAnsi="Arial" w:cs="Arial"/>
          <w:color w:val="000000"/>
          <w:sz w:val="20"/>
          <w:szCs w:val="20"/>
          <w:lang w:val="en"/>
        </w:rPr>
        <w:t xml:space="preserve"> about how IMATS is working to meet their needs. </w:t>
      </w:r>
      <w:r w:rsidR="000F196F">
        <w:rPr>
          <w:rFonts w:ascii="Arial" w:hAnsi="Arial" w:cs="Arial"/>
          <w:color w:val="000000"/>
          <w:sz w:val="20"/>
          <w:szCs w:val="20"/>
          <w:lang w:val="en"/>
        </w:rPr>
        <w:t xml:space="preserve">User input and collaboration continuously impacts </w:t>
      </w:r>
      <w:r w:rsidR="00B74F4B">
        <w:rPr>
          <w:rFonts w:ascii="Arial" w:hAnsi="Arial" w:cs="Arial"/>
          <w:color w:val="000000"/>
          <w:sz w:val="20"/>
          <w:szCs w:val="20"/>
          <w:lang w:val="en"/>
        </w:rPr>
        <w:t xml:space="preserve">system </w:t>
      </w:r>
      <w:r w:rsidR="000F196F">
        <w:rPr>
          <w:rFonts w:ascii="Arial" w:hAnsi="Arial" w:cs="Arial"/>
          <w:color w:val="000000"/>
          <w:sz w:val="20"/>
          <w:szCs w:val="20"/>
          <w:lang w:val="en"/>
        </w:rPr>
        <w:t>enhancements</w:t>
      </w:r>
      <w:r w:rsidR="00B74F4B">
        <w:rPr>
          <w:rFonts w:ascii="Arial" w:hAnsi="Arial" w:cs="Arial"/>
          <w:color w:val="000000"/>
          <w:sz w:val="20"/>
          <w:szCs w:val="20"/>
          <w:lang w:val="en"/>
        </w:rPr>
        <w:t xml:space="preserve"> to ensure </w:t>
      </w:r>
      <w:r w:rsidR="000F196F">
        <w:rPr>
          <w:rFonts w:ascii="Arial" w:hAnsi="Arial" w:cs="Arial"/>
          <w:color w:val="000000"/>
          <w:sz w:val="20"/>
          <w:szCs w:val="20"/>
          <w:lang w:val="en"/>
        </w:rPr>
        <w:t>that IMATS remain</w:t>
      </w:r>
      <w:r w:rsidR="00E76FBD">
        <w:rPr>
          <w:rFonts w:ascii="Arial" w:hAnsi="Arial" w:cs="Arial"/>
          <w:color w:val="000000"/>
          <w:sz w:val="20"/>
          <w:szCs w:val="20"/>
          <w:lang w:val="en"/>
        </w:rPr>
        <w:t>s</w:t>
      </w:r>
      <w:r w:rsidR="000F196F">
        <w:rPr>
          <w:rFonts w:ascii="Arial" w:hAnsi="Arial" w:cs="Arial"/>
          <w:color w:val="000000"/>
          <w:sz w:val="20"/>
          <w:szCs w:val="20"/>
          <w:lang w:val="en"/>
        </w:rPr>
        <w:t xml:space="preserve"> intuitive and meet</w:t>
      </w:r>
      <w:r w:rsidR="00E76FBD">
        <w:rPr>
          <w:rFonts w:ascii="Arial" w:hAnsi="Arial" w:cs="Arial"/>
          <w:color w:val="000000"/>
          <w:sz w:val="20"/>
          <w:szCs w:val="20"/>
          <w:lang w:val="en"/>
        </w:rPr>
        <w:t>s</w:t>
      </w:r>
      <w:r w:rsidR="000F196F">
        <w:rPr>
          <w:rFonts w:ascii="Arial" w:hAnsi="Arial" w:cs="Arial"/>
          <w:color w:val="000000"/>
          <w:sz w:val="20"/>
          <w:szCs w:val="20"/>
          <w:lang w:val="en"/>
        </w:rPr>
        <w:t xml:space="preserve"> user </w:t>
      </w:r>
      <w:r w:rsidR="00B74F4B">
        <w:rPr>
          <w:rFonts w:ascii="Arial" w:hAnsi="Arial" w:cs="Arial"/>
          <w:color w:val="000000"/>
          <w:sz w:val="20"/>
          <w:szCs w:val="20"/>
          <w:lang w:val="en"/>
        </w:rPr>
        <w:t>requirements</w:t>
      </w:r>
      <w:r w:rsidR="000F196F">
        <w:rPr>
          <w:rFonts w:ascii="Arial" w:hAnsi="Arial" w:cs="Arial"/>
          <w:color w:val="000000"/>
          <w:sz w:val="20"/>
          <w:szCs w:val="20"/>
          <w:lang w:val="en"/>
        </w:rPr>
        <w:t xml:space="preserve">. </w:t>
      </w:r>
    </w:p>
    <w:p w:rsidR="00EF22F3" w:rsidRPr="0089561F" w:rsidRDefault="001D65D2" w:rsidP="00EF22F3">
      <w:pPr>
        <w:ind w:left="720"/>
        <w:rPr>
          <w:rFonts w:ascii="Arial" w:hAnsi="Arial" w:cs="Arial"/>
          <w:sz w:val="20"/>
          <w:szCs w:val="20"/>
        </w:rPr>
      </w:pPr>
      <w:r>
        <w:rPr>
          <w:rFonts w:ascii="Arial" w:hAnsi="Arial" w:cs="Arial"/>
          <w:sz w:val="20"/>
          <w:szCs w:val="20"/>
        </w:rPr>
        <w:t xml:space="preserve">The information obtained </w:t>
      </w:r>
      <w:r w:rsidR="005969CC">
        <w:rPr>
          <w:rFonts w:ascii="Arial" w:hAnsi="Arial" w:cs="Arial"/>
          <w:sz w:val="20"/>
          <w:szCs w:val="20"/>
        </w:rPr>
        <w:t>from</w:t>
      </w:r>
      <w:r>
        <w:rPr>
          <w:rFonts w:ascii="Arial" w:hAnsi="Arial" w:cs="Arial"/>
          <w:sz w:val="20"/>
          <w:szCs w:val="20"/>
        </w:rPr>
        <w:t xml:space="preserve"> this </w:t>
      </w:r>
      <w:r w:rsidR="00FD372A">
        <w:rPr>
          <w:rFonts w:ascii="Arial" w:hAnsi="Arial" w:cs="Arial"/>
          <w:sz w:val="20"/>
          <w:szCs w:val="20"/>
        </w:rPr>
        <w:t>data collection</w:t>
      </w:r>
      <w:r w:rsidR="00B74F4B">
        <w:rPr>
          <w:rFonts w:ascii="Arial" w:hAnsi="Arial" w:cs="Arial"/>
          <w:sz w:val="20"/>
          <w:szCs w:val="20"/>
        </w:rPr>
        <w:t xml:space="preserve"> </w:t>
      </w:r>
      <w:r>
        <w:rPr>
          <w:rFonts w:ascii="Arial" w:hAnsi="Arial" w:cs="Arial"/>
          <w:sz w:val="20"/>
          <w:szCs w:val="20"/>
        </w:rPr>
        <w:t xml:space="preserve">will be helpful to understand the </w:t>
      </w:r>
      <w:r w:rsidR="005969CC">
        <w:rPr>
          <w:rFonts w:ascii="Arial" w:hAnsi="Arial" w:cs="Arial"/>
          <w:sz w:val="20"/>
          <w:szCs w:val="20"/>
        </w:rPr>
        <w:t xml:space="preserve">importance </w:t>
      </w:r>
      <w:r w:rsidR="00A2335D">
        <w:rPr>
          <w:rFonts w:ascii="Arial" w:hAnsi="Arial" w:cs="Arial"/>
          <w:sz w:val="20"/>
          <w:szCs w:val="20"/>
        </w:rPr>
        <w:t xml:space="preserve">of </w:t>
      </w:r>
      <w:r w:rsidR="005969CC">
        <w:rPr>
          <w:rFonts w:ascii="Arial" w:hAnsi="Arial" w:cs="Arial"/>
          <w:sz w:val="20"/>
          <w:szCs w:val="20"/>
        </w:rPr>
        <w:t xml:space="preserve">certain criteria (ease of use, cost, etc.) </w:t>
      </w:r>
      <w:r w:rsidR="00131C4E">
        <w:rPr>
          <w:rFonts w:ascii="Arial" w:hAnsi="Arial" w:cs="Arial"/>
          <w:sz w:val="20"/>
          <w:szCs w:val="20"/>
        </w:rPr>
        <w:t xml:space="preserve">to state and local public health providers when </w:t>
      </w:r>
      <w:r w:rsidR="00F70F39">
        <w:rPr>
          <w:rFonts w:ascii="Arial" w:hAnsi="Arial" w:cs="Arial"/>
          <w:sz w:val="20"/>
          <w:szCs w:val="20"/>
        </w:rPr>
        <w:t>selecting an</w:t>
      </w:r>
      <w:r w:rsidR="005969CC">
        <w:rPr>
          <w:rFonts w:ascii="Arial" w:hAnsi="Arial" w:cs="Arial"/>
          <w:sz w:val="20"/>
          <w:szCs w:val="20"/>
        </w:rPr>
        <w:t xml:space="preserve"> inventory management system</w:t>
      </w:r>
      <w:r w:rsidR="00A2335D">
        <w:rPr>
          <w:rFonts w:ascii="Arial" w:hAnsi="Arial" w:cs="Arial"/>
          <w:sz w:val="20"/>
          <w:szCs w:val="20"/>
        </w:rPr>
        <w:t xml:space="preserve">. </w:t>
      </w:r>
      <w:r w:rsidR="004870E2">
        <w:rPr>
          <w:rFonts w:ascii="Arial" w:hAnsi="Arial" w:cs="Arial"/>
          <w:sz w:val="20"/>
          <w:szCs w:val="20"/>
        </w:rPr>
        <w:t>Developing an effective information system require</w:t>
      </w:r>
      <w:r w:rsidR="005969CC">
        <w:rPr>
          <w:rFonts w:ascii="Arial" w:hAnsi="Arial" w:cs="Arial"/>
          <w:sz w:val="20"/>
          <w:szCs w:val="20"/>
        </w:rPr>
        <w:t>s</w:t>
      </w:r>
      <w:r w:rsidR="004870E2">
        <w:rPr>
          <w:rFonts w:ascii="Arial" w:hAnsi="Arial" w:cs="Arial"/>
          <w:sz w:val="20"/>
          <w:szCs w:val="20"/>
        </w:rPr>
        <w:t xml:space="preserve"> </w:t>
      </w:r>
      <w:r w:rsidR="005969CC">
        <w:rPr>
          <w:rFonts w:ascii="Arial" w:hAnsi="Arial" w:cs="Arial"/>
          <w:sz w:val="20"/>
          <w:szCs w:val="20"/>
        </w:rPr>
        <w:t xml:space="preserve">an </w:t>
      </w:r>
      <w:r w:rsidR="00EF22F3" w:rsidRPr="0089561F">
        <w:rPr>
          <w:rFonts w:ascii="Arial" w:hAnsi="Arial" w:cs="Arial"/>
          <w:sz w:val="20"/>
          <w:szCs w:val="20"/>
        </w:rPr>
        <w:t>understanding</w:t>
      </w:r>
      <w:r w:rsidR="00773472">
        <w:rPr>
          <w:rFonts w:ascii="Arial" w:hAnsi="Arial" w:cs="Arial"/>
          <w:sz w:val="20"/>
          <w:szCs w:val="20"/>
        </w:rPr>
        <w:t xml:space="preserve"> of </w:t>
      </w:r>
      <w:r w:rsidR="001F5412">
        <w:rPr>
          <w:rFonts w:ascii="Arial" w:hAnsi="Arial" w:cs="Arial"/>
          <w:sz w:val="20"/>
          <w:szCs w:val="20"/>
        </w:rPr>
        <w:t xml:space="preserve">the </w:t>
      </w:r>
      <w:r w:rsidR="00773472">
        <w:rPr>
          <w:rFonts w:ascii="Arial" w:hAnsi="Arial" w:cs="Arial"/>
          <w:sz w:val="20"/>
          <w:szCs w:val="20"/>
        </w:rPr>
        <w:t xml:space="preserve">user’s ability to navigate the system </w:t>
      </w:r>
      <w:r w:rsidR="00A7702B">
        <w:rPr>
          <w:rFonts w:ascii="Arial" w:hAnsi="Arial" w:cs="Arial"/>
          <w:sz w:val="20"/>
          <w:szCs w:val="20"/>
        </w:rPr>
        <w:t>easily</w:t>
      </w:r>
      <w:r w:rsidR="00773472">
        <w:rPr>
          <w:rFonts w:ascii="Arial" w:hAnsi="Arial" w:cs="Arial"/>
          <w:sz w:val="20"/>
          <w:szCs w:val="20"/>
        </w:rPr>
        <w:t xml:space="preserve"> and without confusion. By asking </w:t>
      </w:r>
      <w:r w:rsidR="0053380D">
        <w:rPr>
          <w:rFonts w:ascii="Arial" w:hAnsi="Arial" w:cs="Arial"/>
          <w:sz w:val="20"/>
          <w:szCs w:val="20"/>
        </w:rPr>
        <w:t>designees</w:t>
      </w:r>
      <w:r w:rsidR="003960F8">
        <w:rPr>
          <w:rFonts w:ascii="Arial" w:hAnsi="Arial" w:cs="Arial"/>
          <w:sz w:val="20"/>
          <w:szCs w:val="20"/>
        </w:rPr>
        <w:t xml:space="preserve"> from</w:t>
      </w:r>
      <w:r w:rsidR="003960F8" w:rsidRPr="00F31BBD">
        <w:rPr>
          <w:rFonts w:ascii="Arial" w:hAnsi="Arial" w:cs="Arial"/>
          <w:sz w:val="20"/>
          <w:szCs w:val="20"/>
        </w:rPr>
        <w:t xml:space="preserve"> </w:t>
      </w:r>
      <w:r w:rsidR="003960F8">
        <w:rPr>
          <w:rFonts w:ascii="Arial" w:hAnsi="Arial" w:cs="Arial"/>
          <w:sz w:val="20"/>
          <w:szCs w:val="20"/>
        </w:rPr>
        <w:t>s</w:t>
      </w:r>
      <w:r w:rsidR="003960F8" w:rsidRPr="00F31BBD">
        <w:rPr>
          <w:rFonts w:ascii="Arial" w:hAnsi="Arial" w:cs="Arial"/>
          <w:sz w:val="20"/>
          <w:szCs w:val="20"/>
        </w:rPr>
        <w:t xml:space="preserve">tate, county and territorial </w:t>
      </w:r>
      <w:r w:rsidR="003960F8">
        <w:rPr>
          <w:rFonts w:ascii="Arial" w:hAnsi="Arial" w:cs="Arial"/>
          <w:sz w:val="20"/>
          <w:szCs w:val="20"/>
        </w:rPr>
        <w:t xml:space="preserve">jurisdictions that have evaluated IMATS </w:t>
      </w:r>
      <w:r w:rsidR="005969CC">
        <w:rPr>
          <w:rFonts w:ascii="Arial" w:hAnsi="Arial" w:cs="Arial"/>
          <w:sz w:val="20"/>
          <w:szCs w:val="20"/>
        </w:rPr>
        <w:t xml:space="preserve">about </w:t>
      </w:r>
      <w:r w:rsidR="00773472">
        <w:rPr>
          <w:rFonts w:ascii="Arial" w:hAnsi="Arial" w:cs="Arial"/>
          <w:sz w:val="20"/>
          <w:szCs w:val="20"/>
        </w:rPr>
        <w:t>their</w:t>
      </w:r>
      <w:r w:rsidR="00EF22F3" w:rsidRPr="0089561F">
        <w:rPr>
          <w:rFonts w:ascii="Arial" w:hAnsi="Arial" w:cs="Arial"/>
          <w:sz w:val="20"/>
          <w:szCs w:val="20"/>
        </w:rPr>
        <w:t xml:space="preserve"> </w:t>
      </w:r>
      <w:r w:rsidR="007D1AD4">
        <w:rPr>
          <w:rFonts w:ascii="Arial" w:hAnsi="Arial" w:cs="Arial"/>
          <w:sz w:val="20"/>
          <w:szCs w:val="20"/>
        </w:rPr>
        <w:t xml:space="preserve">experience with </w:t>
      </w:r>
      <w:r w:rsidR="00773472">
        <w:rPr>
          <w:rFonts w:ascii="Arial" w:hAnsi="Arial" w:cs="Arial"/>
          <w:sz w:val="20"/>
          <w:szCs w:val="20"/>
        </w:rPr>
        <w:t>IMATS</w:t>
      </w:r>
      <w:r w:rsidR="00EB5362">
        <w:rPr>
          <w:rFonts w:ascii="Arial" w:hAnsi="Arial" w:cs="Arial"/>
          <w:sz w:val="20"/>
          <w:szCs w:val="20"/>
        </w:rPr>
        <w:t xml:space="preserve"> and </w:t>
      </w:r>
      <w:r w:rsidR="006307E7">
        <w:rPr>
          <w:rFonts w:ascii="Arial" w:hAnsi="Arial" w:cs="Arial"/>
          <w:sz w:val="20"/>
          <w:szCs w:val="20"/>
        </w:rPr>
        <w:t>their confidence in the system to</w:t>
      </w:r>
      <w:r w:rsidR="00EB5362">
        <w:rPr>
          <w:rFonts w:ascii="Arial" w:hAnsi="Arial" w:cs="Arial"/>
          <w:sz w:val="20"/>
          <w:szCs w:val="20"/>
        </w:rPr>
        <w:t xml:space="preserve"> </w:t>
      </w:r>
      <w:r w:rsidR="00773472">
        <w:rPr>
          <w:rFonts w:ascii="Arial" w:hAnsi="Arial" w:cs="Arial"/>
          <w:sz w:val="20"/>
          <w:szCs w:val="20"/>
        </w:rPr>
        <w:t>serve their need</w:t>
      </w:r>
      <w:r w:rsidR="007D1AD4">
        <w:rPr>
          <w:rFonts w:ascii="Arial" w:hAnsi="Arial" w:cs="Arial"/>
          <w:sz w:val="20"/>
          <w:szCs w:val="20"/>
        </w:rPr>
        <w:t>s</w:t>
      </w:r>
      <w:r w:rsidR="00EB5362">
        <w:rPr>
          <w:rFonts w:ascii="Arial" w:hAnsi="Arial" w:cs="Arial"/>
          <w:sz w:val="20"/>
          <w:szCs w:val="20"/>
        </w:rPr>
        <w:t xml:space="preserve"> </w:t>
      </w:r>
      <w:r w:rsidR="007D1AD4">
        <w:rPr>
          <w:rFonts w:ascii="Arial" w:hAnsi="Arial" w:cs="Arial"/>
          <w:sz w:val="20"/>
          <w:szCs w:val="20"/>
        </w:rPr>
        <w:t>during a</w:t>
      </w:r>
      <w:r w:rsidR="00EB5362">
        <w:rPr>
          <w:rFonts w:ascii="Arial" w:hAnsi="Arial" w:cs="Arial"/>
          <w:sz w:val="20"/>
          <w:szCs w:val="20"/>
        </w:rPr>
        <w:t xml:space="preserve"> major public health event</w:t>
      </w:r>
      <w:r w:rsidR="007D1AD4">
        <w:rPr>
          <w:rFonts w:ascii="Arial" w:hAnsi="Arial" w:cs="Arial"/>
          <w:sz w:val="20"/>
          <w:szCs w:val="20"/>
        </w:rPr>
        <w:t>, the CTS team</w:t>
      </w:r>
      <w:r w:rsidR="00EB5362">
        <w:rPr>
          <w:rFonts w:ascii="Arial" w:hAnsi="Arial" w:cs="Arial"/>
          <w:sz w:val="20"/>
          <w:szCs w:val="20"/>
        </w:rPr>
        <w:t xml:space="preserve"> </w:t>
      </w:r>
      <w:r w:rsidR="007D1AD4">
        <w:rPr>
          <w:rFonts w:ascii="Arial" w:hAnsi="Arial" w:cs="Arial"/>
          <w:sz w:val="20"/>
          <w:szCs w:val="20"/>
        </w:rPr>
        <w:t xml:space="preserve">will </w:t>
      </w:r>
      <w:r w:rsidR="00EB5362">
        <w:rPr>
          <w:rFonts w:ascii="Arial" w:hAnsi="Arial" w:cs="Arial"/>
          <w:sz w:val="20"/>
          <w:szCs w:val="20"/>
        </w:rPr>
        <w:t xml:space="preserve">generate valuable information </w:t>
      </w:r>
      <w:r w:rsidR="002148D1">
        <w:rPr>
          <w:rFonts w:ascii="Arial" w:hAnsi="Arial" w:cs="Arial"/>
          <w:sz w:val="20"/>
          <w:szCs w:val="20"/>
        </w:rPr>
        <w:t xml:space="preserve">to guide </w:t>
      </w:r>
      <w:r w:rsidR="00637E43">
        <w:rPr>
          <w:rFonts w:ascii="Arial" w:hAnsi="Arial" w:cs="Arial"/>
          <w:sz w:val="20"/>
          <w:szCs w:val="20"/>
        </w:rPr>
        <w:t>decisions</w:t>
      </w:r>
      <w:r w:rsidR="002148D1">
        <w:rPr>
          <w:rFonts w:ascii="Arial" w:hAnsi="Arial" w:cs="Arial"/>
          <w:sz w:val="20"/>
          <w:szCs w:val="20"/>
        </w:rPr>
        <w:t xml:space="preserve"> on how </w:t>
      </w:r>
      <w:r w:rsidR="00EB5362">
        <w:rPr>
          <w:rFonts w:ascii="Arial" w:hAnsi="Arial" w:cs="Arial"/>
          <w:sz w:val="20"/>
          <w:szCs w:val="20"/>
        </w:rPr>
        <w:t xml:space="preserve">to improve </w:t>
      </w:r>
      <w:r w:rsidR="007D1AD4">
        <w:rPr>
          <w:rFonts w:ascii="Arial" w:hAnsi="Arial" w:cs="Arial"/>
          <w:sz w:val="20"/>
          <w:szCs w:val="20"/>
        </w:rPr>
        <w:t xml:space="preserve">and enhance </w:t>
      </w:r>
      <w:r w:rsidR="00EB5362">
        <w:rPr>
          <w:rFonts w:ascii="Arial" w:hAnsi="Arial" w:cs="Arial"/>
          <w:sz w:val="20"/>
          <w:szCs w:val="20"/>
        </w:rPr>
        <w:t>the system</w:t>
      </w:r>
      <w:r w:rsidR="006307E7">
        <w:rPr>
          <w:rFonts w:ascii="Arial" w:hAnsi="Arial" w:cs="Arial"/>
          <w:sz w:val="20"/>
          <w:szCs w:val="20"/>
        </w:rPr>
        <w:t xml:space="preserve"> to meet the needs of end users</w:t>
      </w:r>
      <w:r w:rsidR="00EB5362">
        <w:rPr>
          <w:rFonts w:ascii="Arial" w:hAnsi="Arial" w:cs="Arial"/>
          <w:sz w:val="20"/>
          <w:szCs w:val="20"/>
        </w:rPr>
        <w:t xml:space="preserve">.  </w:t>
      </w:r>
    </w:p>
    <w:p w:rsidR="00EF22F3" w:rsidRPr="0089561F" w:rsidRDefault="00EF22F3" w:rsidP="00EF22F3">
      <w:pPr>
        <w:ind w:left="720"/>
        <w:rPr>
          <w:rFonts w:ascii="Arial" w:hAnsi="Arial" w:cs="Arial"/>
          <w:sz w:val="20"/>
          <w:szCs w:val="20"/>
        </w:rPr>
      </w:pPr>
    </w:p>
    <w:p w:rsidR="00EF22F3" w:rsidRPr="0089561F" w:rsidRDefault="00EB5362" w:rsidP="00EF22F3">
      <w:pPr>
        <w:ind w:left="720"/>
        <w:rPr>
          <w:rFonts w:ascii="Arial" w:hAnsi="Arial" w:cs="Arial"/>
          <w:sz w:val="20"/>
          <w:szCs w:val="20"/>
        </w:rPr>
      </w:pPr>
      <w:r>
        <w:rPr>
          <w:rFonts w:ascii="Arial" w:hAnsi="Arial" w:cs="Arial"/>
          <w:sz w:val="20"/>
          <w:szCs w:val="20"/>
        </w:rPr>
        <w:t xml:space="preserve">Furthermore, this assessment will enable </w:t>
      </w:r>
      <w:r w:rsidR="007D1AD4">
        <w:rPr>
          <w:rFonts w:ascii="Arial" w:hAnsi="Arial" w:cs="Arial"/>
          <w:sz w:val="20"/>
          <w:szCs w:val="20"/>
        </w:rPr>
        <w:t xml:space="preserve">the </w:t>
      </w:r>
      <w:r>
        <w:rPr>
          <w:rFonts w:ascii="Arial" w:hAnsi="Arial" w:cs="Arial"/>
          <w:sz w:val="20"/>
          <w:szCs w:val="20"/>
        </w:rPr>
        <w:t xml:space="preserve">CTS team to gauge </w:t>
      </w:r>
      <w:r w:rsidR="004C4237">
        <w:rPr>
          <w:rFonts w:ascii="Arial" w:hAnsi="Arial" w:cs="Arial"/>
          <w:sz w:val="20"/>
          <w:szCs w:val="20"/>
        </w:rPr>
        <w:t>the</w:t>
      </w:r>
      <w:r>
        <w:rPr>
          <w:rFonts w:ascii="Arial" w:hAnsi="Arial" w:cs="Arial"/>
          <w:sz w:val="20"/>
          <w:szCs w:val="20"/>
        </w:rPr>
        <w:t xml:space="preserve"> </w:t>
      </w:r>
      <w:r w:rsidR="007D1AD4">
        <w:rPr>
          <w:rFonts w:ascii="Arial" w:hAnsi="Arial" w:cs="Arial"/>
          <w:sz w:val="20"/>
          <w:szCs w:val="20"/>
        </w:rPr>
        <w:t>needs</w:t>
      </w:r>
      <w:r w:rsidR="004C4237">
        <w:rPr>
          <w:rFonts w:ascii="Arial" w:hAnsi="Arial" w:cs="Arial"/>
          <w:sz w:val="20"/>
          <w:szCs w:val="20"/>
        </w:rPr>
        <w:t xml:space="preserve"> of </w:t>
      </w:r>
      <w:r w:rsidR="0053380D">
        <w:rPr>
          <w:rFonts w:ascii="Arial" w:hAnsi="Arial" w:cs="Arial"/>
          <w:sz w:val="20"/>
          <w:szCs w:val="20"/>
        </w:rPr>
        <w:t>designees</w:t>
      </w:r>
      <w:r w:rsidR="007D1AD4">
        <w:rPr>
          <w:rFonts w:ascii="Arial" w:hAnsi="Arial" w:cs="Arial"/>
          <w:sz w:val="20"/>
          <w:szCs w:val="20"/>
        </w:rPr>
        <w:t xml:space="preserve"> for an inventory tracking system</w:t>
      </w:r>
      <w:r>
        <w:rPr>
          <w:rFonts w:ascii="Arial" w:hAnsi="Arial" w:cs="Arial"/>
          <w:sz w:val="20"/>
          <w:szCs w:val="20"/>
        </w:rPr>
        <w:t xml:space="preserve">. </w:t>
      </w:r>
      <w:r w:rsidR="003E4933">
        <w:rPr>
          <w:rFonts w:ascii="Arial" w:hAnsi="Arial" w:cs="Arial"/>
          <w:sz w:val="20"/>
          <w:szCs w:val="20"/>
        </w:rPr>
        <w:t>The data gathered from this assessment will allow the</w:t>
      </w:r>
      <w:r>
        <w:rPr>
          <w:rFonts w:ascii="Arial" w:hAnsi="Arial" w:cs="Arial"/>
          <w:sz w:val="20"/>
          <w:szCs w:val="20"/>
        </w:rPr>
        <w:t xml:space="preserve"> CTS team to prioritize functionalit</w:t>
      </w:r>
      <w:r w:rsidR="003E4933">
        <w:rPr>
          <w:rFonts w:ascii="Arial" w:hAnsi="Arial" w:cs="Arial"/>
          <w:sz w:val="20"/>
          <w:szCs w:val="20"/>
        </w:rPr>
        <w:t>y</w:t>
      </w:r>
      <w:r w:rsidR="00FF694E">
        <w:rPr>
          <w:rFonts w:ascii="Arial" w:hAnsi="Arial" w:cs="Arial"/>
          <w:sz w:val="20"/>
          <w:szCs w:val="20"/>
        </w:rPr>
        <w:t xml:space="preserve"> </w:t>
      </w:r>
      <w:r w:rsidR="003E4933">
        <w:rPr>
          <w:rFonts w:ascii="Arial" w:hAnsi="Arial" w:cs="Arial"/>
          <w:sz w:val="20"/>
          <w:szCs w:val="20"/>
        </w:rPr>
        <w:t xml:space="preserve">enhancements and </w:t>
      </w:r>
      <w:r w:rsidR="003F27AE">
        <w:rPr>
          <w:rFonts w:ascii="Arial" w:hAnsi="Arial" w:cs="Arial"/>
          <w:sz w:val="20"/>
          <w:szCs w:val="20"/>
        </w:rPr>
        <w:t>features</w:t>
      </w:r>
      <w:r w:rsidR="003E4933">
        <w:rPr>
          <w:rFonts w:ascii="Arial" w:hAnsi="Arial" w:cs="Arial"/>
          <w:sz w:val="20"/>
          <w:szCs w:val="20"/>
        </w:rPr>
        <w:t xml:space="preserve"> </w:t>
      </w:r>
      <w:r>
        <w:rPr>
          <w:rFonts w:ascii="Arial" w:hAnsi="Arial" w:cs="Arial"/>
          <w:sz w:val="20"/>
          <w:szCs w:val="20"/>
        </w:rPr>
        <w:t xml:space="preserve">within IMATS. </w:t>
      </w:r>
      <w:r w:rsidR="00EF22F3" w:rsidRPr="0089561F">
        <w:rPr>
          <w:rFonts w:ascii="Arial" w:hAnsi="Arial" w:cs="Arial"/>
          <w:sz w:val="20"/>
          <w:szCs w:val="20"/>
        </w:rPr>
        <w:t>The proposed data collection activities</w:t>
      </w:r>
      <w:r>
        <w:rPr>
          <w:rFonts w:ascii="Arial" w:hAnsi="Arial" w:cs="Arial"/>
          <w:sz w:val="20"/>
          <w:szCs w:val="20"/>
        </w:rPr>
        <w:t xml:space="preserve"> will result in a </w:t>
      </w:r>
      <w:r w:rsidR="00FF694E">
        <w:rPr>
          <w:rFonts w:ascii="Arial" w:hAnsi="Arial" w:cs="Arial"/>
          <w:sz w:val="20"/>
          <w:szCs w:val="20"/>
        </w:rPr>
        <w:t>system</w:t>
      </w:r>
      <w:r w:rsidR="00EF22F3" w:rsidRPr="0089561F">
        <w:rPr>
          <w:rFonts w:ascii="Arial" w:hAnsi="Arial" w:cs="Arial"/>
          <w:sz w:val="20"/>
          <w:szCs w:val="20"/>
        </w:rPr>
        <w:t xml:space="preserve"> that is better able to meet the needs of </w:t>
      </w:r>
      <w:r w:rsidR="0053380D">
        <w:rPr>
          <w:rFonts w:ascii="Arial" w:hAnsi="Arial" w:cs="Arial"/>
          <w:sz w:val="20"/>
          <w:szCs w:val="20"/>
        </w:rPr>
        <w:t xml:space="preserve">PHEP </w:t>
      </w:r>
      <w:r w:rsidR="00150AAA">
        <w:rPr>
          <w:rFonts w:ascii="Arial" w:hAnsi="Arial" w:cs="Arial"/>
          <w:sz w:val="20"/>
          <w:szCs w:val="20"/>
        </w:rPr>
        <w:t>awardees</w:t>
      </w:r>
      <w:r w:rsidR="00150AAA" w:rsidRPr="0089561F">
        <w:rPr>
          <w:rFonts w:ascii="Arial" w:hAnsi="Arial" w:cs="Arial"/>
          <w:sz w:val="20"/>
          <w:szCs w:val="20"/>
        </w:rPr>
        <w:t xml:space="preserve"> </w:t>
      </w:r>
      <w:r w:rsidR="00EF22F3" w:rsidRPr="0089561F">
        <w:rPr>
          <w:rFonts w:ascii="Arial" w:hAnsi="Arial" w:cs="Arial"/>
          <w:sz w:val="20"/>
          <w:szCs w:val="20"/>
        </w:rPr>
        <w:t xml:space="preserve">and subsequently, </w:t>
      </w:r>
      <w:r>
        <w:rPr>
          <w:rFonts w:ascii="Arial" w:hAnsi="Arial" w:cs="Arial"/>
          <w:sz w:val="20"/>
          <w:szCs w:val="20"/>
        </w:rPr>
        <w:t xml:space="preserve">provide services to </w:t>
      </w:r>
      <w:r w:rsidR="00EF22F3" w:rsidRPr="0089561F">
        <w:rPr>
          <w:rFonts w:ascii="Arial" w:hAnsi="Arial" w:cs="Arial"/>
          <w:sz w:val="20"/>
          <w:szCs w:val="20"/>
        </w:rPr>
        <w:t xml:space="preserve">public health.  </w:t>
      </w:r>
      <w:r w:rsidR="007D5783">
        <w:rPr>
          <w:rFonts w:ascii="Arial" w:hAnsi="Arial" w:cs="Arial"/>
          <w:sz w:val="20"/>
          <w:szCs w:val="20"/>
        </w:rPr>
        <w:t>In addition, the findings from this data</w:t>
      </w:r>
      <w:r w:rsidR="003C36BA">
        <w:rPr>
          <w:rFonts w:ascii="Arial" w:hAnsi="Arial" w:cs="Arial"/>
          <w:sz w:val="20"/>
          <w:szCs w:val="20"/>
        </w:rPr>
        <w:t xml:space="preserve"> collection will be shared via oral and poster presentations at relevant public health </w:t>
      </w:r>
      <w:r w:rsidR="00C7640B">
        <w:rPr>
          <w:rFonts w:ascii="Arial" w:hAnsi="Arial" w:cs="Arial"/>
          <w:sz w:val="20"/>
          <w:szCs w:val="20"/>
        </w:rPr>
        <w:t>conferences</w:t>
      </w:r>
      <w:r w:rsidR="003C36BA">
        <w:rPr>
          <w:rFonts w:ascii="Arial" w:hAnsi="Arial" w:cs="Arial"/>
          <w:sz w:val="20"/>
          <w:szCs w:val="20"/>
        </w:rPr>
        <w:t>.</w:t>
      </w:r>
    </w:p>
    <w:p w:rsidR="00EF22F3" w:rsidRPr="0089561F" w:rsidRDefault="00EF22F3" w:rsidP="00EF22F3">
      <w:pPr>
        <w:ind w:left="720"/>
        <w:rPr>
          <w:rFonts w:ascii="Arial" w:hAnsi="Arial" w:cs="Arial"/>
          <w:sz w:val="20"/>
          <w:szCs w:val="20"/>
        </w:rPr>
      </w:pPr>
    </w:p>
    <w:p w:rsidR="00EF22F3" w:rsidRPr="0089561F" w:rsidRDefault="00EF22F3" w:rsidP="00EF22F3">
      <w:pPr>
        <w:pStyle w:val="CommentText"/>
        <w:ind w:left="720"/>
        <w:rPr>
          <w:rFonts w:ascii="Arial" w:hAnsi="Arial" w:cs="Arial"/>
        </w:rPr>
      </w:pPr>
      <w:r w:rsidRPr="0089561F">
        <w:rPr>
          <w:rFonts w:ascii="Arial" w:hAnsi="Arial" w:cs="Arial"/>
        </w:rPr>
        <w:t xml:space="preserve">The scope of data collection is limited to </w:t>
      </w:r>
      <w:r w:rsidR="00AA2324">
        <w:rPr>
          <w:rFonts w:ascii="Arial" w:hAnsi="Arial" w:cs="Arial"/>
        </w:rPr>
        <w:t xml:space="preserve">the </w:t>
      </w:r>
      <w:r w:rsidRPr="0089561F">
        <w:rPr>
          <w:rFonts w:ascii="Arial" w:hAnsi="Arial" w:cs="Arial"/>
        </w:rPr>
        <w:t>responsibilities and duties of governmental employees acting in their official capacity, as such this data collection will not require IRB review.</w:t>
      </w:r>
    </w:p>
    <w:p w:rsidR="00C912FF" w:rsidRDefault="00EF22F3" w:rsidP="00C912FF">
      <w:pPr>
        <w:spacing w:before="100" w:beforeAutospacing="1" w:after="100" w:afterAutospacing="1"/>
        <w:ind w:left="720"/>
        <w:rPr>
          <w:rFonts w:ascii="Arial" w:hAnsi="Arial" w:cs="Arial"/>
          <w:sz w:val="20"/>
          <w:szCs w:val="20"/>
        </w:rPr>
      </w:pPr>
      <w:r w:rsidRPr="0089561F">
        <w:rPr>
          <w:rFonts w:ascii="Arial" w:hAnsi="Arial" w:cs="Arial"/>
          <w:sz w:val="20"/>
          <w:szCs w:val="20"/>
        </w:rPr>
        <w:t xml:space="preserve">CDC expects to use these findings to </w:t>
      </w:r>
      <w:r w:rsidR="00C912FF">
        <w:rPr>
          <w:rFonts w:ascii="Arial" w:hAnsi="Arial" w:cs="Arial"/>
          <w:sz w:val="20"/>
          <w:szCs w:val="20"/>
        </w:rPr>
        <w:t>assess the knowledge of IMATS amo</w:t>
      </w:r>
      <w:r w:rsidRPr="0089561F">
        <w:rPr>
          <w:rFonts w:ascii="Arial" w:hAnsi="Arial" w:cs="Arial"/>
          <w:sz w:val="20"/>
          <w:szCs w:val="20"/>
        </w:rPr>
        <w:t>ng state</w:t>
      </w:r>
      <w:r w:rsidR="00C912FF">
        <w:rPr>
          <w:rFonts w:ascii="Arial" w:hAnsi="Arial" w:cs="Arial"/>
          <w:sz w:val="20"/>
          <w:szCs w:val="20"/>
        </w:rPr>
        <w:t xml:space="preserve"> and local </w:t>
      </w:r>
      <w:r w:rsidR="002148D1">
        <w:rPr>
          <w:rFonts w:ascii="Arial" w:hAnsi="Arial" w:cs="Arial"/>
          <w:sz w:val="20"/>
          <w:szCs w:val="20"/>
        </w:rPr>
        <w:t>public health</w:t>
      </w:r>
      <w:r w:rsidR="00C912FF">
        <w:rPr>
          <w:rFonts w:ascii="Arial" w:hAnsi="Arial" w:cs="Arial"/>
          <w:sz w:val="20"/>
          <w:szCs w:val="20"/>
        </w:rPr>
        <w:t xml:space="preserve"> and use such knowledge in improving the system to better serve their needs. </w:t>
      </w:r>
    </w:p>
    <w:p w:rsidR="00273DB9" w:rsidRDefault="00273DB9" w:rsidP="00C912FF">
      <w:pPr>
        <w:spacing w:before="100" w:beforeAutospacing="1" w:after="100" w:afterAutospacing="1"/>
        <w:ind w:left="720"/>
        <w:rPr>
          <w:rFonts w:ascii="Arial" w:hAnsi="Arial" w:cs="Arial"/>
          <w:sz w:val="20"/>
          <w:szCs w:val="20"/>
        </w:rPr>
      </w:pPr>
      <w:r w:rsidRPr="00273DB9">
        <w:rPr>
          <w:rFonts w:ascii="Arial" w:hAnsi="Arial" w:cs="Arial"/>
          <w:sz w:val="20"/>
          <w:szCs w:val="20"/>
          <w:u w:val="single"/>
        </w:rPr>
        <w:t>Privacy Impact Assessment</w:t>
      </w:r>
      <w:r w:rsidR="00FC17B7">
        <w:rPr>
          <w:rFonts w:ascii="Arial" w:hAnsi="Arial" w:cs="Arial"/>
          <w:sz w:val="20"/>
          <w:szCs w:val="20"/>
        </w:rPr>
        <w:t xml:space="preserve"> - </w:t>
      </w:r>
      <w:r w:rsidR="00FC17B7" w:rsidRPr="00FC17B7">
        <w:rPr>
          <w:rFonts w:ascii="Arial" w:hAnsi="Arial" w:cs="Arial"/>
          <w:sz w:val="20"/>
          <w:szCs w:val="20"/>
        </w:rPr>
        <w:t xml:space="preserve">No sensitive information is being collected </w:t>
      </w:r>
      <w:r w:rsidR="00FC17B7">
        <w:rPr>
          <w:rFonts w:ascii="Arial" w:hAnsi="Arial" w:cs="Arial"/>
          <w:sz w:val="20"/>
          <w:szCs w:val="20"/>
        </w:rPr>
        <w:t xml:space="preserve">through this </w:t>
      </w:r>
      <w:r w:rsidR="000C7BB4">
        <w:rPr>
          <w:rFonts w:ascii="Arial" w:hAnsi="Arial" w:cs="Arial"/>
          <w:sz w:val="20"/>
          <w:szCs w:val="20"/>
        </w:rPr>
        <w:t>data collection</w:t>
      </w:r>
      <w:r w:rsidR="00FC17B7">
        <w:rPr>
          <w:rFonts w:ascii="Arial" w:hAnsi="Arial" w:cs="Arial"/>
          <w:sz w:val="20"/>
          <w:szCs w:val="20"/>
        </w:rPr>
        <w:t xml:space="preserve">. All respondents will remain anonymous by choice. One optional question in the </w:t>
      </w:r>
      <w:r w:rsidR="000C7BB4">
        <w:rPr>
          <w:rFonts w:ascii="Arial" w:hAnsi="Arial" w:cs="Arial"/>
          <w:sz w:val="20"/>
          <w:szCs w:val="20"/>
        </w:rPr>
        <w:t xml:space="preserve">data collection tool </w:t>
      </w:r>
      <w:r w:rsidR="00FC17B7">
        <w:rPr>
          <w:rFonts w:ascii="Arial" w:hAnsi="Arial" w:cs="Arial"/>
          <w:sz w:val="20"/>
          <w:szCs w:val="20"/>
        </w:rPr>
        <w:t>provides the respondent</w:t>
      </w:r>
      <w:r w:rsidR="00471D00">
        <w:rPr>
          <w:rFonts w:ascii="Arial" w:hAnsi="Arial" w:cs="Arial"/>
          <w:sz w:val="20"/>
          <w:szCs w:val="20"/>
        </w:rPr>
        <w:t xml:space="preserve"> an opportunity to provide</w:t>
      </w:r>
      <w:r w:rsidR="00FC17B7">
        <w:rPr>
          <w:rFonts w:ascii="Arial" w:hAnsi="Arial" w:cs="Arial"/>
          <w:sz w:val="20"/>
          <w:szCs w:val="20"/>
        </w:rPr>
        <w:t xml:space="preserve"> their </w:t>
      </w:r>
      <w:r w:rsidR="00471D00">
        <w:rPr>
          <w:rFonts w:ascii="Arial" w:hAnsi="Arial" w:cs="Arial"/>
          <w:sz w:val="20"/>
          <w:szCs w:val="20"/>
        </w:rPr>
        <w:t>jurisdiction name and location if they choose to offer this information.</w:t>
      </w:r>
    </w:p>
    <w:p w:rsidR="005B3B1C" w:rsidRPr="00806459" w:rsidRDefault="005B3B1C" w:rsidP="00806459">
      <w:pPr>
        <w:pStyle w:val="ListParagraph"/>
        <w:numPr>
          <w:ilvl w:val="0"/>
          <w:numId w:val="1"/>
        </w:numPr>
        <w:rPr>
          <w:rFonts w:ascii="Arial" w:hAnsi="Arial" w:cs="Arial"/>
          <w:sz w:val="22"/>
          <w:szCs w:val="22"/>
          <w:u w:val="single"/>
        </w:rPr>
      </w:pPr>
      <w:r w:rsidRPr="00806459">
        <w:rPr>
          <w:rFonts w:ascii="Arial" w:hAnsi="Arial" w:cs="Arial"/>
          <w:sz w:val="22"/>
          <w:szCs w:val="22"/>
          <w:u w:val="single"/>
        </w:rPr>
        <w:t>Considerations Given to Information Technology</w:t>
      </w:r>
    </w:p>
    <w:p w:rsidR="00EF22F3" w:rsidRPr="003827F9" w:rsidRDefault="00EF22F3" w:rsidP="00EF22F3">
      <w:pPr>
        <w:pStyle w:val="ListParagraph"/>
        <w:rPr>
          <w:rFonts w:ascii="Arial" w:hAnsi="Arial" w:cs="Arial"/>
          <w:sz w:val="22"/>
          <w:szCs w:val="22"/>
        </w:rPr>
      </w:pPr>
    </w:p>
    <w:p w:rsidR="001471B4" w:rsidRDefault="001471B4" w:rsidP="001471B4">
      <w:pPr>
        <w:ind w:left="630"/>
        <w:rPr>
          <w:rFonts w:ascii="Arial" w:hAnsi="Arial" w:cs="Arial"/>
          <w:sz w:val="20"/>
          <w:szCs w:val="20"/>
        </w:rPr>
      </w:pPr>
      <w:r w:rsidRPr="001471B4">
        <w:rPr>
          <w:rFonts w:ascii="Arial" w:hAnsi="Arial" w:cs="Arial"/>
          <w:sz w:val="20"/>
          <w:szCs w:val="20"/>
        </w:rPr>
        <w:t xml:space="preserve">Data will be collected via a web-based </w:t>
      </w:r>
      <w:r w:rsidR="000C7BB4">
        <w:rPr>
          <w:rFonts w:ascii="Arial" w:hAnsi="Arial" w:cs="Arial"/>
          <w:sz w:val="20"/>
          <w:szCs w:val="20"/>
        </w:rPr>
        <w:t>data collection</w:t>
      </w:r>
      <w:r w:rsidR="005B3B1C">
        <w:rPr>
          <w:rFonts w:ascii="Arial" w:hAnsi="Arial" w:cs="Arial"/>
          <w:sz w:val="20"/>
          <w:szCs w:val="20"/>
        </w:rPr>
        <w:t xml:space="preserve"> tool</w:t>
      </w:r>
      <w:r w:rsidR="005B3B1C" w:rsidRPr="00FC6D8C">
        <w:rPr>
          <w:rFonts w:ascii="Arial" w:hAnsi="Arial" w:cs="Arial"/>
          <w:sz w:val="20"/>
          <w:szCs w:val="20"/>
        </w:rPr>
        <w:t>, Survey Monkey®</w:t>
      </w:r>
      <w:r w:rsidR="005B3B1C">
        <w:rPr>
          <w:rFonts w:ascii="Arial" w:hAnsi="Arial" w:cs="Arial"/>
          <w:sz w:val="20"/>
          <w:szCs w:val="20"/>
        </w:rPr>
        <w:t xml:space="preserve">, </w:t>
      </w:r>
      <w:r w:rsidRPr="001471B4">
        <w:rPr>
          <w:rFonts w:ascii="Arial" w:hAnsi="Arial" w:cs="Arial"/>
          <w:sz w:val="20"/>
          <w:szCs w:val="20"/>
        </w:rPr>
        <w:t xml:space="preserve">allowing respondents to complete and submit their responses electronically. This method was chosen to reduce the overall burden on respondents. The </w:t>
      </w:r>
      <w:r w:rsidR="000C7BB4">
        <w:rPr>
          <w:rFonts w:ascii="Arial" w:hAnsi="Arial" w:cs="Arial"/>
          <w:sz w:val="20"/>
          <w:szCs w:val="20"/>
        </w:rPr>
        <w:t>data collection</w:t>
      </w:r>
      <w:r w:rsidRPr="001471B4">
        <w:rPr>
          <w:rFonts w:ascii="Arial" w:hAnsi="Arial" w:cs="Arial"/>
          <w:sz w:val="20"/>
          <w:szCs w:val="20"/>
        </w:rPr>
        <w:t xml:space="preserve"> was designed to collect the minimum information necessary for the purposes of this project (i.e., limited to </w:t>
      </w:r>
      <w:r>
        <w:rPr>
          <w:rFonts w:ascii="Arial" w:hAnsi="Arial" w:cs="Arial"/>
          <w:sz w:val="20"/>
          <w:szCs w:val="20"/>
        </w:rPr>
        <w:t>22</w:t>
      </w:r>
      <w:r w:rsidRPr="001471B4">
        <w:rPr>
          <w:rFonts w:ascii="Arial" w:hAnsi="Arial" w:cs="Arial"/>
          <w:sz w:val="20"/>
          <w:szCs w:val="20"/>
        </w:rPr>
        <w:t xml:space="preserve"> questions). </w:t>
      </w:r>
    </w:p>
    <w:p w:rsidR="005B3B1C" w:rsidRPr="001471B4" w:rsidRDefault="005B3B1C" w:rsidP="001471B4">
      <w:pPr>
        <w:ind w:left="630"/>
        <w:rPr>
          <w:rFonts w:ascii="Arial" w:hAnsi="Arial" w:cs="Arial"/>
          <w:sz w:val="20"/>
          <w:szCs w:val="20"/>
        </w:rPr>
      </w:pPr>
    </w:p>
    <w:p w:rsidR="00EF22F3" w:rsidRPr="00FC6D8C" w:rsidRDefault="00EF22F3" w:rsidP="00EF22F3">
      <w:pPr>
        <w:ind w:left="630"/>
        <w:rPr>
          <w:rFonts w:ascii="Arial" w:hAnsi="Arial" w:cs="Arial"/>
          <w:sz w:val="20"/>
          <w:szCs w:val="20"/>
        </w:rPr>
      </w:pPr>
      <w:r w:rsidRPr="00FC6D8C">
        <w:rPr>
          <w:rFonts w:ascii="Arial" w:hAnsi="Arial" w:cs="Arial"/>
          <w:sz w:val="20"/>
          <w:szCs w:val="20"/>
        </w:rPr>
        <w:lastRenderedPageBreak/>
        <w:t>Web</w:t>
      </w:r>
      <w:r w:rsidR="000C7BB4">
        <w:rPr>
          <w:rFonts w:ascii="Arial" w:hAnsi="Arial" w:cs="Arial"/>
          <w:sz w:val="20"/>
          <w:szCs w:val="20"/>
        </w:rPr>
        <w:t>-based</w:t>
      </w:r>
      <w:r w:rsidRPr="00FC6D8C">
        <w:rPr>
          <w:rFonts w:ascii="Arial" w:hAnsi="Arial" w:cs="Arial"/>
          <w:sz w:val="20"/>
          <w:szCs w:val="20"/>
        </w:rPr>
        <w:t xml:space="preserve"> </w:t>
      </w:r>
      <w:r w:rsidR="000C7BB4">
        <w:rPr>
          <w:rFonts w:ascii="Arial" w:hAnsi="Arial" w:cs="Arial"/>
          <w:sz w:val="20"/>
          <w:szCs w:val="20"/>
        </w:rPr>
        <w:t>data collection tool</w:t>
      </w:r>
      <w:r w:rsidRPr="00FC6D8C">
        <w:rPr>
          <w:rFonts w:ascii="Arial" w:hAnsi="Arial" w:cs="Arial"/>
          <w:sz w:val="20"/>
          <w:szCs w:val="20"/>
        </w:rPr>
        <w:t xml:space="preserve">s reduce respondent burden by enabling them to easily access the </w:t>
      </w:r>
      <w:r w:rsidR="000C7BB4">
        <w:rPr>
          <w:rFonts w:ascii="Arial" w:hAnsi="Arial" w:cs="Arial"/>
          <w:sz w:val="20"/>
          <w:szCs w:val="20"/>
        </w:rPr>
        <w:t>data collection tool</w:t>
      </w:r>
      <w:r w:rsidRPr="00FC6D8C">
        <w:rPr>
          <w:rFonts w:ascii="Arial" w:hAnsi="Arial" w:cs="Arial"/>
          <w:sz w:val="20"/>
          <w:szCs w:val="20"/>
        </w:rPr>
        <w:t xml:space="preserve"> and complete it at a</w:t>
      </w:r>
      <w:r w:rsidR="00727F01" w:rsidRPr="00FC6D8C">
        <w:rPr>
          <w:rFonts w:ascii="Arial" w:hAnsi="Arial" w:cs="Arial"/>
          <w:sz w:val="20"/>
          <w:szCs w:val="20"/>
        </w:rPr>
        <w:t xml:space="preserve"> convenient time and location. </w:t>
      </w:r>
      <w:r w:rsidRPr="00FC6D8C">
        <w:rPr>
          <w:rFonts w:ascii="Arial" w:hAnsi="Arial" w:cs="Arial"/>
          <w:sz w:val="20"/>
          <w:szCs w:val="20"/>
        </w:rPr>
        <w:t>The web</w:t>
      </w:r>
      <w:r w:rsidR="003134FF">
        <w:rPr>
          <w:rFonts w:ascii="Arial" w:hAnsi="Arial" w:cs="Arial"/>
          <w:sz w:val="20"/>
          <w:szCs w:val="20"/>
        </w:rPr>
        <w:t>-based</w:t>
      </w:r>
      <w:r w:rsidRPr="00FC6D8C">
        <w:rPr>
          <w:rFonts w:ascii="Arial" w:hAnsi="Arial" w:cs="Arial"/>
          <w:sz w:val="20"/>
          <w:szCs w:val="20"/>
        </w:rPr>
        <w:t xml:space="preserve"> </w:t>
      </w:r>
      <w:r w:rsidR="003134FF">
        <w:rPr>
          <w:rFonts w:ascii="Arial" w:hAnsi="Arial" w:cs="Arial"/>
          <w:sz w:val="20"/>
          <w:szCs w:val="20"/>
        </w:rPr>
        <w:t>data collection tool</w:t>
      </w:r>
      <w:r w:rsidRPr="00FC6D8C">
        <w:rPr>
          <w:rFonts w:ascii="Arial" w:hAnsi="Arial" w:cs="Arial"/>
          <w:sz w:val="20"/>
          <w:szCs w:val="20"/>
        </w:rPr>
        <w:t xml:space="preserve"> will use easy-to-read response scales or text boxes that are embedded in the online </w:t>
      </w:r>
      <w:r w:rsidR="003134FF">
        <w:rPr>
          <w:rFonts w:ascii="Arial" w:hAnsi="Arial" w:cs="Arial"/>
          <w:sz w:val="20"/>
          <w:szCs w:val="20"/>
        </w:rPr>
        <w:t>data collection tool</w:t>
      </w:r>
      <w:r w:rsidRPr="00FC6D8C">
        <w:rPr>
          <w:rFonts w:ascii="Arial" w:hAnsi="Arial" w:cs="Arial"/>
          <w:sz w:val="20"/>
          <w:szCs w:val="20"/>
        </w:rPr>
        <w:t xml:space="preserve">. </w:t>
      </w:r>
      <w:r w:rsidRPr="00FC6D8C">
        <w:rPr>
          <w:rFonts w:ascii="Arial" w:hAnsi="Arial" w:cs="Arial"/>
          <w:b/>
          <w:sz w:val="20"/>
          <w:szCs w:val="20"/>
        </w:rPr>
        <w:t xml:space="preserve">Attachment </w:t>
      </w:r>
      <w:r w:rsidR="00AA0566">
        <w:rPr>
          <w:rFonts w:ascii="Arial" w:hAnsi="Arial" w:cs="Arial"/>
          <w:b/>
          <w:sz w:val="20"/>
          <w:szCs w:val="20"/>
        </w:rPr>
        <w:t>F</w:t>
      </w:r>
      <w:r w:rsidRPr="00FC6D8C">
        <w:rPr>
          <w:rFonts w:ascii="Arial" w:hAnsi="Arial" w:cs="Arial"/>
          <w:sz w:val="20"/>
          <w:szCs w:val="20"/>
        </w:rPr>
        <w:t xml:space="preserve"> consists of screen shots of the data collection instrument. </w:t>
      </w:r>
      <w:r w:rsidRPr="00FC6D8C">
        <w:rPr>
          <w:rFonts w:ascii="Arial" w:hAnsi="Arial" w:cs="Arial"/>
          <w:b/>
          <w:sz w:val="20"/>
          <w:szCs w:val="20"/>
        </w:rPr>
        <w:t xml:space="preserve">Attachment </w:t>
      </w:r>
      <w:r w:rsidR="00AA0566">
        <w:rPr>
          <w:rFonts w:ascii="Arial" w:hAnsi="Arial" w:cs="Arial"/>
          <w:b/>
          <w:sz w:val="20"/>
          <w:szCs w:val="20"/>
        </w:rPr>
        <w:t>G</w:t>
      </w:r>
      <w:r w:rsidRPr="00FC6D8C">
        <w:rPr>
          <w:rFonts w:ascii="Arial" w:hAnsi="Arial" w:cs="Arial"/>
          <w:sz w:val="20"/>
          <w:szCs w:val="20"/>
        </w:rPr>
        <w:t xml:space="preserve"> consists </w:t>
      </w:r>
      <w:r w:rsidR="00727F01" w:rsidRPr="00FC6D8C">
        <w:rPr>
          <w:rFonts w:ascii="Arial" w:hAnsi="Arial" w:cs="Arial"/>
          <w:sz w:val="20"/>
          <w:szCs w:val="20"/>
        </w:rPr>
        <w:t>of the questionnaire</w:t>
      </w:r>
      <w:r w:rsidRPr="00FC6D8C">
        <w:rPr>
          <w:rFonts w:ascii="Arial" w:hAnsi="Arial" w:cs="Arial"/>
          <w:sz w:val="20"/>
          <w:szCs w:val="20"/>
        </w:rPr>
        <w:t xml:space="preserve"> in a Word document. </w:t>
      </w:r>
    </w:p>
    <w:p w:rsidR="00EF22F3" w:rsidRPr="00FC6D8C" w:rsidRDefault="00EF22F3" w:rsidP="00EF22F3">
      <w:pPr>
        <w:ind w:left="630"/>
        <w:rPr>
          <w:rFonts w:ascii="Arial" w:hAnsi="Arial" w:cs="Arial"/>
          <w:sz w:val="20"/>
          <w:szCs w:val="20"/>
        </w:rPr>
      </w:pPr>
    </w:p>
    <w:p w:rsidR="00EF22F3" w:rsidRPr="0089561F" w:rsidRDefault="00EF22F3" w:rsidP="00EF22F3">
      <w:pPr>
        <w:ind w:left="630"/>
        <w:rPr>
          <w:rFonts w:ascii="Arial" w:hAnsi="Arial" w:cs="Arial"/>
          <w:sz w:val="20"/>
          <w:szCs w:val="20"/>
        </w:rPr>
      </w:pPr>
      <w:r w:rsidRPr="00FC6D8C">
        <w:rPr>
          <w:rFonts w:ascii="Arial" w:hAnsi="Arial" w:cs="Arial"/>
          <w:sz w:val="20"/>
          <w:szCs w:val="20"/>
        </w:rPr>
        <w:t>Survey Monkey® has a data center which is located in a SAS70 Type II certified facility, which i</w:t>
      </w:r>
      <w:r w:rsidR="00727F01" w:rsidRPr="00FC6D8C">
        <w:rPr>
          <w:rFonts w:ascii="Arial" w:hAnsi="Arial" w:cs="Arial"/>
          <w:sz w:val="20"/>
          <w:szCs w:val="20"/>
        </w:rPr>
        <w:t xml:space="preserve">s staffed and </w:t>
      </w:r>
      <w:r w:rsidR="002148D1">
        <w:rPr>
          <w:rFonts w:ascii="Arial" w:hAnsi="Arial" w:cs="Arial"/>
          <w:sz w:val="20"/>
          <w:szCs w:val="20"/>
        </w:rPr>
        <w:t>monitored</w:t>
      </w:r>
      <w:r w:rsidR="002148D1" w:rsidRPr="00FC6D8C">
        <w:rPr>
          <w:rFonts w:ascii="Arial" w:hAnsi="Arial" w:cs="Arial"/>
          <w:sz w:val="20"/>
          <w:szCs w:val="20"/>
        </w:rPr>
        <w:t xml:space="preserve"> </w:t>
      </w:r>
      <w:r w:rsidR="00727F01" w:rsidRPr="00FC6D8C">
        <w:rPr>
          <w:rFonts w:ascii="Arial" w:hAnsi="Arial" w:cs="Arial"/>
          <w:sz w:val="20"/>
          <w:szCs w:val="20"/>
        </w:rPr>
        <w:t xml:space="preserve">24/7. </w:t>
      </w:r>
      <w:r w:rsidRPr="00FC6D8C">
        <w:rPr>
          <w:rFonts w:ascii="Arial" w:hAnsi="Arial" w:cs="Arial"/>
          <w:sz w:val="20"/>
          <w:szCs w:val="20"/>
        </w:rPr>
        <w:t>Their servers are kept in a locked cage, with digital surveillance equipment monitoring at the data center.  Secure Sockets Layer (SSL) technology protects user information using both server authentication and data encryption, ensuring that data is safe, secure and available only to authorized persons in a password protected system.  In addition, personally identified information will not be collected.</w:t>
      </w:r>
    </w:p>
    <w:p w:rsidR="00EF22F3" w:rsidRPr="0089561F" w:rsidRDefault="00EF22F3" w:rsidP="00EF22F3">
      <w:pPr>
        <w:ind w:left="360"/>
        <w:rPr>
          <w:rFonts w:ascii="Arial" w:hAnsi="Arial" w:cs="Arial"/>
          <w:sz w:val="20"/>
          <w:szCs w:val="20"/>
        </w:rPr>
      </w:pPr>
    </w:p>
    <w:p w:rsidR="009A05F8" w:rsidRPr="00806459" w:rsidRDefault="009A05F8" w:rsidP="00806459">
      <w:pPr>
        <w:pStyle w:val="ListParagraph"/>
        <w:numPr>
          <w:ilvl w:val="0"/>
          <w:numId w:val="1"/>
        </w:numPr>
        <w:rPr>
          <w:rFonts w:ascii="Arial" w:hAnsi="Arial" w:cs="Arial"/>
          <w:sz w:val="22"/>
          <w:szCs w:val="22"/>
          <w:u w:val="single"/>
        </w:rPr>
      </w:pPr>
      <w:r w:rsidRPr="00806459">
        <w:rPr>
          <w:rFonts w:ascii="Arial" w:hAnsi="Arial" w:cs="Arial"/>
          <w:sz w:val="22"/>
          <w:szCs w:val="22"/>
          <w:u w:val="single"/>
        </w:rPr>
        <w:t>Duplication of Information</w:t>
      </w:r>
    </w:p>
    <w:p w:rsidR="00EF22F3" w:rsidRPr="00421F0A" w:rsidRDefault="00EF22F3" w:rsidP="00EF22F3">
      <w:pPr>
        <w:ind w:left="720"/>
        <w:rPr>
          <w:rFonts w:ascii="Arial" w:hAnsi="Arial" w:cs="Arial"/>
          <w:color w:val="FF0000"/>
          <w:sz w:val="22"/>
          <w:szCs w:val="22"/>
          <w:u w:val="single"/>
        </w:rPr>
      </w:pPr>
    </w:p>
    <w:p w:rsidR="00EF22F3" w:rsidRPr="00421F0A" w:rsidRDefault="00EF22F3" w:rsidP="00EF22F3">
      <w:pPr>
        <w:pStyle w:val="CommentText"/>
        <w:ind w:left="720"/>
      </w:pPr>
      <w:r w:rsidRPr="00421F0A">
        <w:rPr>
          <w:rFonts w:ascii="Arial" w:hAnsi="Arial" w:cs="Arial"/>
        </w:rPr>
        <w:t xml:space="preserve">These data are unique to the </w:t>
      </w:r>
      <w:r w:rsidR="00B1645E" w:rsidRPr="00421F0A">
        <w:rPr>
          <w:rFonts w:ascii="Arial" w:hAnsi="Arial" w:cs="Arial"/>
        </w:rPr>
        <w:t xml:space="preserve">assessment of IMATS </w:t>
      </w:r>
      <w:r w:rsidRPr="00421F0A">
        <w:rPr>
          <w:rFonts w:ascii="Arial" w:hAnsi="Arial" w:cs="Arial"/>
        </w:rPr>
        <w:t xml:space="preserve">and </w:t>
      </w:r>
      <w:r w:rsidR="00316FFB">
        <w:rPr>
          <w:rFonts w:ascii="Arial" w:hAnsi="Arial" w:cs="Arial"/>
        </w:rPr>
        <w:t>have not been previously collected</w:t>
      </w:r>
      <w:r w:rsidRPr="00421F0A">
        <w:rPr>
          <w:rFonts w:ascii="Arial" w:hAnsi="Arial" w:cs="Arial"/>
        </w:rPr>
        <w:t>.</w:t>
      </w:r>
      <w:r w:rsidRPr="00421F0A">
        <w:rPr>
          <w:rFonts w:ascii="Arial" w:hAnsi="Arial" w:cs="Arial"/>
          <w:color w:val="000000"/>
        </w:rPr>
        <w:t xml:space="preserve">   </w:t>
      </w:r>
      <w:r w:rsidR="00B1645E" w:rsidRPr="00421F0A">
        <w:rPr>
          <w:rFonts w:ascii="Arial" w:hAnsi="Arial" w:cs="Arial"/>
          <w:color w:val="000000"/>
        </w:rPr>
        <w:t>T</w:t>
      </w:r>
      <w:r w:rsidRPr="00421F0A">
        <w:rPr>
          <w:rFonts w:ascii="Arial" w:hAnsi="Arial" w:cs="Arial"/>
          <w:color w:val="000000"/>
        </w:rPr>
        <w:t xml:space="preserve">his new information collection will fill a gap in allowing CDC to evaluate its products and services intended for </w:t>
      </w:r>
      <w:r w:rsidR="00A164A8">
        <w:rPr>
          <w:rFonts w:ascii="Arial" w:hAnsi="Arial" w:cs="Arial"/>
          <w:color w:val="000000"/>
        </w:rPr>
        <w:t xml:space="preserve">local and </w:t>
      </w:r>
      <w:r w:rsidRPr="00421F0A">
        <w:rPr>
          <w:rFonts w:ascii="Arial" w:hAnsi="Arial" w:cs="Arial"/>
          <w:color w:val="000000"/>
        </w:rPr>
        <w:t>state health department support.</w:t>
      </w:r>
      <w:r w:rsidR="00B1645E" w:rsidRPr="00421F0A">
        <w:rPr>
          <w:rFonts w:ascii="Arial" w:hAnsi="Arial" w:cs="Arial"/>
          <w:color w:val="000000"/>
        </w:rPr>
        <w:t xml:space="preserve"> </w:t>
      </w:r>
    </w:p>
    <w:p w:rsidR="00EF22F3" w:rsidRPr="00421F0A" w:rsidRDefault="00EF22F3" w:rsidP="00EF22F3">
      <w:pPr>
        <w:ind w:left="360"/>
        <w:rPr>
          <w:rFonts w:ascii="Arial" w:hAnsi="Arial" w:cs="Arial"/>
          <w:sz w:val="20"/>
          <w:szCs w:val="20"/>
        </w:rPr>
      </w:pPr>
    </w:p>
    <w:p w:rsidR="009A05F8" w:rsidRPr="00806459" w:rsidRDefault="009A05F8" w:rsidP="00806459">
      <w:pPr>
        <w:pStyle w:val="ListParagraph"/>
        <w:numPr>
          <w:ilvl w:val="0"/>
          <w:numId w:val="1"/>
        </w:numPr>
        <w:rPr>
          <w:rFonts w:ascii="Arial" w:hAnsi="Arial" w:cs="Arial"/>
          <w:sz w:val="22"/>
          <w:szCs w:val="22"/>
          <w:u w:val="single"/>
        </w:rPr>
      </w:pPr>
      <w:r w:rsidRPr="00806459">
        <w:rPr>
          <w:rFonts w:ascii="Arial" w:hAnsi="Arial" w:cs="Arial"/>
          <w:sz w:val="22"/>
          <w:szCs w:val="22"/>
          <w:u w:val="single"/>
        </w:rPr>
        <w:t>Reducing the Burden on Small Entities</w:t>
      </w:r>
    </w:p>
    <w:p w:rsidR="00EF22F3" w:rsidRPr="00421F0A" w:rsidRDefault="00EF22F3" w:rsidP="00EF22F3">
      <w:pPr>
        <w:pStyle w:val="ListParagraph"/>
        <w:rPr>
          <w:rFonts w:ascii="Arial" w:hAnsi="Arial" w:cs="Arial"/>
          <w:sz w:val="20"/>
          <w:szCs w:val="20"/>
        </w:rPr>
      </w:pPr>
    </w:p>
    <w:p w:rsidR="00EF22F3" w:rsidRPr="00421F0A" w:rsidRDefault="00EF22F3" w:rsidP="00EF22F3">
      <w:pPr>
        <w:pStyle w:val="ListParagraph"/>
        <w:outlineLvl w:val="0"/>
        <w:rPr>
          <w:rFonts w:ascii="Arial" w:hAnsi="Arial" w:cs="Arial"/>
          <w:sz w:val="20"/>
          <w:szCs w:val="20"/>
        </w:rPr>
      </w:pPr>
      <w:r w:rsidRPr="00421F0A">
        <w:rPr>
          <w:rFonts w:ascii="Arial" w:hAnsi="Arial" w:cs="Arial"/>
          <w:sz w:val="20"/>
          <w:szCs w:val="20"/>
        </w:rPr>
        <w:t>No small businesses will be involved in this data collection</w:t>
      </w:r>
      <w:r w:rsidR="000A31EC">
        <w:rPr>
          <w:rFonts w:ascii="Arial" w:hAnsi="Arial" w:cs="Arial"/>
          <w:sz w:val="20"/>
          <w:szCs w:val="20"/>
        </w:rPr>
        <w:t>.</w:t>
      </w:r>
    </w:p>
    <w:p w:rsidR="00EF22F3" w:rsidRPr="00421F0A" w:rsidRDefault="00EF22F3" w:rsidP="00EF22F3">
      <w:pPr>
        <w:pStyle w:val="ListParagraph"/>
        <w:rPr>
          <w:rFonts w:ascii="Arial" w:hAnsi="Arial" w:cs="Arial"/>
          <w:sz w:val="20"/>
          <w:szCs w:val="20"/>
        </w:rPr>
      </w:pPr>
    </w:p>
    <w:p w:rsidR="006653A0" w:rsidRPr="00806459" w:rsidRDefault="006653A0" w:rsidP="00806459">
      <w:pPr>
        <w:pStyle w:val="ListParagraph"/>
        <w:numPr>
          <w:ilvl w:val="0"/>
          <w:numId w:val="1"/>
        </w:numPr>
        <w:rPr>
          <w:rFonts w:ascii="Arial" w:hAnsi="Arial" w:cs="Arial"/>
          <w:sz w:val="22"/>
          <w:szCs w:val="22"/>
          <w:u w:val="single"/>
        </w:rPr>
      </w:pPr>
      <w:r w:rsidRPr="00806459">
        <w:rPr>
          <w:rFonts w:ascii="Arial" w:hAnsi="Arial" w:cs="Arial"/>
          <w:sz w:val="22"/>
          <w:szCs w:val="22"/>
          <w:u w:val="single"/>
        </w:rPr>
        <w:t xml:space="preserve">Consequences of Not Conducting Collection   </w:t>
      </w:r>
    </w:p>
    <w:p w:rsidR="00EF22F3" w:rsidRPr="00421F0A" w:rsidRDefault="00EF22F3" w:rsidP="00EF22F3">
      <w:pPr>
        <w:rPr>
          <w:rFonts w:ascii="Arial" w:hAnsi="Arial" w:cs="Arial"/>
          <w:sz w:val="20"/>
          <w:szCs w:val="20"/>
        </w:rPr>
      </w:pPr>
    </w:p>
    <w:p w:rsidR="00EF22F3" w:rsidRPr="00421F0A" w:rsidRDefault="00EF22F3" w:rsidP="00EF22F3">
      <w:pPr>
        <w:pStyle w:val="CM89"/>
        <w:spacing w:after="240" w:line="228" w:lineRule="atLeast"/>
        <w:ind w:left="720" w:right="97"/>
        <w:rPr>
          <w:color w:val="000000"/>
          <w:sz w:val="20"/>
          <w:szCs w:val="20"/>
        </w:rPr>
      </w:pPr>
      <w:r w:rsidRPr="00421F0A">
        <w:rPr>
          <w:bCs/>
          <w:sz w:val="20"/>
          <w:szCs w:val="20"/>
        </w:rPr>
        <w:t>The purpo</w:t>
      </w:r>
      <w:r w:rsidR="00833F85" w:rsidRPr="00421F0A">
        <w:rPr>
          <w:bCs/>
          <w:sz w:val="20"/>
          <w:szCs w:val="20"/>
        </w:rPr>
        <w:t xml:space="preserve">se of this request is to ensure </w:t>
      </w:r>
      <w:r w:rsidRPr="00421F0A">
        <w:rPr>
          <w:bCs/>
          <w:sz w:val="20"/>
          <w:szCs w:val="20"/>
        </w:rPr>
        <w:t xml:space="preserve">collection of data that is not otherwise available in </w:t>
      </w:r>
      <w:r w:rsidRPr="00421F0A">
        <w:rPr>
          <w:sz w:val="20"/>
          <w:szCs w:val="20"/>
        </w:rPr>
        <w:t xml:space="preserve">current, time sensitive or relevant formats to specific or emergent priorities of HHS and CDC.  </w:t>
      </w:r>
      <w:r w:rsidRPr="00421F0A">
        <w:rPr>
          <w:color w:val="000000"/>
          <w:sz w:val="20"/>
          <w:szCs w:val="20"/>
        </w:rPr>
        <w:t xml:space="preserve">Specifically, without this data there would be: </w:t>
      </w:r>
    </w:p>
    <w:p w:rsidR="00EF22F3" w:rsidRPr="00421F0A" w:rsidRDefault="00EF22F3" w:rsidP="00EF22F3">
      <w:pPr>
        <w:pStyle w:val="Default"/>
        <w:numPr>
          <w:ilvl w:val="0"/>
          <w:numId w:val="2"/>
        </w:numPr>
        <w:ind w:left="1080"/>
        <w:rPr>
          <w:sz w:val="20"/>
          <w:szCs w:val="20"/>
        </w:rPr>
      </w:pPr>
      <w:r w:rsidRPr="00421F0A">
        <w:rPr>
          <w:sz w:val="20"/>
          <w:szCs w:val="20"/>
        </w:rPr>
        <w:t>No timely feedback rega</w:t>
      </w:r>
      <w:r w:rsidR="00833F85" w:rsidRPr="00421F0A">
        <w:rPr>
          <w:sz w:val="20"/>
          <w:szCs w:val="20"/>
        </w:rPr>
        <w:t xml:space="preserve">rding </w:t>
      </w:r>
      <w:r w:rsidR="000A31EC">
        <w:rPr>
          <w:sz w:val="20"/>
          <w:szCs w:val="20"/>
        </w:rPr>
        <w:t xml:space="preserve">the </w:t>
      </w:r>
      <w:r w:rsidR="00833F85" w:rsidRPr="00421F0A">
        <w:rPr>
          <w:sz w:val="20"/>
          <w:szCs w:val="20"/>
        </w:rPr>
        <w:t xml:space="preserve">usefulness of IMATS. </w:t>
      </w:r>
    </w:p>
    <w:p w:rsidR="00EF22F3" w:rsidRPr="00421F0A" w:rsidRDefault="00EF22F3" w:rsidP="00806459">
      <w:pPr>
        <w:pStyle w:val="CM89"/>
        <w:numPr>
          <w:ilvl w:val="0"/>
          <w:numId w:val="2"/>
        </w:numPr>
        <w:spacing w:line="228" w:lineRule="atLeast"/>
        <w:ind w:left="1080" w:right="97"/>
        <w:rPr>
          <w:sz w:val="20"/>
          <w:szCs w:val="20"/>
        </w:rPr>
      </w:pPr>
      <w:r w:rsidRPr="00421F0A">
        <w:rPr>
          <w:sz w:val="20"/>
          <w:szCs w:val="20"/>
        </w:rPr>
        <w:t xml:space="preserve">Less effective interventions and data-driven decisions that </w:t>
      </w:r>
      <w:r w:rsidR="000A31EC" w:rsidRPr="00421F0A">
        <w:rPr>
          <w:sz w:val="20"/>
          <w:szCs w:val="20"/>
        </w:rPr>
        <w:t xml:space="preserve">often </w:t>
      </w:r>
      <w:r w:rsidRPr="00421F0A">
        <w:rPr>
          <w:sz w:val="20"/>
          <w:szCs w:val="20"/>
        </w:rPr>
        <w:t>need to be made</w:t>
      </w:r>
      <w:r w:rsidR="00421F0A">
        <w:rPr>
          <w:sz w:val="20"/>
          <w:szCs w:val="20"/>
        </w:rPr>
        <w:t xml:space="preserve"> between CDC and state and local </w:t>
      </w:r>
      <w:r w:rsidRPr="00421F0A">
        <w:rPr>
          <w:sz w:val="20"/>
          <w:szCs w:val="20"/>
        </w:rPr>
        <w:t>governmental health agencies.</w:t>
      </w:r>
    </w:p>
    <w:p w:rsidR="00EF22F3" w:rsidRPr="00421F0A" w:rsidRDefault="00EF22F3" w:rsidP="00EF22F3">
      <w:pPr>
        <w:pStyle w:val="CM89"/>
        <w:numPr>
          <w:ilvl w:val="0"/>
          <w:numId w:val="2"/>
        </w:numPr>
        <w:spacing w:after="240" w:line="228" w:lineRule="atLeast"/>
        <w:ind w:left="1080" w:right="97"/>
        <w:rPr>
          <w:sz w:val="20"/>
          <w:szCs w:val="20"/>
        </w:rPr>
      </w:pPr>
      <w:r w:rsidRPr="00421F0A">
        <w:rPr>
          <w:sz w:val="20"/>
          <w:szCs w:val="20"/>
        </w:rPr>
        <w:t>Limitations to effective and timely assessment of capacities of governmental agencies to fulfill their public health mission.</w:t>
      </w:r>
    </w:p>
    <w:p w:rsidR="00EF22F3" w:rsidRPr="00421F0A" w:rsidRDefault="00EF22F3" w:rsidP="00EF22F3">
      <w:pPr>
        <w:rPr>
          <w:rFonts w:ascii="Arial" w:hAnsi="Arial" w:cs="Arial"/>
          <w:sz w:val="20"/>
          <w:szCs w:val="20"/>
        </w:rPr>
      </w:pPr>
    </w:p>
    <w:p w:rsidR="00EF22F3" w:rsidRPr="00806459" w:rsidRDefault="00EF22F3" w:rsidP="00EF22F3">
      <w:pPr>
        <w:pStyle w:val="ListParagraph"/>
        <w:numPr>
          <w:ilvl w:val="0"/>
          <w:numId w:val="1"/>
        </w:numPr>
        <w:rPr>
          <w:rFonts w:ascii="Arial" w:hAnsi="Arial" w:cs="Arial"/>
          <w:sz w:val="22"/>
          <w:szCs w:val="22"/>
          <w:u w:val="single"/>
        </w:rPr>
      </w:pPr>
      <w:r w:rsidRPr="00806459">
        <w:rPr>
          <w:rFonts w:ascii="Arial" w:hAnsi="Arial" w:cs="Arial"/>
          <w:sz w:val="22"/>
          <w:szCs w:val="22"/>
          <w:u w:val="single"/>
        </w:rPr>
        <w:t>Special Circumstances Relating to the Guidelines of 5 CFR 1320.5</w:t>
      </w:r>
    </w:p>
    <w:p w:rsidR="00EF22F3" w:rsidRPr="00421F0A" w:rsidRDefault="00EF22F3" w:rsidP="00EF22F3">
      <w:pPr>
        <w:rPr>
          <w:rFonts w:ascii="Arial" w:hAnsi="Arial" w:cs="Arial"/>
          <w:sz w:val="20"/>
          <w:szCs w:val="20"/>
        </w:rPr>
      </w:pPr>
    </w:p>
    <w:p w:rsidR="00EF22F3" w:rsidRPr="00421F0A" w:rsidRDefault="00EF22F3" w:rsidP="00EF22F3">
      <w:pPr>
        <w:tabs>
          <w:tab w:val="left" w:pos="-1440"/>
          <w:tab w:val="left" w:pos="-720"/>
        </w:tabs>
        <w:autoSpaceDE w:val="0"/>
        <w:autoSpaceDN w:val="0"/>
        <w:adjustRightInd w:val="0"/>
        <w:ind w:left="720" w:right="720"/>
        <w:rPr>
          <w:rFonts w:ascii="Arial" w:hAnsi="Arial" w:cs="Arial"/>
          <w:sz w:val="20"/>
          <w:szCs w:val="20"/>
        </w:rPr>
      </w:pPr>
      <w:r w:rsidRPr="00421F0A">
        <w:rPr>
          <w:rFonts w:ascii="Arial" w:hAnsi="Arial" w:cs="Arial"/>
          <w:sz w:val="20"/>
          <w:szCs w:val="20"/>
        </w:rPr>
        <w:t>There are no special circumstances with this information collection package.  This request fully complies with the guidelines of 5 CFR 1320.5</w:t>
      </w:r>
      <w:r w:rsidR="00AB23D7">
        <w:rPr>
          <w:rFonts w:ascii="Arial" w:hAnsi="Arial" w:cs="Arial"/>
          <w:sz w:val="20"/>
          <w:szCs w:val="20"/>
        </w:rPr>
        <w:t xml:space="preserve"> and will be voluntary</w:t>
      </w:r>
      <w:r w:rsidRPr="00421F0A">
        <w:rPr>
          <w:rFonts w:ascii="Arial" w:hAnsi="Arial" w:cs="Arial"/>
          <w:sz w:val="20"/>
          <w:szCs w:val="20"/>
        </w:rPr>
        <w:t>.</w:t>
      </w:r>
    </w:p>
    <w:p w:rsidR="00EF22F3" w:rsidRPr="00421F0A" w:rsidRDefault="00EF22F3" w:rsidP="00EF22F3">
      <w:pPr>
        <w:tabs>
          <w:tab w:val="left" w:pos="-1440"/>
          <w:tab w:val="left" w:pos="-720"/>
        </w:tabs>
        <w:autoSpaceDE w:val="0"/>
        <w:autoSpaceDN w:val="0"/>
        <w:adjustRightInd w:val="0"/>
        <w:ind w:right="720"/>
        <w:rPr>
          <w:rFonts w:ascii="Arial" w:hAnsi="Arial" w:cs="Arial"/>
          <w:sz w:val="20"/>
          <w:szCs w:val="20"/>
        </w:rPr>
      </w:pPr>
    </w:p>
    <w:p w:rsidR="00460154" w:rsidRPr="00460154" w:rsidRDefault="00460154" w:rsidP="00460154">
      <w:pPr>
        <w:pStyle w:val="ListParagraph"/>
        <w:numPr>
          <w:ilvl w:val="0"/>
          <w:numId w:val="1"/>
        </w:numPr>
        <w:tabs>
          <w:tab w:val="left" w:pos="-1440"/>
          <w:tab w:val="left" w:pos="-720"/>
        </w:tabs>
        <w:autoSpaceDE w:val="0"/>
        <w:autoSpaceDN w:val="0"/>
        <w:adjustRightInd w:val="0"/>
        <w:ind w:right="720"/>
        <w:rPr>
          <w:rFonts w:ascii="Arial" w:hAnsi="Arial" w:cs="Arial"/>
          <w:sz w:val="22"/>
          <w:szCs w:val="22"/>
          <w:u w:val="single"/>
        </w:rPr>
      </w:pPr>
      <w:r w:rsidRPr="00460154">
        <w:rPr>
          <w:rFonts w:ascii="Arial" w:hAnsi="Arial" w:cs="Arial"/>
          <w:sz w:val="22"/>
          <w:szCs w:val="22"/>
          <w:u w:val="single"/>
        </w:rPr>
        <w:t>Consultation with Persons Outside the Agency</w:t>
      </w:r>
    </w:p>
    <w:p w:rsidR="00EF22F3" w:rsidRPr="00421F0A" w:rsidRDefault="00EF22F3" w:rsidP="00EF22F3">
      <w:pPr>
        <w:pStyle w:val="ListParagraph"/>
        <w:tabs>
          <w:tab w:val="left" w:pos="-1440"/>
          <w:tab w:val="left" w:pos="-720"/>
        </w:tabs>
        <w:autoSpaceDE w:val="0"/>
        <w:autoSpaceDN w:val="0"/>
        <w:adjustRightInd w:val="0"/>
        <w:ind w:left="630" w:right="720"/>
        <w:rPr>
          <w:rFonts w:ascii="Arial" w:hAnsi="Arial" w:cs="Arial"/>
          <w:sz w:val="20"/>
          <w:szCs w:val="20"/>
          <w:u w:val="single"/>
        </w:rPr>
      </w:pPr>
    </w:p>
    <w:p w:rsidR="00EF22F3" w:rsidRPr="00421F0A" w:rsidRDefault="00EF22F3" w:rsidP="00EF22F3">
      <w:pPr>
        <w:pStyle w:val="ListParagraph"/>
        <w:tabs>
          <w:tab w:val="left" w:pos="-1440"/>
          <w:tab w:val="left" w:pos="-720"/>
        </w:tabs>
        <w:autoSpaceDE w:val="0"/>
        <w:autoSpaceDN w:val="0"/>
        <w:adjustRightInd w:val="0"/>
        <w:ind w:left="630" w:right="720"/>
        <w:rPr>
          <w:rFonts w:ascii="Arial" w:hAnsi="Arial" w:cs="Arial"/>
          <w:sz w:val="20"/>
          <w:szCs w:val="20"/>
        </w:rPr>
      </w:pPr>
      <w:r w:rsidRPr="00421F0A">
        <w:rPr>
          <w:rFonts w:ascii="Arial" w:hAnsi="Arial" w:cs="Arial"/>
          <w:sz w:val="20"/>
          <w:szCs w:val="20"/>
        </w:rPr>
        <w:t>This data collection is being conducted using the Generic Information Collection mechanism of the OSTLTS Survey Center (OSC) – OMB No. 0920-0879.  A 60-day Federal Register Notice was published in the Federal Register on October 22, 2010, Vol. 75, No. 204; pp.65353-54.  Two comments were received from the Association of State and Territorial Health Officials (ASTHO) and the National Association of County and City Health Officials (NACCHO).</w:t>
      </w:r>
    </w:p>
    <w:p w:rsidR="00EF22F3" w:rsidRPr="00421F0A" w:rsidRDefault="00EF22F3" w:rsidP="00EF22F3">
      <w:pPr>
        <w:pStyle w:val="ListParagraph"/>
        <w:tabs>
          <w:tab w:val="left" w:pos="-1440"/>
          <w:tab w:val="left" w:pos="-720"/>
        </w:tabs>
        <w:autoSpaceDE w:val="0"/>
        <w:autoSpaceDN w:val="0"/>
        <w:adjustRightInd w:val="0"/>
        <w:ind w:left="630" w:right="720"/>
        <w:rPr>
          <w:rFonts w:ascii="Arial" w:hAnsi="Arial" w:cs="Arial"/>
          <w:sz w:val="20"/>
          <w:szCs w:val="20"/>
        </w:rPr>
      </w:pPr>
    </w:p>
    <w:p w:rsidR="00EF22F3" w:rsidRPr="00421F0A" w:rsidRDefault="00EF22F3" w:rsidP="00EF22F3">
      <w:pPr>
        <w:pStyle w:val="ListParagraph"/>
        <w:tabs>
          <w:tab w:val="left" w:pos="-1440"/>
          <w:tab w:val="left" w:pos="-720"/>
        </w:tabs>
        <w:autoSpaceDE w:val="0"/>
        <w:autoSpaceDN w:val="0"/>
        <w:adjustRightInd w:val="0"/>
        <w:ind w:left="630" w:right="720"/>
        <w:rPr>
          <w:rFonts w:ascii="Arial" w:hAnsi="Arial" w:cs="Arial"/>
          <w:sz w:val="20"/>
          <w:szCs w:val="20"/>
        </w:rPr>
      </w:pPr>
      <w:r w:rsidRPr="00421F0A">
        <w:rPr>
          <w:rFonts w:ascii="Arial" w:hAnsi="Arial" w:cs="Arial"/>
          <w:sz w:val="20"/>
          <w:szCs w:val="20"/>
        </w:rPr>
        <w:t>CDC partners with professional STLT organizations, such as the ASTHO, the NACCHO, and the National Association of Local Boards of Health (NALBOH) along with the National Center for Health Statistics (NCHS) to ensure that the collection requests under the individual ICs are not in conflict with collections they have or will have in the field within the same timeframe.</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u w:val="single"/>
        </w:rPr>
      </w:pPr>
    </w:p>
    <w:p w:rsidR="00EF22F3" w:rsidRPr="00806459" w:rsidRDefault="00EF22F3" w:rsidP="00EF22F3">
      <w:pPr>
        <w:pStyle w:val="ListParagraph"/>
        <w:numPr>
          <w:ilvl w:val="0"/>
          <w:numId w:val="1"/>
        </w:numPr>
        <w:tabs>
          <w:tab w:val="left" w:pos="-1440"/>
          <w:tab w:val="left" w:pos="-720"/>
        </w:tabs>
        <w:autoSpaceDE w:val="0"/>
        <w:autoSpaceDN w:val="0"/>
        <w:adjustRightInd w:val="0"/>
        <w:ind w:right="720"/>
        <w:rPr>
          <w:rFonts w:ascii="Arial" w:hAnsi="Arial" w:cs="Arial"/>
          <w:sz w:val="22"/>
          <w:szCs w:val="22"/>
          <w:u w:val="single"/>
        </w:rPr>
      </w:pPr>
      <w:r w:rsidRPr="00806459">
        <w:rPr>
          <w:rFonts w:ascii="Arial" w:hAnsi="Arial" w:cs="Arial"/>
          <w:sz w:val="22"/>
          <w:szCs w:val="22"/>
          <w:u w:val="single"/>
        </w:rPr>
        <w:t>Explanation of Any Payment or Gift to Respondents</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p>
    <w:p w:rsidR="00EF22F3" w:rsidRPr="00421F0A" w:rsidRDefault="00EF22F3" w:rsidP="00EF22F3">
      <w:pPr>
        <w:pStyle w:val="ListParagraph"/>
        <w:tabs>
          <w:tab w:val="left" w:pos="-1440"/>
          <w:tab w:val="left" w:pos="-720"/>
        </w:tabs>
        <w:autoSpaceDE w:val="0"/>
        <w:autoSpaceDN w:val="0"/>
        <w:adjustRightInd w:val="0"/>
        <w:ind w:right="720"/>
        <w:outlineLvl w:val="0"/>
        <w:rPr>
          <w:rFonts w:ascii="Arial" w:hAnsi="Arial" w:cs="Arial"/>
          <w:sz w:val="20"/>
          <w:szCs w:val="20"/>
        </w:rPr>
      </w:pPr>
      <w:r w:rsidRPr="00421F0A">
        <w:rPr>
          <w:rFonts w:ascii="Arial" w:hAnsi="Arial" w:cs="Arial"/>
          <w:sz w:val="20"/>
          <w:szCs w:val="20"/>
        </w:rPr>
        <w:t>CDC will not provide payments or gifts to respondents.</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p>
    <w:p w:rsidR="00EF22F3" w:rsidRPr="00806459" w:rsidRDefault="00EF22F3" w:rsidP="00EF22F3">
      <w:pPr>
        <w:pStyle w:val="ListParagraph"/>
        <w:numPr>
          <w:ilvl w:val="0"/>
          <w:numId w:val="1"/>
        </w:numPr>
        <w:tabs>
          <w:tab w:val="left" w:pos="-1440"/>
          <w:tab w:val="left" w:pos="-720"/>
        </w:tabs>
        <w:autoSpaceDE w:val="0"/>
        <w:autoSpaceDN w:val="0"/>
        <w:adjustRightInd w:val="0"/>
        <w:ind w:right="720"/>
        <w:rPr>
          <w:rFonts w:ascii="Arial" w:hAnsi="Arial" w:cs="Arial"/>
          <w:sz w:val="22"/>
          <w:szCs w:val="22"/>
          <w:u w:val="single"/>
        </w:rPr>
      </w:pPr>
      <w:r w:rsidRPr="00806459">
        <w:rPr>
          <w:rFonts w:ascii="Arial" w:hAnsi="Arial" w:cs="Arial"/>
          <w:sz w:val="22"/>
          <w:szCs w:val="22"/>
          <w:u w:val="single"/>
        </w:rPr>
        <w:t>Assurance of Confidentiality Provided to Respondents</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r w:rsidRPr="00421F0A">
        <w:rPr>
          <w:rFonts w:ascii="Arial" w:hAnsi="Arial" w:cs="Arial"/>
          <w:sz w:val="20"/>
          <w:szCs w:val="20"/>
        </w:rPr>
        <w:t>The Privacy Act does not apply to this data collecti</w:t>
      </w:r>
      <w:r w:rsidR="00470198" w:rsidRPr="00421F0A">
        <w:rPr>
          <w:rFonts w:ascii="Arial" w:hAnsi="Arial" w:cs="Arial"/>
          <w:sz w:val="20"/>
          <w:szCs w:val="20"/>
        </w:rPr>
        <w:t>on.  Employees of state and</w:t>
      </w:r>
      <w:r w:rsidRPr="00421F0A">
        <w:rPr>
          <w:rFonts w:ascii="Arial" w:hAnsi="Arial" w:cs="Arial"/>
          <w:sz w:val="20"/>
          <w:szCs w:val="20"/>
        </w:rPr>
        <w:t xml:space="preserve"> local</w:t>
      </w:r>
      <w:r w:rsidR="00470198" w:rsidRPr="00421F0A">
        <w:rPr>
          <w:rFonts w:ascii="Arial" w:hAnsi="Arial" w:cs="Arial"/>
          <w:sz w:val="20"/>
          <w:szCs w:val="20"/>
        </w:rPr>
        <w:t xml:space="preserve"> </w:t>
      </w:r>
      <w:r w:rsidRPr="00421F0A">
        <w:rPr>
          <w:rFonts w:ascii="Arial" w:hAnsi="Arial" w:cs="Arial"/>
          <w:sz w:val="20"/>
          <w:szCs w:val="20"/>
        </w:rPr>
        <w:t>public h</w:t>
      </w:r>
      <w:r w:rsidR="00470198" w:rsidRPr="00421F0A">
        <w:rPr>
          <w:rFonts w:ascii="Arial" w:hAnsi="Arial" w:cs="Arial"/>
          <w:sz w:val="20"/>
          <w:szCs w:val="20"/>
        </w:rPr>
        <w:t xml:space="preserve">ealth agencies will </w:t>
      </w:r>
      <w:r w:rsidR="005462E4">
        <w:rPr>
          <w:rFonts w:ascii="Arial" w:hAnsi="Arial" w:cs="Arial"/>
          <w:sz w:val="20"/>
          <w:szCs w:val="20"/>
        </w:rPr>
        <w:t xml:space="preserve">not </w:t>
      </w:r>
      <w:r w:rsidR="00470198" w:rsidRPr="00421F0A">
        <w:rPr>
          <w:rFonts w:ascii="Arial" w:hAnsi="Arial" w:cs="Arial"/>
          <w:sz w:val="20"/>
          <w:szCs w:val="20"/>
        </w:rPr>
        <w:t xml:space="preserve">be asked to </w:t>
      </w:r>
      <w:r w:rsidRPr="00421F0A">
        <w:rPr>
          <w:rFonts w:ascii="Arial" w:hAnsi="Arial" w:cs="Arial"/>
          <w:sz w:val="20"/>
          <w:szCs w:val="20"/>
        </w:rPr>
        <w:t xml:space="preserve">provide individually identifiable information.  </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p>
    <w:p w:rsidR="00EF22F3" w:rsidRPr="00421F0A" w:rsidRDefault="00EF22F3" w:rsidP="00EF22F3">
      <w:pPr>
        <w:pStyle w:val="ListParagraph"/>
        <w:tabs>
          <w:tab w:val="left" w:pos="-1440"/>
          <w:tab w:val="left" w:pos="-720"/>
        </w:tabs>
        <w:autoSpaceDE w:val="0"/>
        <w:autoSpaceDN w:val="0"/>
        <w:adjustRightInd w:val="0"/>
        <w:ind w:right="720"/>
        <w:outlineLvl w:val="0"/>
        <w:rPr>
          <w:rFonts w:ascii="Arial" w:hAnsi="Arial" w:cs="Arial"/>
          <w:sz w:val="20"/>
          <w:szCs w:val="20"/>
        </w:rPr>
      </w:pPr>
      <w:r w:rsidRPr="00421F0A">
        <w:rPr>
          <w:rFonts w:ascii="Arial" w:hAnsi="Arial" w:cs="Arial"/>
          <w:sz w:val="20"/>
          <w:szCs w:val="20"/>
        </w:rPr>
        <w:t>This data collection is not research involving human subjects</w:t>
      </w:r>
      <w:r w:rsidR="005462E4">
        <w:rPr>
          <w:rFonts w:ascii="Arial" w:hAnsi="Arial" w:cs="Arial"/>
          <w:sz w:val="20"/>
          <w:szCs w:val="20"/>
        </w:rPr>
        <w:t>.</w:t>
      </w:r>
    </w:p>
    <w:p w:rsidR="00EF22F3" w:rsidRPr="00421F0A" w:rsidRDefault="00EF22F3" w:rsidP="00EF22F3">
      <w:pPr>
        <w:tabs>
          <w:tab w:val="left" w:pos="-1440"/>
          <w:tab w:val="left" w:pos="-720"/>
        </w:tabs>
        <w:autoSpaceDE w:val="0"/>
        <w:autoSpaceDN w:val="0"/>
        <w:adjustRightInd w:val="0"/>
        <w:ind w:right="720"/>
        <w:rPr>
          <w:rFonts w:ascii="Arial" w:hAnsi="Arial" w:cs="Arial"/>
          <w:sz w:val="20"/>
          <w:szCs w:val="20"/>
        </w:rPr>
      </w:pPr>
    </w:p>
    <w:p w:rsidR="00EF22F3" w:rsidRPr="00806459" w:rsidRDefault="00EF22F3" w:rsidP="00EF22F3">
      <w:pPr>
        <w:pStyle w:val="ListParagraph"/>
        <w:numPr>
          <w:ilvl w:val="0"/>
          <w:numId w:val="1"/>
        </w:numPr>
        <w:tabs>
          <w:tab w:val="left" w:pos="-1440"/>
          <w:tab w:val="left" w:pos="-720"/>
        </w:tabs>
        <w:autoSpaceDE w:val="0"/>
        <w:autoSpaceDN w:val="0"/>
        <w:adjustRightInd w:val="0"/>
        <w:ind w:right="720"/>
        <w:rPr>
          <w:rFonts w:ascii="Arial" w:hAnsi="Arial" w:cs="Arial"/>
          <w:sz w:val="22"/>
          <w:szCs w:val="22"/>
          <w:u w:val="single"/>
        </w:rPr>
      </w:pPr>
      <w:r w:rsidRPr="00806459">
        <w:rPr>
          <w:rFonts w:ascii="Arial" w:hAnsi="Arial" w:cs="Arial"/>
          <w:sz w:val="22"/>
          <w:szCs w:val="22"/>
          <w:u w:val="single"/>
        </w:rPr>
        <w:t>Justification for Sensitive Questions</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p>
    <w:p w:rsidR="00EF22F3" w:rsidRPr="00421F0A" w:rsidRDefault="00EF22F3" w:rsidP="00EF22F3">
      <w:pPr>
        <w:pStyle w:val="ListParagraph"/>
        <w:tabs>
          <w:tab w:val="left" w:pos="-1440"/>
          <w:tab w:val="left" w:pos="-720"/>
        </w:tabs>
        <w:autoSpaceDE w:val="0"/>
        <w:autoSpaceDN w:val="0"/>
        <w:adjustRightInd w:val="0"/>
        <w:ind w:right="720"/>
        <w:outlineLvl w:val="0"/>
        <w:rPr>
          <w:rFonts w:ascii="Arial" w:hAnsi="Arial" w:cs="Arial"/>
          <w:sz w:val="20"/>
          <w:szCs w:val="20"/>
        </w:rPr>
      </w:pPr>
      <w:r w:rsidRPr="00421F0A">
        <w:rPr>
          <w:rFonts w:ascii="Arial" w:hAnsi="Arial" w:cs="Arial"/>
          <w:sz w:val="20"/>
          <w:szCs w:val="20"/>
        </w:rPr>
        <w:t>No sensitive information will be collected.</w:t>
      </w:r>
    </w:p>
    <w:p w:rsidR="00EF22F3" w:rsidRPr="00421F0A" w:rsidRDefault="00EF22F3" w:rsidP="00EF22F3">
      <w:pPr>
        <w:tabs>
          <w:tab w:val="left" w:pos="-1440"/>
          <w:tab w:val="left" w:pos="-720"/>
        </w:tabs>
        <w:autoSpaceDE w:val="0"/>
        <w:autoSpaceDN w:val="0"/>
        <w:adjustRightInd w:val="0"/>
        <w:ind w:right="720"/>
        <w:rPr>
          <w:rFonts w:ascii="Arial" w:hAnsi="Arial" w:cs="Arial"/>
          <w:sz w:val="20"/>
          <w:szCs w:val="20"/>
        </w:rPr>
      </w:pPr>
    </w:p>
    <w:p w:rsidR="00EF22F3" w:rsidRPr="00421F0A" w:rsidRDefault="00EF22F3" w:rsidP="00EF22F3">
      <w:pPr>
        <w:tabs>
          <w:tab w:val="left" w:pos="-1440"/>
          <w:tab w:val="left" w:pos="-720"/>
        </w:tabs>
        <w:autoSpaceDE w:val="0"/>
        <w:autoSpaceDN w:val="0"/>
        <w:adjustRightInd w:val="0"/>
        <w:ind w:right="720"/>
        <w:rPr>
          <w:rFonts w:ascii="Arial" w:hAnsi="Arial" w:cs="Arial"/>
          <w:sz w:val="20"/>
          <w:szCs w:val="20"/>
        </w:rPr>
      </w:pPr>
    </w:p>
    <w:p w:rsidR="000159BF" w:rsidRPr="00806459" w:rsidRDefault="000159BF" w:rsidP="00806459">
      <w:pPr>
        <w:pStyle w:val="ListParagraph"/>
        <w:numPr>
          <w:ilvl w:val="0"/>
          <w:numId w:val="1"/>
        </w:numPr>
        <w:tabs>
          <w:tab w:val="left" w:pos="-1440"/>
          <w:tab w:val="left" w:pos="-720"/>
        </w:tabs>
        <w:autoSpaceDE w:val="0"/>
        <w:autoSpaceDN w:val="0"/>
        <w:adjustRightInd w:val="0"/>
        <w:ind w:right="720"/>
        <w:rPr>
          <w:rFonts w:ascii="Arial" w:hAnsi="Arial" w:cs="Arial"/>
          <w:sz w:val="22"/>
          <w:szCs w:val="22"/>
          <w:u w:val="single"/>
        </w:rPr>
      </w:pPr>
      <w:r w:rsidRPr="00806459">
        <w:rPr>
          <w:rFonts w:ascii="Arial" w:hAnsi="Arial" w:cs="Arial"/>
          <w:sz w:val="22"/>
          <w:szCs w:val="22"/>
          <w:u w:val="single"/>
        </w:rPr>
        <w:t>Burden of Information Collection</w:t>
      </w:r>
    </w:p>
    <w:p w:rsidR="00EF22F3" w:rsidRPr="00421F0A" w:rsidRDefault="00EF22F3" w:rsidP="00EF22F3">
      <w:pPr>
        <w:pStyle w:val="ListParagraph"/>
        <w:tabs>
          <w:tab w:val="left" w:pos="-1440"/>
          <w:tab w:val="left" w:pos="-720"/>
        </w:tabs>
        <w:autoSpaceDE w:val="0"/>
        <w:autoSpaceDN w:val="0"/>
        <w:adjustRightInd w:val="0"/>
        <w:ind w:left="630" w:right="720"/>
        <w:rPr>
          <w:rFonts w:ascii="Arial" w:hAnsi="Arial" w:cs="Arial"/>
          <w:sz w:val="20"/>
          <w:szCs w:val="20"/>
        </w:rPr>
      </w:pP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r w:rsidRPr="00421F0A">
        <w:rPr>
          <w:rFonts w:ascii="Arial" w:hAnsi="Arial" w:cs="Arial"/>
          <w:sz w:val="20"/>
          <w:szCs w:val="20"/>
        </w:rPr>
        <w:t xml:space="preserve">The estimate for burden hours is based on a pilot test of </w:t>
      </w:r>
      <w:r w:rsidR="00470198" w:rsidRPr="00421F0A">
        <w:rPr>
          <w:rFonts w:ascii="Arial" w:hAnsi="Arial" w:cs="Arial"/>
          <w:sz w:val="20"/>
          <w:szCs w:val="20"/>
        </w:rPr>
        <w:t xml:space="preserve">the questionnaire </w:t>
      </w:r>
      <w:r w:rsidRPr="00421F0A">
        <w:rPr>
          <w:rFonts w:ascii="Arial" w:hAnsi="Arial" w:cs="Arial"/>
          <w:sz w:val="20"/>
          <w:szCs w:val="20"/>
        </w:rPr>
        <w:t xml:space="preserve">by three </w:t>
      </w:r>
      <w:r w:rsidR="006F647E">
        <w:rPr>
          <w:rFonts w:ascii="Arial" w:hAnsi="Arial" w:cs="Arial"/>
          <w:sz w:val="20"/>
          <w:szCs w:val="20"/>
        </w:rPr>
        <w:t>current IMATS public health partners</w:t>
      </w:r>
      <w:r w:rsidR="0053380D">
        <w:rPr>
          <w:rFonts w:ascii="Arial" w:hAnsi="Arial" w:cs="Arial"/>
          <w:sz w:val="20"/>
          <w:szCs w:val="20"/>
        </w:rPr>
        <w:t xml:space="preserve"> (</w:t>
      </w:r>
      <w:r w:rsidR="0059280F">
        <w:rPr>
          <w:rFonts w:ascii="Arial" w:hAnsi="Arial" w:cs="Arial"/>
          <w:sz w:val="20"/>
          <w:szCs w:val="20"/>
        </w:rPr>
        <w:t>PHEP awardee</w:t>
      </w:r>
      <w:r w:rsidR="00657A2D">
        <w:rPr>
          <w:rFonts w:ascii="Arial" w:hAnsi="Arial" w:cs="Arial"/>
          <w:sz w:val="20"/>
          <w:szCs w:val="20"/>
        </w:rPr>
        <w:t xml:space="preserve"> and local jurisdiction </w:t>
      </w:r>
      <w:r w:rsidR="0053380D">
        <w:rPr>
          <w:rFonts w:ascii="Arial" w:hAnsi="Arial" w:cs="Arial"/>
          <w:sz w:val="20"/>
          <w:szCs w:val="20"/>
        </w:rPr>
        <w:t>designees)</w:t>
      </w:r>
      <w:r w:rsidR="00470198" w:rsidRPr="00421F0A">
        <w:rPr>
          <w:rFonts w:ascii="Arial" w:hAnsi="Arial" w:cs="Arial"/>
          <w:sz w:val="20"/>
          <w:szCs w:val="20"/>
        </w:rPr>
        <w:t xml:space="preserve">. </w:t>
      </w:r>
      <w:r w:rsidRPr="00421F0A">
        <w:rPr>
          <w:rFonts w:ascii="Arial" w:hAnsi="Arial" w:cs="Arial"/>
          <w:sz w:val="20"/>
          <w:szCs w:val="20"/>
        </w:rPr>
        <w:t xml:space="preserve">In the pilot test, the average time to complete both parts of the </w:t>
      </w:r>
      <w:r w:rsidR="003134FF">
        <w:rPr>
          <w:rFonts w:ascii="Arial" w:hAnsi="Arial" w:cs="Arial"/>
          <w:sz w:val="20"/>
          <w:szCs w:val="20"/>
        </w:rPr>
        <w:t>data collection tool</w:t>
      </w:r>
      <w:r w:rsidRPr="00421F0A">
        <w:rPr>
          <w:rFonts w:ascii="Arial" w:hAnsi="Arial" w:cs="Arial"/>
          <w:sz w:val="20"/>
          <w:szCs w:val="20"/>
        </w:rPr>
        <w:t xml:space="preserve">, including time for reviewing instructions, gathering needed information and completing </w:t>
      </w:r>
      <w:r w:rsidR="00470198" w:rsidRPr="00421F0A">
        <w:rPr>
          <w:rFonts w:ascii="Arial" w:hAnsi="Arial" w:cs="Arial"/>
          <w:sz w:val="20"/>
          <w:szCs w:val="20"/>
        </w:rPr>
        <w:t xml:space="preserve">the </w:t>
      </w:r>
      <w:r w:rsidR="003134FF">
        <w:rPr>
          <w:rFonts w:ascii="Arial" w:hAnsi="Arial" w:cs="Arial"/>
          <w:sz w:val="20"/>
          <w:szCs w:val="20"/>
        </w:rPr>
        <w:t>questions</w:t>
      </w:r>
      <w:r w:rsidR="00470198" w:rsidRPr="00421F0A">
        <w:rPr>
          <w:rFonts w:ascii="Arial" w:hAnsi="Arial" w:cs="Arial"/>
          <w:sz w:val="20"/>
          <w:szCs w:val="20"/>
        </w:rPr>
        <w:t xml:space="preserve">, was approximately </w:t>
      </w:r>
      <w:r w:rsidR="00C17986">
        <w:rPr>
          <w:rFonts w:ascii="Arial" w:hAnsi="Arial" w:cs="Arial"/>
          <w:sz w:val="20"/>
          <w:szCs w:val="20"/>
        </w:rPr>
        <w:t>15-20</w:t>
      </w:r>
      <w:r w:rsidR="00470198" w:rsidRPr="00421F0A">
        <w:rPr>
          <w:rFonts w:ascii="Arial" w:hAnsi="Arial" w:cs="Arial"/>
          <w:sz w:val="20"/>
          <w:szCs w:val="20"/>
        </w:rPr>
        <w:t xml:space="preserve"> minutes. This was rounded up to </w:t>
      </w:r>
      <w:r w:rsidR="00C17986">
        <w:rPr>
          <w:rFonts w:ascii="Arial" w:hAnsi="Arial" w:cs="Arial"/>
          <w:sz w:val="20"/>
          <w:szCs w:val="20"/>
        </w:rPr>
        <w:t>20</w:t>
      </w:r>
      <w:r w:rsidRPr="00421F0A">
        <w:rPr>
          <w:rFonts w:ascii="Arial" w:hAnsi="Arial" w:cs="Arial"/>
          <w:sz w:val="20"/>
          <w:szCs w:val="20"/>
        </w:rPr>
        <w:t xml:space="preserve"> minutes for the purposes of our estimated burden hours.</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b/>
          <w:sz w:val="20"/>
          <w:szCs w:val="20"/>
          <w:u w:val="single"/>
        </w:rPr>
      </w:pPr>
    </w:p>
    <w:p w:rsidR="00EF22F3" w:rsidRPr="00421F0A" w:rsidRDefault="00EF22F3" w:rsidP="00FD1271">
      <w:pPr>
        <w:ind w:left="720"/>
        <w:rPr>
          <w:rFonts w:ascii="Arial" w:hAnsi="Arial" w:cs="Arial"/>
          <w:sz w:val="20"/>
          <w:szCs w:val="20"/>
        </w:rPr>
      </w:pPr>
      <w:r w:rsidRPr="00421F0A">
        <w:rPr>
          <w:rFonts w:ascii="Arial" w:hAnsi="Arial" w:cs="Arial"/>
          <w:sz w:val="20"/>
          <w:szCs w:val="20"/>
        </w:rPr>
        <w:t>Estimates for the average hourly wage for respondents are based on the Department of Labor (DOL) National Compensation Survey estimate for management occupations – medical and health services managers in state government (</w:t>
      </w:r>
      <w:hyperlink r:id="rId9" w:history="1">
        <w:r w:rsidRPr="00421F0A">
          <w:rPr>
            <w:rStyle w:val="Hyperlink"/>
            <w:rFonts w:ascii="Arial" w:hAnsi="Arial" w:cs="Arial"/>
            <w:sz w:val="20"/>
            <w:szCs w:val="20"/>
          </w:rPr>
          <w:t>http://www.bls.gov/ncs/ocs/sp/nctb1349.pdf</w:t>
        </w:r>
      </w:hyperlink>
      <w:r w:rsidRPr="00421F0A">
        <w:rPr>
          <w:rFonts w:ascii="Arial" w:hAnsi="Arial" w:cs="Arial"/>
          <w:sz w:val="20"/>
          <w:szCs w:val="20"/>
        </w:rPr>
        <w:t>).  Based on DOL data, an average hourly wage o</w:t>
      </w:r>
      <w:r w:rsidR="005D7F98" w:rsidRPr="00421F0A">
        <w:rPr>
          <w:rFonts w:ascii="Arial" w:hAnsi="Arial" w:cs="Arial"/>
          <w:sz w:val="20"/>
          <w:szCs w:val="20"/>
        </w:rPr>
        <w:t xml:space="preserve">f </w:t>
      </w:r>
      <w:r w:rsidR="005D7F98" w:rsidRPr="00806459">
        <w:rPr>
          <w:rFonts w:ascii="Arial" w:hAnsi="Arial" w:cs="Arial"/>
          <w:sz w:val="20"/>
          <w:szCs w:val="20"/>
        </w:rPr>
        <w:t>$35.</w:t>
      </w:r>
      <w:r w:rsidR="00BC7BA0" w:rsidRPr="00806459">
        <w:rPr>
          <w:rFonts w:ascii="Arial" w:hAnsi="Arial" w:cs="Arial"/>
          <w:sz w:val="20"/>
          <w:szCs w:val="20"/>
        </w:rPr>
        <w:t>00</w:t>
      </w:r>
      <w:r w:rsidR="00162071" w:rsidRPr="00421F0A">
        <w:rPr>
          <w:rFonts w:ascii="Arial" w:hAnsi="Arial" w:cs="Arial"/>
          <w:sz w:val="20"/>
          <w:szCs w:val="20"/>
        </w:rPr>
        <w:t xml:space="preserve"> is estimated for all </w:t>
      </w:r>
      <w:r w:rsidRPr="00421F0A">
        <w:rPr>
          <w:rFonts w:ascii="Arial" w:hAnsi="Arial" w:cs="Arial"/>
          <w:sz w:val="20"/>
          <w:szCs w:val="20"/>
        </w:rPr>
        <w:t xml:space="preserve">respondents.  </w:t>
      </w:r>
      <w:r w:rsidR="007B3C3D">
        <w:rPr>
          <w:rFonts w:ascii="Arial" w:hAnsi="Arial" w:cs="Arial"/>
          <w:sz w:val="20"/>
          <w:szCs w:val="20"/>
        </w:rPr>
        <w:t xml:space="preserve">The </w:t>
      </w:r>
      <w:r w:rsidR="003134FF">
        <w:rPr>
          <w:rFonts w:ascii="Arial" w:hAnsi="Arial" w:cs="Arial"/>
          <w:sz w:val="20"/>
          <w:szCs w:val="20"/>
        </w:rPr>
        <w:t>data collection tool</w:t>
      </w:r>
      <w:r w:rsidR="007B3C3D">
        <w:rPr>
          <w:rFonts w:ascii="Arial" w:hAnsi="Arial" w:cs="Arial"/>
          <w:sz w:val="20"/>
          <w:szCs w:val="20"/>
        </w:rPr>
        <w:t xml:space="preserve"> will be sent to all </w:t>
      </w:r>
      <w:r w:rsidR="000A0C1F">
        <w:rPr>
          <w:rFonts w:ascii="Arial" w:hAnsi="Arial" w:cs="Arial"/>
          <w:sz w:val="20"/>
          <w:szCs w:val="20"/>
        </w:rPr>
        <w:t>designees</w:t>
      </w:r>
      <w:r w:rsidR="00F714E1">
        <w:rPr>
          <w:rFonts w:ascii="Arial" w:hAnsi="Arial" w:cs="Arial"/>
          <w:sz w:val="20"/>
          <w:szCs w:val="20"/>
        </w:rPr>
        <w:t xml:space="preserve"> </w:t>
      </w:r>
      <w:r w:rsidR="007B3C3D">
        <w:rPr>
          <w:rFonts w:ascii="Arial" w:hAnsi="Arial" w:cs="Arial"/>
          <w:sz w:val="20"/>
          <w:szCs w:val="20"/>
        </w:rPr>
        <w:t xml:space="preserve">who have completed </w:t>
      </w:r>
      <w:r w:rsidR="001E7532">
        <w:rPr>
          <w:rFonts w:ascii="Arial" w:hAnsi="Arial" w:cs="Arial"/>
          <w:sz w:val="20"/>
          <w:szCs w:val="20"/>
        </w:rPr>
        <w:t xml:space="preserve">an </w:t>
      </w:r>
      <w:r w:rsidR="007B3C3D">
        <w:rPr>
          <w:rFonts w:ascii="Arial" w:hAnsi="Arial" w:cs="Arial"/>
          <w:sz w:val="20"/>
          <w:szCs w:val="20"/>
        </w:rPr>
        <w:t xml:space="preserve">IMATS </w:t>
      </w:r>
      <w:r w:rsidR="000D65AD">
        <w:rPr>
          <w:rFonts w:ascii="Arial" w:hAnsi="Arial" w:cs="Arial"/>
          <w:sz w:val="20"/>
          <w:szCs w:val="20"/>
        </w:rPr>
        <w:t>assessment</w:t>
      </w:r>
      <w:r w:rsidR="007B3C3D">
        <w:rPr>
          <w:rFonts w:ascii="Arial" w:hAnsi="Arial" w:cs="Arial"/>
          <w:sz w:val="20"/>
          <w:szCs w:val="20"/>
        </w:rPr>
        <w:t xml:space="preserve">.  </w:t>
      </w:r>
      <w:r w:rsidR="00BB694C">
        <w:rPr>
          <w:rFonts w:ascii="Arial" w:hAnsi="Arial" w:cs="Arial"/>
          <w:sz w:val="20"/>
          <w:szCs w:val="20"/>
        </w:rPr>
        <w:t xml:space="preserve">Only one individual from each jurisdiction will be asked to complete the questionnaire. </w:t>
      </w:r>
      <w:r w:rsidR="007B3C3D">
        <w:rPr>
          <w:rFonts w:ascii="Arial" w:hAnsi="Arial" w:cs="Arial"/>
          <w:sz w:val="20"/>
          <w:szCs w:val="20"/>
        </w:rPr>
        <w:t xml:space="preserve">The </w:t>
      </w:r>
      <w:r w:rsidR="00F852BD">
        <w:rPr>
          <w:rFonts w:ascii="Arial" w:hAnsi="Arial" w:cs="Arial"/>
          <w:sz w:val="20"/>
          <w:szCs w:val="20"/>
        </w:rPr>
        <w:t>initial</w:t>
      </w:r>
      <w:r w:rsidR="007B3C3D">
        <w:rPr>
          <w:rFonts w:ascii="Arial" w:hAnsi="Arial" w:cs="Arial"/>
          <w:sz w:val="20"/>
          <w:szCs w:val="20"/>
        </w:rPr>
        <w:t xml:space="preserve"> </w:t>
      </w:r>
      <w:r w:rsidR="00BB694C">
        <w:rPr>
          <w:rFonts w:ascii="Arial" w:hAnsi="Arial" w:cs="Arial"/>
          <w:sz w:val="20"/>
          <w:szCs w:val="20"/>
        </w:rPr>
        <w:t xml:space="preserve">respondent </w:t>
      </w:r>
      <w:r w:rsidR="007B3C3D">
        <w:rPr>
          <w:rFonts w:ascii="Arial" w:hAnsi="Arial" w:cs="Arial"/>
          <w:sz w:val="20"/>
          <w:szCs w:val="20"/>
        </w:rPr>
        <w:t>total is 10</w:t>
      </w:r>
      <w:r w:rsidR="00152430">
        <w:rPr>
          <w:rFonts w:ascii="Arial" w:hAnsi="Arial" w:cs="Arial"/>
          <w:sz w:val="20"/>
          <w:szCs w:val="20"/>
        </w:rPr>
        <w:t>1</w:t>
      </w:r>
      <w:r w:rsidR="007B3C3D">
        <w:rPr>
          <w:rFonts w:ascii="Arial" w:hAnsi="Arial" w:cs="Arial"/>
          <w:sz w:val="20"/>
          <w:szCs w:val="20"/>
        </w:rPr>
        <w:t xml:space="preserve">.  </w:t>
      </w:r>
      <w:r w:rsidR="00657A2D">
        <w:rPr>
          <w:rFonts w:ascii="Arial" w:hAnsi="Arial" w:cs="Arial"/>
          <w:i/>
          <w:sz w:val="20"/>
          <w:szCs w:val="20"/>
        </w:rPr>
        <w:t>EVERY SIX MONTHS</w:t>
      </w:r>
      <w:r w:rsidR="00657A2D">
        <w:rPr>
          <w:rFonts w:ascii="Arial" w:hAnsi="Arial" w:cs="Arial"/>
          <w:sz w:val="20"/>
          <w:szCs w:val="20"/>
        </w:rPr>
        <w:t xml:space="preserve"> thereafter</w:t>
      </w:r>
      <w:r w:rsidR="001442AF">
        <w:rPr>
          <w:rFonts w:ascii="Arial" w:hAnsi="Arial" w:cs="Arial"/>
          <w:sz w:val="20"/>
          <w:szCs w:val="20"/>
        </w:rPr>
        <w:t xml:space="preserve"> until </w:t>
      </w:r>
      <w:r w:rsidR="001442AF" w:rsidRPr="00787026">
        <w:rPr>
          <w:rFonts w:ascii="Arial" w:hAnsi="Arial" w:cs="Arial"/>
          <w:sz w:val="20"/>
          <w:szCs w:val="20"/>
        </w:rPr>
        <w:t>March 31, 2014 (expiration date for this Generic ICR)</w:t>
      </w:r>
      <w:r w:rsidR="00787026" w:rsidRPr="00787026">
        <w:rPr>
          <w:rFonts w:ascii="Arial" w:hAnsi="Arial" w:cs="Arial"/>
          <w:sz w:val="20"/>
          <w:szCs w:val="20"/>
        </w:rPr>
        <w:t xml:space="preserve">, the </w:t>
      </w:r>
      <w:r w:rsidR="003134FF">
        <w:rPr>
          <w:rFonts w:ascii="Arial" w:hAnsi="Arial" w:cs="Arial"/>
          <w:sz w:val="20"/>
          <w:szCs w:val="20"/>
        </w:rPr>
        <w:t>data collection tool</w:t>
      </w:r>
      <w:r w:rsidR="00787026" w:rsidRPr="00787026">
        <w:rPr>
          <w:rFonts w:ascii="Arial" w:hAnsi="Arial" w:cs="Arial"/>
          <w:sz w:val="20"/>
          <w:szCs w:val="20"/>
        </w:rPr>
        <w:t xml:space="preserve"> will be sent to </w:t>
      </w:r>
      <w:r w:rsidR="00657A2D">
        <w:rPr>
          <w:rFonts w:ascii="Arial" w:hAnsi="Arial" w:cs="Arial"/>
          <w:sz w:val="20"/>
          <w:szCs w:val="20"/>
        </w:rPr>
        <w:t>60</w:t>
      </w:r>
      <w:r w:rsidR="00787026" w:rsidRPr="00787026">
        <w:rPr>
          <w:rFonts w:ascii="Arial" w:hAnsi="Arial" w:cs="Arial"/>
          <w:sz w:val="20"/>
          <w:szCs w:val="20"/>
        </w:rPr>
        <w:t xml:space="preserve"> respondents (designees) from jurisdictions that have completed an IMATS </w:t>
      </w:r>
      <w:r w:rsidR="000D65AD">
        <w:rPr>
          <w:rFonts w:ascii="Arial" w:hAnsi="Arial" w:cs="Arial"/>
          <w:sz w:val="20"/>
          <w:szCs w:val="20"/>
        </w:rPr>
        <w:t>assessment</w:t>
      </w:r>
      <w:r w:rsidR="000D65AD" w:rsidRPr="00787026">
        <w:rPr>
          <w:rFonts w:ascii="Arial" w:hAnsi="Arial" w:cs="Arial"/>
          <w:sz w:val="20"/>
          <w:szCs w:val="20"/>
        </w:rPr>
        <w:t xml:space="preserve"> </w:t>
      </w:r>
      <w:r w:rsidR="00787026" w:rsidRPr="00787026">
        <w:rPr>
          <w:rFonts w:ascii="Arial" w:hAnsi="Arial" w:cs="Arial"/>
          <w:sz w:val="20"/>
          <w:szCs w:val="20"/>
        </w:rPr>
        <w:t xml:space="preserve">as a routine part of the </w:t>
      </w:r>
      <w:r w:rsidR="000D65AD">
        <w:rPr>
          <w:rFonts w:ascii="Arial" w:hAnsi="Arial" w:cs="Arial"/>
          <w:sz w:val="20"/>
          <w:szCs w:val="20"/>
        </w:rPr>
        <w:t>assessment</w:t>
      </w:r>
      <w:r w:rsidR="000D65AD" w:rsidRPr="00787026">
        <w:rPr>
          <w:rFonts w:ascii="Arial" w:hAnsi="Arial" w:cs="Arial"/>
          <w:sz w:val="20"/>
          <w:szCs w:val="20"/>
        </w:rPr>
        <w:t xml:space="preserve"> </w:t>
      </w:r>
      <w:r w:rsidR="00787026" w:rsidRPr="00787026">
        <w:rPr>
          <w:rFonts w:ascii="Arial" w:hAnsi="Arial" w:cs="Arial"/>
          <w:sz w:val="20"/>
          <w:szCs w:val="20"/>
        </w:rPr>
        <w:t>process.</w:t>
      </w:r>
      <w:r w:rsidR="00F852BD" w:rsidRPr="00F852BD">
        <w:rPr>
          <w:rFonts w:ascii="Arial" w:hAnsi="Arial" w:cs="Arial"/>
          <w:sz w:val="20"/>
          <w:szCs w:val="20"/>
        </w:rPr>
        <w:t xml:space="preserve">  </w:t>
      </w:r>
      <w:r w:rsidRPr="00421F0A">
        <w:rPr>
          <w:rFonts w:ascii="Arial" w:hAnsi="Arial" w:cs="Arial"/>
          <w:sz w:val="20"/>
          <w:szCs w:val="20"/>
        </w:rPr>
        <w:t>Table A-12 shows estimated burden and cost information</w:t>
      </w:r>
      <w:r w:rsidR="001E7532">
        <w:rPr>
          <w:rFonts w:ascii="Arial" w:hAnsi="Arial" w:cs="Arial"/>
          <w:sz w:val="20"/>
          <w:szCs w:val="20"/>
        </w:rPr>
        <w:t xml:space="preserve"> for the </w:t>
      </w:r>
      <w:r w:rsidR="006A7626">
        <w:rPr>
          <w:rFonts w:ascii="Arial" w:hAnsi="Arial" w:cs="Arial"/>
          <w:sz w:val="20"/>
          <w:szCs w:val="20"/>
        </w:rPr>
        <w:t>total 341</w:t>
      </w:r>
      <w:r w:rsidR="001E7532">
        <w:rPr>
          <w:rFonts w:ascii="Arial" w:hAnsi="Arial" w:cs="Arial"/>
          <w:sz w:val="20"/>
          <w:szCs w:val="20"/>
        </w:rPr>
        <w:t xml:space="preserve"> respondents</w:t>
      </w:r>
      <w:r w:rsidRPr="00421F0A">
        <w:rPr>
          <w:rFonts w:ascii="Arial" w:hAnsi="Arial" w:cs="Arial"/>
          <w:sz w:val="20"/>
          <w:szCs w:val="20"/>
        </w:rPr>
        <w:t>.</w:t>
      </w:r>
    </w:p>
    <w:p w:rsidR="00EF22F3" w:rsidRPr="00421F0A" w:rsidRDefault="00EF22F3" w:rsidP="00EF22F3">
      <w:pPr>
        <w:rPr>
          <w:rFonts w:ascii="Arial" w:hAnsi="Arial" w:cs="Arial"/>
          <w:b/>
          <w:sz w:val="20"/>
          <w:szCs w:val="20"/>
          <w:u w:val="single"/>
        </w:rPr>
      </w:pPr>
    </w:p>
    <w:p w:rsidR="00DA7363" w:rsidRDefault="00DA7363" w:rsidP="00EF22F3">
      <w:pPr>
        <w:ind w:left="360"/>
        <w:rPr>
          <w:rFonts w:ascii="Arial" w:hAnsi="Arial" w:cs="Arial"/>
          <w:b/>
          <w:sz w:val="20"/>
          <w:szCs w:val="20"/>
          <w:u w:val="single"/>
        </w:rPr>
        <w:sectPr w:rsidR="00DA7363" w:rsidSect="00466988">
          <w:footerReference w:type="default" r:id="rId10"/>
          <w:pgSz w:w="12240" w:h="15840"/>
          <w:pgMar w:top="1440" w:right="1080" w:bottom="1260" w:left="1080" w:header="720" w:footer="720" w:gutter="0"/>
          <w:cols w:space="720"/>
          <w:docGrid w:linePitch="360"/>
        </w:sectPr>
      </w:pPr>
    </w:p>
    <w:p w:rsidR="00EF22F3" w:rsidRPr="00421F0A" w:rsidRDefault="00EF22F3" w:rsidP="00EF22F3">
      <w:pPr>
        <w:ind w:left="360"/>
        <w:rPr>
          <w:rFonts w:ascii="Arial" w:hAnsi="Arial" w:cs="Arial"/>
          <w:sz w:val="20"/>
          <w:szCs w:val="20"/>
        </w:rPr>
      </w:pPr>
      <w:r w:rsidRPr="00421F0A">
        <w:rPr>
          <w:rFonts w:ascii="Arial" w:hAnsi="Arial" w:cs="Arial"/>
          <w:b/>
          <w:sz w:val="20"/>
          <w:szCs w:val="20"/>
          <w:u w:val="single"/>
        </w:rPr>
        <w:lastRenderedPageBreak/>
        <w:t>Table A-1</w:t>
      </w:r>
      <w:r w:rsidR="00BD55A8">
        <w:rPr>
          <w:rFonts w:ascii="Arial" w:hAnsi="Arial" w:cs="Arial"/>
          <w:b/>
          <w:sz w:val="20"/>
          <w:szCs w:val="20"/>
          <w:u w:val="single"/>
        </w:rPr>
        <w:t>2</w:t>
      </w:r>
      <w:r w:rsidRPr="00421F0A">
        <w:rPr>
          <w:rFonts w:ascii="Arial" w:hAnsi="Arial" w:cs="Arial"/>
          <w:b/>
          <w:sz w:val="20"/>
          <w:szCs w:val="20"/>
        </w:rPr>
        <w:t>:</w:t>
      </w:r>
      <w:r w:rsidRPr="00421F0A">
        <w:rPr>
          <w:rFonts w:ascii="Arial" w:hAnsi="Arial" w:cs="Arial"/>
          <w:sz w:val="20"/>
          <w:szCs w:val="20"/>
        </w:rPr>
        <w:t xml:space="preserve"> Estimated Annualized Burden Hours and Costs to Respondents</w:t>
      </w:r>
    </w:p>
    <w:p w:rsidR="00EF22F3" w:rsidRPr="00421F0A" w:rsidRDefault="00EF22F3" w:rsidP="00EF22F3">
      <w:pPr>
        <w:ind w:left="360"/>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170"/>
        <w:gridCol w:w="1440"/>
        <w:gridCol w:w="1260"/>
        <w:gridCol w:w="1260"/>
        <w:gridCol w:w="990"/>
        <w:gridCol w:w="1080"/>
        <w:gridCol w:w="1278"/>
      </w:tblGrid>
      <w:tr w:rsidR="00D53C07" w:rsidRPr="00AF0D6A" w:rsidTr="00AF0D6A">
        <w:tc>
          <w:tcPr>
            <w:tcW w:w="1458" w:type="dxa"/>
            <w:shd w:val="clear" w:color="auto" w:fill="E6E6E6"/>
            <w:vAlign w:val="center"/>
          </w:tcPr>
          <w:p w:rsidR="006A7626" w:rsidRPr="00AF0D6A" w:rsidRDefault="006A7626">
            <w:pPr>
              <w:jc w:val="center"/>
              <w:rPr>
                <w:rFonts w:ascii="Arial" w:hAnsi="Arial" w:cs="Arial"/>
                <w:b/>
                <w:sz w:val="18"/>
                <w:szCs w:val="20"/>
              </w:rPr>
            </w:pPr>
            <w:r w:rsidRPr="00AF0D6A">
              <w:rPr>
                <w:rFonts w:ascii="Arial" w:hAnsi="Arial" w:cs="Arial"/>
                <w:b/>
                <w:sz w:val="18"/>
                <w:szCs w:val="20"/>
              </w:rPr>
              <w:t>Type of Respondents</w:t>
            </w:r>
          </w:p>
        </w:tc>
        <w:tc>
          <w:tcPr>
            <w:tcW w:w="1170" w:type="dxa"/>
            <w:shd w:val="clear" w:color="auto" w:fill="E6E6E6"/>
            <w:vAlign w:val="center"/>
          </w:tcPr>
          <w:p w:rsidR="006A7626" w:rsidRPr="00AF0D6A" w:rsidRDefault="00D53C07" w:rsidP="00AF0D6A">
            <w:pPr>
              <w:jc w:val="center"/>
              <w:rPr>
                <w:rFonts w:ascii="Arial" w:hAnsi="Arial" w:cs="Arial"/>
                <w:b/>
                <w:sz w:val="18"/>
                <w:szCs w:val="20"/>
              </w:rPr>
            </w:pPr>
            <w:r w:rsidRPr="00AF0D6A">
              <w:rPr>
                <w:rFonts w:ascii="Arial" w:hAnsi="Arial" w:cs="Arial"/>
                <w:b/>
                <w:sz w:val="18"/>
                <w:szCs w:val="20"/>
              </w:rPr>
              <w:t>Data Collection Period</w:t>
            </w:r>
          </w:p>
        </w:tc>
        <w:tc>
          <w:tcPr>
            <w:tcW w:w="1440" w:type="dxa"/>
            <w:shd w:val="clear" w:color="auto" w:fill="E6E6E6"/>
            <w:vAlign w:val="center"/>
          </w:tcPr>
          <w:p w:rsidR="006A7626" w:rsidRPr="00AF0D6A" w:rsidRDefault="006A7626">
            <w:pPr>
              <w:jc w:val="center"/>
              <w:rPr>
                <w:rFonts w:ascii="Arial" w:hAnsi="Arial" w:cs="Arial"/>
                <w:b/>
                <w:sz w:val="18"/>
                <w:szCs w:val="20"/>
              </w:rPr>
            </w:pPr>
            <w:r w:rsidRPr="00AF0D6A">
              <w:rPr>
                <w:rFonts w:ascii="Arial" w:hAnsi="Arial" w:cs="Arial"/>
                <w:b/>
                <w:sz w:val="18"/>
                <w:szCs w:val="20"/>
              </w:rPr>
              <w:t>Number of Respondents</w:t>
            </w:r>
          </w:p>
        </w:tc>
        <w:tc>
          <w:tcPr>
            <w:tcW w:w="1260" w:type="dxa"/>
            <w:shd w:val="clear" w:color="auto" w:fill="E6E6E6"/>
            <w:vAlign w:val="center"/>
          </w:tcPr>
          <w:p w:rsidR="006A7626" w:rsidRPr="00AF0D6A" w:rsidRDefault="006A7626">
            <w:pPr>
              <w:jc w:val="center"/>
              <w:rPr>
                <w:rFonts w:ascii="Arial" w:hAnsi="Arial" w:cs="Arial"/>
                <w:b/>
                <w:sz w:val="18"/>
                <w:szCs w:val="20"/>
              </w:rPr>
            </w:pPr>
            <w:r w:rsidRPr="00AF0D6A">
              <w:rPr>
                <w:rFonts w:ascii="Arial" w:hAnsi="Arial" w:cs="Arial"/>
                <w:b/>
                <w:sz w:val="18"/>
                <w:szCs w:val="20"/>
              </w:rPr>
              <w:t>No. Responses per Respondent</w:t>
            </w:r>
          </w:p>
        </w:tc>
        <w:tc>
          <w:tcPr>
            <w:tcW w:w="1260" w:type="dxa"/>
            <w:shd w:val="clear" w:color="auto" w:fill="E6E6E6"/>
            <w:vAlign w:val="center"/>
          </w:tcPr>
          <w:p w:rsidR="006A7626" w:rsidRPr="00AF0D6A" w:rsidRDefault="006A7626">
            <w:pPr>
              <w:jc w:val="center"/>
              <w:rPr>
                <w:rFonts w:ascii="Arial" w:hAnsi="Arial" w:cs="Arial"/>
                <w:b/>
                <w:sz w:val="18"/>
                <w:szCs w:val="20"/>
              </w:rPr>
            </w:pPr>
            <w:r w:rsidRPr="00AF0D6A">
              <w:rPr>
                <w:rFonts w:ascii="Arial" w:hAnsi="Arial" w:cs="Arial"/>
                <w:b/>
                <w:sz w:val="18"/>
                <w:szCs w:val="20"/>
              </w:rPr>
              <w:t>Hours per Response</w:t>
            </w:r>
          </w:p>
        </w:tc>
        <w:tc>
          <w:tcPr>
            <w:tcW w:w="990" w:type="dxa"/>
            <w:shd w:val="clear" w:color="auto" w:fill="E6E6E6"/>
            <w:vAlign w:val="center"/>
          </w:tcPr>
          <w:p w:rsidR="006A7626" w:rsidRPr="00AF0D6A" w:rsidRDefault="006A7626">
            <w:pPr>
              <w:jc w:val="center"/>
              <w:rPr>
                <w:rFonts w:ascii="Arial" w:hAnsi="Arial" w:cs="Arial"/>
                <w:b/>
                <w:sz w:val="18"/>
                <w:szCs w:val="20"/>
              </w:rPr>
            </w:pPr>
            <w:r w:rsidRPr="00AF0D6A">
              <w:rPr>
                <w:rFonts w:ascii="Arial" w:hAnsi="Arial" w:cs="Arial"/>
                <w:b/>
                <w:sz w:val="18"/>
                <w:szCs w:val="20"/>
              </w:rPr>
              <w:t>Total Burden Hours</w:t>
            </w:r>
          </w:p>
        </w:tc>
        <w:tc>
          <w:tcPr>
            <w:tcW w:w="1080" w:type="dxa"/>
            <w:shd w:val="clear" w:color="auto" w:fill="E6E6E6"/>
            <w:vAlign w:val="center"/>
          </w:tcPr>
          <w:p w:rsidR="006A7626" w:rsidRPr="00AF0D6A" w:rsidRDefault="006A7626">
            <w:pPr>
              <w:jc w:val="center"/>
              <w:rPr>
                <w:rFonts w:ascii="Arial" w:hAnsi="Arial" w:cs="Arial"/>
                <w:b/>
                <w:sz w:val="18"/>
                <w:szCs w:val="20"/>
              </w:rPr>
            </w:pPr>
            <w:r w:rsidRPr="00AF0D6A">
              <w:rPr>
                <w:rFonts w:ascii="Arial" w:hAnsi="Arial" w:cs="Arial"/>
                <w:b/>
                <w:sz w:val="18"/>
                <w:szCs w:val="20"/>
              </w:rPr>
              <w:t>Hourly Wage Rate</w:t>
            </w:r>
          </w:p>
        </w:tc>
        <w:tc>
          <w:tcPr>
            <w:tcW w:w="1278" w:type="dxa"/>
            <w:shd w:val="clear" w:color="auto" w:fill="E6E6E6"/>
            <w:vAlign w:val="center"/>
          </w:tcPr>
          <w:p w:rsidR="006A7626" w:rsidRPr="00AF0D6A" w:rsidRDefault="006A7626">
            <w:pPr>
              <w:jc w:val="center"/>
              <w:rPr>
                <w:rFonts w:ascii="Arial" w:hAnsi="Arial" w:cs="Arial"/>
                <w:b/>
                <w:sz w:val="18"/>
                <w:szCs w:val="20"/>
              </w:rPr>
            </w:pPr>
            <w:r w:rsidRPr="00AF0D6A">
              <w:rPr>
                <w:rFonts w:ascii="Arial" w:hAnsi="Arial" w:cs="Arial"/>
                <w:b/>
                <w:sz w:val="18"/>
                <w:szCs w:val="20"/>
              </w:rPr>
              <w:t>Total Respondent Cost</w:t>
            </w:r>
          </w:p>
        </w:tc>
      </w:tr>
      <w:tr w:rsidR="00D53C07" w:rsidRPr="00AF0D6A" w:rsidTr="00AF0D6A">
        <w:tc>
          <w:tcPr>
            <w:tcW w:w="1458" w:type="dxa"/>
            <w:vAlign w:val="center"/>
          </w:tcPr>
          <w:p w:rsidR="006A7626" w:rsidRPr="00AF0D6A" w:rsidRDefault="0059280F" w:rsidP="00AF0D6A">
            <w:pPr>
              <w:jc w:val="center"/>
              <w:rPr>
                <w:rFonts w:ascii="Arial" w:hAnsi="Arial" w:cs="Arial"/>
                <w:sz w:val="18"/>
                <w:szCs w:val="20"/>
              </w:rPr>
            </w:pPr>
            <w:r>
              <w:rPr>
                <w:rFonts w:ascii="Arial" w:hAnsi="Arial" w:cs="Arial"/>
                <w:sz w:val="18"/>
                <w:szCs w:val="20"/>
              </w:rPr>
              <w:t>PHEP awardee</w:t>
            </w:r>
            <w:r w:rsidR="006A7626" w:rsidRPr="00AF0D6A">
              <w:rPr>
                <w:rFonts w:ascii="Arial" w:hAnsi="Arial" w:cs="Arial"/>
                <w:sz w:val="18"/>
                <w:szCs w:val="20"/>
              </w:rPr>
              <w:t xml:space="preserve"> and local jurisdiction designees </w:t>
            </w:r>
          </w:p>
        </w:tc>
        <w:tc>
          <w:tcPr>
            <w:tcW w:w="1170" w:type="dxa"/>
          </w:tcPr>
          <w:p w:rsidR="006A7626" w:rsidRPr="00AF0D6A" w:rsidRDefault="00F724D9" w:rsidP="00152430">
            <w:pPr>
              <w:jc w:val="center"/>
              <w:rPr>
                <w:rFonts w:ascii="Arial" w:hAnsi="Arial" w:cs="Arial"/>
                <w:sz w:val="18"/>
                <w:szCs w:val="20"/>
              </w:rPr>
            </w:pPr>
            <w:r>
              <w:rPr>
                <w:rFonts w:ascii="Arial" w:hAnsi="Arial" w:cs="Arial"/>
                <w:sz w:val="18"/>
                <w:szCs w:val="20"/>
              </w:rPr>
              <w:t>Jul</w:t>
            </w:r>
            <w:r w:rsidR="00AF45B7">
              <w:rPr>
                <w:rFonts w:ascii="Arial" w:hAnsi="Arial" w:cs="Arial"/>
                <w:sz w:val="18"/>
                <w:szCs w:val="20"/>
              </w:rPr>
              <w:t xml:space="preserve"> 2012*</w:t>
            </w:r>
          </w:p>
        </w:tc>
        <w:tc>
          <w:tcPr>
            <w:tcW w:w="1440" w:type="dxa"/>
            <w:vAlign w:val="center"/>
          </w:tcPr>
          <w:p w:rsidR="006A7626" w:rsidRPr="00AF0D6A" w:rsidRDefault="006A7626" w:rsidP="00152430">
            <w:pPr>
              <w:jc w:val="center"/>
              <w:rPr>
                <w:rFonts w:ascii="Arial" w:hAnsi="Arial" w:cs="Arial"/>
                <w:sz w:val="18"/>
                <w:szCs w:val="20"/>
              </w:rPr>
            </w:pPr>
            <w:r w:rsidRPr="00AF0D6A">
              <w:rPr>
                <w:rFonts w:ascii="Arial" w:hAnsi="Arial" w:cs="Arial"/>
                <w:sz w:val="18"/>
                <w:szCs w:val="20"/>
              </w:rPr>
              <w:t>101</w:t>
            </w:r>
          </w:p>
        </w:tc>
        <w:tc>
          <w:tcPr>
            <w:tcW w:w="1260" w:type="dxa"/>
            <w:vAlign w:val="center"/>
          </w:tcPr>
          <w:p w:rsidR="006A7626" w:rsidRPr="00AF0D6A" w:rsidRDefault="006A7626">
            <w:pPr>
              <w:jc w:val="center"/>
              <w:rPr>
                <w:rFonts w:ascii="Arial" w:hAnsi="Arial" w:cs="Arial"/>
                <w:sz w:val="18"/>
                <w:szCs w:val="20"/>
              </w:rPr>
            </w:pPr>
            <w:r w:rsidRPr="00AF0D6A">
              <w:rPr>
                <w:rFonts w:ascii="Arial" w:hAnsi="Arial" w:cs="Arial"/>
                <w:sz w:val="18"/>
                <w:szCs w:val="20"/>
              </w:rPr>
              <w:t>1</w:t>
            </w:r>
          </w:p>
        </w:tc>
        <w:tc>
          <w:tcPr>
            <w:tcW w:w="1260" w:type="dxa"/>
            <w:vAlign w:val="center"/>
          </w:tcPr>
          <w:p w:rsidR="006A7626" w:rsidRPr="00AF0D6A" w:rsidRDefault="006A7626">
            <w:pPr>
              <w:jc w:val="center"/>
              <w:rPr>
                <w:rFonts w:ascii="Arial" w:hAnsi="Arial" w:cs="Arial"/>
                <w:sz w:val="18"/>
                <w:szCs w:val="20"/>
              </w:rPr>
            </w:pPr>
            <w:r w:rsidRPr="00AF0D6A">
              <w:rPr>
                <w:rFonts w:ascii="Arial" w:hAnsi="Arial" w:cs="Arial"/>
                <w:sz w:val="18"/>
                <w:szCs w:val="20"/>
              </w:rPr>
              <w:t>20/60</w:t>
            </w:r>
          </w:p>
        </w:tc>
        <w:tc>
          <w:tcPr>
            <w:tcW w:w="990" w:type="dxa"/>
            <w:vAlign w:val="center"/>
          </w:tcPr>
          <w:p w:rsidR="006A7626" w:rsidRPr="00AF0D6A" w:rsidRDefault="00C622EA">
            <w:pPr>
              <w:jc w:val="center"/>
              <w:rPr>
                <w:rFonts w:ascii="Arial" w:hAnsi="Arial" w:cs="Arial"/>
                <w:sz w:val="18"/>
                <w:szCs w:val="20"/>
              </w:rPr>
            </w:pPr>
            <w:r>
              <w:rPr>
                <w:rFonts w:ascii="Arial" w:hAnsi="Arial" w:cs="Arial"/>
                <w:sz w:val="18"/>
                <w:szCs w:val="20"/>
              </w:rPr>
              <w:t>3</w:t>
            </w:r>
            <w:r w:rsidR="007052FA">
              <w:rPr>
                <w:rFonts w:ascii="Arial" w:hAnsi="Arial" w:cs="Arial"/>
                <w:sz w:val="18"/>
                <w:szCs w:val="20"/>
              </w:rPr>
              <w:t>4</w:t>
            </w:r>
          </w:p>
        </w:tc>
        <w:tc>
          <w:tcPr>
            <w:tcW w:w="1080" w:type="dxa"/>
            <w:vAlign w:val="center"/>
          </w:tcPr>
          <w:p w:rsidR="006A7626" w:rsidRPr="00AF0D6A" w:rsidRDefault="006A7626">
            <w:pPr>
              <w:jc w:val="center"/>
              <w:rPr>
                <w:rFonts w:ascii="Arial" w:hAnsi="Arial" w:cs="Arial"/>
                <w:sz w:val="18"/>
                <w:szCs w:val="20"/>
              </w:rPr>
            </w:pPr>
            <w:r w:rsidRPr="00AF0D6A">
              <w:rPr>
                <w:rFonts w:ascii="Arial" w:hAnsi="Arial" w:cs="Arial"/>
                <w:sz w:val="18"/>
                <w:szCs w:val="20"/>
              </w:rPr>
              <w:t>35</w:t>
            </w:r>
          </w:p>
        </w:tc>
        <w:tc>
          <w:tcPr>
            <w:tcW w:w="1278" w:type="dxa"/>
            <w:vAlign w:val="center"/>
          </w:tcPr>
          <w:p w:rsidR="006A7626" w:rsidRPr="00AF0D6A" w:rsidRDefault="00C622EA">
            <w:pPr>
              <w:jc w:val="center"/>
              <w:rPr>
                <w:rFonts w:ascii="Arial" w:hAnsi="Arial" w:cs="Arial"/>
                <w:sz w:val="18"/>
                <w:szCs w:val="20"/>
              </w:rPr>
            </w:pPr>
            <w:r>
              <w:rPr>
                <w:rFonts w:ascii="Arial" w:hAnsi="Arial" w:cs="Arial"/>
                <w:sz w:val="18"/>
                <w:szCs w:val="20"/>
              </w:rPr>
              <w:t>1,1</w:t>
            </w:r>
            <w:r w:rsidR="000F2BEA">
              <w:rPr>
                <w:rFonts w:ascii="Arial" w:hAnsi="Arial" w:cs="Arial"/>
                <w:sz w:val="18"/>
                <w:szCs w:val="20"/>
              </w:rPr>
              <w:t>90</w:t>
            </w:r>
          </w:p>
        </w:tc>
      </w:tr>
      <w:tr w:rsidR="00D53C07" w:rsidRPr="00AF0D6A" w:rsidTr="00AF0D6A">
        <w:tc>
          <w:tcPr>
            <w:tcW w:w="1458" w:type="dxa"/>
            <w:vAlign w:val="center"/>
          </w:tcPr>
          <w:p w:rsidR="006A7626" w:rsidRPr="00AF0D6A" w:rsidRDefault="0059280F" w:rsidP="00AF0D6A">
            <w:pPr>
              <w:jc w:val="center"/>
              <w:rPr>
                <w:rFonts w:ascii="Arial" w:hAnsi="Arial" w:cs="Arial"/>
                <w:sz w:val="18"/>
                <w:szCs w:val="20"/>
              </w:rPr>
            </w:pPr>
            <w:r>
              <w:rPr>
                <w:rFonts w:ascii="Arial" w:hAnsi="Arial" w:cs="Arial"/>
                <w:sz w:val="18"/>
                <w:szCs w:val="20"/>
              </w:rPr>
              <w:t>PHEP awardee</w:t>
            </w:r>
            <w:r w:rsidRPr="00AF0D6A">
              <w:rPr>
                <w:rFonts w:ascii="Arial" w:hAnsi="Arial" w:cs="Arial"/>
                <w:sz w:val="18"/>
                <w:szCs w:val="20"/>
              </w:rPr>
              <w:t xml:space="preserve"> </w:t>
            </w:r>
            <w:r w:rsidR="006A7626" w:rsidRPr="00AF0D6A">
              <w:rPr>
                <w:rFonts w:ascii="Arial" w:hAnsi="Arial" w:cs="Arial"/>
                <w:sz w:val="18"/>
                <w:szCs w:val="20"/>
              </w:rPr>
              <w:t xml:space="preserve">and local jurisdiction designees </w:t>
            </w:r>
          </w:p>
        </w:tc>
        <w:tc>
          <w:tcPr>
            <w:tcW w:w="1170" w:type="dxa"/>
          </w:tcPr>
          <w:p w:rsidR="006A7626" w:rsidRPr="00AF0D6A" w:rsidRDefault="000F2BEA" w:rsidP="00152430">
            <w:pPr>
              <w:jc w:val="center"/>
              <w:rPr>
                <w:rFonts w:ascii="Arial" w:hAnsi="Arial" w:cs="Arial"/>
                <w:sz w:val="18"/>
                <w:szCs w:val="20"/>
              </w:rPr>
            </w:pPr>
            <w:r>
              <w:rPr>
                <w:rFonts w:ascii="Arial" w:hAnsi="Arial" w:cs="Arial"/>
                <w:sz w:val="20"/>
              </w:rPr>
              <w:t>J</w:t>
            </w:r>
            <w:r w:rsidR="00AF45B7">
              <w:rPr>
                <w:rFonts w:ascii="Arial" w:hAnsi="Arial" w:cs="Arial"/>
                <w:sz w:val="20"/>
              </w:rPr>
              <w:t>ul-Dec 2012</w:t>
            </w:r>
            <w:r>
              <w:rPr>
                <w:rFonts w:ascii="Arial" w:hAnsi="Arial" w:cs="Arial"/>
                <w:sz w:val="20"/>
              </w:rPr>
              <w:t>* (Following close o</w:t>
            </w:r>
            <w:r w:rsidR="00F3309B">
              <w:rPr>
                <w:rFonts w:ascii="Arial" w:hAnsi="Arial" w:cs="Arial"/>
                <w:sz w:val="20"/>
              </w:rPr>
              <w:t>f initial data collection</w:t>
            </w:r>
            <w:r>
              <w:rPr>
                <w:rFonts w:ascii="Arial" w:hAnsi="Arial" w:cs="Arial"/>
                <w:sz w:val="20"/>
              </w:rPr>
              <w:t>)</w:t>
            </w:r>
          </w:p>
        </w:tc>
        <w:tc>
          <w:tcPr>
            <w:tcW w:w="1440" w:type="dxa"/>
            <w:vAlign w:val="center"/>
          </w:tcPr>
          <w:p w:rsidR="006A7626" w:rsidRPr="00AF0D6A" w:rsidRDefault="00D53C07" w:rsidP="00152430">
            <w:pPr>
              <w:jc w:val="center"/>
              <w:rPr>
                <w:rFonts w:ascii="Arial" w:hAnsi="Arial" w:cs="Arial"/>
                <w:sz w:val="18"/>
                <w:szCs w:val="20"/>
              </w:rPr>
            </w:pPr>
            <w:r w:rsidRPr="00AF0D6A">
              <w:rPr>
                <w:rFonts w:ascii="Arial" w:hAnsi="Arial" w:cs="Arial"/>
                <w:sz w:val="18"/>
                <w:szCs w:val="20"/>
              </w:rPr>
              <w:t>60</w:t>
            </w:r>
          </w:p>
        </w:tc>
        <w:tc>
          <w:tcPr>
            <w:tcW w:w="1260" w:type="dxa"/>
            <w:vAlign w:val="center"/>
          </w:tcPr>
          <w:p w:rsidR="006A7626" w:rsidRPr="00AF0D6A" w:rsidRDefault="002018B9">
            <w:pPr>
              <w:jc w:val="center"/>
              <w:rPr>
                <w:rFonts w:ascii="Arial" w:hAnsi="Arial" w:cs="Arial"/>
                <w:sz w:val="18"/>
                <w:szCs w:val="20"/>
              </w:rPr>
            </w:pPr>
            <w:r>
              <w:rPr>
                <w:rFonts w:ascii="Arial" w:hAnsi="Arial" w:cs="Arial"/>
                <w:sz w:val="18"/>
                <w:szCs w:val="20"/>
              </w:rPr>
              <w:t>1</w:t>
            </w:r>
          </w:p>
        </w:tc>
        <w:tc>
          <w:tcPr>
            <w:tcW w:w="1260" w:type="dxa"/>
            <w:vAlign w:val="center"/>
          </w:tcPr>
          <w:p w:rsidR="006A7626" w:rsidRPr="00AF0D6A" w:rsidRDefault="006B4092">
            <w:pPr>
              <w:jc w:val="center"/>
              <w:rPr>
                <w:rFonts w:ascii="Arial" w:hAnsi="Arial" w:cs="Arial"/>
                <w:sz w:val="18"/>
                <w:szCs w:val="20"/>
              </w:rPr>
            </w:pPr>
            <w:r w:rsidRPr="00AF0D6A">
              <w:rPr>
                <w:rFonts w:ascii="Arial" w:hAnsi="Arial" w:cs="Arial"/>
                <w:sz w:val="18"/>
                <w:szCs w:val="20"/>
              </w:rPr>
              <w:t>20/60</w:t>
            </w:r>
          </w:p>
        </w:tc>
        <w:tc>
          <w:tcPr>
            <w:tcW w:w="990" w:type="dxa"/>
            <w:vAlign w:val="center"/>
          </w:tcPr>
          <w:p w:rsidR="006A7626" w:rsidRPr="00AF0D6A" w:rsidRDefault="0031200E">
            <w:pPr>
              <w:jc w:val="center"/>
              <w:rPr>
                <w:rFonts w:ascii="Arial" w:hAnsi="Arial" w:cs="Arial"/>
                <w:sz w:val="18"/>
                <w:szCs w:val="20"/>
              </w:rPr>
            </w:pPr>
            <w:r>
              <w:rPr>
                <w:rFonts w:ascii="Arial" w:hAnsi="Arial" w:cs="Arial"/>
                <w:sz w:val="18"/>
                <w:szCs w:val="20"/>
              </w:rPr>
              <w:t>20</w:t>
            </w:r>
          </w:p>
        </w:tc>
        <w:tc>
          <w:tcPr>
            <w:tcW w:w="1080" w:type="dxa"/>
            <w:vAlign w:val="center"/>
          </w:tcPr>
          <w:p w:rsidR="006A7626" w:rsidRPr="00AF0D6A" w:rsidRDefault="002018B9">
            <w:pPr>
              <w:jc w:val="center"/>
              <w:rPr>
                <w:rFonts w:ascii="Arial" w:hAnsi="Arial" w:cs="Arial"/>
                <w:sz w:val="18"/>
                <w:szCs w:val="20"/>
              </w:rPr>
            </w:pPr>
            <w:r>
              <w:rPr>
                <w:rFonts w:ascii="Arial" w:hAnsi="Arial" w:cs="Arial"/>
                <w:sz w:val="18"/>
                <w:szCs w:val="20"/>
              </w:rPr>
              <w:t>35</w:t>
            </w:r>
          </w:p>
        </w:tc>
        <w:tc>
          <w:tcPr>
            <w:tcW w:w="1278" w:type="dxa"/>
            <w:vAlign w:val="center"/>
          </w:tcPr>
          <w:p w:rsidR="006A7626" w:rsidRPr="00AF0D6A" w:rsidRDefault="0031200E">
            <w:pPr>
              <w:jc w:val="center"/>
              <w:rPr>
                <w:rFonts w:ascii="Arial" w:hAnsi="Arial" w:cs="Arial"/>
                <w:sz w:val="18"/>
                <w:szCs w:val="20"/>
              </w:rPr>
            </w:pPr>
            <w:r>
              <w:rPr>
                <w:rFonts w:ascii="Arial" w:hAnsi="Arial" w:cs="Arial"/>
                <w:sz w:val="18"/>
                <w:szCs w:val="20"/>
              </w:rPr>
              <w:t>700</w:t>
            </w:r>
          </w:p>
        </w:tc>
      </w:tr>
      <w:tr w:rsidR="00D53C07" w:rsidRPr="00AF0D6A" w:rsidTr="00AF0D6A">
        <w:tc>
          <w:tcPr>
            <w:tcW w:w="1458" w:type="dxa"/>
            <w:vAlign w:val="center"/>
          </w:tcPr>
          <w:p w:rsidR="006A7626" w:rsidRPr="00AF0D6A" w:rsidRDefault="0059280F">
            <w:pPr>
              <w:jc w:val="center"/>
              <w:rPr>
                <w:rFonts w:ascii="Arial" w:hAnsi="Arial" w:cs="Arial"/>
                <w:sz w:val="18"/>
                <w:szCs w:val="20"/>
              </w:rPr>
            </w:pPr>
            <w:r>
              <w:rPr>
                <w:rFonts w:ascii="Arial" w:hAnsi="Arial" w:cs="Arial"/>
                <w:sz w:val="18"/>
                <w:szCs w:val="20"/>
              </w:rPr>
              <w:t>PHEP awardee</w:t>
            </w:r>
            <w:r w:rsidRPr="00AF0D6A">
              <w:rPr>
                <w:rFonts w:ascii="Arial" w:hAnsi="Arial" w:cs="Arial"/>
                <w:sz w:val="18"/>
                <w:szCs w:val="20"/>
              </w:rPr>
              <w:t xml:space="preserve"> </w:t>
            </w:r>
            <w:r w:rsidR="002018B9" w:rsidRPr="00C52E8B">
              <w:rPr>
                <w:rFonts w:ascii="Arial" w:hAnsi="Arial" w:cs="Arial"/>
                <w:sz w:val="18"/>
                <w:szCs w:val="20"/>
              </w:rPr>
              <w:t>and local jurisdiction designees</w:t>
            </w:r>
          </w:p>
        </w:tc>
        <w:tc>
          <w:tcPr>
            <w:tcW w:w="1170" w:type="dxa"/>
          </w:tcPr>
          <w:p w:rsidR="006A7626" w:rsidRPr="00AF0D6A" w:rsidRDefault="000F2BEA" w:rsidP="00AF0D6A">
            <w:pPr>
              <w:jc w:val="center"/>
              <w:rPr>
                <w:rFonts w:ascii="Arial" w:hAnsi="Arial" w:cs="Arial"/>
                <w:sz w:val="18"/>
                <w:szCs w:val="20"/>
              </w:rPr>
            </w:pPr>
            <w:r>
              <w:rPr>
                <w:rFonts w:ascii="Arial" w:hAnsi="Arial" w:cs="Arial"/>
                <w:sz w:val="20"/>
              </w:rPr>
              <w:t>Jan-Jun 2013*</w:t>
            </w:r>
          </w:p>
        </w:tc>
        <w:tc>
          <w:tcPr>
            <w:tcW w:w="1440" w:type="dxa"/>
            <w:vAlign w:val="center"/>
          </w:tcPr>
          <w:p w:rsidR="006A7626" w:rsidRPr="00AF0D6A" w:rsidRDefault="00D53C07" w:rsidP="00152430">
            <w:pPr>
              <w:jc w:val="center"/>
              <w:rPr>
                <w:rFonts w:ascii="Arial" w:hAnsi="Arial" w:cs="Arial"/>
                <w:sz w:val="18"/>
                <w:szCs w:val="20"/>
              </w:rPr>
            </w:pPr>
            <w:r w:rsidRPr="00AF0D6A">
              <w:rPr>
                <w:rFonts w:ascii="Arial" w:hAnsi="Arial" w:cs="Arial"/>
                <w:sz w:val="18"/>
                <w:szCs w:val="20"/>
              </w:rPr>
              <w:t>60</w:t>
            </w:r>
          </w:p>
        </w:tc>
        <w:tc>
          <w:tcPr>
            <w:tcW w:w="1260" w:type="dxa"/>
            <w:vAlign w:val="center"/>
          </w:tcPr>
          <w:p w:rsidR="006A7626" w:rsidRPr="00AF0D6A" w:rsidRDefault="002018B9">
            <w:pPr>
              <w:jc w:val="center"/>
              <w:rPr>
                <w:rFonts w:ascii="Arial" w:hAnsi="Arial" w:cs="Arial"/>
                <w:sz w:val="18"/>
                <w:szCs w:val="20"/>
              </w:rPr>
            </w:pPr>
            <w:r>
              <w:rPr>
                <w:rFonts w:ascii="Arial" w:hAnsi="Arial" w:cs="Arial"/>
                <w:sz w:val="18"/>
                <w:szCs w:val="20"/>
              </w:rPr>
              <w:t>1</w:t>
            </w:r>
          </w:p>
        </w:tc>
        <w:tc>
          <w:tcPr>
            <w:tcW w:w="1260" w:type="dxa"/>
            <w:vAlign w:val="center"/>
          </w:tcPr>
          <w:p w:rsidR="006A7626" w:rsidRPr="00AF0D6A" w:rsidRDefault="006B4092">
            <w:pPr>
              <w:jc w:val="center"/>
              <w:rPr>
                <w:rFonts w:ascii="Arial" w:hAnsi="Arial" w:cs="Arial"/>
                <w:sz w:val="18"/>
                <w:szCs w:val="20"/>
              </w:rPr>
            </w:pPr>
            <w:r w:rsidRPr="00AF0D6A">
              <w:rPr>
                <w:rFonts w:ascii="Arial" w:hAnsi="Arial" w:cs="Arial"/>
                <w:sz w:val="18"/>
                <w:szCs w:val="20"/>
              </w:rPr>
              <w:t>20/60</w:t>
            </w:r>
          </w:p>
        </w:tc>
        <w:tc>
          <w:tcPr>
            <w:tcW w:w="990" w:type="dxa"/>
            <w:vAlign w:val="center"/>
          </w:tcPr>
          <w:p w:rsidR="006A7626" w:rsidRPr="00AF0D6A" w:rsidRDefault="0031200E">
            <w:pPr>
              <w:jc w:val="center"/>
              <w:rPr>
                <w:rFonts w:ascii="Arial" w:hAnsi="Arial" w:cs="Arial"/>
                <w:sz w:val="18"/>
                <w:szCs w:val="20"/>
              </w:rPr>
            </w:pPr>
            <w:r>
              <w:rPr>
                <w:rFonts w:ascii="Arial" w:hAnsi="Arial" w:cs="Arial"/>
                <w:sz w:val="18"/>
                <w:szCs w:val="20"/>
              </w:rPr>
              <w:t>20</w:t>
            </w:r>
          </w:p>
        </w:tc>
        <w:tc>
          <w:tcPr>
            <w:tcW w:w="1080" w:type="dxa"/>
            <w:vAlign w:val="center"/>
          </w:tcPr>
          <w:p w:rsidR="006A7626" w:rsidRPr="00AF0D6A" w:rsidRDefault="002018B9">
            <w:pPr>
              <w:jc w:val="center"/>
              <w:rPr>
                <w:rFonts w:ascii="Arial" w:hAnsi="Arial" w:cs="Arial"/>
                <w:sz w:val="18"/>
                <w:szCs w:val="20"/>
              </w:rPr>
            </w:pPr>
            <w:r>
              <w:rPr>
                <w:rFonts w:ascii="Arial" w:hAnsi="Arial" w:cs="Arial"/>
                <w:sz w:val="18"/>
                <w:szCs w:val="20"/>
              </w:rPr>
              <w:t>35</w:t>
            </w:r>
          </w:p>
        </w:tc>
        <w:tc>
          <w:tcPr>
            <w:tcW w:w="1278" w:type="dxa"/>
            <w:vAlign w:val="center"/>
          </w:tcPr>
          <w:p w:rsidR="006A7626" w:rsidRPr="00AF0D6A" w:rsidRDefault="0031200E">
            <w:pPr>
              <w:jc w:val="center"/>
              <w:rPr>
                <w:rFonts w:ascii="Arial" w:hAnsi="Arial" w:cs="Arial"/>
                <w:sz w:val="18"/>
                <w:szCs w:val="20"/>
              </w:rPr>
            </w:pPr>
            <w:r>
              <w:rPr>
                <w:rFonts w:ascii="Arial" w:hAnsi="Arial" w:cs="Arial"/>
                <w:sz w:val="18"/>
                <w:szCs w:val="20"/>
              </w:rPr>
              <w:t>700</w:t>
            </w:r>
          </w:p>
        </w:tc>
      </w:tr>
      <w:tr w:rsidR="00D53C07" w:rsidRPr="00AF0D6A" w:rsidTr="00AF0D6A">
        <w:tc>
          <w:tcPr>
            <w:tcW w:w="1458" w:type="dxa"/>
            <w:vAlign w:val="center"/>
          </w:tcPr>
          <w:p w:rsidR="006A7626" w:rsidRPr="00AF0D6A" w:rsidRDefault="0059280F">
            <w:pPr>
              <w:jc w:val="center"/>
              <w:rPr>
                <w:rFonts w:ascii="Arial" w:hAnsi="Arial" w:cs="Arial"/>
                <w:sz w:val="18"/>
                <w:szCs w:val="20"/>
              </w:rPr>
            </w:pPr>
            <w:r>
              <w:rPr>
                <w:rFonts w:ascii="Arial" w:hAnsi="Arial" w:cs="Arial"/>
                <w:sz w:val="18"/>
                <w:szCs w:val="20"/>
              </w:rPr>
              <w:t>PHEP awardee</w:t>
            </w:r>
            <w:r w:rsidRPr="00AF0D6A">
              <w:rPr>
                <w:rFonts w:ascii="Arial" w:hAnsi="Arial" w:cs="Arial"/>
                <w:sz w:val="18"/>
                <w:szCs w:val="20"/>
              </w:rPr>
              <w:t xml:space="preserve"> </w:t>
            </w:r>
            <w:r w:rsidR="002018B9" w:rsidRPr="00C52E8B">
              <w:rPr>
                <w:rFonts w:ascii="Arial" w:hAnsi="Arial" w:cs="Arial"/>
                <w:sz w:val="18"/>
                <w:szCs w:val="20"/>
              </w:rPr>
              <w:t>and local jurisdiction designees</w:t>
            </w:r>
          </w:p>
        </w:tc>
        <w:tc>
          <w:tcPr>
            <w:tcW w:w="1170" w:type="dxa"/>
          </w:tcPr>
          <w:p w:rsidR="006A7626" w:rsidRPr="00AF0D6A" w:rsidRDefault="000F2BEA" w:rsidP="00152430">
            <w:pPr>
              <w:jc w:val="center"/>
              <w:rPr>
                <w:rFonts w:ascii="Arial" w:hAnsi="Arial" w:cs="Arial"/>
                <w:sz w:val="18"/>
                <w:szCs w:val="20"/>
              </w:rPr>
            </w:pPr>
            <w:r>
              <w:rPr>
                <w:rFonts w:ascii="Arial" w:hAnsi="Arial" w:cs="Arial"/>
                <w:sz w:val="20"/>
              </w:rPr>
              <w:t>Jul-Dec 2013*</w:t>
            </w:r>
          </w:p>
        </w:tc>
        <w:tc>
          <w:tcPr>
            <w:tcW w:w="1440" w:type="dxa"/>
            <w:vAlign w:val="center"/>
          </w:tcPr>
          <w:p w:rsidR="006A7626" w:rsidRPr="00AF0D6A" w:rsidRDefault="00D53C07" w:rsidP="00152430">
            <w:pPr>
              <w:jc w:val="center"/>
              <w:rPr>
                <w:rFonts w:ascii="Arial" w:hAnsi="Arial" w:cs="Arial"/>
                <w:sz w:val="18"/>
                <w:szCs w:val="20"/>
              </w:rPr>
            </w:pPr>
            <w:r w:rsidRPr="00AF0D6A">
              <w:rPr>
                <w:rFonts w:ascii="Arial" w:hAnsi="Arial" w:cs="Arial"/>
                <w:sz w:val="18"/>
                <w:szCs w:val="20"/>
              </w:rPr>
              <w:t>60</w:t>
            </w:r>
          </w:p>
        </w:tc>
        <w:tc>
          <w:tcPr>
            <w:tcW w:w="1260" w:type="dxa"/>
            <w:vAlign w:val="center"/>
          </w:tcPr>
          <w:p w:rsidR="006A7626" w:rsidRPr="00AF0D6A" w:rsidRDefault="002018B9">
            <w:pPr>
              <w:jc w:val="center"/>
              <w:rPr>
                <w:rFonts w:ascii="Arial" w:hAnsi="Arial" w:cs="Arial"/>
                <w:sz w:val="18"/>
                <w:szCs w:val="20"/>
              </w:rPr>
            </w:pPr>
            <w:r>
              <w:rPr>
                <w:rFonts w:ascii="Arial" w:hAnsi="Arial" w:cs="Arial"/>
                <w:sz w:val="18"/>
                <w:szCs w:val="20"/>
              </w:rPr>
              <w:t>1</w:t>
            </w:r>
          </w:p>
        </w:tc>
        <w:tc>
          <w:tcPr>
            <w:tcW w:w="1260" w:type="dxa"/>
            <w:vAlign w:val="center"/>
          </w:tcPr>
          <w:p w:rsidR="006A7626" w:rsidRPr="00AF0D6A" w:rsidRDefault="006B4092">
            <w:pPr>
              <w:jc w:val="center"/>
              <w:rPr>
                <w:rFonts w:ascii="Arial" w:hAnsi="Arial" w:cs="Arial"/>
                <w:sz w:val="18"/>
                <w:szCs w:val="20"/>
              </w:rPr>
            </w:pPr>
            <w:r w:rsidRPr="00AF0D6A">
              <w:rPr>
                <w:rFonts w:ascii="Arial" w:hAnsi="Arial" w:cs="Arial"/>
                <w:sz w:val="18"/>
                <w:szCs w:val="20"/>
              </w:rPr>
              <w:t>20/60</w:t>
            </w:r>
          </w:p>
        </w:tc>
        <w:tc>
          <w:tcPr>
            <w:tcW w:w="990" w:type="dxa"/>
            <w:vAlign w:val="center"/>
          </w:tcPr>
          <w:p w:rsidR="006A7626" w:rsidRPr="00AF0D6A" w:rsidRDefault="0031200E">
            <w:pPr>
              <w:jc w:val="center"/>
              <w:rPr>
                <w:rFonts w:ascii="Arial" w:hAnsi="Arial" w:cs="Arial"/>
                <w:sz w:val="18"/>
                <w:szCs w:val="20"/>
              </w:rPr>
            </w:pPr>
            <w:r>
              <w:rPr>
                <w:rFonts w:ascii="Arial" w:hAnsi="Arial" w:cs="Arial"/>
                <w:sz w:val="18"/>
                <w:szCs w:val="20"/>
              </w:rPr>
              <w:t>20</w:t>
            </w:r>
          </w:p>
        </w:tc>
        <w:tc>
          <w:tcPr>
            <w:tcW w:w="1080" w:type="dxa"/>
            <w:vAlign w:val="center"/>
          </w:tcPr>
          <w:p w:rsidR="006A7626" w:rsidRPr="00AF0D6A" w:rsidRDefault="002018B9">
            <w:pPr>
              <w:jc w:val="center"/>
              <w:rPr>
                <w:rFonts w:ascii="Arial" w:hAnsi="Arial" w:cs="Arial"/>
                <w:sz w:val="18"/>
                <w:szCs w:val="20"/>
              </w:rPr>
            </w:pPr>
            <w:r>
              <w:rPr>
                <w:rFonts w:ascii="Arial" w:hAnsi="Arial" w:cs="Arial"/>
                <w:sz w:val="18"/>
                <w:szCs w:val="20"/>
              </w:rPr>
              <w:t>35</w:t>
            </w:r>
          </w:p>
        </w:tc>
        <w:tc>
          <w:tcPr>
            <w:tcW w:w="1278" w:type="dxa"/>
            <w:vAlign w:val="center"/>
          </w:tcPr>
          <w:p w:rsidR="006A7626" w:rsidRPr="00AF0D6A" w:rsidRDefault="0031200E">
            <w:pPr>
              <w:jc w:val="center"/>
              <w:rPr>
                <w:rFonts w:ascii="Arial" w:hAnsi="Arial" w:cs="Arial"/>
                <w:sz w:val="18"/>
                <w:szCs w:val="20"/>
              </w:rPr>
            </w:pPr>
            <w:r>
              <w:rPr>
                <w:rFonts w:ascii="Arial" w:hAnsi="Arial" w:cs="Arial"/>
                <w:sz w:val="18"/>
                <w:szCs w:val="20"/>
              </w:rPr>
              <w:t>700</w:t>
            </w:r>
          </w:p>
        </w:tc>
      </w:tr>
      <w:tr w:rsidR="00D53C07" w:rsidRPr="00AF0D6A" w:rsidTr="00AF0D6A">
        <w:tc>
          <w:tcPr>
            <w:tcW w:w="1458" w:type="dxa"/>
            <w:vAlign w:val="center"/>
          </w:tcPr>
          <w:p w:rsidR="006A7626" w:rsidRPr="00AF0D6A" w:rsidRDefault="0059280F">
            <w:pPr>
              <w:jc w:val="center"/>
              <w:rPr>
                <w:rFonts w:ascii="Arial" w:hAnsi="Arial" w:cs="Arial"/>
                <w:sz w:val="18"/>
                <w:szCs w:val="20"/>
              </w:rPr>
            </w:pPr>
            <w:r>
              <w:rPr>
                <w:rFonts w:ascii="Arial" w:hAnsi="Arial" w:cs="Arial"/>
                <w:sz w:val="18"/>
                <w:szCs w:val="20"/>
              </w:rPr>
              <w:t>PHEP awardee</w:t>
            </w:r>
            <w:r w:rsidRPr="00AF0D6A">
              <w:rPr>
                <w:rFonts w:ascii="Arial" w:hAnsi="Arial" w:cs="Arial"/>
                <w:sz w:val="18"/>
                <w:szCs w:val="20"/>
              </w:rPr>
              <w:t xml:space="preserve"> </w:t>
            </w:r>
            <w:r w:rsidR="002018B9" w:rsidRPr="00C52E8B">
              <w:rPr>
                <w:rFonts w:ascii="Arial" w:hAnsi="Arial" w:cs="Arial"/>
                <w:sz w:val="18"/>
                <w:szCs w:val="20"/>
              </w:rPr>
              <w:t>and local jurisdiction designees</w:t>
            </w:r>
          </w:p>
        </w:tc>
        <w:tc>
          <w:tcPr>
            <w:tcW w:w="1170" w:type="dxa"/>
          </w:tcPr>
          <w:p w:rsidR="006A7626" w:rsidRPr="00AF0D6A" w:rsidRDefault="000F2BEA" w:rsidP="00152430">
            <w:pPr>
              <w:jc w:val="center"/>
              <w:rPr>
                <w:rFonts w:ascii="Arial" w:hAnsi="Arial" w:cs="Arial"/>
                <w:sz w:val="18"/>
                <w:szCs w:val="20"/>
              </w:rPr>
            </w:pPr>
            <w:r>
              <w:rPr>
                <w:rFonts w:ascii="Arial" w:hAnsi="Arial" w:cs="Arial"/>
                <w:sz w:val="20"/>
              </w:rPr>
              <w:t>Jan-Mar 2014*</w:t>
            </w:r>
          </w:p>
        </w:tc>
        <w:tc>
          <w:tcPr>
            <w:tcW w:w="1440" w:type="dxa"/>
            <w:vAlign w:val="center"/>
          </w:tcPr>
          <w:p w:rsidR="006A7626" w:rsidRPr="00AF0D6A" w:rsidRDefault="00D53C07" w:rsidP="00152430">
            <w:pPr>
              <w:jc w:val="center"/>
              <w:rPr>
                <w:rFonts w:ascii="Arial" w:hAnsi="Arial" w:cs="Arial"/>
                <w:sz w:val="18"/>
                <w:szCs w:val="20"/>
              </w:rPr>
            </w:pPr>
            <w:r w:rsidRPr="00AF0D6A">
              <w:rPr>
                <w:rFonts w:ascii="Arial" w:hAnsi="Arial" w:cs="Arial"/>
                <w:sz w:val="18"/>
                <w:szCs w:val="20"/>
              </w:rPr>
              <w:t>60</w:t>
            </w:r>
          </w:p>
        </w:tc>
        <w:tc>
          <w:tcPr>
            <w:tcW w:w="1260" w:type="dxa"/>
            <w:vAlign w:val="center"/>
          </w:tcPr>
          <w:p w:rsidR="006A7626" w:rsidRPr="00AF0D6A" w:rsidRDefault="002018B9">
            <w:pPr>
              <w:jc w:val="center"/>
              <w:rPr>
                <w:rFonts w:ascii="Arial" w:hAnsi="Arial" w:cs="Arial"/>
                <w:sz w:val="18"/>
                <w:szCs w:val="20"/>
              </w:rPr>
            </w:pPr>
            <w:r>
              <w:rPr>
                <w:rFonts w:ascii="Arial" w:hAnsi="Arial" w:cs="Arial"/>
                <w:sz w:val="18"/>
                <w:szCs w:val="20"/>
              </w:rPr>
              <w:t>1</w:t>
            </w:r>
          </w:p>
        </w:tc>
        <w:tc>
          <w:tcPr>
            <w:tcW w:w="1260" w:type="dxa"/>
            <w:vAlign w:val="center"/>
          </w:tcPr>
          <w:p w:rsidR="006A7626" w:rsidRPr="00AF0D6A" w:rsidRDefault="006B4092">
            <w:pPr>
              <w:jc w:val="center"/>
              <w:rPr>
                <w:rFonts w:ascii="Arial" w:hAnsi="Arial" w:cs="Arial"/>
                <w:sz w:val="18"/>
                <w:szCs w:val="20"/>
              </w:rPr>
            </w:pPr>
            <w:r w:rsidRPr="00AF0D6A">
              <w:rPr>
                <w:rFonts w:ascii="Arial" w:hAnsi="Arial" w:cs="Arial"/>
                <w:sz w:val="18"/>
                <w:szCs w:val="20"/>
              </w:rPr>
              <w:t>20/60</w:t>
            </w:r>
          </w:p>
        </w:tc>
        <w:tc>
          <w:tcPr>
            <w:tcW w:w="990" w:type="dxa"/>
            <w:vAlign w:val="center"/>
          </w:tcPr>
          <w:p w:rsidR="006A7626" w:rsidRPr="00AF0D6A" w:rsidRDefault="0031200E">
            <w:pPr>
              <w:jc w:val="center"/>
              <w:rPr>
                <w:rFonts w:ascii="Arial" w:hAnsi="Arial" w:cs="Arial"/>
                <w:sz w:val="18"/>
                <w:szCs w:val="20"/>
              </w:rPr>
            </w:pPr>
            <w:r>
              <w:rPr>
                <w:rFonts w:ascii="Arial" w:hAnsi="Arial" w:cs="Arial"/>
                <w:sz w:val="18"/>
                <w:szCs w:val="20"/>
              </w:rPr>
              <w:t>20</w:t>
            </w:r>
          </w:p>
        </w:tc>
        <w:tc>
          <w:tcPr>
            <w:tcW w:w="1080" w:type="dxa"/>
            <w:vAlign w:val="center"/>
          </w:tcPr>
          <w:p w:rsidR="006A7626" w:rsidRPr="00AF0D6A" w:rsidRDefault="002018B9">
            <w:pPr>
              <w:jc w:val="center"/>
              <w:rPr>
                <w:rFonts w:ascii="Arial" w:hAnsi="Arial" w:cs="Arial"/>
                <w:sz w:val="18"/>
                <w:szCs w:val="20"/>
              </w:rPr>
            </w:pPr>
            <w:r>
              <w:rPr>
                <w:rFonts w:ascii="Arial" w:hAnsi="Arial" w:cs="Arial"/>
                <w:sz w:val="18"/>
                <w:szCs w:val="20"/>
              </w:rPr>
              <w:t>35</w:t>
            </w:r>
          </w:p>
        </w:tc>
        <w:tc>
          <w:tcPr>
            <w:tcW w:w="1278" w:type="dxa"/>
            <w:vAlign w:val="center"/>
          </w:tcPr>
          <w:p w:rsidR="006A7626" w:rsidRPr="00AF0D6A" w:rsidRDefault="0031200E">
            <w:pPr>
              <w:jc w:val="center"/>
              <w:rPr>
                <w:rFonts w:ascii="Arial" w:hAnsi="Arial" w:cs="Arial"/>
                <w:sz w:val="18"/>
                <w:szCs w:val="20"/>
              </w:rPr>
            </w:pPr>
            <w:r>
              <w:rPr>
                <w:rFonts w:ascii="Arial" w:hAnsi="Arial" w:cs="Arial"/>
                <w:sz w:val="18"/>
                <w:szCs w:val="20"/>
              </w:rPr>
              <w:t>700</w:t>
            </w:r>
          </w:p>
        </w:tc>
      </w:tr>
      <w:tr w:rsidR="00D53C07" w:rsidRPr="00D466B9" w:rsidTr="00AF0D6A">
        <w:tc>
          <w:tcPr>
            <w:tcW w:w="1458" w:type="dxa"/>
            <w:vAlign w:val="center"/>
          </w:tcPr>
          <w:p w:rsidR="006A7626" w:rsidRPr="00AF0D6A" w:rsidRDefault="006A7626" w:rsidP="00806459">
            <w:pPr>
              <w:jc w:val="center"/>
              <w:rPr>
                <w:rFonts w:ascii="Arial" w:hAnsi="Arial" w:cs="Arial"/>
                <w:b/>
                <w:sz w:val="18"/>
                <w:szCs w:val="20"/>
              </w:rPr>
            </w:pPr>
            <w:r w:rsidRPr="00AF0D6A">
              <w:rPr>
                <w:rFonts w:ascii="Arial" w:hAnsi="Arial" w:cs="Arial"/>
                <w:b/>
                <w:sz w:val="18"/>
                <w:szCs w:val="20"/>
              </w:rPr>
              <w:t>TOTALS</w:t>
            </w:r>
          </w:p>
        </w:tc>
        <w:tc>
          <w:tcPr>
            <w:tcW w:w="1170" w:type="dxa"/>
          </w:tcPr>
          <w:p w:rsidR="006A7626" w:rsidRPr="00AF0D6A" w:rsidRDefault="006A7626">
            <w:pPr>
              <w:jc w:val="center"/>
              <w:rPr>
                <w:rFonts w:ascii="Arial" w:hAnsi="Arial" w:cs="Arial"/>
                <w:b/>
                <w:sz w:val="18"/>
                <w:szCs w:val="20"/>
              </w:rPr>
            </w:pPr>
          </w:p>
        </w:tc>
        <w:tc>
          <w:tcPr>
            <w:tcW w:w="1440" w:type="dxa"/>
            <w:vAlign w:val="center"/>
          </w:tcPr>
          <w:p w:rsidR="006A7626" w:rsidRPr="00AF0D6A" w:rsidRDefault="002018B9">
            <w:pPr>
              <w:jc w:val="center"/>
              <w:rPr>
                <w:rFonts w:ascii="Arial" w:hAnsi="Arial" w:cs="Arial"/>
                <w:b/>
                <w:sz w:val="18"/>
                <w:szCs w:val="20"/>
              </w:rPr>
            </w:pPr>
            <w:r>
              <w:rPr>
                <w:rFonts w:ascii="Arial" w:hAnsi="Arial" w:cs="Arial"/>
                <w:b/>
                <w:sz w:val="18"/>
                <w:szCs w:val="20"/>
              </w:rPr>
              <w:t>341</w:t>
            </w:r>
          </w:p>
        </w:tc>
        <w:tc>
          <w:tcPr>
            <w:tcW w:w="1260" w:type="dxa"/>
            <w:vAlign w:val="center"/>
          </w:tcPr>
          <w:p w:rsidR="006A7626" w:rsidRPr="00AF0D6A" w:rsidRDefault="0089161F">
            <w:pPr>
              <w:jc w:val="center"/>
              <w:rPr>
                <w:rFonts w:ascii="Arial" w:hAnsi="Arial" w:cs="Arial"/>
                <w:b/>
                <w:sz w:val="18"/>
                <w:szCs w:val="20"/>
              </w:rPr>
            </w:pPr>
            <w:r>
              <w:rPr>
                <w:rFonts w:ascii="Arial" w:hAnsi="Arial" w:cs="Arial"/>
                <w:b/>
                <w:sz w:val="18"/>
                <w:szCs w:val="20"/>
              </w:rPr>
              <w:t>1</w:t>
            </w:r>
          </w:p>
        </w:tc>
        <w:tc>
          <w:tcPr>
            <w:tcW w:w="1260" w:type="dxa"/>
            <w:shd w:val="clear" w:color="auto" w:fill="D9D9D9" w:themeFill="background1" w:themeFillShade="D9"/>
            <w:vAlign w:val="center"/>
          </w:tcPr>
          <w:p w:rsidR="006A7626" w:rsidRPr="00AF0D6A" w:rsidRDefault="006A7626">
            <w:pPr>
              <w:jc w:val="center"/>
              <w:rPr>
                <w:rFonts w:ascii="Arial" w:hAnsi="Arial" w:cs="Arial"/>
                <w:b/>
                <w:sz w:val="18"/>
                <w:szCs w:val="20"/>
              </w:rPr>
            </w:pPr>
          </w:p>
        </w:tc>
        <w:tc>
          <w:tcPr>
            <w:tcW w:w="990" w:type="dxa"/>
            <w:vAlign w:val="center"/>
          </w:tcPr>
          <w:p w:rsidR="006A7626" w:rsidRPr="00AF0D6A" w:rsidRDefault="009A568E">
            <w:pPr>
              <w:jc w:val="center"/>
              <w:rPr>
                <w:rFonts w:ascii="Arial" w:hAnsi="Arial" w:cs="Arial"/>
                <w:b/>
                <w:sz w:val="18"/>
                <w:szCs w:val="20"/>
              </w:rPr>
            </w:pPr>
            <w:r>
              <w:rPr>
                <w:rFonts w:ascii="Arial" w:hAnsi="Arial" w:cs="Arial"/>
                <w:b/>
                <w:sz w:val="18"/>
                <w:szCs w:val="20"/>
              </w:rPr>
              <w:t>11</w:t>
            </w:r>
            <w:r w:rsidR="007052FA">
              <w:rPr>
                <w:rFonts w:ascii="Arial" w:hAnsi="Arial" w:cs="Arial"/>
                <w:b/>
                <w:sz w:val="18"/>
                <w:szCs w:val="20"/>
              </w:rPr>
              <w:t>4</w:t>
            </w:r>
          </w:p>
        </w:tc>
        <w:tc>
          <w:tcPr>
            <w:tcW w:w="1080" w:type="dxa"/>
            <w:shd w:val="clear" w:color="auto" w:fill="D9D9D9" w:themeFill="background1" w:themeFillShade="D9"/>
            <w:vAlign w:val="center"/>
          </w:tcPr>
          <w:p w:rsidR="006A7626" w:rsidRPr="00AF0D6A" w:rsidRDefault="006A7626">
            <w:pPr>
              <w:jc w:val="center"/>
              <w:rPr>
                <w:rFonts w:ascii="Arial" w:hAnsi="Arial" w:cs="Arial"/>
                <w:b/>
                <w:sz w:val="18"/>
                <w:szCs w:val="20"/>
              </w:rPr>
            </w:pPr>
          </w:p>
        </w:tc>
        <w:tc>
          <w:tcPr>
            <w:tcW w:w="1278" w:type="dxa"/>
            <w:vAlign w:val="center"/>
          </w:tcPr>
          <w:p w:rsidR="006A7626" w:rsidRPr="00D466B9" w:rsidRDefault="009A568E">
            <w:pPr>
              <w:jc w:val="center"/>
              <w:rPr>
                <w:rFonts w:ascii="Arial" w:hAnsi="Arial" w:cs="Arial"/>
                <w:b/>
                <w:sz w:val="18"/>
                <w:szCs w:val="20"/>
              </w:rPr>
            </w:pPr>
            <w:r>
              <w:rPr>
                <w:rFonts w:ascii="Arial" w:hAnsi="Arial" w:cs="Arial"/>
                <w:b/>
                <w:sz w:val="18"/>
                <w:szCs w:val="20"/>
              </w:rPr>
              <w:t>3,9</w:t>
            </w:r>
            <w:r w:rsidR="000F2BEA">
              <w:rPr>
                <w:rFonts w:ascii="Arial" w:hAnsi="Arial" w:cs="Arial"/>
                <w:b/>
                <w:sz w:val="18"/>
                <w:szCs w:val="20"/>
              </w:rPr>
              <w:t>90</w:t>
            </w:r>
          </w:p>
        </w:tc>
      </w:tr>
    </w:tbl>
    <w:p w:rsidR="00EF22F3" w:rsidRPr="00FB0E49" w:rsidRDefault="000F2BEA" w:rsidP="00EF22F3">
      <w:pPr>
        <w:pStyle w:val="ListParagraph"/>
        <w:tabs>
          <w:tab w:val="left" w:pos="-1440"/>
          <w:tab w:val="left" w:pos="-720"/>
        </w:tabs>
        <w:autoSpaceDE w:val="0"/>
        <w:autoSpaceDN w:val="0"/>
        <w:adjustRightInd w:val="0"/>
        <w:ind w:right="720"/>
        <w:rPr>
          <w:rFonts w:ascii="Arial" w:hAnsi="Arial" w:cs="Arial"/>
          <w:sz w:val="20"/>
          <w:szCs w:val="20"/>
        </w:rPr>
      </w:pPr>
      <w:r>
        <w:rPr>
          <w:rFonts w:ascii="Arial" w:hAnsi="Arial" w:cs="Arial"/>
          <w:sz w:val="20"/>
          <w:szCs w:val="20"/>
        </w:rPr>
        <w:t>*Estimated time</w:t>
      </w:r>
    </w:p>
    <w:p w:rsidR="00AF0D6A" w:rsidRPr="00421F0A" w:rsidRDefault="00AF0D6A" w:rsidP="00EF22F3">
      <w:pPr>
        <w:pStyle w:val="ListParagraph"/>
        <w:tabs>
          <w:tab w:val="left" w:pos="-1440"/>
          <w:tab w:val="left" w:pos="-720"/>
        </w:tabs>
        <w:autoSpaceDE w:val="0"/>
        <w:autoSpaceDN w:val="0"/>
        <w:adjustRightInd w:val="0"/>
        <w:ind w:right="720"/>
        <w:rPr>
          <w:rFonts w:ascii="Arial" w:hAnsi="Arial" w:cs="Arial"/>
          <w:sz w:val="20"/>
          <w:szCs w:val="20"/>
          <w:u w:val="single"/>
        </w:rPr>
      </w:pPr>
    </w:p>
    <w:p w:rsidR="00EF22F3" w:rsidRPr="00806459" w:rsidRDefault="00EF22F3" w:rsidP="00EF22F3">
      <w:pPr>
        <w:pStyle w:val="ListParagraph"/>
        <w:numPr>
          <w:ilvl w:val="0"/>
          <w:numId w:val="1"/>
        </w:numPr>
        <w:tabs>
          <w:tab w:val="left" w:pos="-1440"/>
          <w:tab w:val="left" w:pos="-720"/>
        </w:tabs>
        <w:autoSpaceDE w:val="0"/>
        <w:autoSpaceDN w:val="0"/>
        <w:adjustRightInd w:val="0"/>
        <w:ind w:right="720"/>
        <w:rPr>
          <w:rFonts w:ascii="Arial" w:hAnsi="Arial" w:cs="Arial"/>
          <w:sz w:val="22"/>
          <w:szCs w:val="22"/>
          <w:u w:val="single"/>
        </w:rPr>
      </w:pPr>
      <w:r w:rsidRPr="00806459">
        <w:rPr>
          <w:rFonts w:ascii="Arial" w:hAnsi="Arial" w:cs="Arial"/>
          <w:sz w:val="22"/>
          <w:szCs w:val="22"/>
          <w:u w:val="single"/>
        </w:rPr>
        <w:t>Cost</w:t>
      </w:r>
      <w:r w:rsidR="000159BF">
        <w:rPr>
          <w:rFonts w:ascii="Arial" w:hAnsi="Arial" w:cs="Arial"/>
          <w:sz w:val="22"/>
          <w:szCs w:val="22"/>
          <w:u w:val="single"/>
        </w:rPr>
        <w:t>s</w:t>
      </w:r>
      <w:r w:rsidRPr="00806459">
        <w:rPr>
          <w:rFonts w:ascii="Arial" w:hAnsi="Arial" w:cs="Arial"/>
          <w:sz w:val="22"/>
          <w:szCs w:val="22"/>
          <w:u w:val="single"/>
        </w:rPr>
        <w:t xml:space="preserve"> to Respondents </w:t>
      </w:r>
    </w:p>
    <w:p w:rsidR="00EF22F3" w:rsidRPr="00421F0A" w:rsidRDefault="00EF22F3" w:rsidP="00EF22F3">
      <w:pPr>
        <w:pStyle w:val="ListParagraph"/>
        <w:tabs>
          <w:tab w:val="left" w:pos="-1440"/>
          <w:tab w:val="left" w:pos="-720"/>
        </w:tabs>
        <w:autoSpaceDE w:val="0"/>
        <w:autoSpaceDN w:val="0"/>
        <w:adjustRightInd w:val="0"/>
        <w:ind w:left="630" w:right="720"/>
        <w:rPr>
          <w:rFonts w:ascii="Arial" w:hAnsi="Arial" w:cs="Arial"/>
          <w:sz w:val="20"/>
          <w:szCs w:val="20"/>
        </w:rPr>
      </w:pPr>
    </w:p>
    <w:p w:rsidR="00EF22F3" w:rsidRPr="00421F0A" w:rsidRDefault="00EF22F3" w:rsidP="00EF22F3">
      <w:pPr>
        <w:pStyle w:val="ListParagraph"/>
        <w:tabs>
          <w:tab w:val="left" w:pos="-1440"/>
          <w:tab w:val="left" w:pos="-720"/>
        </w:tabs>
        <w:autoSpaceDE w:val="0"/>
        <w:autoSpaceDN w:val="0"/>
        <w:adjustRightInd w:val="0"/>
        <w:ind w:left="630" w:right="720"/>
        <w:rPr>
          <w:rFonts w:ascii="Arial" w:hAnsi="Arial" w:cs="Arial"/>
          <w:sz w:val="20"/>
          <w:szCs w:val="20"/>
        </w:rPr>
      </w:pPr>
      <w:r w:rsidRPr="00421F0A">
        <w:rPr>
          <w:rFonts w:ascii="Arial" w:hAnsi="Arial" w:cs="Arial"/>
          <w:sz w:val="20"/>
          <w:szCs w:val="20"/>
        </w:rPr>
        <w:t xml:space="preserve">There will be no direct costs to the respondents other than their time to participate in the </w:t>
      </w:r>
      <w:r w:rsidR="003134FF">
        <w:rPr>
          <w:rFonts w:ascii="Arial" w:hAnsi="Arial" w:cs="Arial"/>
          <w:sz w:val="20"/>
          <w:szCs w:val="20"/>
        </w:rPr>
        <w:t>data collection</w:t>
      </w:r>
      <w:r w:rsidRPr="00421F0A">
        <w:rPr>
          <w:rFonts w:ascii="Arial" w:hAnsi="Arial" w:cs="Arial"/>
          <w:sz w:val="20"/>
          <w:szCs w:val="20"/>
        </w:rPr>
        <w:t>.</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p>
    <w:p w:rsidR="00EF22F3" w:rsidRPr="00806459" w:rsidRDefault="00EF22F3" w:rsidP="00EF22F3">
      <w:pPr>
        <w:pStyle w:val="ListParagraph"/>
        <w:numPr>
          <w:ilvl w:val="0"/>
          <w:numId w:val="1"/>
        </w:numPr>
        <w:tabs>
          <w:tab w:val="left" w:pos="-1440"/>
          <w:tab w:val="left" w:pos="-720"/>
        </w:tabs>
        <w:autoSpaceDE w:val="0"/>
        <w:autoSpaceDN w:val="0"/>
        <w:adjustRightInd w:val="0"/>
        <w:ind w:right="720"/>
        <w:rPr>
          <w:rFonts w:ascii="Arial" w:hAnsi="Arial" w:cs="Arial"/>
          <w:sz w:val="22"/>
          <w:szCs w:val="22"/>
        </w:rPr>
      </w:pPr>
      <w:r w:rsidRPr="00806459">
        <w:rPr>
          <w:rFonts w:ascii="Arial" w:hAnsi="Arial" w:cs="Arial"/>
          <w:sz w:val="22"/>
          <w:szCs w:val="22"/>
          <w:u w:val="single"/>
        </w:rPr>
        <w:t xml:space="preserve">Cost to </w:t>
      </w:r>
      <w:r w:rsidR="00DE7E55">
        <w:rPr>
          <w:rFonts w:ascii="Arial" w:hAnsi="Arial" w:cs="Arial"/>
          <w:sz w:val="22"/>
          <w:szCs w:val="22"/>
          <w:u w:val="single"/>
        </w:rPr>
        <w:t>Federal</w:t>
      </w:r>
      <w:r w:rsidR="00DE7E55" w:rsidRPr="00806459">
        <w:rPr>
          <w:rFonts w:ascii="Arial" w:hAnsi="Arial" w:cs="Arial"/>
          <w:sz w:val="22"/>
          <w:szCs w:val="22"/>
          <w:u w:val="single"/>
        </w:rPr>
        <w:t xml:space="preserve"> </w:t>
      </w:r>
      <w:r w:rsidRPr="00806459">
        <w:rPr>
          <w:rFonts w:ascii="Arial" w:hAnsi="Arial" w:cs="Arial"/>
          <w:sz w:val="22"/>
          <w:szCs w:val="22"/>
          <w:u w:val="single"/>
        </w:rPr>
        <w:t>Government</w:t>
      </w:r>
    </w:p>
    <w:p w:rsidR="00EF22F3" w:rsidRPr="00421F0A" w:rsidRDefault="00EF22F3" w:rsidP="00EF22F3">
      <w:pPr>
        <w:tabs>
          <w:tab w:val="left" w:pos="-1440"/>
          <w:tab w:val="left" w:pos="-720"/>
        </w:tabs>
        <w:autoSpaceDE w:val="0"/>
        <w:autoSpaceDN w:val="0"/>
        <w:adjustRightInd w:val="0"/>
        <w:ind w:right="720"/>
        <w:rPr>
          <w:rFonts w:ascii="Arial" w:hAnsi="Arial" w:cs="Arial"/>
          <w:sz w:val="20"/>
          <w:szCs w:val="20"/>
        </w:rPr>
      </w:pPr>
    </w:p>
    <w:p w:rsidR="00EF22F3" w:rsidRPr="00421F0A" w:rsidRDefault="00EF22F3" w:rsidP="00EF22F3">
      <w:pPr>
        <w:tabs>
          <w:tab w:val="left" w:pos="-1440"/>
          <w:tab w:val="left" w:pos="-720"/>
        </w:tabs>
        <w:autoSpaceDE w:val="0"/>
        <w:autoSpaceDN w:val="0"/>
        <w:adjustRightInd w:val="0"/>
        <w:ind w:left="540" w:right="720"/>
        <w:rPr>
          <w:rFonts w:ascii="Arial" w:hAnsi="Arial" w:cs="Arial"/>
          <w:sz w:val="20"/>
          <w:szCs w:val="20"/>
        </w:rPr>
      </w:pPr>
      <w:r w:rsidRPr="00421F0A">
        <w:rPr>
          <w:rFonts w:ascii="Arial" w:hAnsi="Arial" w:cs="Arial"/>
          <w:sz w:val="20"/>
          <w:szCs w:val="20"/>
        </w:rPr>
        <w:t xml:space="preserve">There are no equipment or overhead costs.  The only cost to the federal government would be the salary of CDC staff </w:t>
      </w:r>
      <w:r w:rsidR="002260E9" w:rsidRPr="00421F0A">
        <w:rPr>
          <w:rFonts w:ascii="Arial" w:hAnsi="Arial" w:cs="Arial"/>
          <w:sz w:val="20"/>
          <w:szCs w:val="20"/>
        </w:rPr>
        <w:t xml:space="preserve">and </w:t>
      </w:r>
      <w:r w:rsidR="002260E9" w:rsidRPr="00806459">
        <w:rPr>
          <w:rFonts w:ascii="Arial" w:hAnsi="Arial" w:cs="Arial"/>
          <w:sz w:val="20"/>
          <w:szCs w:val="20"/>
        </w:rPr>
        <w:t xml:space="preserve">contractors </w:t>
      </w:r>
      <w:r w:rsidRPr="00421F0A">
        <w:rPr>
          <w:rFonts w:ascii="Arial" w:hAnsi="Arial" w:cs="Arial"/>
          <w:sz w:val="20"/>
          <w:szCs w:val="20"/>
        </w:rPr>
        <w:t xml:space="preserve">supporting the data collection activities and associated tasks. </w:t>
      </w:r>
    </w:p>
    <w:p w:rsidR="00EF22F3" w:rsidRPr="00421F0A" w:rsidRDefault="00055C00" w:rsidP="00162071">
      <w:pPr>
        <w:spacing w:before="100" w:beforeAutospacing="1" w:after="100" w:afterAutospacing="1"/>
        <w:ind w:left="540"/>
        <w:rPr>
          <w:rFonts w:ascii="Arial" w:hAnsi="Arial" w:cs="Arial"/>
          <w:sz w:val="20"/>
          <w:szCs w:val="20"/>
        </w:rPr>
      </w:pPr>
      <w:r>
        <w:rPr>
          <w:rFonts w:ascii="Arial" w:hAnsi="Arial" w:cs="Arial"/>
          <w:color w:val="000000"/>
          <w:sz w:val="20"/>
          <w:szCs w:val="20"/>
        </w:rPr>
        <w:t>T</w:t>
      </w:r>
      <w:r w:rsidR="003134FF">
        <w:rPr>
          <w:rFonts w:ascii="Arial" w:hAnsi="Arial" w:cs="Arial"/>
          <w:color w:val="000000"/>
          <w:sz w:val="20"/>
          <w:szCs w:val="20"/>
        </w:rPr>
        <w:t>he data collection tool</w:t>
      </w:r>
      <w:r w:rsidR="00EF22F3" w:rsidRPr="00421F0A">
        <w:rPr>
          <w:rFonts w:ascii="Arial" w:hAnsi="Arial" w:cs="Arial"/>
          <w:color w:val="000000"/>
          <w:sz w:val="20"/>
          <w:szCs w:val="20"/>
        </w:rPr>
        <w:t xml:space="preserve"> will be prepared by CDC staff (FTE)</w:t>
      </w:r>
      <w:r w:rsidR="002260E9" w:rsidRPr="00421F0A">
        <w:rPr>
          <w:rFonts w:ascii="Arial" w:hAnsi="Arial" w:cs="Arial"/>
          <w:color w:val="000000"/>
          <w:sz w:val="20"/>
          <w:szCs w:val="20"/>
        </w:rPr>
        <w:t xml:space="preserve"> and contractors</w:t>
      </w:r>
      <w:r w:rsidR="00EF22F3" w:rsidRPr="00421F0A">
        <w:rPr>
          <w:rFonts w:ascii="Arial" w:hAnsi="Arial" w:cs="Arial"/>
          <w:color w:val="000000"/>
          <w:sz w:val="20"/>
          <w:szCs w:val="20"/>
        </w:rPr>
        <w:t xml:space="preserve">.  An FTE manager will review </w:t>
      </w:r>
      <w:r w:rsidR="003134FF">
        <w:rPr>
          <w:rFonts w:ascii="Arial" w:hAnsi="Arial" w:cs="Arial"/>
          <w:color w:val="000000"/>
          <w:sz w:val="20"/>
          <w:szCs w:val="20"/>
        </w:rPr>
        <w:t>the data collection tool</w:t>
      </w:r>
      <w:r w:rsidR="00EF22F3" w:rsidRPr="00421F0A">
        <w:rPr>
          <w:rFonts w:ascii="Arial" w:hAnsi="Arial" w:cs="Arial"/>
          <w:color w:val="000000"/>
          <w:sz w:val="20"/>
          <w:szCs w:val="20"/>
        </w:rPr>
        <w:t xml:space="preserve">. A senior level FTE will review and approve the activities.  </w:t>
      </w:r>
      <w:r w:rsidR="00EF22F3" w:rsidRPr="00421F0A">
        <w:rPr>
          <w:rFonts w:ascii="Arial" w:hAnsi="Arial" w:cs="Arial"/>
          <w:sz w:val="20"/>
          <w:szCs w:val="20"/>
        </w:rPr>
        <w:t xml:space="preserve">The estimated cost to the federal government </w:t>
      </w:r>
      <w:r w:rsidR="000F2BEA">
        <w:rPr>
          <w:rFonts w:ascii="Arial" w:hAnsi="Arial" w:cs="Arial"/>
          <w:sz w:val="20"/>
          <w:szCs w:val="20"/>
        </w:rPr>
        <w:t xml:space="preserve">for the entire data collection period </w:t>
      </w:r>
      <w:r w:rsidR="00EF22F3" w:rsidRPr="00421F0A">
        <w:rPr>
          <w:rFonts w:ascii="Arial" w:hAnsi="Arial" w:cs="Arial"/>
          <w:sz w:val="20"/>
          <w:szCs w:val="20"/>
        </w:rPr>
        <w:t>is $</w:t>
      </w:r>
      <w:r w:rsidR="009F4429">
        <w:rPr>
          <w:rFonts w:ascii="Arial" w:hAnsi="Arial" w:cs="Arial"/>
          <w:sz w:val="20"/>
          <w:szCs w:val="20"/>
        </w:rPr>
        <w:t>4190</w:t>
      </w:r>
      <w:r w:rsidR="0018383A" w:rsidRPr="00421F0A">
        <w:rPr>
          <w:rFonts w:ascii="Arial" w:hAnsi="Arial" w:cs="Arial"/>
          <w:sz w:val="20"/>
          <w:szCs w:val="20"/>
        </w:rPr>
        <w:t>.00</w:t>
      </w:r>
      <w:r w:rsidR="001A5C37">
        <w:rPr>
          <w:rFonts w:ascii="Arial" w:hAnsi="Arial" w:cs="Arial"/>
          <w:sz w:val="20"/>
          <w:szCs w:val="20"/>
        </w:rPr>
        <w:t>.</w:t>
      </w:r>
      <w:r w:rsidR="00EF22F3" w:rsidRPr="00421F0A">
        <w:rPr>
          <w:rFonts w:ascii="Arial" w:hAnsi="Arial" w:cs="Arial"/>
          <w:sz w:val="20"/>
          <w:szCs w:val="20"/>
        </w:rPr>
        <w:t xml:space="preserve">  Table A-14 describes how thi</w:t>
      </w:r>
      <w:r w:rsidR="00162071" w:rsidRPr="00421F0A">
        <w:rPr>
          <w:rFonts w:ascii="Arial" w:hAnsi="Arial" w:cs="Arial"/>
          <w:sz w:val="20"/>
          <w:szCs w:val="20"/>
        </w:rPr>
        <w:t>s cost estimate was calculated.</w:t>
      </w:r>
    </w:p>
    <w:p w:rsidR="00DA7363" w:rsidRDefault="00DA7363" w:rsidP="00171719">
      <w:pPr>
        <w:spacing w:before="100" w:beforeAutospacing="1"/>
        <w:rPr>
          <w:rFonts w:ascii="Arial" w:hAnsi="Arial" w:cs="Arial"/>
          <w:b/>
          <w:sz w:val="20"/>
          <w:szCs w:val="20"/>
          <w:u w:val="single"/>
        </w:rPr>
        <w:sectPr w:rsidR="00DA7363" w:rsidSect="00466988">
          <w:pgSz w:w="12240" w:h="15840"/>
          <w:pgMar w:top="1440" w:right="1080" w:bottom="1260" w:left="1080" w:header="720" w:footer="720" w:gutter="0"/>
          <w:cols w:space="720"/>
          <w:docGrid w:linePitch="360"/>
        </w:sectPr>
      </w:pPr>
    </w:p>
    <w:tbl>
      <w:tblPr>
        <w:tblpPr w:leftFromText="180" w:rightFromText="180" w:vertAnchor="text" w:horzAnchor="margin" w:tblpX="10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800"/>
        <w:gridCol w:w="1620"/>
        <w:gridCol w:w="1728"/>
      </w:tblGrid>
      <w:tr w:rsidR="00EF22F3" w:rsidRPr="00421F0A" w:rsidTr="00806459">
        <w:tc>
          <w:tcPr>
            <w:tcW w:w="9468" w:type="dxa"/>
            <w:gridSpan w:val="4"/>
            <w:tcBorders>
              <w:top w:val="nil"/>
              <w:left w:val="nil"/>
              <w:bottom w:val="single" w:sz="4" w:space="0" w:color="auto"/>
              <w:right w:val="nil"/>
            </w:tcBorders>
          </w:tcPr>
          <w:p w:rsidR="00EF22F3" w:rsidRPr="00421F0A" w:rsidRDefault="00EF22F3" w:rsidP="00171719">
            <w:pPr>
              <w:spacing w:before="100" w:beforeAutospacing="1"/>
              <w:rPr>
                <w:rFonts w:ascii="Arial" w:hAnsi="Arial" w:cs="Arial"/>
                <w:sz w:val="20"/>
                <w:szCs w:val="20"/>
              </w:rPr>
            </w:pPr>
            <w:r w:rsidRPr="00806459">
              <w:rPr>
                <w:rFonts w:ascii="Arial" w:hAnsi="Arial" w:cs="Arial"/>
                <w:b/>
                <w:sz w:val="20"/>
                <w:szCs w:val="20"/>
                <w:u w:val="single"/>
              </w:rPr>
              <w:lastRenderedPageBreak/>
              <w:t>Table A-1</w:t>
            </w:r>
            <w:r w:rsidR="00BD55A8">
              <w:rPr>
                <w:rFonts w:ascii="Arial" w:hAnsi="Arial" w:cs="Arial"/>
                <w:b/>
                <w:sz w:val="20"/>
                <w:szCs w:val="20"/>
                <w:u w:val="single"/>
              </w:rPr>
              <w:t>4</w:t>
            </w:r>
            <w:r w:rsidRPr="00421F0A">
              <w:rPr>
                <w:rFonts w:ascii="Arial" w:hAnsi="Arial" w:cs="Arial"/>
                <w:sz w:val="20"/>
                <w:szCs w:val="20"/>
              </w:rPr>
              <w:t>: Estimated Annualized Cost to the Federal Government</w:t>
            </w:r>
          </w:p>
        </w:tc>
      </w:tr>
      <w:tr w:rsidR="00EF22F3" w:rsidRPr="00421F0A" w:rsidTr="00806459">
        <w:tc>
          <w:tcPr>
            <w:tcW w:w="4320" w:type="dxa"/>
            <w:tcBorders>
              <w:bottom w:val="single" w:sz="4" w:space="0" w:color="auto"/>
            </w:tcBorders>
            <w:shd w:val="clear" w:color="auto" w:fill="E6E6E6"/>
            <w:vAlign w:val="center"/>
          </w:tcPr>
          <w:p w:rsidR="00EF22F3" w:rsidRPr="00421F0A" w:rsidRDefault="00EF22F3" w:rsidP="00171719">
            <w:pPr>
              <w:spacing w:before="100" w:beforeAutospacing="1"/>
              <w:jc w:val="center"/>
              <w:rPr>
                <w:rFonts w:ascii="Arial" w:hAnsi="Arial" w:cs="Arial"/>
                <w:b/>
                <w:sz w:val="20"/>
                <w:szCs w:val="20"/>
              </w:rPr>
            </w:pPr>
            <w:bookmarkStart w:id="1" w:name="OLE_LINK3"/>
            <w:bookmarkStart w:id="2" w:name="OLE_LINK4"/>
            <w:r w:rsidRPr="00421F0A">
              <w:rPr>
                <w:rFonts w:ascii="Arial" w:hAnsi="Arial" w:cs="Arial"/>
                <w:b/>
                <w:sz w:val="20"/>
                <w:szCs w:val="20"/>
              </w:rPr>
              <w:t>Staff or Contractor</w:t>
            </w:r>
          </w:p>
        </w:tc>
        <w:tc>
          <w:tcPr>
            <w:tcW w:w="1800" w:type="dxa"/>
            <w:tcBorders>
              <w:bottom w:val="single" w:sz="4" w:space="0" w:color="auto"/>
            </w:tcBorders>
            <w:shd w:val="clear" w:color="auto" w:fill="E6E6E6"/>
            <w:vAlign w:val="center"/>
          </w:tcPr>
          <w:p w:rsidR="00EF22F3" w:rsidRPr="00421F0A" w:rsidRDefault="00EF22F3" w:rsidP="00460154">
            <w:pPr>
              <w:spacing w:before="100" w:beforeAutospacing="1"/>
              <w:jc w:val="center"/>
              <w:rPr>
                <w:rFonts w:ascii="Arial" w:hAnsi="Arial" w:cs="Arial"/>
                <w:b/>
                <w:sz w:val="20"/>
                <w:szCs w:val="20"/>
              </w:rPr>
            </w:pPr>
            <w:r w:rsidRPr="00421F0A">
              <w:rPr>
                <w:rFonts w:ascii="Arial" w:hAnsi="Arial" w:cs="Arial"/>
                <w:b/>
                <w:sz w:val="20"/>
                <w:szCs w:val="20"/>
              </w:rPr>
              <w:t>Hours</w:t>
            </w:r>
          </w:p>
        </w:tc>
        <w:tc>
          <w:tcPr>
            <w:tcW w:w="1620" w:type="dxa"/>
            <w:tcBorders>
              <w:bottom w:val="single" w:sz="4" w:space="0" w:color="auto"/>
            </w:tcBorders>
            <w:shd w:val="clear" w:color="auto" w:fill="E6E6E6"/>
            <w:vAlign w:val="center"/>
          </w:tcPr>
          <w:p w:rsidR="00EF22F3" w:rsidRPr="00421F0A" w:rsidRDefault="00EF22F3" w:rsidP="00460154">
            <w:pPr>
              <w:spacing w:before="100" w:beforeAutospacing="1"/>
              <w:jc w:val="center"/>
              <w:rPr>
                <w:rFonts w:ascii="Arial" w:hAnsi="Arial" w:cs="Arial"/>
                <w:b/>
                <w:sz w:val="20"/>
                <w:szCs w:val="20"/>
              </w:rPr>
            </w:pPr>
            <w:r w:rsidRPr="00421F0A">
              <w:rPr>
                <w:rFonts w:ascii="Arial" w:hAnsi="Arial" w:cs="Arial"/>
                <w:b/>
                <w:sz w:val="20"/>
                <w:szCs w:val="20"/>
              </w:rPr>
              <w:t>Average Hourly Rate</w:t>
            </w:r>
          </w:p>
        </w:tc>
        <w:tc>
          <w:tcPr>
            <w:tcW w:w="1728" w:type="dxa"/>
            <w:tcBorders>
              <w:bottom w:val="single" w:sz="4" w:space="0" w:color="auto"/>
            </w:tcBorders>
            <w:shd w:val="clear" w:color="auto" w:fill="E6E6E6"/>
            <w:vAlign w:val="center"/>
          </w:tcPr>
          <w:p w:rsidR="00EF22F3" w:rsidRPr="00421F0A" w:rsidRDefault="00EF22F3" w:rsidP="00460154">
            <w:pPr>
              <w:spacing w:before="100" w:beforeAutospacing="1"/>
              <w:jc w:val="center"/>
              <w:rPr>
                <w:rFonts w:ascii="Arial" w:hAnsi="Arial" w:cs="Arial"/>
                <w:b/>
                <w:sz w:val="20"/>
                <w:szCs w:val="20"/>
              </w:rPr>
            </w:pPr>
            <w:r w:rsidRPr="00421F0A">
              <w:rPr>
                <w:rFonts w:ascii="Arial" w:hAnsi="Arial" w:cs="Arial"/>
                <w:b/>
                <w:sz w:val="20"/>
                <w:szCs w:val="20"/>
              </w:rPr>
              <w:t>Average Cost</w:t>
            </w:r>
          </w:p>
        </w:tc>
      </w:tr>
      <w:tr w:rsidR="00EF22F3" w:rsidRPr="00421F0A" w:rsidTr="00806459">
        <w:tc>
          <w:tcPr>
            <w:tcW w:w="4320" w:type="dxa"/>
          </w:tcPr>
          <w:p w:rsidR="001F0714" w:rsidRDefault="0018383A" w:rsidP="00053A44">
            <w:pPr>
              <w:spacing w:before="100" w:beforeAutospacing="1"/>
              <w:rPr>
                <w:rFonts w:ascii="Arial" w:hAnsi="Arial" w:cs="Arial"/>
                <w:b/>
                <w:sz w:val="20"/>
                <w:szCs w:val="20"/>
              </w:rPr>
            </w:pPr>
            <w:r w:rsidRPr="00806459">
              <w:rPr>
                <w:rFonts w:ascii="Arial" w:hAnsi="Arial" w:cs="Arial"/>
                <w:b/>
                <w:sz w:val="20"/>
                <w:szCs w:val="20"/>
              </w:rPr>
              <w:t>Health Scientist (GS-13</w:t>
            </w:r>
            <w:r w:rsidR="00EF22F3" w:rsidRPr="00806459">
              <w:rPr>
                <w:rFonts w:ascii="Arial" w:hAnsi="Arial" w:cs="Arial"/>
                <w:b/>
                <w:sz w:val="20"/>
                <w:szCs w:val="20"/>
              </w:rPr>
              <w:t>)</w:t>
            </w:r>
          </w:p>
          <w:p w:rsidR="00EF22F3" w:rsidRPr="00806459" w:rsidRDefault="00EF22F3" w:rsidP="00806459">
            <w:pPr>
              <w:rPr>
                <w:rFonts w:ascii="Arial" w:hAnsi="Arial" w:cs="Arial"/>
                <w:b/>
                <w:sz w:val="20"/>
                <w:szCs w:val="20"/>
              </w:rPr>
            </w:pPr>
            <w:r w:rsidRPr="00421F0A">
              <w:rPr>
                <w:rFonts w:ascii="Arial" w:hAnsi="Arial" w:cs="Arial"/>
                <w:sz w:val="20"/>
                <w:szCs w:val="20"/>
              </w:rPr>
              <w:t xml:space="preserve">Lead on review and </w:t>
            </w:r>
            <w:r w:rsidR="001F0714">
              <w:rPr>
                <w:rFonts w:ascii="Arial" w:hAnsi="Arial" w:cs="Arial"/>
                <w:sz w:val="20"/>
                <w:szCs w:val="20"/>
              </w:rPr>
              <w:t>development of</w:t>
            </w:r>
            <w:r w:rsidR="001F0714" w:rsidRPr="00421F0A">
              <w:rPr>
                <w:rFonts w:ascii="Arial" w:hAnsi="Arial" w:cs="Arial"/>
                <w:sz w:val="20"/>
                <w:szCs w:val="20"/>
              </w:rPr>
              <w:t xml:space="preserve"> </w:t>
            </w:r>
            <w:r w:rsidRPr="00421F0A">
              <w:rPr>
                <w:rFonts w:ascii="Arial" w:hAnsi="Arial" w:cs="Arial"/>
                <w:sz w:val="20"/>
                <w:szCs w:val="20"/>
              </w:rPr>
              <w:t>OMB package preparation, data collection, data coding and entry,  quality control, data analysis, report preparation</w:t>
            </w:r>
          </w:p>
        </w:tc>
        <w:tc>
          <w:tcPr>
            <w:tcW w:w="1800" w:type="dxa"/>
            <w:vAlign w:val="center"/>
          </w:tcPr>
          <w:p w:rsidR="00EF22F3" w:rsidRPr="00421F0A" w:rsidRDefault="0018383A" w:rsidP="00B8587F">
            <w:pPr>
              <w:spacing w:before="100" w:beforeAutospacing="1"/>
              <w:jc w:val="center"/>
              <w:rPr>
                <w:rFonts w:ascii="Arial" w:hAnsi="Arial" w:cs="Arial"/>
                <w:sz w:val="20"/>
                <w:szCs w:val="20"/>
              </w:rPr>
            </w:pPr>
            <w:r w:rsidRPr="00421F0A">
              <w:rPr>
                <w:rFonts w:ascii="Arial" w:hAnsi="Arial" w:cs="Arial"/>
                <w:sz w:val="20"/>
                <w:szCs w:val="20"/>
              </w:rPr>
              <w:t>3</w:t>
            </w:r>
            <w:r w:rsidR="00B8587F">
              <w:rPr>
                <w:rFonts w:ascii="Arial" w:hAnsi="Arial" w:cs="Arial"/>
                <w:sz w:val="20"/>
                <w:szCs w:val="20"/>
              </w:rPr>
              <w:t>0</w:t>
            </w:r>
          </w:p>
        </w:tc>
        <w:tc>
          <w:tcPr>
            <w:tcW w:w="1620" w:type="dxa"/>
            <w:vAlign w:val="center"/>
          </w:tcPr>
          <w:p w:rsidR="00EF22F3" w:rsidRPr="00421F0A" w:rsidRDefault="0018383A" w:rsidP="00460154">
            <w:pPr>
              <w:spacing w:before="100" w:beforeAutospacing="1"/>
              <w:jc w:val="center"/>
              <w:rPr>
                <w:rFonts w:ascii="Arial" w:hAnsi="Arial" w:cs="Arial"/>
                <w:sz w:val="20"/>
                <w:szCs w:val="20"/>
              </w:rPr>
            </w:pPr>
            <w:r w:rsidRPr="00421F0A">
              <w:rPr>
                <w:rFonts w:ascii="Arial" w:hAnsi="Arial" w:cs="Arial"/>
                <w:sz w:val="20"/>
                <w:szCs w:val="20"/>
              </w:rPr>
              <w:t>$45</w:t>
            </w:r>
          </w:p>
        </w:tc>
        <w:tc>
          <w:tcPr>
            <w:tcW w:w="1728" w:type="dxa"/>
            <w:vAlign w:val="center"/>
          </w:tcPr>
          <w:p w:rsidR="00EF22F3" w:rsidRPr="00421F0A" w:rsidRDefault="0018383A" w:rsidP="004C5395">
            <w:pPr>
              <w:spacing w:before="100" w:beforeAutospacing="1"/>
              <w:jc w:val="center"/>
              <w:rPr>
                <w:rFonts w:ascii="Arial" w:hAnsi="Arial" w:cs="Arial"/>
                <w:sz w:val="20"/>
                <w:szCs w:val="20"/>
              </w:rPr>
            </w:pPr>
            <w:r w:rsidRPr="00421F0A">
              <w:rPr>
                <w:rFonts w:ascii="Arial" w:hAnsi="Arial" w:cs="Arial"/>
                <w:sz w:val="20"/>
                <w:szCs w:val="20"/>
              </w:rPr>
              <w:t>$135</w:t>
            </w:r>
            <w:r w:rsidR="00B8587F">
              <w:rPr>
                <w:rFonts w:ascii="Arial" w:hAnsi="Arial" w:cs="Arial"/>
                <w:sz w:val="20"/>
                <w:szCs w:val="20"/>
              </w:rPr>
              <w:t>0</w:t>
            </w:r>
            <w:r w:rsidRPr="00421F0A">
              <w:rPr>
                <w:rFonts w:ascii="Arial" w:hAnsi="Arial" w:cs="Arial"/>
                <w:sz w:val="20"/>
                <w:szCs w:val="20"/>
              </w:rPr>
              <w:t>.0</w:t>
            </w:r>
            <w:r w:rsidR="00EF22F3" w:rsidRPr="00421F0A">
              <w:rPr>
                <w:rFonts w:ascii="Arial" w:hAnsi="Arial" w:cs="Arial"/>
                <w:sz w:val="20"/>
                <w:szCs w:val="20"/>
              </w:rPr>
              <w:t>0</w:t>
            </w:r>
          </w:p>
        </w:tc>
      </w:tr>
      <w:tr w:rsidR="00EF22F3" w:rsidRPr="00421F0A" w:rsidTr="00806459">
        <w:tc>
          <w:tcPr>
            <w:tcW w:w="4320" w:type="dxa"/>
          </w:tcPr>
          <w:p w:rsidR="00EF22F3" w:rsidRPr="00421F0A" w:rsidRDefault="00C568EF" w:rsidP="000F2BEA">
            <w:pPr>
              <w:spacing w:before="100" w:beforeAutospacing="1"/>
              <w:rPr>
                <w:rFonts w:ascii="Arial" w:hAnsi="Arial" w:cs="Arial"/>
                <w:sz w:val="20"/>
                <w:szCs w:val="20"/>
              </w:rPr>
            </w:pPr>
            <w:r w:rsidRPr="00806459">
              <w:rPr>
                <w:rFonts w:ascii="Arial" w:hAnsi="Arial" w:cs="Arial"/>
                <w:b/>
                <w:sz w:val="20"/>
                <w:szCs w:val="20"/>
              </w:rPr>
              <w:t xml:space="preserve">Public Health </w:t>
            </w:r>
            <w:r w:rsidR="00160EB3">
              <w:rPr>
                <w:rFonts w:ascii="Arial" w:hAnsi="Arial" w:cs="Arial"/>
                <w:b/>
                <w:sz w:val="20"/>
                <w:szCs w:val="20"/>
              </w:rPr>
              <w:t>Analyst</w:t>
            </w:r>
            <w:r w:rsidR="00160EB3" w:rsidRPr="00806459">
              <w:rPr>
                <w:rFonts w:ascii="Arial" w:hAnsi="Arial" w:cs="Arial"/>
                <w:b/>
                <w:sz w:val="20"/>
                <w:szCs w:val="20"/>
              </w:rPr>
              <w:t xml:space="preserve"> </w:t>
            </w:r>
            <w:r w:rsidRPr="00806459">
              <w:rPr>
                <w:rFonts w:ascii="Arial" w:hAnsi="Arial" w:cs="Arial"/>
                <w:b/>
                <w:sz w:val="20"/>
                <w:szCs w:val="20"/>
              </w:rPr>
              <w:t>(GS-12</w:t>
            </w:r>
            <w:r w:rsidR="00EF22F3" w:rsidRPr="00806459">
              <w:rPr>
                <w:rFonts w:ascii="Arial" w:hAnsi="Arial" w:cs="Arial"/>
                <w:b/>
                <w:sz w:val="20"/>
                <w:szCs w:val="20"/>
              </w:rPr>
              <w:t>)</w:t>
            </w:r>
            <w:r w:rsidR="00EF22F3" w:rsidRPr="00806459">
              <w:rPr>
                <w:rFonts w:ascii="Arial" w:hAnsi="Arial" w:cs="Arial"/>
                <w:sz w:val="20"/>
                <w:szCs w:val="20"/>
              </w:rPr>
              <w:t xml:space="preserve">  </w:t>
            </w:r>
            <w:r w:rsidR="0018383A" w:rsidRPr="00CC165C">
              <w:rPr>
                <w:rFonts w:ascii="Arial" w:hAnsi="Arial" w:cs="Arial"/>
                <w:sz w:val="20"/>
                <w:szCs w:val="20"/>
              </w:rPr>
              <w:t>Consultation</w:t>
            </w:r>
            <w:r w:rsidR="00EF22F3" w:rsidRPr="00CC165C">
              <w:rPr>
                <w:rFonts w:ascii="Arial" w:hAnsi="Arial" w:cs="Arial"/>
                <w:sz w:val="20"/>
                <w:szCs w:val="20"/>
              </w:rPr>
              <w:t>,</w:t>
            </w:r>
            <w:r w:rsidR="00EF22F3" w:rsidRPr="00421F0A">
              <w:rPr>
                <w:rFonts w:ascii="Arial" w:hAnsi="Arial" w:cs="Arial"/>
                <w:sz w:val="20"/>
                <w:szCs w:val="20"/>
              </w:rPr>
              <w:t xml:space="preserve"> </w:t>
            </w:r>
            <w:r w:rsidR="0018383A" w:rsidRPr="00421F0A">
              <w:rPr>
                <w:rFonts w:ascii="Arial" w:hAnsi="Arial" w:cs="Arial"/>
                <w:sz w:val="20"/>
                <w:szCs w:val="20"/>
              </w:rPr>
              <w:t>OMB package review</w:t>
            </w:r>
            <w:r w:rsidR="00EF22F3" w:rsidRPr="00421F0A">
              <w:rPr>
                <w:rFonts w:ascii="Arial" w:hAnsi="Arial" w:cs="Arial"/>
                <w:sz w:val="20"/>
                <w:szCs w:val="20"/>
              </w:rPr>
              <w:t>,  report preparation</w:t>
            </w:r>
            <w:r w:rsidR="000F2BEA">
              <w:rPr>
                <w:rFonts w:ascii="Arial" w:hAnsi="Arial" w:cs="Arial"/>
                <w:sz w:val="20"/>
                <w:szCs w:val="20"/>
              </w:rPr>
              <w:t xml:space="preserve"> and review</w:t>
            </w:r>
          </w:p>
        </w:tc>
        <w:tc>
          <w:tcPr>
            <w:tcW w:w="1800" w:type="dxa"/>
            <w:vAlign w:val="center"/>
          </w:tcPr>
          <w:p w:rsidR="00EF22F3" w:rsidRPr="00421F0A" w:rsidRDefault="0018383A" w:rsidP="00171719">
            <w:pPr>
              <w:spacing w:before="100" w:beforeAutospacing="1"/>
              <w:jc w:val="center"/>
              <w:rPr>
                <w:rFonts w:ascii="Arial" w:hAnsi="Arial" w:cs="Arial"/>
                <w:sz w:val="20"/>
                <w:szCs w:val="20"/>
              </w:rPr>
            </w:pPr>
            <w:r w:rsidRPr="00421F0A">
              <w:rPr>
                <w:rFonts w:ascii="Arial" w:hAnsi="Arial" w:cs="Arial"/>
                <w:sz w:val="20"/>
                <w:szCs w:val="20"/>
              </w:rPr>
              <w:t>1</w:t>
            </w:r>
            <w:r w:rsidR="000F2BEA">
              <w:rPr>
                <w:rFonts w:ascii="Arial" w:hAnsi="Arial" w:cs="Arial"/>
                <w:sz w:val="20"/>
                <w:szCs w:val="20"/>
              </w:rPr>
              <w:t>1</w:t>
            </w:r>
          </w:p>
        </w:tc>
        <w:tc>
          <w:tcPr>
            <w:tcW w:w="1620" w:type="dxa"/>
            <w:vAlign w:val="center"/>
          </w:tcPr>
          <w:p w:rsidR="00EF22F3" w:rsidRPr="00421F0A" w:rsidRDefault="00EF22F3" w:rsidP="00460154">
            <w:pPr>
              <w:spacing w:before="100" w:beforeAutospacing="1"/>
              <w:jc w:val="center"/>
              <w:rPr>
                <w:rFonts w:ascii="Arial" w:hAnsi="Arial" w:cs="Arial"/>
                <w:sz w:val="20"/>
                <w:szCs w:val="20"/>
              </w:rPr>
            </w:pPr>
            <w:r w:rsidRPr="00421F0A">
              <w:rPr>
                <w:rFonts w:ascii="Arial" w:hAnsi="Arial" w:cs="Arial"/>
                <w:sz w:val="20"/>
                <w:szCs w:val="20"/>
              </w:rPr>
              <w:t>$</w:t>
            </w:r>
            <w:r w:rsidR="0018383A" w:rsidRPr="00421F0A">
              <w:rPr>
                <w:rFonts w:ascii="Arial" w:hAnsi="Arial" w:cs="Arial"/>
                <w:sz w:val="20"/>
                <w:szCs w:val="20"/>
              </w:rPr>
              <w:t>40</w:t>
            </w:r>
          </w:p>
        </w:tc>
        <w:tc>
          <w:tcPr>
            <w:tcW w:w="1728" w:type="dxa"/>
            <w:vAlign w:val="center"/>
          </w:tcPr>
          <w:p w:rsidR="00EF22F3" w:rsidRPr="00421F0A" w:rsidRDefault="00EF22F3" w:rsidP="00460154">
            <w:pPr>
              <w:spacing w:before="100" w:beforeAutospacing="1"/>
              <w:jc w:val="center"/>
              <w:rPr>
                <w:rFonts w:ascii="Arial" w:hAnsi="Arial" w:cs="Arial"/>
                <w:sz w:val="20"/>
                <w:szCs w:val="20"/>
              </w:rPr>
            </w:pPr>
            <w:r w:rsidRPr="00421F0A">
              <w:rPr>
                <w:rFonts w:ascii="Arial" w:hAnsi="Arial" w:cs="Arial"/>
                <w:sz w:val="20"/>
                <w:szCs w:val="20"/>
              </w:rPr>
              <w:t>$</w:t>
            </w:r>
            <w:r w:rsidR="0018383A" w:rsidRPr="00421F0A">
              <w:rPr>
                <w:rFonts w:ascii="Arial" w:hAnsi="Arial" w:cs="Arial"/>
                <w:sz w:val="20"/>
                <w:szCs w:val="20"/>
              </w:rPr>
              <w:t>4</w:t>
            </w:r>
            <w:r w:rsidR="00F3309B">
              <w:rPr>
                <w:rFonts w:ascii="Arial" w:hAnsi="Arial" w:cs="Arial"/>
                <w:sz w:val="20"/>
                <w:szCs w:val="20"/>
              </w:rPr>
              <w:t>4</w:t>
            </w:r>
            <w:r w:rsidR="0018383A" w:rsidRPr="00421F0A">
              <w:rPr>
                <w:rFonts w:ascii="Arial" w:hAnsi="Arial" w:cs="Arial"/>
                <w:sz w:val="20"/>
                <w:szCs w:val="20"/>
              </w:rPr>
              <w:t>0</w:t>
            </w:r>
            <w:r w:rsidRPr="00421F0A">
              <w:rPr>
                <w:rFonts w:ascii="Arial" w:hAnsi="Arial" w:cs="Arial"/>
                <w:sz w:val="20"/>
                <w:szCs w:val="20"/>
              </w:rPr>
              <w:t>.00</w:t>
            </w:r>
          </w:p>
        </w:tc>
      </w:tr>
      <w:tr w:rsidR="00EF22F3" w:rsidRPr="00421F0A" w:rsidTr="00806459">
        <w:tc>
          <w:tcPr>
            <w:tcW w:w="4320" w:type="dxa"/>
          </w:tcPr>
          <w:p w:rsidR="00EF22F3" w:rsidRPr="00421F0A" w:rsidRDefault="0018383A" w:rsidP="00053A44">
            <w:pPr>
              <w:spacing w:before="100" w:beforeAutospacing="1"/>
              <w:rPr>
                <w:rFonts w:ascii="Arial" w:hAnsi="Arial" w:cs="Arial"/>
                <w:sz w:val="20"/>
                <w:szCs w:val="20"/>
              </w:rPr>
            </w:pPr>
            <w:r w:rsidRPr="00421F0A">
              <w:rPr>
                <w:rFonts w:ascii="Arial" w:hAnsi="Arial" w:cs="Arial"/>
                <w:b/>
                <w:sz w:val="20"/>
                <w:szCs w:val="20"/>
              </w:rPr>
              <w:t>2 Business Analysts (Contractors to CDC</w:t>
            </w:r>
            <w:r w:rsidR="00EF22F3" w:rsidRPr="00421F0A">
              <w:rPr>
                <w:rFonts w:ascii="Arial" w:hAnsi="Arial" w:cs="Arial"/>
                <w:b/>
                <w:sz w:val="20"/>
                <w:szCs w:val="20"/>
              </w:rPr>
              <w:t>)</w:t>
            </w:r>
            <w:r w:rsidR="00EF22F3" w:rsidRPr="00421F0A">
              <w:rPr>
                <w:rFonts w:ascii="Arial" w:hAnsi="Arial" w:cs="Arial"/>
                <w:sz w:val="20"/>
                <w:szCs w:val="20"/>
              </w:rPr>
              <w:t xml:space="preserve"> </w:t>
            </w:r>
            <w:r w:rsidR="00053A44">
              <w:rPr>
                <w:rFonts w:ascii="Arial" w:hAnsi="Arial" w:cs="Arial"/>
                <w:sz w:val="20"/>
                <w:szCs w:val="20"/>
              </w:rPr>
              <w:t>OMB package preparation, d</w:t>
            </w:r>
            <w:r w:rsidR="00EF22F3" w:rsidRPr="00421F0A">
              <w:rPr>
                <w:rFonts w:ascii="Arial" w:hAnsi="Arial" w:cs="Arial"/>
                <w:sz w:val="20"/>
                <w:szCs w:val="20"/>
              </w:rPr>
              <w:t>ata collection, data coding and entry, quality control, data analysis, report preparation</w:t>
            </w:r>
          </w:p>
        </w:tc>
        <w:tc>
          <w:tcPr>
            <w:tcW w:w="1800" w:type="dxa"/>
            <w:vAlign w:val="center"/>
          </w:tcPr>
          <w:p w:rsidR="00EF22F3" w:rsidRPr="00421F0A" w:rsidRDefault="004C5395" w:rsidP="00F3309B">
            <w:pPr>
              <w:spacing w:before="100" w:beforeAutospacing="1"/>
              <w:jc w:val="center"/>
              <w:rPr>
                <w:rFonts w:ascii="Arial" w:hAnsi="Arial" w:cs="Arial"/>
                <w:sz w:val="20"/>
                <w:szCs w:val="20"/>
              </w:rPr>
            </w:pPr>
            <w:r>
              <w:rPr>
                <w:rFonts w:ascii="Arial" w:hAnsi="Arial" w:cs="Arial"/>
                <w:sz w:val="20"/>
                <w:szCs w:val="20"/>
              </w:rPr>
              <w:t>4</w:t>
            </w:r>
            <w:r w:rsidR="00F3309B">
              <w:rPr>
                <w:rFonts w:ascii="Arial" w:hAnsi="Arial" w:cs="Arial"/>
                <w:sz w:val="20"/>
                <w:szCs w:val="20"/>
              </w:rPr>
              <w:t>0</w:t>
            </w:r>
            <w:r w:rsidR="00053A44">
              <w:rPr>
                <w:rFonts w:ascii="Arial" w:hAnsi="Arial" w:cs="Arial"/>
                <w:sz w:val="20"/>
                <w:szCs w:val="20"/>
              </w:rPr>
              <w:t>(2)</w:t>
            </w:r>
          </w:p>
        </w:tc>
        <w:tc>
          <w:tcPr>
            <w:tcW w:w="1620" w:type="dxa"/>
            <w:vAlign w:val="center"/>
          </w:tcPr>
          <w:p w:rsidR="00EF22F3" w:rsidRPr="00421F0A" w:rsidRDefault="00EF22F3" w:rsidP="00460154">
            <w:pPr>
              <w:spacing w:before="100" w:beforeAutospacing="1"/>
              <w:jc w:val="center"/>
              <w:rPr>
                <w:rFonts w:ascii="Arial" w:hAnsi="Arial" w:cs="Arial"/>
                <w:sz w:val="20"/>
                <w:szCs w:val="20"/>
              </w:rPr>
            </w:pPr>
            <w:r w:rsidRPr="00421F0A">
              <w:rPr>
                <w:rFonts w:ascii="Arial" w:hAnsi="Arial" w:cs="Arial"/>
                <w:sz w:val="20"/>
                <w:szCs w:val="20"/>
              </w:rPr>
              <w:t>$</w:t>
            </w:r>
            <w:r w:rsidR="0018383A" w:rsidRPr="00421F0A">
              <w:rPr>
                <w:rFonts w:ascii="Arial" w:hAnsi="Arial" w:cs="Arial"/>
                <w:sz w:val="20"/>
                <w:szCs w:val="20"/>
              </w:rPr>
              <w:t>30</w:t>
            </w:r>
          </w:p>
        </w:tc>
        <w:tc>
          <w:tcPr>
            <w:tcW w:w="1728" w:type="dxa"/>
            <w:vAlign w:val="center"/>
          </w:tcPr>
          <w:p w:rsidR="00EF22F3" w:rsidRPr="00421F0A" w:rsidRDefault="00EF22F3" w:rsidP="00460154">
            <w:pPr>
              <w:spacing w:before="100" w:beforeAutospacing="1"/>
              <w:jc w:val="center"/>
              <w:rPr>
                <w:rFonts w:ascii="Arial" w:hAnsi="Arial" w:cs="Arial"/>
                <w:sz w:val="20"/>
                <w:szCs w:val="20"/>
              </w:rPr>
            </w:pPr>
            <w:r w:rsidRPr="00421F0A">
              <w:rPr>
                <w:rFonts w:ascii="Arial" w:hAnsi="Arial" w:cs="Arial"/>
                <w:sz w:val="20"/>
                <w:szCs w:val="20"/>
              </w:rPr>
              <w:t>$</w:t>
            </w:r>
            <w:r w:rsidR="00F3309B">
              <w:rPr>
                <w:rFonts w:ascii="Arial" w:hAnsi="Arial" w:cs="Arial"/>
                <w:sz w:val="20"/>
                <w:szCs w:val="20"/>
              </w:rPr>
              <w:t>24</w:t>
            </w:r>
            <w:r w:rsidR="0018383A" w:rsidRPr="00421F0A">
              <w:rPr>
                <w:rFonts w:ascii="Arial" w:hAnsi="Arial" w:cs="Arial"/>
                <w:sz w:val="20"/>
                <w:szCs w:val="20"/>
              </w:rPr>
              <w:t>00.0</w:t>
            </w:r>
            <w:r w:rsidRPr="00421F0A">
              <w:rPr>
                <w:rFonts w:ascii="Arial" w:hAnsi="Arial" w:cs="Arial"/>
                <w:sz w:val="20"/>
                <w:szCs w:val="20"/>
              </w:rPr>
              <w:t>0</w:t>
            </w:r>
          </w:p>
        </w:tc>
      </w:tr>
      <w:tr w:rsidR="00EF22F3" w:rsidRPr="00421F0A" w:rsidTr="00466988">
        <w:tc>
          <w:tcPr>
            <w:tcW w:w="7740" w:type="dxa"/>
            <w:gridSpan w:val="3"/>
          </w:tcPr>
          <w:p w:rsidR="00EF22F3" w:rsidRPr="00421F0A" w:rsidRDefault="00EF22F3" w:rsidP="00466988">
            <w:pPr>
              <w:spacing w:before="100" w:beforeAutospacing="1" w:after="100" w:afterAutospacing="1"/>
              <w:jc w:val="right"/>
              <w:rPr>
                <w:rFonts w:ascii="Arial" w:hAnsi="Arial" w:cs="Arial"/>
                <w:b/>
                <w:sz w:val="20"/>
                <w:szCs w:val="20"/>
              </w:rPr>
            </w:pPr>
            <w:r w:rsidRPr="00421F0A">
              <w:rPr>
                <w:rFonts w:ascii="Arial" w:hAnsi="Arial" w:cs="Arial"/>
                <w:b/>
                <w:sz w:val="20"/>
                <w:szCs w:val="20"/>
              </w:rPr>
              <w:t xml:space="preserve">Estimated Total Cost of Information Collection </w:t>
            </w:r>
          </w:p>
        </w:tc>
        <w:tc>
          <w:tcPr>
            <w:tcW w:w="1728" w:type="dxa"/>
          </w:tcPr>
          <w:p w:rsidR="00EF22F3" w:rsidRPr="00421F0A" w:rsidRDefault="00EF22F3" w:rsidP="00FB0E49">
            <w:pPr>
              <w:spacing w:before="100" w:beforeAutospacing="1" w:after="100" w:afterAutospacing="1"/>
              <w:jc w:val="center"/>
              <w:rPr>
                <w:rFonts w:ascii="Arial" w:hAnsi="Arial" w:cs="Arial"/>
                <w:sz w:val="20"/>
                <w:szCs w:val="20"/>
              </w:rPr>
            </w:pPr>
            <w:r w:rsidRPr="00421F0A">
              <w:rPr>
                <w:rFonts w:ascii="Arial" w:hAnsi="Arial" w:cs="Arial"/>
                <w:sz w:val="20"/>
                <w:szCs w:val="20"/>
              </w:rPr>
              <w:t>$</w:t>
            </w:r>
            <w:r w:rsidR="00B8587F">
              <w:rPr>
                <w:rFonts w:ascii="Arial" w:hAnsi="Arial" w:cs="Arial"/>
                <w:sz w:val="20"/>
                <w:szCs w:val="20"/>
              </w:rPr>
              <w:t>4</w:t>
            </w:r>
            <w:r w:rsidR="009F4429">
              <w:rPr>
                <w:rFonts w:ascii="Arial" w:hAnsi="Arial" w:cs="Arial"/>
                <w:sz w:val="20"/>
                <w:szCs w:val="20"/>
              </w:rPr>
              <w:t>190</w:t>
            </w:r>
            <w:r w:rsidR="0018383A" w:rsidRPr="00421F0A">
              <w:rPr>
                <w:rFonts w:ascii="Arial" w:hAnsi="Arial" w:cs="Arial"/>
                <w:sz w:val="20"/>
                <w:szCs w:val="20"/>
              </w:rPr>
              <w:t>.00</w:t>
            </w:r>
          </w:p>
        </w:tc>
      </w:tr>
      <w:bookmarkEnd w:id="1"/>
      <w:bookmarkEnd w:id="2"/>
    </w:tbl>
    <w:p w:rsidR="00EF22F3" w:rsidRPr="00421F0A" w:rsidRDefault="00EF22F3" w:rsidP="00EF22F3">
      <w:pPr>
        <w:tabs>
          <w:tab w:val="left" w:pos="-1440"/>
          <w:tab w:val="left" w:pos="-720"/>
        </w:tabs>
        <w:autoSpaceDE w:val="0"/>
        <w:autoSpaceDN w:val="0"/>
        <w:adjustRightInd w:val="0"/>
        <w:ind w:right="720"/>
        <w:rPr>
          <w:rFonts w:ascii="Arial" w:hAnsi="Arial" w:cs="Arial"/>
          <w:sz w:val="20"/>
          <w:szCs w:val="20"/>
        </w:rPr>
      </w:pPr>
    </w:p>
    <w:p w:rsidR="00EF22F3" w:rsidRPr="00421F0A" w:rsidRDefault="00EF22F3" w:rsidP="00EF22F3">
      <w:pPr>
        <w:tabs>
          <w:tab w:val="left" w:pos="-1440"/>
          <w:tab w:val="left" w:pos="-720"/>
        </w:tabs>
        <w:autoSpaceDE w:val="0"/>
        <w:autoSpaceDN w:val="0"/>
        <w:adjustRightInd w:val="0"/>
        <w:ind w:right="720"/>
        <w:rPr>
          <w:rFonts w:ascii="Arial" w:hAnsi="Arial" w:cs="Arial"/>
          <w:sz w:val="20"/>
          <w:szCs w:val="20"/>
        </w:rPr>
      </w:pPr>
    </w:p>
    <w:p w:rsidR="00C568EF" w:rsidRPr="00421F0A" w:rsidRDefault="00C568EF" w:rsidP="0089561F">
      <w:pPr>
        <w:tabs>
          <w:tab w:val="left" w:pos="-1440"/>
          <w:tab w:val="left" w:pos="-720"/>
        </w:tabs>
        <w:autoSpaceDE w:val="0"/>
        <w:autoSpaceDN w:val="0"/>
        <w:adjustRightInd w:val="0"/>
        <w:ind w:right="720"/>
        <w:rPr>
          <w:rFonts w:ascii="Arial" w:hAnsi="Arial" w:cs="Arial"/>
          <w:sz w:val="20"/>
          <w:szCs w:val="20"/>
          <w:u w:val="single"/>
        </w:rPr>
      </w:pPr>
    </w:p>
    <w:p w:rsidR="00C568EF" w:rsidRPr="00421F0A" w:rsidRDefault="00C568EF" w:rsidP="00EF22F3">
      <w:pPr>
        <w:tabs>
          <w:tab w:val="left" w:pos="-1440"/>
          <w:tab w:val="left" w:pos="-720"/>
        </w:tabs>
        <w:autoSpaceDE w:val="0"/>
        <w:autoSpaceDN w:val="0"/>
        <w:adjustRightInd w:val="0"/>
        <w:ind w:left="270" w:right="720"/>
        <w:rPr>
          <w:rFonts w:ascii="Arial" w:hAnsi="Arial" w:cs="Arial"/>
          <w:sz w:val="20"/>
          <w:szCs w:val="20"/>
          <w:u w:val="single"/>
        </w:rPr>
      </w:pPr>
    </w:p>
    <w:p w:rsidR="00162071" w:rsidRPr="00421F0A" w:rsidRDefault="00162071"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9F4429" w:rsidRDefault="009F4429" w:rsidP="00EF22F3">
      <w:pPr>
        <w:tabs>
          <w:tab w:val="left" w:pos="-1440"/>
          <w:tab w:val="left" w:pos="-720"/>
        </w:tabs>
        <w:autoSpaceDE w:val="0"/>
        <w:autoSpaceDN w:val="0"/>
        <w:adjustRightInd w:val="0"/>
        <w:ind w:left="270" w:right="720"/>
        <w:rPr>
          <w:rFonts w:ascii="Arial" w:hAnsi="Arial" w:cs="Arial"/>
          <w:sz w:val="20"/>
          <w:szCs w:val="20"/>
          <w:u w:val="single"/>
        </w:rPr>
      </w:pPr>
    </w:p>
    <w:p w:rsidR="00162071" w:rsidRPr="00421F0A" w:rsidRDefault="000F2BEA" w:rsidP="00EF22F3">
      <w:pPr>
        <w:tabs>
          <w:tab w:val="left" w:pos="-1440"/>
          <w:tab w:val="left" w:pos="-720"/>
        </w:tabs>
        <w:autoSpaceDE w:val="0"/>
        <w:autoSpaceDN w:val="0"/>
        <w:adjustRightInd w:val="0"/>
        <w:ind w:left="270" w:right="720"/>
        <w:rPr>
          <w:rFonts w:ascii="Arial" w:hAnsi="Arial" w:cs="Arial"/>
          <w:sz w:val="20"/>
          <w:szCs w:val="20"/>
          <w:u w:val="single"/>
        </w:rPr>
      </w:pPr>
      <w:r w:rsidRPr="00FB0E49">
        <w:rPr>
          <w:rFonts w:ascii="Arial" w:hAnsi="Arial" w:cs="Arial"/>
          <w:sz w:val="20"/>
          <w:szCs w:val="20"/>
        </w:rPr>
        <w:t xml:space="preserve">The majority of hours contributed by </w:t>
      </w:r>
      <w:r w:rsidR="00B24B24" w:rsidRPr="00FB0E49">
        <w:rPr>
          <w:rFonts w:ascii="Arial" w:hAnsi="Arial" w:cs="Arial"/>
          <w:sz w:val="20"/>
          <w:szCs w:val="20"/>
        </w:rPr>
        <w:t>all staff and contractors listed in Table A-14</w:t>
      </w:r>
      <w:r w:rsidRPr="00FB0E49">
        <w:rPr>
          <w:rFonts w:ascii="Arial" w:hAnsi="Arial" w:cs="Arial"/>
          <w:sz w:val="20"/>
          <w:szCs w:val="20"/>
        </w:rPr>
        <w:t xml:space="preserve"> are </w:t>
      </w:r>
      <w:r w:rsidR="004C5395" w:rsidRPr="00FB0E49">
        <w:rPr>
          <w:rFonts w:ascii="Arial" w:hAnsi="Arial" w:cs="Arial"/>
          <w:sz w:val="20"/>
          <w:szCs w:val="20"/>
        </w:rPr>
        <w:t>for the</w:t>
      </w:r>
      <w:r w:rsidRPr="00FB0E49">
        <w:rPr>
          <w:rFonts w:ascii="Arial" w:hAnsi="Arial" w:cs="Arial"/>
          <w:sz w:val="20"/>
          <w:szCs w:val="20"/>
        </w:rPr>
        <w:t xml:space="preserve"> initial OMB package preparation.  Therefore, hours contributed by each staff or contractor will be less during subsequent data collection periods.  It is estimated that the Hea</w:t>
      </w:r>
      <w:r w:rsidR="00B24B24" w:rsidRPr="00FB0E49">
        <w:rPr>
          <w:rFonts w:ascii="Arial" w:hAnsi="Arial" w:cs="Arial"/>
          <w:sz w:val="20"/>
          <w:szCs w:val="20"/>
        </w:rPr>
        <w:t xml:space="preserve">lth Scientist will contribute </w:t>
      </w:r>
      <w:r w:rsidR="00B8587F" w:rsidRPr="00FB0E49">
        <w:rPr>
          <w:rFonts w:ascii="Arial" w:hAnsi="Arial" w:cs="Arial"/>
          <w:sz w:val="20"/>
          <w:szCs w:val="20"/>
        </w:rPr>
        <w:t>10</w:t>
      </w:r>
      <w:r w:rsidRPr="00FB0E49">
        <w:rPr>
          <w:rFonts w:ascii="Arial" w:hAnsi="Arial" w:cs="Arial"/>
          <w:sz w:val="20"/>
          <w:szCs w:val="20"/>
        </w:rPr>
        <w:t xml:space="preserve"> hours for the initial data collection period and 5 hours for each remaining period.  The Public Health Analyst hours will </w:t>
      </w:r>
      <w:r w:rsidR="004C5395" w:rsidRPr="00FB0E49">
        <w:rPr>
          <w:rFonts w:ascii="Arial" w:hAnsi="Arial" w:cs="Arial"/>
          <w:sz w:val="20"/>
          <w:szCs w:val="20"/>
        </w:rPr>
        <w:t xml:space="preserve">be </w:t>
      </w:r>
      <w:r w:rsidRPr="00FB0E49">
        <w:rPr>
          <w:rFonts w:ascii="Arial" w:hAnsi="Arial" w:cs="Arial"/>
          <w:sz w:val="20"/>
          <w:szCs w:val="20"/>
        </w:rPr>
        <w:t xml:space="preserve">similarly distributed with 3 hours spent in the initial data collection period and 2 hours for </w:t>
      </w:r>
      <w:r w:rsidR="004C5395" w:rsidRPr="00FB0E49">
        <w:rPr>
          <w:rFonts w:ascii="Arial" w:hAnsi="Arial" w:cs="Arial"/>
          <w:sz w:val="20"/>
          <w:szCs w:val="20"/>
        </w:rPr>
        <w:t xml:space="preserve">each of </w:t>
      </w:r>
      <w:r w:rsidRPr="00FB0E49">
        <w:rPr>
          <w:rFonts w:ascii="Arial" w:hAnsi="Arial" w:cs="Arial"/>
          <w:sz w:val="20"/>
          <w:szCs w:val="20"/>
        </w:rPr>
        <w:t xml:space="preserve">the following periods. Both business analysts will contribute </w:t>
      </w:r>
      <w:r w:rsidR="004C5395" w:rsidRPr="00FB0E49">
        <w:rPr>
          <w:rFonts w:ascii="Arial" w:hAnsi="Arial" w:cs="Arial"/>
          <w:sz w:val="20"/>
          <w:szCs w:val="20"/>
        </w:rPr>
        <w:t>2</w:t>
      </w:r>
      <w:r w:rsidR="00F3309B" w:rsidRPr="00FB0E49">
        <w:rPr>
          <w:rFonts w:ascii="Arial" w:hAnsi="Arial" w:cs="Arial"/>
          <w:sz w:val="20"/>
          <w:szCs w:val="20"/>
        </w:rPr>
        <w:t>0</w:t>
      </w:r>
      <w:r w:rsidRPr="00FB0E49">
        <w:rPr>
          <w:rFonts w:ascii="Arial" w:hAnsi="Arial" w:cs="Arial"/>
          <w:sz w:val="20"/>
          <w:szCs w:val="20"/>
        </w:rPr>
        <w:t xml:space="preserve"> hours to the initial data collection period and 5 hours for the subsequent periods.</w:t>
      </w:r>
    </w:p>
    <w:p w:rsidR="00541D9C" w:rsidRDefault="00541D9C" w:rsidP="00541D9C">
      <w:pPr>
        <w:pStyle w:val="ListParagraph"/>
        <w:tabs>
          <w:tab w:val="left" w:pos="-1440"/>
          <w:tab w:val="left" w:pos="-720"/>
        </w:tabs>
        <w:autoSpaceDE w:val="0"/>
        <w:autoSpaceDN w:val="0"/>
        <w:adjustRightInd w:val="0"/>
        <w:ind w:left="540" w:right="720"/>
        <w:rPr>
          <w:rFonts w:ascii="Arial" w:hAnsi="Arial" w:cs="Arial"/>
          <w:sz w:val="22"/>
          <w:szCs w:val="22"/>
        </w:rPr>
      </w:pPr>
    </w:p>
    <w:p w:rsidR="00EF22F3" w:rsidRPr="00806459" w:rsidRDefault="00FD7946" w:rsidP="00EF22F3">
      <w:pPr>
        <w:pStyle w:val="ListParagraph"/>
        <w:numPr>
          <w:ilvl w:val="0"/>
          <w:numId w:val="1"/>
        </w:numPr>
        <w:tabs>
          <w:tab w:val="left" w:pos="-1440"/>
          <w:tab w:val="left" w:pos="-720"/>
        </w:tabs>
        <w:autoSpaceDE w:val="0"/>
        <w:autoSpaceDN w:val="0"/>
        <w:adjustRightInd w:val="0"/>
        <w:ind w:right="720"/>
        <w:rPr>
          <w:rFonts w:ascii="Arial" w:hAnsi="Arial" w:cs="Arial"/>
          <w:sz w:val="22"/>
          <w:szCs w:val="22"/>
        </w:rPr>
      </w:pPr>
      <w:r>
        <w:rPr>
          <w:rFonts w:ascii="Arial" w:hAnsi="Arial" w:cs="Arial"/>
          <w:sz w:val="22"/>
          <w:szCs w:val="22"/>
          <w:u w:val="single"/>
        </w:rPr>
        <w:t>Reason for</w:t>
      </w:r>
      <w:r w:rsidR="00EF22F3" w:rsidRPr="00806459">
        <w:rPr>
          <w:rFonts w:ascii="Arial" w:hAnsi="Arial" w:cs="Arial"/>
          <w:sz w:val="22"/>
          <w:szCs w:val="22"/>
          <w:u w:val="single"/>
        </w:rPr>
        <w:t xml:space="preserve"> Changes </w:t>
      </w:r>
    </w:p>
    <w:p w:rsidR="00EF22F3" w:rsidRPr="00421F0A"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p>
    <w:p w:rsidR="00EF22F3" w:rsidRPr="0089561F" w:rsidRDefault="00EF22F3" w:rsidP="00EF22F3">
      <w:pPr>
        <w:pStyle w:val="ListParagraph"/>
        <w:tabs>
          <w:tab w:val="left" w:pos="-1440"/>
          <w:tab w:val="left" w:pos="-720"/>
        </w:tabs>
        <w:autoSpaceDE w:val="0"/>
        <w:autoSpaceDN w:val="0"/>
        <w:adjustRightInd w:val="0"/>
        <w:ind w:right="720"/>
        <w:outlineLvl w:val="0"/>
        <w:rPr>
          <w:rFonts w:ascii="Arial" w:hAnsi="Arial" w:cs="Arial"/>
          <w:sz w:val="20"/>
          <w:szCs w:val="20"/>
        </w:rPr>
      </w:pPr>
      <w:r w:rsidRPr="00421F0A">
        <w:rPr>
          <w:rFonts w:ascii="Arial" w:hAnsi="Arial" w:cs="Arial"/>
          <w:sz w:val="20"/>
          <w:szCs w:val="20"/>
        </w:rPr>
        <w:t xml:space="preserve">This is </w:t>
      </w:r>
      <w:r w:rsidR="00FD7946">
        <w:rPr>
          <w:rFonts w:ascii="Arial" w:hAnsi="Arial" w:cs="Arial"/>
          <w:sz w:val="20"/>
          <w:szCs w:val="20"/>
        </w:rPr>
        <w:t xml:space="preserve">a </w:t>
      </w:r>
      <w:r w:rsidRPr="00421F0A">
        <w:rPr>
          <w:rFonts w:ascii="Arial" w:hAnsi="Arial" w:cs="Arial"/>
          <w:sz w:val="20"/>
          <w:szCs w:val="20"/>
        </w:rPr>
        <w:t>new data collection.</w:t>
      </w:r>
    </w:p>
    <w:p w:rsidR="00EF22F3" w:rsidRPr="0089561F" w:rsidRDefault="00EF22F3" w:rsidP="00EF22F3">
      <w:pPr>
        <w:tabs>
          <w:tab w:val="left" w:pos="-1440"/>
          <w:tab w:val="left" w:pos="-720"/>
        </w:tabs>
        <w:autoSpaceDE w:val="0"/>
        <w:autoSpaceDN w:val="0"/>
        <w:adjustRightInd w:val="0"/>
        <w:ind w:right="720"/>
        <w:rPr>
          <w:rFonts w:ascii="Arial" w:hAnsi="Arial" w:cs="Arial"/>
          <w:sz w:val="20"/>
          <w:szCs w:val="20"/>
        </w:rPr>
      </w:pPr>
    </w:p>
    <w:p w:rsidR="00EF22F3" w:rsidRPr="00806459" w:rsidRDefault="00EF22F3" w:rsidP="00FF0ED3">
      <w:pPr>
        <w:pStyle w:val="ListParagraph"/>
        <w:numPr>
          <w:ilvl w:val="0"/>
          <w:numId w:val="1"/>
        </w:numPr>
        <w:tabs>
          <w:tab w:val="left" w:pos="-1440"/>
          <w:tab w:val="left" w:pos="-720"/>
        </w:tabs>
        <w:autoSpaceDE w:val="0"/>
        <w:autoSpaceDN w:val="0"/>
        <w:adjustRightInd w:val="0"/>
        <w:ind w:right="720"/>
        <w:rPr>
          <w:rFonts w:ascii="Arial" w:hAnsi="Arial" w:cs="Arial"/>
          <w:sz w:val="22"/>
          <w:szCs w:val="22"/>
          <w:u w:val="single"/>
        </w:rPr>
      </w:pPr>
      <w:r w:rsidRPr="00806459">
        <w:rPr>
          <w:rFonts w:ascii="Arial" w:hAnsi="Arial" w:cs="Arial"/>
          <w:sz w:val="22"/>
          <w:szCs w:val="22"/>
          <w:u w:val="single"/>
        </w:rPr>
        <w:t xml:space="preserve">Tabulation </w:t>
      </w:r>
      <w:r w:rsidR="00FF0ED3" w:rsidRPr="00FF0ED3">
        <w:rPr>
          <w:rFonts w:ascii="Arial" w:hAnsi="Arial" w:cs="Arial"/>
          <w:sz w:val="22"/>
          <w:szCs w:val="22"/>
          <w:u w:val="single"/>
        </w:rPr>
        <w:t xml:space="preserve">of Results, Schedule, and Analysis Plan  </w:t>
      </w:r>
    </w:p>
    <w:p w:rsidR="00EF22F3" w:rsidRPr="0089561F" w:rsidRDefault="00EF22F3" w:rsidP="00EF22F3">
      <w:pPr>
        <w:pStyle w:val="ListParagraph"/>
        <w:tabs>
          <w:tab w:val="left" w:pos="-1440"/>
          <w:tab w:val="left" w:pos="-720"/>
        </w:tabs>
        <w:autoSpaceDE w:val="0"/>
        <w:autoSpaceDN w:val="0"/>
        <w:adjustRightInd w:val="0"/>
        <w:ind w:left="630" w:right="720"/>
        <w:rPr>
          <w:rFonts w:ascii="Arial" w:hAnsi="Arial" w:cs="Arial"/>
          <w:sz w:val="20"/>
          <w:szCs w:val="20"/>
          <w:u w:val="single"/>
        </w:rPr>
      </w:pPr>
    </w:p>
    <w:p w:rsidR="00F7719B" w:rsidRDefault="004640DD" w:rsidP="00F7719B">
      <w:pPr>
        <w:pStyle w:val="ListParagraph"/>
        <w:tabs>
          <w:tab w:val="left" w:pos="-1440"/>
          <w:tab w:val="left" w:pos="-720"/>
        </w:tabs>
        <w:autoSpaceDE w:val="0"/>
        <w:autoSpaceDN w:val="0"/>
        <w:adjustRightInd w:val="0"/>
        <w:ind w:right="720"/>
        <w:rPr>
          <w:rFonts w:ascii="Arial" w:hAnsi="Arial" w:cs="Arial"/>
          <w:sz w:val="20"/>
          <w:szCs w:val="20"/>
        </w:rPr>
      </w:pPr>
      <w:r w:rsidRPr="004640DD">
        <w:rPr>
          <w:rFonts w:ascii="Arial" w:hAnsi="Arial" w:cs="Arial"/>
          <w:sz w:val="20"/>
        </w:rPr>
        <w:t xml:space="preserve">The initial </w:t>
      </w:r>
      <w:r>
        <w:rPr>
          <w:rFonts w:ascii="Arial" w:hAnsi="Arial" w:cs="Arial"/>
          <w:sz w:val="20"/>
        </w:rPr>
        <w:t xml:space="preserve">data collection will gather data from </w:t>
      </w:r>
      <w:r w:rsidRPr="004640DD">
        <w:rPr>
          <w:rFonts w:ascii="Arial" w:hAnsi="Arial" w:cs="Arial"/>
          <w:sz w:val="20"/>
        </w:rPr>
        <w:t>101</w:t>
      </w:r>
      <w:r>
        <w:rPr>
          <w:rFonts w:ascii="Arial" w:hAnsi="Arial" w:cs="Arial"/>
          <w:sz w:val="20"/>
        </w:rPr>
        <w:t xml:space="preserve"> respondents</w:t>
      </w:r>
      <w:r w:rsidRPr="004640DD">
        <w:rPr>
          <w:rFonts w:ascii="Arial" w:hAnsi="Arial" w:cs="Arial"/>
          <w:sz w:val="20"/>
        </w:rPr>
        <w:t xml:space="preserve">.  </w:t>
      </w:r>
      <w:r w:rsidRPr="004640DD">
        <w:rPr>
          <w:rFonts w:ascii="Arial" w:hAnsi="Arial" w:cs="Arial"/>
          <w:i/>
          <w:sz w:val="20"/>
        </w:rPr>
        <w:t>EVERY SIX MONTHS</w:t>
      </w:r>
      <w:r w:rsidRPr="004640DD">
        <w:rPr>
          <w:rFonts w:ascii="Arial" w:hAnsi="Arial" w:cs="Arial"/>
          <w:sz w:val="20"/>
        </w:rPr>
        <w:t xml:space="preserve"> thereafter</w:t>
      </w:r>
      <w:r w:rsidR="00C76916" w:rsidRPr="00C76916">
        <w:rPr>
          <w:rFonts w:ascii="Arial" w:hAnsi="Arial" w:cs="Arial"/>
          <w:sz w:val="20"/>
        </w:rPr>
        <w:t xml:space="preserve"> </w:t>
      </w:r>
      <w:r w:rsidR="00C76916" w:rsidRPr="004640DD">
        <w:rPr>
          <w:rFonts w:ascii="Arial" w:hAnsi="Arial" w:cs="Arial"/>
          <w:sz w:val="20"/>
        </w:rPr>
        <w:t>through March 31, 2014 (expiration date for this Generic ICR)</w:t>
      </w:r>
      <w:r w:rsidRPr="004640DD">
        <w:rPr>
          <w:rFonts w:ascii="Arial" w:hAnsi="Arial" w:cs="Arial"/>
          <w:sz w:val="20"/>
        </w:rPr>
        <w:t xml:space="preserve">, the data collection tool will be sent to 60 respondents (designees) from jurisdictions that have completed an IMATS </w:t>
      </w:r>
      <w:r w:rsidR="000D65AD">
        <w:rPr>
          <w:rFonts w:ascii="Arial" w:hAnsi="Arial" w:cs="Arial"/>
          <w:sz w:val="20"/>
        </w:rPr>
        <w:t>assessment</w:t>
      </w:r>
      <w:r w:rsidR="000D65AD" w:rsidRPr="004640DD">
        <w:rPr>
          <w:rFonts w:ascii="Arial" w:hAnsi="Arial" w:cs="Arial"/>
          <w:sz w:val="20"/>
        </w:rPr>
        <w:t xml:space="preserve"> </w:t>
      </w:r>
      <w:r w:rsidRPr="004640DD">
        <w:rPr>
          <w:rFonts w:ascii="Arial" w:hAnsi="Arial" w:cs="Arial"/>
          <w:sz w:val="20"/>
        </w:rPr>
        <w:t xml:space="preserve">as a routine part of the </w:t>
      </w:r>
      <w:r w:rsidR="000D65AD">
        <w:rPr>
          <w:rFonts w:ascii="Arial" w:hAnsi="Arial" w:cs="Arial"/>
          <w:sz w:val="20"/>
        </w:rPr>
        <w:t>assessment</w:t>
      </w:r>
      <w:r w:rsidR="000D65AD" w:rsidRPr="004640DD">
        <w:rPr>
          <w:rFonts w:ascii="Arial" w:hAnsi="Arial" w:cs="Arial"/>
          <w:sz w:val="20"/>
        </w:rPr>
        <w:t xml:space="preserve"> </w:t>
      </w:r>
      <w:r w:rsidRPr="004640DD">
        <w:rPr>
          <w:rFonts w:ascii="Arial" w:hAnsi="Arial" w:cs="Arial"/>
          <w:sz w:val="20"/>
        </w:rPr>
        <w:t xml:space="preserve">process.  </w:t>
      </w:r>
      <w:r w:rsidR="00F7719B" w:rsidRPr="009153A2">
        <w:rPr>
          <w:rFonts w:ascii="Arial" w:hAnsi="Arial" w:cs="Arial"/>
          <w:sz w:val="20"/>
        </w:rPr>
        <w:t xml:space="preserve">We plan to analyze the data using Microsoft Excel to gather descriptive statistics </w:t>
      </w:r>
      <w:r w:rsidR="00F7719B">
        <w:rPr>
          <w:rFonts w:ascii="Arial" w:hAnsi="Arial" w:cs="Arial"/>
          <w:sz w:val="20"/>
        </w:rPr>
        <w:t xml:space="preserve">and create charts and graphics depicting the responses received. </w:t>
      </w:r>
      <w:r w:rsidR="00EF22F3" w:rsidRPr="0089561F">
        <w:rPr>
          <w:rFonts w:ascii="Arial" w:hAnsi="Arial" w:cs="Arial"/>
          <w:sz w:val="20"/>
          <w:szCs w:val="20"/>
        </w:rPr>
        <w:t xml:space="preserve">The results </w:t>
      </w:r>
      <w:r w:rsidR="001C43B1">
        <w:rPr>
          <w:rFonts w:ascii="Arial" w:hAnsi="Arial" w:cs="Arial"/>
          <w:sz w:val="20"/>
          <w:szCs w:val="20"/>
        </w:rPr>
        <w:t xml:space="preserve">of this data collection </w:t>
      </w:r>
      <w:r w:rsidR="00EF22F3" w:rsidRPr="0089561F">
        <w:rPr>
          <w:rFonts w:ascii="Arial" w:hAnsi="Arial" w:cs="Arial"/>
          <w:sz w:val="20"/>
          <w:szCs w:val="20"/>
        </w:rPr>
        <w:t xml:space="preserve">will be used to support </w:t>
      </w:r>
      <w:r w:rsidR="00C65C09">
        <w:rPr>
          <w:rFonts w:ascii="Arial" w:hAnsi="Arial" w:cs="Arial"/>
          <w:sz w:val="20"/>
          <w:szCs w:val="20"/>
        </w:rPr>
        <w:t xml:space="preserve">IMATS enhancements </w:t>
      </w:r>
      <w:r w:rsidR="00EF22F3" w:rsidRPr="0089561F">
        <w:rPr>
          <w:rFonts w:ascii="Arial" w:hAnsi="Arial" w:cs="Arial"/>
          <w:sz w:val="20"/>
          <w:szCs w:val="20"/>
        </w:rPr>
        <w:t xml:space="preserve">and to improve the content and delivery of </w:t>
      </w:r>
      <w:r w:rsidR="00C65C09">
        <w:rPr>
          <w:rFonts w:ascii="Arial" w:hAnsi="Arial" w:cs="Arial"/>
          <w:sz w:val="20"/>
          <w:szCs w:val="20"/>
        </w:rPr>
        <w:t>communication materials</w:t>
      </w:r>
      <w:r w:rsidR="00EF22F3" w:rsidRPr="0089561F">
        <w:rPr>
          <w:rFonts w:ascii="Arial" w:hAnsi="Arial" w:cs="Arial"/>
          <w:sz w:val="20"/>
          <w:szCs w:val="20"/>
        </w:rPr>
        <w:t xml:space="preserve"> to state </w:t>
      </w:r>
      <w:r w:rsidR="00C65C09">
        <w:rPr>
          <w:rFonts w:ascii="Arial" w:hAnsi="Arial" w:cs="Arial"/>
          <w:sz w:val="20"/>
          <w:szCs w:val="20"/>
        </w:rPr>
        <w:t>and local public health partners</w:t>
      </w:r>
      <w:r w:rsidR="00EF22F3" w:rsidRPr="0089561F">
        <w:rPr>
          <w:rFonts w:ascii="Arial" w:hAnsi="Arial" w:cs="Arial"/>
          <w:sz w:val="20"/>
          <w:szCs w:val="20"/>
        </w:rPr>
        <w:t xml:space="preserve">.  </w:t>
      </w:r>
      <w:r w:rsidR="001C43B1">
        <w:rPr>
          <w:rFonts w:ascii="Arial" w:hAnsi="Arial" w:cs="Arial"/>
          <w:sz w:val="20"/>
          <w:szCs w:val="20"/>
        </w:rPr>
        <w:t>F</w:t>
      </w:r>
      <w:r w:rsidR="00EF22F3" w:rsidRPr="0089561F">
        <w:rPr>
          <w:rFonts w:ascii="Arial" w:hAnsi="Arial" w:cs="Arial"/>
          <w:sz w:val="20"/>
          <w:szCs w:val="20"/>
        </w:rPr>
        <w:t>ollowing OMB approval, data collection will commence via e-mail communication (</w:t>
      </w:r>
      <w:r w:rsidR="00EF22F3" w:rsidRPr="0089561F">
        <w:rPr>
          <w:rFonts w:ascii="Arial" w:hAnsi="Arial" w:cs="Arial"/>
          <w:b/>
          <w:sz w:val="20"/>
          <w:szCs w:val="20"/>
        </w:rPr>
        <w:t xml:space="preserve">see Attachment </w:t>
      </w:r>
      <w:r w:rsidR="00DC0A34">
        <w:rPr>
          <w:rFonts w:ascii="Arial" w:hAnsi="Arial" w:cs="Arial"/>
          <w:b/>
          <w:sz w:val="20"/>
          <w:szCs w:val="20"/>
        </w:rPr>
        <w:t>H</w:t>
      </w:r>
      <w:r w:rsidR="00EF22F3" w:rsidRPr="0089561F">
        <w:rPr>
          <w:rFonts w:ascii="Arial" w:hAnsi="Arial" w:cs="Arial"/>
          <w:b/>
          <w:sz w:val="20"/>
          <w:szCs w:val="20"/>
        </w:rPr>
        <w:t xml:space="preserve"> – Introductory Email) </w:t>
      </w:r>
      <w:r w:rsidR="00335304" w:rsidRPr="0089561F">
        <w:rPr>
          <w:rFonts w:ascii="Arial" w:hAnsi="Arial" w:cs="Arial"/>
          <w:sz w:val="20"/>
          <w:szCs w:val="20"/>
        </w:rPr>
        <w:t>to all IMATS</w:t>
      </w:r>
      <w:r w:rsidR="00EF22F3" w:rsidRPr="0089561F">
        <w:rPr>
          <w:rFonts w:ascii="Arial" w:hAnsi="Arial" w:cs="Arial"/>
          <w:sz w:val="20"/>
          <w:szCs w:val="20"/>
        </w:rPr>
        <w:t xml:space="preserve"> evaluators, seekin</w:t>
      </w:r>
      <w:r w:rsidR="00335304" w:rsidRPr="0089561F">
        <w:rPr>
          <w:rFonts w:ascii="Arial" w:hAnsi="Arial" w:cs="Arial"/>
          <w:sz w:val="20"/>
          <w:szCs w:val="20"/>
        </w:rPr>
        <w:t>g response within a period of 10 business days (14</w:t>
      </w:r>
      <w:r w:rsidR="00EF22F3" w:rsidRPr="0089561F">
        <w:rPr>
          <w:rFonts w:ascii="Arial" w:hAnsi="Arial" w:cs="Arial"/>
          <w:sz w:val="20"/>
          <w:szCs w:val="20"/>
        </w:rPr>
        <w:t xml:space="preserve"> calendar days). </w:t>
      </w:r>
      <w:r w:rsidR="001C43B1">
        <w:rPr>
          <w:rFonts w:ascii="Arial" w:hAnsi="Arial" w:cs="Arial"/>
          <w:sz w:val="20"/>
          <w:szCs w:val="20"/>
        </w:rPr>
        <w:t>Two reminde</w:t>
      </w:r>
      <w:r w:rsidR="00E45D3C">
        <w:rPr>
          <w:rFonts w:ascii="Arial" w:hAnsi="Arial" w:cs="Arial"/>
          <w:sz w:val="20"/>
          <w:szCs w:val="20"/>
        </w:rPr>
        <w:t xml:space="preserve">rs will be sent to responders. </w:t>
      </w:r>
      <w:r w:rsidR="001C43B1">
        <w:rPr>
          <w:rFonts w:ascii="Arial" w:hAnsi="Arial" w:cs="Arial"/>
          <w:sz w:val="20"/>
          <w:szCs w:val="20"/>
        </w:rPr>
        <w:t xml:space="preserve">The first will occur after </w:t>
      </w:r>
      <w:r w:rsidR="00EF22F3" w:rsidRPr="0089561F">
        <w:rPr>
          <w:rFonts w:ascii="Arial" w:hAnsi="Arial" w:cs="Arial"/>
          <w:sz w:val="20"/>
          <w:szCs w:val="20"/>
        </w:rPr>
        <w:t xml:space="preserve"> five business days (seven calendar days) following the initial e-mail, </w:t>
      </w:r>
      <w:r w:rsidR="001C43B1">
        <w:rPr>
          <w:rFonts w:ascii="Arial" w:hAnsi="Arial" w:cs="Arial"/>
          <w:sz w:val="20"/>
          <w:szCs w:val="20"/>
        </w:rPr>
        <w:t>the second</w:t>
      </w:r>
      <w:r w:rsidR="00EF22F3" w:rsidRPr="0089561F">
        <w:rPr>
          <w:rFonts w:ascii="Arial" w:hAnsi="Arial" w:cs="Arial"/>
          <w:sz w:val="20"/>
          <w:szCs w:val="20"/>
        </w:rPr>
        <w:t xml:space="preserve"> reminder will be sent </w:t>
      </w:r>
      <w:r w:rsidR="00335304" w:rsidRPr="0089561F">
        <w:rPr>
          <w:rFonts w:ascii="Arial" w:hAnsi="Arial" w:cs="Arial"/>
          <w:sz w:val="20"/>
          <w:szCs w:val="20"/>
        </w:rPr>
        <w:t>just prior to the 10</w:t>
      </w:r>
      <w:r w:rsidR="00335304" w:rsidRPr="0089561F">
        <w:rPr>
          <w:rFonts w:ascii="Arial" w:hAnsi="Arial" w:cs="Arial"/>
          <w:sz w:val="20"/>
          <w:szCs w:val="20"/>
          <w:vertAlign w:val="superscript"/>
        </w:rPr>
        <w:t>th</w:t>
      </w:r>
      <w:r w:rsidR="00335304" w:rsidRPr="0089561F">
        <w:rPr>
          <w:rFonts w:ascii="Arial" w:hAnsi="Arial" w:cs="Arial"/>
          <w:sz w:val="20"/>
          <w:szCs w:val="20"/>
        </w:rPr>
        <w:t xml:space="preserve"> business day</w:t>
      </w:r>
      <w:r w:rsidR="00181424">
        <w:rPr>
          <w:rFonts w:ascii="Arial" w:hAnsi="Arial" w:cs="Arial"/>
          <w:sz w:val="20"/>
          <w:szCs w:val="20"/>
        </w:rPr>
        <w:t xml:space="preserve"> (</w:t>
      </w:r>
      <w:r w:rsidR="00181424" w:rsidRPr="00806459">
        <w:rPr>
          <w:rFonts w:ascii="Arial" w:hAnsi="Arial" w:cs="Arial"/>
          <w:b/>
          <w:sz w:val="20"/>
          <w:szCs w:val="20"/>
        </w:rPr>
        <w:t xml:space="preserve">see Attachment </w:t>
      </w:r>
      <w:r w:rsidR="00DC0A34">
        <w:rPr>
          <w:rFonts w:ascii="Arial" w:hAnsi="Arial" w:cs="Arial"/>
          <w:b/>
          <w:sz w:val="20"/>
          <w:szCs w:val="20"/>
        </w:rPr>
        <w:t>I</w:t>
      </w:r>
      <w:r w:rsidR="00181424" w:rsidRPr="00806459">
        <w:rPr>
          <w:rFonts w:ascii="Arial" w:hAnsi="Arial" w:cs="Arial"/>
          <w:b/>
          <w:sz w:val="20"/>
          <w:szCs w:val="20"/>
        </w:rPr>
        <w:t xml:space="preserve"> – Reminders</w:t>
      </w:r>
      <w:r w:rsidR="00181424">
        <w:rPr>
          <w:rFonts w:ascii="Arial" w:hAnsi="Arial" w:cs="Arial"/>
          <w:sz w:val="20"/>
          <w:szCs w:val="20"/>
        </w:rPr>
        <w:t>)</w:t>
      </w:r>
      <w:r w:rsidR="00335304" w:rsidRPr="0089561F">
        <w:rPr>
          <w:rFonts w:ascii="Arial" w:hAnsi="Arial" w:cs="Arial"/>
          <w:sz w:val="20"/>
          <w:szCs w:val="20"/>
        </w:rPr>
        <w:t xml:space="preserve">. </w:t>
      </w:r>
      <w:r w:rsidR="00EF22F3" w:rsidRPr="0089561F">
        <w:rPr>
          <w:rFonts w:ascii="Arial" w:hAnsi="Arial" w:cs="Arial"/>
          <w:sz w:val="20"/>
          <w:szCs w:val="20"/>
        </w:rPr>
        <w:t>At the close of the data collection period, a follow up email will be sent, thanking those respondents</w:t>
      </w:r>
      <w:r w:rsidR="00181424">
        <w:rPr>
          <w:rFonts w:ascii="Arial" w:hAnsi="Arial" w:cs="Arial"/>
          <w:sz w:val="20"/>
          <w:szCs w:val="20"/>
        </w:rPr>
        <w:t xml:space="preserve"> (</w:t>
      </w:r>
      <w:r w:rsidR="00181424" w:rsidRPr="00806459">
        <w:rPr>
          <w:rFonts w:ascii="Arial" w:hAnsi="Arial" w:cs="Arial"/>
          <w:b/>
          <w:sz w:val="20"/>
          <w:szCs w:val="20"/>
        </w:rPr>
        <w:t xml:space="preserve">see Attachment </w:t>
      </w:r>
      <w:r w:rsidR="00DC0A34">
        <w:rPr>
          <w:rFonts w:ascii="Arial" w:hAnsi="Arial" w:cs="Arial"/>
          <w:b/>
          <w:sz w:val="20"/>
          <w:szCs w:val="20"/>
        </w:rPr>
        <w:t>J</w:t>
      </w:r>
      <w:r w:rsidR="00181424" w:rsidRPr="00806459">
        <w:rPr>
          <w:rFonts w:ascii="Arial" w:hAnsi="Arial" w:cs="Arial"/>
          <w:b/>
          <w:sz w:val="20"/>
          <w:szCs w:val="20"/>
        </w:rPr>
        <w:t xml:space="preserve"> – Follow up email</w:t>
      </w:r>
      <w:r w:rsidR="00181424">
        <w:rPr>
          <w:rFonts w:ascii="Arial" w:hAnsi="Arial" w:cs="Arial"/>
          <w:sz w:val="20"/>
          <w:szCs w:val="20"/>
        </w:rPr>
        <w:t>)</w:t>
      </w:r>
      <w:r w:rsidR="00335304" w:rsidRPr="0089561F">
        <w:rPr>
          <w:rFonts w:ascii="Arial" w:hAnsi="Arial" w:cs="Arial"/>
          <w:sz w:val="20"/>
          <w:szCs w:val="20"/>
        </w:rPr>
        <w:t xml:space="preserve">. </w:t>
      </w:r>
    </w:p>
    <w:p w:rsidR="00F7719B" w:rsidRDefault="00F7719B" w:rsidP="00F7719B">
      <w:pPr>
        <w:pStyle w:val="ListParagraph"/>
        <w:tabs>
          <w:tab w:val="left" w:pos="-1440"/>
          <w:tab w:val="left" w:pos="-720"/>
        </w:tabs>
        <w:autoSpaceDE w:val="0"/>
        <w:autoSpaceDN w:val="0"/>
        <w:adjustRightInd w:val="0"/>
        <w:ind w:right="720"/>
        <w:rPr>
          <w:rFonts w:ascii="Arial" w:hAnsi="Arial" w:cs="Arial"/>
          <w:sz w:val="20"/>
          <w:szCs w:val="20"/>
        </w:rPr>
      </w:pPr>
    </w:p>
    <w:p w:rsidR="00F7719B" w:rsidRPr="009153A2" w:rsidRDefault="00F7719B" w:rsidP="00F7719B">
      <w:pPr>
        <w:ind w:firstLine="720"/>
        <w:rPr>
          <w:rFonts w:ascii="Arial" w:hAnsi="Arial" w:cs="Arial"/>
          <w:sz w:val="20"/>
          <w:u w:val="single"/>
        </w:rPr>
      </w:pPr>
      <w:r w:rsidRPr="009153A2">
        <w:rPr>
          <w:rFonts w:ascii="Arial" w:hAnsi="Arial" w:cs="Arial"/>
          <w:sz w:val="20"/>
          <w:u w:val="single"/>
        </w:rPr>
        <w:t>Project Time Schedule</w:t>
      </w:r>
    </w:p>
    <w:p w:rsidR="00F7719B" w:rsidRPr="009153A2" w:rsidRDefault="00F7719B" w:rsidP="00F7719B">
      <w:pPr>
        <w:pStyle w:val="ListParagraph"/>
        <w:numPr>
          <w:ilvl w:val="0"/>
          <w:numId w:val="6"/>
        </w:numPr>
        <w:tabs>
          <w:tab w:val="right" w:leader="dot" w:pos="9360"/>
        </w:tabs>
        <w:spacing w:line="276" w:lineRule="auto"/>
        <w:ind w:left="1440"/>
        <w:rPr>
          <w:rFonts w:ascii="Arial" w:hAnsi="Arial" w:cs="Arial"/>
          <w:sz w:val="18"/>
        </w:rPr>
      </w:pPr>
      <w:r w:rsidRPr="009153A2">
        <w:rPr>
          <w:rFonts w:ascii="Arial" w:hAnsi="Arial" w:cs="Arial"/>
          <w:sz w:val="20"/>
        </w:rPr>
        <w:t xml:space="preserve">Design </w:t>
      </w:r>
      <w:r w:rsidR="003134FF">
        <w:rPr>
          <w:rFonts w:ascii="Arial" w:hAnsi="Arial" w:cs="Arial"/>
          <w:sz w:val="20"/>
        </w:rPr>
        <w:t>data collection tool</w:t>
      </w:r>
      <w:r w:rsidRPr="009153A2">
        <w:rPr>
          <w:rFonts w:ascii="Arial" w:hAnsi="Arial" w:cs="Arial"/>
          <w:sz w:val="20"/>
        </w:rPr>
        <w:tab/>
        <w:t>(COMPLETE)</w:t>
      </w:r>
    </w:p>
    <w:p w:rsidR="00F7719B" w:rsidRPr="009153A2" w:rsidRDefault="00F7719B" w:rsidP="00F7719B">
      <w:pPr>
        <w:pStyle w:val="ListParagraph"/>
        <w:numPr>
          <w:ilvl w:val="0"/>
          <w:numId w:val="7"/>
        </w:numPr>
        <w:tabs>
          <w:tab w:val="right" w:leader="dot" w:pos="9360"/>
        </w:tabs>
        <w:spacing w:line="276" w:lineRule="auto"/>
        <w:ind w:left="1440"/>
        <w:rPr>
          <w:rFonts w:ascii="Arial" w:hAnsi="Arial" w:cs="Arial"/>
          <w:sz w:val="20"/>
        </w:rPr>
      </w:pPr>
      <w:r w:rsidRPr="009153A2">
        <w:rPr>
          <w:rFonts w:ascii="Arial" w:hAnsi="Arial" w:cs="Arial"/>
          <w:sz w:val="20"/>
        </w:rPr>
        <w:t xml:space="preserve">Develop </w:t>
      </w:r>
      <w:r w:rsidR="003134FF">
        <w:rPr>
          <w:rFonts w:ascii="Arial" w:hAnsi="Arial" w:cs="Arial"/>
          <w:sz w:val="20"/>
        </w:rPr>
        <w:t>data collection</w:t>
      </w:r>
      <w:r w:rsidRPr="009153A2">
        <w:rPr>
          <w:rFonts w:ascii="Arial" w:hAnsi="Arial" w:cs="Arial"/>
          <w:sz w:val="20"/>
        </w:rPr>
        <w:t xml:space="preserve"> protocol, instructions, and analysis plan</w:t>
      </w:r>
      <w:r w:rsidRPr="009153A2">
        <w:rPr>
          <w:rFonts w:ascii="Arial" w:hAnsi="Arial" w:cs="Arial"/>
          <w:sz w:val="20"/>
        </w:rPr>
        <w:tab/>
        <w:t>(COMPLETE)</w:t>
      </w:r>
    </w:p>
    <w:p w:rsidR="00F7719B" w:rsidRPr="009153A2" w:rsidRDefault="00F7719B" w:rsidP="00F7719B">
      <w:pPr>
        <w:pStyle w:val="ListParagraph"/>
        <w:numPr>
          <w:ilvl w:val="0"/>
          <w:numId w:val="8"/>
        </w:numPr>
        <w:tabs>
          <w:tab w:val="right" w:leader="dot" w:pos="9360"/>
        </w:tabs>
        <w:spacing w:line="276" w:lineRule="auto"/>
        <w:ind w:left="1440"/>
        <w:rPr>
          <w:rFonts w:ascii="Arial" w:hAnsi="Arial" w:cs="Arial"/>
          <w:sz w:val="20"/>
        </w:rPr>
      </w:pPr>
      <w:r w:rsidRPr="009153A2">
        <w:rPr>
          <w:rFonts w:ascii="Arial" w:hAnsi="Arial" w:cs="Arial"/>
          <w:sz w:val="20"/>
        </w:rPr>
        <w:t xml:space="preserve">Pilot test </w:t>
      </w:r>
      <w:r w:rsidR="003134FF">
        <w:rPr>
          <w:rFonts w:ascii="Arial" w:hAnsi="Arial" w:cs="Arial"/>
          <w:sz w:val="20"/>
        </w:rPr>
        <w:t>data collection tool</w:t>
      </w:r>
      <w:r w:rsidRPr="009153A2">
        <w:rPr>
          <w:rFonts w:ascii="Arial" w:hAnsi="Arial" w:cs="Arial"/>
          <w:sz w:val="20"/>
        </w:rPr>
        <w:tab/>
        <w:t>(COMPLETE)</w:t>
      </w:r>
    </w:p>
    <w:p w:rsidR="00F7719B" w:rsidRPr="009153A2" w:rsidRDefault="00F7719B" w:rsidP="00F7719B">
      <w:pPr>
        <w:pStyle w:val="ListParagraph"/>
        <w:numPr>
          <w:ilvl w:val="0"/>
          <w:numId w:val="8"/>
        </w:numPr>
        <w:tabs>
          <w:tab w:val="right" w:leader="dot" w:pos="9360"/>
        </w:tabs>
        <w:spacing w:line="276" w:lineRule="auto"/>
        <w:ind w:left="1440"/>
        <w:rPr>
          <w:rFonts w:ascii="Arial" w:hAnsi="Arial" w:cs="Arial"/>
          <w:sz w:val="20"/>
        </w:rPr>
      </w:pPr>
      <w:r w:rsidRPr="009153A2">
        <w:rPr>
          <w:rFonts w:ascii="Arial" w:hAnsi="Arial" w:cs="Arial"/>
          <w:sz w:val="20"/>
        </w:rPr>
        <w:t>Prepare OMB package</w:t>
      </w:r>
      <w:r w:rsidRPr="009153A2">
        <w:rPr>
          <w:rFonts w:ascii="Arial" w:hAnsi="Arial" w:cs="Arial"/>
          <w:sz w:val="20"/>
        </w:rPr>
        <w:tab/>
        <w:t>(COMPLETE)</w:t>
      </w:r>
    </w:p>
    <w:p w:rsidR="00F7719B" w:rsidRPr="009153A2" w:rsidRDefault="00F7719B" w:rsidP="00F7719B">
      <w:pPr>
        <w:pStyle w:val="ListParagraph"/>
        <w:numPr>
          <w:ilvl w:val="0"/>
          <w:numId w:val="8"/>
        </w:numPr>
        <w:tabs>
          <w:tab w:val="right" w:leader="dot" w:pos="9360"/>
        </w:tabs>
        <w:spacing w:line="276" w:lineRule="auto"/>
        <w:ind w:left="1440"/>
        <w:rPr>
          <w:rFonts w:ascii="Arial" w:hAnsi="Arial" w:cs="Arial"/>
          <w:sz w:val="20"/>
        </w:rPr>
      </w:pPr>
      <w:r w:rsidRPr="009153A2">
        <w:rPr>
          <w:rFonts w:ascii="Arial" w:hAnsi="Arial" w:cs="Arial"/>
          <w:sz w:val="20"/>
        </w:rPr>
        <w:t>Submit OMB package</w:t>
      </w:r>
      <w:r w:rsidRPr="009153A2">
        <w:rPr>
          <w:rFonts w:ascii="Arial" w:hAnsi="Arial" w:cs="Arial"/>
          <w:sz w:val="20"/>
        </w:rPr>
        <w:tab/>
        <w:t>(COMPLETE)</w:t>
      </w:r>
    </w:p>
    <w:p w:rsidR="00F7719B" w:rsidRDefault="00F7719B" w:rsidP="00F7719B">
      <w:pPr>
        <w:pStyle w:val="ListParagraph"/>
        <w:numPr>
          <w:ilvl w:val="0"/>
          <w:numId w:val="9"/>
        </w:numPr>
        <w:tabs>
          <w:tab w:val="right" w:leader="dot" w:pos="9360"/>
        </w:tabs>
        <w:spacing w:line="276" w:lineRule="auto"/>
        <w:ind w:left="1440"/>
        <w:rPr>
          <w:rFonts w:ascii="Arial" w:hAnsi="Arial" w:cs="Arial"/>
          <w:sz w:val="20"/>
        </w:rPr>
      </w:pPr>
      <w:r w:rsidRPr="009153A2">
        <w:rPr>
          <w:rFonts w:ascii="Arial" w:hAnsi="Arial" w:cs="Arial"/>
          <w:sz w:val="20"/>
        </w:rPr>
        <w:lastRenderedPageBreak/>
        <w:t>OMB approval</w:t>
      </w:r>
      <w:r w:rsidRPr="009153A2">
        <w:rPr>
          <w:rFonts w:ascii="Arial" w:hAnsi="Arial" w:cs="Arial"/>
          <w:sz w:val="20"/>
        </w:rPr>
        <w:tab/>
        <w:t>(TBD)</w:t>
      </w:r>
    </w:p>
    <w:p w:rsidR="00F7719B" w:rsidRDefault="00F7719B" w:rsidP="00F7719B">
      <w:pPr>
        <w:pStyle w:val="ListParagraph"/>
        <w:numPr>
          <w:ilvl w:val="0"/>
          <w:numId w:val="9"/>
        </w:numPr>
        <w:tabs>
          <w:tab w:val="right" w:leader="dot" w:pos="9360"/>
        </w:tabs>
        <w:spacing w:line="276" w:lineRule="auto"/>
        <w:ind w:left="1440"/>
        <w:rPr>
          <w:rFonts w:ascii="Arial" w:hAnsi="Arial" w:cs="Arial"/>
          <w:sz w:val="20"/>
        </w:rPr>
      </w:pPr>
      <w:r w:rsidRPr="009153A2">
        <w:rPr>
          <w:rFonts w:ascii="Arial" w:hAnsi="Arial" w:cs="Arial"/>
          <w:sz w:val="20"/>
        </w:rPr>
        <w:t>Conduct</w:t>
      </w:r>
      <w:r w:rsidR="0066505B">
        <w:rPr>
          <w:rFonts w:ascii="Arial" w:hAnsi="Arial" w:cs="Arial"/>
          <w:sz w:val="20"/>
        </w:rPr>
        <w:t xml:space="preserve"> initial</w:t>
      </w:r>
      <w:r w:rsidRPr="009153A2">
        <w:rPr>
          <w:rFonts w:ascii="Arial" w:hAnsi="Arial" w:cs="Arial"/>
          <w:sz w:val="20"/>
        </w:rPr>
        <w:t xml:space="preserve"> </w:t>
      </w:r>
      <w:r w:rsidR="003134FF">
        <w:rPr>
          <w:rFonts w:ascii="Arial" w:hAnsi="Arial" w:cs="Arial"/>
          <w:sz w:val="20"/>
        </w:rPr>
        <w:t>data collection</w:t>
      </w:r>
      <w:r w:rsidRPr="009153A2">
        <w:rPr>
          <w:rFonts w:ascii="Arial" w:hAnsi="Arial" w:cs="Arial"/>
          <w:sz w:val="20"/>
        </w:rPr>
        <w:tab/>
        <w:t>(</w:t>
      </w:r>
      <w:r w:rsidR="003134FF">
        <w:rPr>
          <w:rFonts w:ascii="Arial" w:hAnsi="Arial" w:cs="Arial"/>
          <w:sz w:val="20"/>
        </w:rPr>
        <w:t>Data collection</w:t>
      </w:r>
      <w:r w:rsidRPr="009153A2">
        <w:rPr>
          <w:rFonts w:ascii="Arial" w:hAnsi="Arial" w:cs="Arial"/>
          <w:sz w:val="20"/>
        </w:rPr>
        <w:t xml:space="preserve"> open 2 weeks)</w:t>
      </w:r>
    </w:p>
    <w:p w:rsidR="0066505B" w:rsidRPr="009153A2" w:rsidRDefault="0066505B" w:rsidP="00F7719B">
      <w:pPr>
        <w:pStyle w:val="ListParagraph"/>
        <w:numPr>
          <w:ilvl w:val="0"/>
          <w:numId w:val="9"/>
        </w:numPr>
        <w:tabs>
          <w:tab w:val="right" w:leader="dot" w:pos="9360"/>
        </w:tabs>
        <w:spacing w:line="276" w:lineRule="auto"/>
        <w:ind w:left="1440"/>
        <w:rPr>
          <w:rFonts w:ascii="Arial" w:hAnsi="Arial" w:cs="Arial"/>
          <w:sz w:val="20"/>
        </w:rPr>
      </w:pPr>
      <w:r>
        <w:rPr>
          <w:rFonts w:ascii="Arial" w:hAnsi="Arial" w:cs="Arial"/>
          <w:sz w:val="20"/>
        </w:rPr>
        <w:t>Conduct data collection</w:t>
      </w:r>
      <w:r w:rsidRPr="009153A2">
        <w:rPr>
          <w:rFonts w:ascii="Arial" w:hAnsi="Arial" w:cs="Arial"/>
          <w:sz w:val="20"/>
        </w:rPr>
        <w:tab/>
      </w:r>
      <w:r>
        <w:rPr>
          <w:rFonts w:ascii="Arial" w:hAnsi="Arial" w:cs="Arial"/>
          <w:sz w:val="20"/>
        </w:rPr>
        <w:t>(</w:t>
      </w:r>
      <w:r w:rsidR="00647094">
        <w:rPr>
          <w:rFonts w:ascii="Arial" w:hAnsi="Arial" w:cs="Arial"/>
          <w:sz w:val="20"/>
        </w:rPr>
        <w:t>Ongoing every six months until 3/31/2014</w:t>
      </w:r>
      <w:r>
        <w:rPr>
          <w:rFonts w:ascii="Arial" w:hAnsi="Arial" w:cs="Arial"/>
          <w:sz w:val="20"/>
        </w:rPr>
        <w:t>)</w:t>
      </w:r>
    </w:p>
    <w:p w:rsidR="00F7719B" w:rsidRPr="009153A2" w:rsidRDefault="00F7719B" w:rsidP="00F7719B">
      <w:pPr>
        <w:pStyle w:val="ListParagraph"/>
        <w:numPr>
          <w:ilvl w:val="0"/>
          <w:numId w:val="9"/>
        </w:numPr>
        <w:tabs>
          <w:tab w:val="right" w:leader="dot" w:pos="9360"/>
        </w:tabs>
        <w:spacing w:line="276" w:lineRule="auto"/>
        <w:ind w:left="1440"/>
        <w:rPr>
          <w:rFonts w:ascii="Arial" w:hAnsi="Arial" w:cs="Arial"/>
          <w:sz w:val="20"/>
        </w:rPr>
      </w:pPr>
      <w:r w:rsidRPr="009153A2">
        <w:rPr>
          <w:rFonts w:ascii="Arial" w:hAnsi="Arial" w:cs="Arial"/>
          <w:sz w:val="20"/>
        </w:rPr>
        <w:t>Code, quality control, and analyze data</w:t>
      </w:r>
      <w:r w:rsidRPr="009153A2">
        <w:rPr>
          <w:rFonts w:ascii="Arial" w:hAnsi="Arial" w:cs="Arial"/>
          <w:sz w:val="20"/>
        </w:rPr>
        <w:tab/>
        <w:t>(</w:t>
      </w:r>
      <w:r w:rsidR="00647094">
        <w:rPr>
          <w:rFonts w:ascii="Arial" w:hAnsi="Arial" w:cs="Arial"/>
          <w:sz w:val="20"/>
        </w:rPr>
        <w:t>Ongoing every six months until 3/31/2014</w:t>
      </w:r>
      <w:r w:rsidRPr="009153A2">
        <w:rPr>
          <w:rFonts w:ascii="Arial" w:hAnsi="Arial" w:cs="Arial"/>
          <w:sz w:val="20"/>
        </w:rPr>
        <w:t>)</w:t>
      </w:r>
    </w:p>
    <w:p w:rsidR="00F7719B" w:rsidRPr="009153A2" w:rsidRDefault="00F7719B" w:rsidP="00F7719B">
      <w:pPr>
        <w:pStyle w:val="ListParagraph"/>
        <w:numPr>
          <w:ilvl w:val="0"/>
          <w:numId w:val="9"/>
        </w:numPr>
        <w:tabs>
          <w:tab w:val="right" w:leader="dot" w:pos="9360"/>
        </w:tabs>
        <w:spacing w:line="276" w:lineRule="auto"/>
        <w:ind w:left="1440"/>
        <w:rPr>
          <w:rFonts w:ascii="Arial" w:hAnsi="Arial" w:cs="Arial"/>
          <w:sz w:val="20"/>
        </w:rPr>
      </w:pPr>
      <w:r w:rsidRPr="009153A2">
        <w:rPr>
          <w:rFonts w:ascii="Arial" w:hAnsi="Arial" w:cs="Arial"/>
          <w:sz w:val="20"/>
        </w:rPr>
        <w:t>Prepare report</w:t>
      </w:r>
      <w:r w:rsidRPr="009153A2">
        <w:rPr>
          <w:rFonts w:ascii="Arial" w:hAnsi="Arial" w:cs="Arial"/>
          <w:sz w:val="20"/>
        </w:rPr>
        <w:tab/>
        <w:t>(</w:t>
      </w:r>
      <w:r w:rsidR="00E23DE1">
        <w:rPr>
          <w:rFonts w:ascii="Arial" w:hAnsi="Arial" w:cs="Arial"/>
          <w:sz w:val="20"/>
        </w:rPr>
        <w:t>4</w:t>
      </w:r>
      <w:r w:rsidRPr="009153A2">
        <w:rPr>
          <w:rFonts w:ascii="Arial" w:hAnsi="Arial" w:cs="Arial"/>
          <w:sz w:val="20"/>
        </w:rPr>
        <w:t xml:space="preserve"> weeks)</w:t>
      </w:r>
    </w:p>
    <w:p w:rsidR="00F7719B" w:rsidRPr="009153A2" w:rsidRDefault="00F7719B" w:rsidP="00F7719B">
      <w:pPr>
        <w:pStyle w:val="ListParagraph"/>
        <w:numPr>
          <w:ilvl w:val="0"/>
          <w:numId w:val="9"/>
        </w:numPr>
        <w:tabs>
          <w:tab w:val="right" w:leader="dot" w:pos="9360"/>
        </w:tabs>
        <w:spacing w:line="276" w:lineRule="auto"/>
        <w:ind w:left="1440"/>
        <w:rPr>
          <w:rFonts w:ascii="Arial" w:hAnsi="Arial" w:cs="Arial"/>
          <w:sz w:val="20"/>
        </w:rPr>
      </w:pPr>
      <w:r w:rsidRPr="009153A2">
        <w:rPr>
          <w:rFonts w:ascii="Arial" w:hAnsi="Arial" w:cs="Arial"/>
          <w:sz w:val="20"/>
        </w:rPr>
        <w:t>Disseminate results/reports</w:t>
      </w:r>
      <w:r w:rsidRPr="009153A2">
        <w:rPr>
          <w:rFonts w:ascii="Arial" w:hAnsi="Arial" w:cs="Arial"/>
          <w:sz w:val="20"/>
        </w:rPr>
        <w:tab/>
        <w:t>(</w:t>
      </w:r>
      <w:r w:rsidR="00E23DE1">
        <w:rPr>
          <w:rFonts w:ascii="Arial" w:hAnsi="Arial" w:cs="Arial"/>
          <w:sz w:val="20"/>
        </w:rPr>
        <w:t>TBD</w:t>
      </w:r>
      <w:r w:rsidRPr="009153A2">
        <w:rPr>
          <w:rFonts w:ascii="Arial" w:hAnsi="Arial" w:cs="Arial"/>
          <w:sz w:val="20"/>
        </w:rPr>
        <w:t>)</w:t>
      </w:r>
    </w:p>
    <w:p w:rsidR="00F7719B" w:rsidRDefault="00F7719B" w:rsidP="00F7719B">
      <w:pPr>
        <w:pStyle w:val="ListParagraph"/>
        <w:tabs>
          <w:tab w:val="left" w:pos="-1440"/>
          <w:tab w:val="left" w:pos="-720"/>
        </w:tabs>
        <w:autoSpaceDE w:val="0"/>
        <w:autoSpaceDN w:val="0"/>
        <w:adjustRightInd w:val="0"/>
        <w:ind w:right="720"/>
        <w:rPr>
          <w:rFonts w:ascii="Arial" w:hAnsi="Arial" w:cs="Arial"/>
          <w:sz w:val="20"/>
          <w:szCs w:val="20"/>
        </w:rPr>
      </w:pPr>
    </w:p>
    <w:p w:rsidR="00FD27C8" w:rsidRPr="00FD27C8" w:rsidRDefault="00FD27C8" w:rsidP="00C0579C">
      <w:pPr>
        <w:pStyle w:val="ListParagraph"/>
        <w:tabs>
          <w:tab w:val="left" w:pos="-1440"/>
          <w:tab w:val="left" w:pos="-720"/>
        </w:tabs>
        <w:autoSpaceDE w:val="0"/>
        <w:autoSpaceDN w:val="0"/>
        <w:adjustRightInd w:val="0"/>
        <w:ind w:right="720"/>
        <w:rPr>
          <w:rFonts w:ascii="Arial" w:hAnsi="Arial" w:cs="Arial"/>
          <w:sz w:val="20"/>
          <w:szCs w:val="20"/>
          <w:u w:val="single"/>
        </w:rPr>
      </w:pPr>
      <w:r w:rsidRPr="00FD27C8">
        <w:rPr>
          <w:rFonts w:ascii="Arial" w:hAnsi="Arial" w:cs="Arial"/>
          <w:sz w:val="20"/>
          <w:szCs w:val="20"/>
          <w:u w:val="single"/>
        </w:rPr>
        <w:t>Analysis Plan</w:t>
      </w:r>
    </w:p>
    <w:p w:rsidR="00FD27C8" w:rsidRDefault="00FD27C8" w:rsidP="00C0579C">
      <w:pPr>
        <w:pStyle w:val="ListParagraph"/>
        <w:tabs>
          <w:tab w:val="left" w:pos="-1440"/>
          <w:tab w:val="left" w:pos="-720"/>
        </w:tabs>
        <w:autoSpaceDE w:val="0"/>
        <w:autoSpaceDN w:val="0"/>
        <w:adjustRightInd w:val="0"/>
        <w:ind w:right="720"/>
        <w:rPr>
          <w:rFonts w:ascii="Arial" w:hAnsi="Arial" w:cs="Arial"/>
          <w:sz w:val="20"/>
          <w:szCs w:val="20"/>
        </w:rPr>
      </w:pPr>
      <w:r>
        <w:rPr>
          <w:rFonts w:ascii="Arial" w:hAnsi="Arial" w:cs="Arial"/>
          <w:sz w:val="20"/>
          <w:szCs w:val="20"/>
        </w:rPr>
        <w:t>This data collection will attempt to answer the following questions:</w:t>
      </w:r>
    </w:p>
    <w:p w:rsidR="000D65AD" w:rsidRPr="000D65AD" w:rsidRDefault="000D65AD" w:rsidP="000D65AD">
      <w:pPr>
        <w:pStyle w:val="ListParagraph"/>
        <w:numPr>
          <w:ilvl w:val="0"/>
          <w:numId w:val="11"/>
        </w:numPr>
        <w:tabs>
          <w:tab w:val="left" w:pos="-1440"/>
          <w:tab w:val="left" w:pos="-720"/>
        </w:tabs>
        <w:autoSpaceDE w:val="0"/>
        <w:autoSpaceDN w:val="0"/>
        <w:adjustRightInd w:val="0"/>
        <w:ind w:right="720"/>
        <w:rPr>
          <w:rFonts w:ascii="Arial" w:hAnsi="Arial" w:cs="Arial"/>
          <w:sz w:val="20"/>
          <w:szCs w:val="20"/>
        </w:rPr>
      </w:pPr>
      <w:r w:rsidRPr="000D65AD">
        <w:rPr>
          <w:rFonts w:ascii="Arial" w:hAnsi="Arial" w:cs="Arial"/>
          <w:sz w:val="20"/>
          <w:szCs w:val="20"/>
        </w:rPr>
        <w:t>What avenues of communication are most effective to inform target jurisdictions about IMATS?</w:t>
      </w:r>
    </w:p>
    <w:p w:rsidR="000D65AD" w:rsidRPr="000D65AD" w:rsidRDefault="000D65AD" w:rsidP="000D65AD">
      <w:pPr>
        <w:pStyle w:val="ListParagraph"/>
        <w:numPr>
          <w:ilvl w:val="0"/>
          <w:numId w:val="11"/>
        </w:numPr>
        <w:tabs>
          <w:tab w:val="left" w:pos="-1440"/>
          <w:tab w:val="left" w:pos="-720"/>
        </w:tabs>
        <w:autoSpaceDE w:val="0"/>
        <w:autoSpaceDN w:val="0"/>
        <w:adjustRightInd w:val="0"/>
        <w:ind w:right="720"/>
        <w:rPr>
          <w:rFonts w:ascii="Arial" w:hAnsi="Arial" w:cs="Arial"/>
          <w:sz w:val="20"/>
          <w:szCs w:val="20"/>
        </w:rPr>
      </w:pPr>
      <w:r w:rsidRPr="000D65AD">
        <w:rPr>
          <w:rFonts w:ascii="Arial" w:hAnsi="Arial" w:cs="Arial"/>
          <w:sz w:val="20"/>
          <w:szCs w:val="20"/>
        </w:rPr>
        <w:t>What are the reasons a jurisdiction chooses to adopt or not to adopt IMATS as a primary/backup inventory management system?</w:t>
      </w:r>
    </w:p>
    <w:p w:rsidR="000D65AD" w:rsidRPr="000D65AD" w:rsidRDefault="000D65AD" w:rsidP="000D65AD">
      <w:pPr>
        <w:pStyle w:val="ListParagraph"/>
        <w:numPr>
          <w:ilvl w:val="0"/>
          <w:numId w:val="11"/>
        </w:numPr>
        <w:tabs>
          <w:tab w:val="left" w:pos="-1440"/>
          <w:tab w:val="left" w:pos="-720"/>
        </w:tabs>
        <w:autoSpaceDE w:val="0"/>
        <w:autoSpaceDN w:val="0"/>
        <w:adjustRightInd w:val="0"/>
        <w:ind w:right="720"/>
        <w:rPr>
          <w:rFonts w:ascii="Arial" w:hAnsi="Arial" w:cs="Arial"/>
          <w:sz w:val="20"/>
          <w:szCs w:val="20"/>
        </w:rPr>
      </w:pPr>
      <w:r w:rsidRPr="000D65AD">
        <w:rPr>
          <w:rFonts w:ascii="Arial" w:hAnsi="Arial" w:cs="Arial"/>
          <w:sz w:val="20"/>
          <w:szCs w:val="20"/>
        </w:rPr>
        <w:t>What are the important criteria used for evaluation in a jurisdiction’s decision to adopt an inventory management system?</w:t>
      </w:r>
    </w:p>
    <w:p w:rsidR="000D65AD" w:rsidRPr="000D65AD" w:rsidRDefault="000D65AD" w:rsidP="000D65AD">
      <w:pPr>
        <w:pStyle w:val="ListParagraph"/>
        <w:numPr>
          <w:ilvl w:val="0"/>
          <w:numId w:val="11"/>
        </w:numPr>
        <w:tabs>
          <w:tab w:val="left" w:pos="-1440"/>
          <w:tab w:val="left" w:pos="-720"/>
        </w:tabs>
        <w:autoSpaceDE w:val="0"/>
        <w:autoSpaceDN w:val="0"/>
        <w:adjustRightInd w:val="0"/>
        <w:ind w:right="720"/>
        <w:rPr>
          <w:rFonts w:ascii="Arial" w:hAnsi="Arial" w:cs="Arial"/>
          <w:sz w:val="20"/>
          <w:szCs w:val="20"/>
        </w:rPr>
      </w:pPr>
      <w:r w:rsidRPr="000D65AD">
        <w:rPr>
          <w:rFonts w:ascii="Arial" w:hAnsi="Arial" w:cs="Arial"/>
          <w:sz w:val="20"/>
          <w:szCs w:val="20"/>
        </w:rPr>
        <w:t>Was participation in the IMATS assessment helpful in a jurisdiction’s decision to adopt IMATS?</w:t>
      </w:r>
    </w:p>
    <w:p w:rsidR="00FD27C8" w:rsidRDefault="00FD27C8" w:rsidP="00C0579C">
      <w:pPr>
        <w:pStyle w:val="ListParagraph"/>
        <w:tabs>
          <w:tab w:val="left" w:pos="-1440"/>
          <w:tab w:val="left" w:pos="-720"/>
        </w:tabs>
        <w:autoSpaceDE w:val="0"/>
        <w:autoSpaceDN w:val="0"/>
        <w:adjustRightInd w:val="0"/>
        <w:ind w:right="720"/>
        <w:rPr>
          <w:rFonts w:ascii="Arial" w:hAnsi="Arial" w:cs="Arial"/>
          <w:sz w:val="20"/>
          <w:szCs w:val="20"/>
        </w:rPr>
      </w:pPr>
    </w:p>
    <w:p w:rsidR="009153A2" w:rsidRPr="00F7719B" w:rsidRDefault="00F37FD6" w:rsidP="00C0579C">
      <w:pPr>
        <w:pStyle w:val="ListParagraph"/>
        <w:tabs>
          <w:tab w:val="left" w:pos="-1440"/>
          <w:tab w:val="left" w:pos="-720"/>
        </w:tabs>
        <w:autoSpaceDE w:val="0"/>
        <w:autoSpaceDN w:val="0"/>
        <w:adjustRightInd w:val="0"/>
        <w:ind w:right="720"/>
        <w:rPr>
          <w:rFonts w:ascii="Arial" w:hAnsi="Arial" w:cs="Arial"/>
          <w:sz w:val="20"/>
        </w:rPr>
      </w:pPr>
      <w:r>
        <w:rPr>
          <w:rFonts w:ascii="Arial" w:hAnsi="Arial" w:cs="Arial"/>
          <w:sz w:val="20"/>
          <w:szCs w:val="20"/>
        </w:rPr>
        <w:t>Once analyzed, s</w:t>
      </w:r>
      <w:r w:rsidR="00746091">
        <w:rPr>
          <w:rFonts w:ascii="Arial" w:hAnsi="Arial" w:cs="Arial"/>
          <w:sz w:val="20"/>
          <w:szCs w:val="20"/>
        </w:rPr>
        <w:t xml:space="preserve">ummaries of the information gained from analysis of the results may be used in conference presentations or future publications (TBD). This summary will also be provided to users who express interest in the outcome of the data collection. </w:t>
      </w:r>
      <w:r>
        <w:rPr>
          <w:rFonts w:ascii="Arial" w:hAnsi="Arial" w:cs="Arial"/>
          <w:sz w:val="20"/>
          <w:szCs w:val="20"/>
        </w:rPr>
        <w:t xml:space="preserve"> Findings from the data collection and analysis will help the CTS Team to understand user needs and inform future enhancements to IMATS.</w:t>
      </w:r>
      <w:r w:rsidR="00685DF4">
        <w:rPr>
          <w:rFonts w:ascii="Arial" w:hAnsi="Arial" w:cs="Arial"/>
          <w:sz w:val="20"/>
          <w:szCs w:val="20"/>
        </w:rPr>
        <w:t xml:space="preserve"> </w:t>
      </w:r>
      <w:r w:rsidR="00F7719B" w:rsidRPr="009153A2">
        <w:rPr>
          <w:rFonts w:ascii="Arial" w:hAnsi="Arial" w:cs="Arial"/>
          <w:sz w:val="20"/>
        </w:rPr>
        <w:t xml:space="preserve">We hope that </w:t>
      </w:r>
      <w:r w:rsidR="009B3DCC">
        <w:rPr>
          <w:rFonts w:ascii="Arial" w:hAnsi="Arial" w:cs="Arial"/>
          <w:sz w:val="20"/>
        </w:rPr>
        <w:t>the</w:t>
      </w:r>
      <w:r w:rsidR="009B3DCC" w:rsidRPr="009153A2">
        <w:rPr>
          <w:rFonts w:ascii="Arial" w:hAnsi="Arial" w:cs="Arial"/>
          <w:sz w:val="20"/>
        </w:rPr>
        <w:t xml:space="preserve"> </w:t>
      </w:r>
      <w:r w:rsidR="00F7719B" w:rsidRPr="009153A2">
        <w:rPr>
          <w:rFonts w:ascii="Arial" w:hAnsi="Arial" w:cs="Arial"/>
          <w:sz w:val="20"/>
        </w:rPr>
        <w:t xml:space="preserve">findings will </w:t>
      </w:r>
      <w:r w:rsidR="008E09DB">
        <w:rPr>
          <w:rFonts w:ascii="Arial" w:hAnsi="Arial" w:cs="Arial"/>
          <w:sz w:val="20"/>
        </w:rPr>
        <w:t xml:space="preserve">provide information about </w:t>
      </w:r>
      <w:r w:rsidR="00685DF4">
        <w:rPr>
          <w:rFonts w:ascii="Arial" w:hAnsi="Arial" w:cs="Arial"/>
          <w:sz w:val="20"/>
        </w:rPr>
        <w:t>factors</w:t>
      </w:r>
      <w:r w:rsidR="007F5374">
        <w:rPr>
          <w:rFonts w:ascii="Arial" w:hAnsi="Arial" w:cs="Arial"/>
          <w:sz w:val="20"/>
        </w:rPr>
        <w:t xml:space="preserve"> that are important</w:t>
      </w:r>
      <w:r w:rsidR="00685DF4">
        <w:rPr>
          <w:rFonts w:ascii="Arial" w:hAnsi="Arial" w:cs="Arial"/>
          <w:sz w:val="20"/>
        </w:rPr>
        <w:t xml:space="preserve"> in selecting</w:t>
      </w:r>
      <w:r w:rsidR="007F5374">
        <w:rPr>
          <w:rFonts w:ascii="Arial" w:hAnsi="Arial" w:cs="Arial"/>
          <w:sz w:val="20"/>
        </w:rPr>
        <w:t xml:space="preserve"> an inventory management system and specific areas of IMATS functionality that need improvement or are especially useful.  We also hope to understand reasons </w:t>
      </w:r>
      <w:r w:rsidR="008B4B2C">
        <w:rPr>
          <w:rFonts w:ascii="Arial" w:hAnsi="Arial" w:cs="Arial"/>
          <w:sz w:val="20"/>
        </w:rPr>
        <w:t xml:space="preserve">why </w:t>
      </w:r>
      <w:r w:rsidR="007F5374">
        <w:rPr>
          <w:rFonts w:ascii="Arial" w:hAnsi="Arial" w:cs="Arial"/>
          <w:sz w:val="20"/>
        </w:rPr>
        <w:t xml:space="preserve">systems other than IMATS </w:t>
      </w:r>
      <w:r w:rsidR="008B4B2C">
        <w:rPr>
          <w:rFonts w:ascii="Arial" w:hAnsi="Arial" w:cs="Arial"/>
          <w:sz w:val="20"/>
        </w:rPr>
        <w:t xml:space="preserve">are chosen </w:t>
      </w:r>
      <w:r w:rsidR="007F5374">
        <w:rPr>
          <w:rFonts w:ascii="Arial" w:hAnsi="Arial" w:cs="Arial"/>
          <w:sz w:val="20"/>
        </w:rPr>
        <w:t xml:space="preserve">for inventory tracking needs. </w:t>
      </w:r>
    </w:p>
    <w:p w:rsidR="009153A2" w:rsidRPr="009153A2" w:rsidRDefault="009153A2" w:rsidP="009153A2">
      <w:pPr>
        <w:pStyle w:val="ListParagraph"/>
        <w:tabs>
          <w:tab w:val="left" w:pos="-1440"/>
          <w:tab w:val="left" w:pos="-720"/>
        </w:tabs>
        <w:autoSpaceDE w:val="0"/>
        <w:autoSpaceDN w:val="0"/>
        <w:adjustRightInd w:val="0"/>
        <w:ind w:right="720"/>
        <w:rPr>
          <w:rFonts w:ascii="Arial" w:hAnsi="Arial" w:cs="Arial"/>
          <w:sz w:val="20"/>
        </w:rPr>
      </w:pPr>
    </w:p>
    <w:p w:rsidR="00EF22F3" w:rsidRPr="00806459" w:rsidRDefault="00EF22F3" w:rsidP="00EF22F3">
      <w:pPr>
        <w:pStyle w:val="ListParagraph"/>
        <w:tabs>
          <w:tab w:val="left" w:pos="-1440"/>
          <w:tab w:val="left" w:pos="-720"/>
        </w:tabs>
        <w:autoSpaceDE w:val="0"/>
        <w:autoSpaceDN w:val="0"/>
        <w:adjustRightInd w:val="0"/>
        <w:ind w:right="720"/>
        <w:rPr>
          <w:rFonts w:ascii="Arial" w:hAnsi="Arial" w:cs="Arial"/>
          <w:sz w:val="18"/>
          <w:szCs w:val="20"/>
        </w:rPr>
      </w:pPr>
    </w:p>
    <w:p w:rsidR="00715531" w:rsidRPr="00806459" w:rsidRDefault="00715531" w:rsidP="00806459">
      <w:pPr>
        <w:pStyle w:val="ListParagraph"/>
        <w:numPr>
          <w:ilvl w:val="0"/>
          <w:numId w:val="1"/>
        </w:numPr>
        <w:rPr>
          <w:rFonts w:ascii="Arial" w:hAnsi="Arial" w:cs="Arial"/>
          <w:sz w:val="22"/>
          <w:szCs w:val="22"/>
          <w:u w:val="single"/>
        </w:rPr>
      </w:pPr>
      <w:r w:rsidRPr="00806459">
        <w:rPr>
          <w:rFonts w:ascii="Arial" w:hAnsi="Arial" w:cs="Arial"/>
          <w:sz w:val="22"/>
          <w:szCs w:val="22"/>
          <w:u w:val="single"/>
        </w:rPr>
        <w:t xml:space="preserve">Display of OMB Approval  Date </w:t>
      </w:r>
    </w:p>
    <w:p w:rsidR="00EF22F3" w:rsidRPr="0089561F" w:rsidRDefault="00EF22F3" w:rsidP="00EF22F3">
      <w:pPr>
        <w:pStyle w:val="ListParagraph"/>
        <w:tabs>
          <w:tab w:val="left" w:pos="-1440"/>
          <w:tab w:val="left" w:pos="-720"/>
        </w:tabs>
        <w:autoSpaceDE w:val="0"/>
        <w:autoSpaceDN w:val="0"/>
        <w:adjustRightInd w:val="0"/>
        <w:ind w:right="720"/>
        <w:rPr>
          <w:rFonts w:ascii="Arial" w:hAnsi="Arial" w:cs="Arial"/>
          <w:sz w:val="20"/>
          <w:szCs w:val="20"/>
        </w:rPr>
      </w:pPr>
    </w:p>
    <w:p w:rsidR="00715531" w:rsidRDefault="00715531" w:rsidP="00EF22F3">
      <w:pPr>
        <w:ind w:left="720"/>
        <w:rPr>
          <w:rFonts w:ascii="Arial" w:hAnsi="Arial" w:cs="Arial"/>
          <w:sz w:val="20"/>
          <w:szCs w:val="20"/>
        </w:rPr>
      </w:pPr>
      <w:r w:rsidRPr="00715531">
        <w:rPr>
          <w:rFonts w:ascii="Arial" w:hAnsi="Arial" w:cs="Arial"/>
          <w:sz w:val="20"/>
          <w:szCs w:val="20"/>
        </w:rPr>
        <w:t>We are requesting no exemption.</w:t>
      </w:r>
    </w:p>
    <w:p w:rsidR="00EF22F3" w:rsidRPr="0089561F" w:rsidRDefault="00EF22F3" w:rsidP="00EF22F3">
      <w:pPr>
        <w:ind w:left="720"/>
        <w:rPr>
          <w:rFonts w:ascii="Arial" w:hAnsi="Arial" w:cs="Arial"/>
          <w:sz w:val="20"/>
          <w:szCs w:val="20"/>
        </w:rPr>
      </w:pPr>
    </w:p>
    <w:p w:rsidR="00EF22F3" w:rsidRPr="00806459" w:rsidRDefault="00EF22F3" w:rsidP="00EF22F3">
      <w:pPr>
        <w:pStyle w:val="ListParagraph"/>
        <w:numPr>
          <w:ilvl w:val="0"/>
          <w:numId w:val="1"/>
        </w:numPr>
        <w:rPr>
          <w:rFonts w:ascii="Arial" w:hAnsi="Arial" w:cs="Arial"/>
          <w:sz w:val="22"/>
          <w:szCs w:val="22"/>
          <w:u w:val="single"/>
        </w:rPr>
      </w:pPr>
      <w:r w:rsidRPr="00806459">
        <w:rPr>
          <w:rFonts w:ascii="Arial" w:hAnsi="Arial" w:cs="Arial"/>
          <w:sz w:val="22"/>
          <w:szCs w:val="22"/>
          <w:u w:val="single"/>
        </w:rPr>
        <w:t>Exceptions to Certification for Paperwork Reduction Act Submissions</w:t>
      </w:r>
    </w:p>
    <w:p w:rsidR="00EF22F3" w:rsidRPr="0089561F" w:rsidRDefault="00EF22F3" w:rsidP="00EF22F3">
      <w:pPr>
        <w:rPr>
          <w:rFonts w:ascii="Arial" w:hAnsi="Arial" w:cs="Arial"/>
          <w:sz w:val="20"/>
          <w:szCs w:val="20"/>
        </w:rPr>
      </w:pPr>
    </w:p>
    <w:p w:rsidR="00EF22F3" w:rsidRPr="0089561F" w:rsidRDefault="00EF22F3" w:rsidP="00806459">
      <w:pPr>
        <w:ind w:left="720"/>
        <w:outlineLvl w:val="0"/>
        <w:rPr>
          <w:rFonts w:ascii="Arial" w:hAnsi="Arial" w:cs="Arial"/>
          <w:sz w:val="20"/>
          <w:szCs w:val="20"/>
        </w:rPr>
      </w:pPr>
      <w:r w:rsidRPr="0089561F">
        <w:rPr>
          <w:rFonts w:ascii="Arial" w:hAnsi="Arial" w:cs="Arial"/>
          <w:sz w:val="20"/>
          <w:szCs w:val="20"/>
        </w:rPr>
        <w:t>There are no exceptions to the certification.</w:t>
      </w:r>
      <w:r w:rsidR="00DF129C" w:rsidRPr="00DF129C">
        <w:t xml:space="preserve"> </w:t>
      </w:r>
      <w:r w:rsidR="00DF129C" w:rsidRPr="00DF129C">
        <w:rPr>
          <w:rFonts w:ascii="Arial" w:hAnsi="Arial" w:cs="Arial"/>
          <w:sz w:val="20"/>
          <w:szCs w:val="20"/>
        </w:rPr>
        <w:t>These activities comply with the requirements in 5 CFR 1320.9.</w:t>
      </w:r>
    </w:p>
    <w:p w:rsidR="00EF22F3" w:rsidRDefault="00EF22F3" w:rsidP="00EF22F3">
      <w:pPr>
        <w:rPr>
          <w:rFonts w:ascii="Arial" w:hAnsi="Arial" w:cs="Arial"/>
          <w:sz w:val="20"/>
          <w:szCs w:val="20"/>
        </w:rPr>
      </w:pPr>
    </w:p>
    <w:p w:rsidR="009A568E" w:rsidRDefault="009A568E" w:rsidP="00EF22F3">
      <w:pPr>
        <w:rPr>
          <w:rFonts w:ascii="Arial" w:hAnsi="Arial" w:cs="Arial"/>
          <w:sz w:val="20"/>
          <w:szCs w:val="20"/>
        </w:rPr>
      </w:pPr>
    </w:p>
    <w:p w:rsidR="009A568E" w:rsidRPr="0089561F" w:rsidRDefault="009A568E" w:rsidP="00EF22F3">
      <w:pPr>
        <w:rPr>
          <w:rFonts w:ascii="Arial" w:hAnsi="Arial" w:cs="Arial"/>
          <w:sz w:val="20"/>
          <w:szCs w:val="20"/>
        </w:rPr>
      </w:pPr>
    </w:p>
    <w:p w:rsidR="00DA7363" w:rsidRDefault="00DA7363" w:rsidP="009A568E">
      <w:pPr>
        <w:ind w:firstLine="360"/>
        <w:outlineLvl w:val="0"/>
        <w:rPr>
          <w:rFonts w:ascii="Arial" w:hAnsi="Arial" w:cs="Arial"/>
          <w:b/>
          <w:sz w:val="22"/>
          <w:szCs w:val="22"/>
        </w:rPr>
        <w:sectPr w:rsidR="00DA7363" w:rsidSect="00466988">
          <w:pgSz w:w="12240" w:h="15840"/>
          <w:pgMar w:top="1440" w:right="1080" w:bottom="1260" w:left="1080" w:header="720" w:footer="720" w:gutter="0"/>
          <w:cols w:space="720"/>
          <w:docGrid w:linePitch="360"/>
        </w:sectPr>
      </w:pPr>
    </w:p>
    <w:p w:rsidR="00EF22F3" w:rsidRDefault="00EF22F3" w:rsidP="009A568E">
      <w:pPr>
        <w:ind w:firstLine="360"/>
        <w:outlineLvl w:val="0"/>
        <w:rPr>
          <w:rFonts w:ascii="Arial" w:hAnsi="Arial" w:cs="Arial"/>
          <w:b/>
          <w:sz w:val="22"/>
          <w:szCs w:val="22"/>
        </w:rPr>
      </w:pPr>
      <w:r>
        <w:rPr>
          <w:rFonts w:ascii="Arial" w:hAnsi="Arial" w:cs="Arial"/>
          <w:b/>
          <w:sz w:val="22"/>
          <w:szCs w:val="22"/>
        </w:rPr>
        <w:lastRenderedPageBreak/>
        <w:t>LIST OF ATTACHMENTS – Section A</w:t>
      </w:r>
    </w:p>
    <w:p w:rsidR="00EF22F3" w:rsidRDefault="00EF22F3" w:rsidP="009A568E">
      <w:pPr>
        <w:ind w:firstLine="360"/>
        <w:jc w:val="both"/>
        <w:outlineLvl w:val="0"/>
        <w:rPr>
          <w:rFonts w:ascii="Arial" w:hAnsi="Arial" w:cs="Arial"/>
          <w:sz w:val="22"/>
          <w:szCs w:val="22"/>
        </w:rPr>
      </w:pPr>
      <w:r>
        <w:rPr>
          <w:rFonts w:ascii="Arial" w:hAnsi="Arial" w:cs="Arial"/>
          <w:sz w:val="22"/>
          <w:szCs w:val="22"/>
        </w:rPr>
        <w:t>Note: Attachments are included as separate files, as instructed</w:t>
      </w:r>
    </w:p>
    <w:p w:rsidR="00EF22F3" w:rsidRDefault="00EF22F3" w:rsidP="00EF22F3">
      <w:pPr>
        <w:ind w:left="360" w:firstLine="360"/>
        <w:jc w:val="both"/>
        <w:outlineLvl w:val="0"/>
        <w:rPr>
          <w:rFonts w:ascii="Arial" w:hAnsi="Arial" w:cs="Arial"/>
          <w:sz w:val="22"/>
          <w:szCs w:val="22"/>
        </w:rPr>
      </w:pPr>
    </w:p>
    <w:p w:rsidR="00EF22F3" w:rsidRPr="00E65580" w:rsidRDefault="00542AC4" w:rsidP="00EF22F3">
      <w:pPr>
        <w:pStyle w:val="ListParagraph"/>
        <w:numPr>
          <w:ilvl w:val="0"/>
          <w:numId w:val="3"/>
        </w:numPr>
        <w:jc w:val="both"/>
        <w:outlineLvl w:val="0"/>
        <w:rPr>
          <w:rFonts w:ascii="Arial" w:hAnsi="Arial" w:cs="Arial"/>
          <w:b/>
          <w:sz w:val="22"/>
          <w:szCs w:val="22"/>
        </w:rPr>
      </w:pPr>
      <w:r>
        <w:rPr>
          <w:rFonts w:ascii="Arial" w:hAnsi="Arial" w:cs="Arial"/>
          <w:b/>
          <w:sz w:val="22"/>
          <w:szCs w:val="22"/>
        </w:rPr>
        <w:t>CTS Brochure</w:t>
      </w:r>
    </w:p>
    <w:p w:rsidR="00EF22F3" w:rsidRPr="00D7018B" w:rsidRDefault="00EF22F3" w:rsidP="00EF22F3">
      <w:pPr>
        <w:rPr>
          <w:rFonts w:ascii="Arial" w:hAnsi="Arial" w:cs="Arial"/>
          <w:b/>
          <w:sz w:val="22"/>
          <w:szCs w:val="22"/>
        </w:rPr>
      </w:pPr>
    </w:p>
    <w:p w:rsidR="00542AC4" w:rsidRDefault="00542AC4" w:rsidP="00EF22F3">
      <w:pPr>
        <w:pStyle w:val="ListParagraph"/>
        <w:numPr>
          <w:ilvl w:val="0"/>
          <w:numId w:val="3"/>
        </w:numPr>
        <w:rPr>
          <w:rFonts w:ascii="Arial" w:hAnsi="Arial" w:cs="Arial"/>
          <w:b/>
          <w:sz w:val="22"/>
          <w:szCs w:val="22"/>
        </w:rPr>
      </w:pPr>
      <w:r>
        <w:rPr>
          <w:rFonts w:ascii="Arial" w:hAnsi="Arial" w:cs="Arial"/>
          <w:b/>
          <w:sz w:val="22"/>
          <w:szCs w:val="22"/>
        </w:rPr>
        <w:t>CTS Poster</w:t>
      </w:r>
    </w:p>
    <w:p w:rsidR="00542AC4" w:rsidRPr="001A7200" w:rsidRDefault="00542AC4" w:rsidP="001A7200">
      <w:pPr>
        <w:pStyle w:val="ListParagraph"/>
        <w:rPr>
          <w:rFonts w:ascii="Arial" w:hAnsi="Arial" w:cs="Arial"/>
          <w:b/>
          <w:sz w:val="22"/>
          <w:szCs w:val="22"/>
        </w:rPr>
      </w:pPr>
    </w:p>
    <w:p w:rsidR="00B654EE" w:rsidRDefault="00B654EE" w:rsidP="00EF22F3">
      <w:pPr>
        <w:pStyle w:val="ListParagraph"/>
        <w:numPr>
          <w:ilvl w:val="0"/>
          <w:numId w:val="3"/>
        </w:numPr>
        <w:rPr>
          <w:rFonts w:ascii="Arial" w:hAnsi="Arial" w:cs="Arial"/>
          <w:b/>
          <w:sz w:val="22"/>
          <w:szCs w:val="22"/>
        </w:rPr>
      </w:pPr>
      <w:r>
        <w:rPr>
          <w:rFonts w:ascii="Arial" w:hAnsi="Arial" w:cs="Arial"/>
          <w:b/>
          <w:sz w:val="22"/>
          <w:szCs w:val="22"/>
        </w:rPr>
        <w:t>Agile methodology</w:t>
      </w:r>
    </w:p>
    <w:p w:rsidR="00B654EE" w:rsidRPr="00B654EE" w:rsidRDefault="00B654EE" w:rsidP="00B654EE">
      <w:pPr>
        <w:pStyle w:val="ListParagraph"/>
        <w:rPr>
          <w:rFonts w:ascii="Arial" w:hAnsi="Arial" w:cs="Arial"/>
          <w:b/>
          <w:sz w:val="22"/>
          <w:szCs w:val="22"/>
        </w:rPr>
      </w:pPr>
    </w:p>
    <w:p w:rsidR="00542AC4" w:rsidRDefault="001E3FD9" w:rsidP="00EF22F3">
      <w:pPr>
        <w:pStyle w:val="ListParagraph"/>
        <w:numPr>
          <w:ilvl w:val="0"/>
          <w:numId w:val="3"/>
        </w:numPr>
        <w:rPr>
          <w:rFonts w:ascii="Arial" w:hAnsi="Arial" w:cs="Arial"/>
          <w:b/>
          <w:sz w:val="22"/>
          <w:szCs w:val="22"/>
        </w:rPr>
      </w:pPr>
      <w:r>
        <w:rPr>
          <w:rFonts w:ascii="Arial" w:hAnsi="Arial" w:cs="Arial"/>
          <w:b/>
          <w:sz w:val="22"/>
          <w:szCs w:val="22"/>
        </w:rPr>
        <w:t>Application screenshots</w:t>
      </w:r>
    </w:p>
    <w:p w:rsidR="00542AC4" w:rsidRPr="001A7200" w:rsidRDefault="00542AC4" w:rsidP="001A7200">
      <w:pPr>
        <w:pStyle w:val="ListParagraph"/>
        <w:rPr>
          <w:rFonts w:ascii="Arial" w:hAnsi="Arial" w:cs="Arial"/>
          <w:b/>
          <w:sz w:val="22"/>
          <w:szCs w:val="22"/>
        </w:rPr>
      </w:pPr>
    </w:p>
    <w:p w:rsidR="00542AC4" w:rsidRPr="000A0C1F" w:rsidRDefault="001E3FD9" w:rsidP="001A7200">
      <w:pPr>
        <w:pStyle w:val="ListParagraph"/>
        <w:numPr>
          <w:ilvl w:val="0"/>
          <w:numId w:val="3"/>
        </w:numPr>
        <w:rPr>
          <w:rFonts w:ascii="Arial" w:hAnsi="Arial" w:cs="Arial"/>
          <w:b/>
          <w:sz w:val="22"/>
          <w:szCs w:val="22"/>
        </w:rPr>
      </w:pPr>
      <w:r>
        <w:rPr>
          <w:rFonts w:ascii="Arial" w:hAnsi="Arial" w:cs="Arial"/>
          <w:b/>
          <w:sz w:val="22"/>
          <w:szCs w:val="22"/>
        </w:rPr>
        <w:t>Implementation map</w:t>
      </w:r>
    </w:p>
    <w:p w:rsidR="00542AC4" w:rsidRPr="001A7200" w:rsidRDefault="00542AC4" w:rsidP="001A7200">
      <w:pPr>
        <w:pStyle w:val="ListParagraph"/>
        <w:rPr>
          <w:rFonts w:ascii="Arial" w:hAnsi="Arial" w:cs="Arial"/>
          <w:b/>
          <w:sz w:val="22"/>
          <w:szCs w:val="22"/>
        </w:rPr>
      </w:pPr>
    </w:p>
    <w:p w:rsidR="00EF22F3" w:rsidRDefault="00EF22F3" w:rsidP="00EF22F3">
      <w:pPr>
        <w:pStyle w:val="ListParagraph"/>
        <w:numPr>
          <w:ilvl w:val="0"/>
          <w:numId w:val="3"/>
        </w:numPr>
        <w:rPr>
          <w:rFonts w:ascii="Arial" w:hAnsi="Arial" w:cs="Arial"/>
          <w:b/>
          <w:sz w:val="22"/>
          <w:szCs w:val="22"/>
        </w:rPr>
      </w:pPr>
      <w:r w:rsidRPr="00D7018B">
        <w:rPr>
          <w:rFonts w:ascii="Arial" w:hAnsi="Arial" w:cs="Arial"/>
          <w:b/>
          <w:sz w:val="22"/>
          <w:szCs w:val="22"/>
        </w:rPr>
        <w:t>Data Collection Instrument</w:t>
      </w:r>
      <w:r>
        <w:rPr>
          <w:rFonts w:ascii="Arial" w:hAnsi="Arial" w:cs="Arial"/>
          <w:b/>
          <w:sz w:val="22"/>
          <w:szCs w:val="22"/>
        </w:rPr>
        <w:t xml:space="preserve"> – Web version</w:t>
      </w:r>
    </w:p>
    <w:p w:rsidR="00EF22F3" w:rsidRPr="00963ADB" w:rsidRDefault="00EF22F3" w:rsidP="00EF22F3">
      <w:pPr>
        <w:pStyle w:val="ListParagraph"/>
        <w:rPr>
          <w:rFonts w:ascii="Arial" w:hAnsi="Arial" w:cs="Arial"/>
          <w:b/>
          <w:sz w:val="22"/>
          <w:szCs w:val="22"/>
        </w:rPr>
      </w:pPr>
    </w:p>
    <w:p w:rsidR="00EF22F3" w:rsidRPr="00D7018B" w:rsidRDefault="00EF22F3" w:rsidP="00EF22F3">
      <w:pPr>
        <w:pStyle w:val="ListParagraph"/>
        <w:numPr>
          <w:ilvl w:val="0"/>
          <w:numId w:val="3"/>
        </w:numPr>
        <w:rPr>
          <w:rFonts w:ascii="Arial" w:hAnsi="Arial" w:cs="Arial"/>
          <w:b/>
          <w:sz w:val="22"/>
          <w:szCs w:val="22"/>
        </w:rPr>
      </w:pPr>
      <w:r>
        <w:rPr>
          <w:rFonts w:ascii="Arial" w:hAnsi="Arial" w:cs="Arial"/>
          <w:b/>
          <w:sz w:val="22"/>
          <w:szCs w:val="22"/>
        </w:rPr>
        <w:t>Data Collection Instrument – Word version</w:t>
      </w:r>
      <w:r w:rsidRPr="00D7018B">
        <w:rPr>
          <w:rFonts w:ascii="Arial" w:hAnsi="Arial" w:cs="Arial"/>
          <w:b/>
          <w:sz w:val="22"/>
          <w:szCs w:val="22"/>
        </w:rPr>
        <w:t xml:space="preserve"> </w:t>
      </w:r>
    </w:p>
    <w:p w:rsidR="00EF22F3" w:rsidRPr="00D7018B" w:rsidRDefault="00EF22F3" w:rsidP="00EF22F3">
      <w:pPr>
        <w:rPr>
          <w:rFonts w:ascii="Arial" w:hAnsi="Arial" w:cs="Arial"/>
          <w:b/>
          <w:sz w:val="22"/>
          <w:szCs w:val="22"/>
        </w:rPr>
      </w:pPr>
    </w:p>
    <w:p w:rsidR="00EF22F3" w:rsidRDefault="00EF22F3" w:rsidP="00EF22F3">
      <w:pPr>
        <w:pStyle w:val="ListParagraph"/>
        <w:numPr>
          <w:ilvl w:val="0"/>
          <w:numId w:val="3"/>
        </w:numPr>
        <w:rPr>
          <w:rFonts w:ascii="Arial" w:hAnsi="Arial" w:cs="Arial"/>
          <w:b/>
          <w:sz w:val="22"/>
          <w:szCs w:val="22"/>
        </w:rPr>
      </w:pPr>
      <w:r w:rsidRPr="00D7018B">
        <w:rPr>
          <w:rFonts w:ascii="Arial" w:hAnsi="Arial" w:cs="Arial"/>
          <w:b/>
          <w:sz w:val="22"/>
          <w:szCs w:val="22"/>
        </w:rPr>
        <w:t>Introductory e-mail</w:t>
      </w:r>
    </w:p>
    <w:p w:rsidR="00EF22F3" w:rsidRPr="00B7107A" w:rsidRDefault="00EF22F3" w:rsidP="00EF22F3">
      <w:pPr>
        <w:pStyle w:val="ListParagraph"/>
        <w:rPr>
          <w:rFonts w:ascii="Arial" w:hAnsi="Arial" w:cs="Arial"/>
          <w:b/>
          <w:sz w:val="22"/>
          <w:szCs w:val="22"/>
        </w:rPr>
      </w:pPr>
    </w:p>
    <w:p w:rsidR="00EF22F3" w:rsidRDefault="00EF22F3" w:rsidP="00EF22F3">
      <w:pPr>
        <w:pStyle w:val="ListParagraph"/>
        <w:numPr>
          <w:ilvl w:val="0"/>
          <w:numId w:val="3"/>
        </w:numPr>
        <w:rPr>
          <w:rFonts w:ascii="Arial" w:hAnsi="Arial" w:cs="Arial"/>
          <w:b/>
          <w:sz w:val="22"/>
          <w:szCs w:val="22"/>
        </w:rPr>
      </w:pPr>
      <w:r w:rsidRPr="00170DD3">
        <w:rPr>
          <w:rFonts w:ascii="Arial" w:hAnsi="Arial" w:cs="Arial"/>
          <w:b/>
          <w:sz w:val="22"/>
          <w:szCs w:val="22"/>
        </w:rPr>
        <w:t>Reminders</w:t>
      </w:r>
      <w:r>
        <w:rPr>
          <w:rFonts w:ascii="Arial" w:hAnsi="Arial" w:cs="Arial"/>
          <w:b/>
          <w:sz w:val="22"/>
          <w:szCs w:val="22"/>
        </w:rPr>
        <w:t xml:space="preserve"> </w:t>
      </w:r>
    </w:p>
    <w:p w:rsidR="00EF22F3" w:rsidRPr="00170DD3" w:rsidRDefault="00EF22F3" w:rsidP="00EF22F3">
      <w:pPr>
        <w:pStyle w:val="ListParagraph"/>
        <w:rPr>
          <w:rFonts w:ascii="Arial" w:hAnsi="Arial" w:cs="Arial"/>
          <w:b/>
          <w:sz w:val="22"/>
          <w:szCs w:val="22"/>
        </w:rPr>
      </w:pPr>
    </w:p>
    <w:p w:rsidR="00EF22F3" w:rsidRPr="00D7018B" w:rsidRDefault="00EF22F3" w:rsidP="00EF22F3">
      <w:pPr>
        <w:pStyle w:val="ListParagraph"/>
        <w:numPr>
          <w:ilvl w:val="0"/>
          <w:numId w:val="3"/>
        </w:numPr>
        <w:rPr>
          <w:rFonts w:ascii="Arial" w:hAnsi="Arial" w:cs="Arial"/>
          <w:b/>
          <w:sz w:val="22"/>
          <w:szCs w:val="22"/>
        </w:rPr>
      </w:pPr>
      <w:r>
        <w:rPr>
          <w:rFonts w:ascii="Arial" w:hAnsi="Arial" w:cs="Arial"/>
          <w:b/>
          <w:sz w:val="22"/>
          <w:szCs w:val="22"/>
        </w:rPr>
        <w:t>F</w:t>
      </w:r>
      <w:r w:rsidRPr="00D7018B">
        <w:rPr>
          <w:rFonts w:ascii="Arial" w:hAnsi="Arial" w:cs="Arial"/>
          <w:b/>
          <w:sz w:val="22"/>
          <w:szCs w:val="22"/>
        </w:rPr>
        <w:t>ollow-up e-mail</w:t>
      </w:r>
    </w:p>
    <w:p w:rsidR="00EF22F3" w:rsidRPr="00D7018B" w:rsidRDefault="00EF22F3" w:rsidP="00EF22F3">
      <w:pPr>
        <w:pStyle w:val="ListParagraph"/>
        <w:rPr>
          <w:rFonts w:ascii="Arial" w:hAnsi="Arial" w:cs="Arial"/>
          <w:b/>
          <w:sz w:val="22"/>
          <w:szCs w:val="22"/>
        </w:rPr>
      </w:pPr>
    </w:p>
    <w:p w:rsidR="00EF22F3" w:rsidRPr="00D7018B" w:rsidRDefault="00EF22F3" w:rsidP="001A7200">
      <w:pPr>
        <w:pStyle w:val="ListParagraph"/>
        <w:rPr>
          <w:rFonts w:ascii="Arial" w:hAnsi="Arial" w:cs="Arial"/>
          <w:b/>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jc w:val="center"/>
        <w:outlineLvl w:val="0"/>
        <w:rPr>
          <w:rFonts w:ascii="Arial" w:hAnsi="Arial" w:cs="Arial"/>
          <w:sz w:val="22"/>
          <w:szCs w:val="22"/>
        </w:rPr>
      </w:pPr>
    </w:p>
    <w:p w:rsidR="00EF22F3" w:rsidRPr="003827F9" w:rsidRDefault="00EF22F3" w:rsidP="00EF22F3">
      <w:pPr>
        <w:rPr>
          <w:rFonts w:ascii="Arial" w:hAnsi="Arial" w:cs="Arial"/>
          <w:b/>
          <w:sz w:val="22"/>
          <w:szCs w:val="22"/>
        </w:rPr>
      </w:pPr>
      <w:r w:rsidRPr="003827F9">
        <w:rPr>
          <w:rFonts w:ascii="Arial" w:hAnsi="Arial" w:cs="Arial"/>
          <w:b/>
          <w:sz w:val="22"/>
          <w:szCs w:val="22"/>
        </w:rPr>
        <w:t xml:space="preserve">  </w:t>
      </w:r>
    </w:p>
    <w:p w:rsidR="00EF22F3" w:rsidRPr="00440577" w:rsidRDefault="00EF22F3" w:rsidP="00EF22F3">
      <w:pPr>
        <w:rPr>
          <w:rFonts w:ascii="Arial" w:hAnsi="Arial" w:cs="Arial"/>
          <w:b/>
          <w:sz w:val="22"/>
          <w:szCs w:val="22"/>
        </w:rPr>
      </w:pPr>
    </w:p>
    <w:p w:rsidR="00466988" w:rsidRDefault="00466988"/>
    <w:sectPr w:rsidR="00466988" w:rsidSect="00466988">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363" w:rsidRDefault="00DA7363">
      <w:r>
        <w:separator/>
      </w:r>
    </w:p>
  </w:endnote>
  <w:endnote w:type="continuationSeparator" w:id="0">
    <w:p w:rsidR="00DA7363" w:rsidRDefault="00DA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3250"/>
      <w:docPartObj>
        <w:docPartGallery w:val="Page Numbers (Bottom of Page)"/>
        <w:docPartUnique/>
      </w:docPartObj>
    </w:sdtPr>
    <w:sdtEndPr/>
    <w:sdtContent>
      <w:p w:rsidR="00DA7363" w:rsidRDefault="00DA7363">
        <w:pPr>
          <w:pStyle w:val="Footer"/>
          <w:jc w:val="right"/>
        </w:pPr>
        <w:r>
          <w:fldChar w:fldCharType="begin"/>
        </w:r>
        <w:r>
          <w:instrText xml:space="preserve"> PAGE   \* MERGEFORMAT </w:instrText>
        </w:r>
        <w:r>
          <w:fldChar w:fldCharType="separate"/>
        </w:r>
        <w:r w:rsidR="00075892">
          <w:rPr>
            <w:noProof/>
          </w:rPr>
          <w:t>1</w:t>
        </w:r>
        <w:r>
          <w:rPr>
            <w:noProof/>
          </w:rPr>
          <w:fldChar w:fldCharType="end"/>
        </w:r>
      </w:p>
    </w:sdtContent>
  </w:sdt>
  <w:p w:rsidR="00DA7363" w:rsidRDefault="00DA7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363" w:rsidRDefault="00DA7363">
      <w:r>
        <w:separator/>
      </w:r>
    </w:p>
  </w:footnote>
  <w:footnote w:type="continuationSeparator" w:id="0">
    <w:p w:rsidR="00DA7363" w:rsidRDefault="00DA7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A49"/>
    <w:multiLevelType w:val="hybridMultilevel"/>
    <w:tmpl w:val="8E94663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C2A67"/>
    <w:multiLevelType w:val="hybridMultilevel"/>
    <w:tmpl w:val="B696488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AF623B1"/>
    <w:multiLevelType w:val="hybridMultilevel"/>
    <w:tmpl w:val="F3827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B80147"/>
    <w:multiLevelType w:val="hybridMultilevel"/>
    <w:tmpl w:val="361C54C6"/>
    <w:lvl w:ilvl="0" w:tplc="AA24C8F0">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28F2BB4"/>
    <w:multiLevelType w:val="hybridMultilevel"/>
    <w:tmpl w:val="BCEE8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
  </w:num>
  <w:num w:numId="3">
    <w:abstractNumId w:val="7"/>
  </w:num>
  <w:num w:numId="4">
    <w:abstractNumId w:val="4"/>
  </w:num>
  <w:num w:numId="5">
    <w:abstractNumId w:val="2"/>
  </w:num>
  <w:num w:numId="6">
    <w:abstractNumId w:val="9"/>
  </w:num>
  <w:num w:numId="7">
    <w:abstractNumId w:val="3"/>
  </w:num>
  <w:num w:numId="8">
    <w:abstractNumId w:val="5"/>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F3"/>
    <w:rsid w:val="0000160D"/>
    <w:rsid w:val="0000161E"/>
    <w:rsid w:val="000110F7"/>
    <w:rsid w:val="000138A3"/>
    <w:rsid w:val="000159BF"/>
    <w:rsid w:val="00020CE9"/>
    <w:rsid w:val="00037A48"/>
    <w:rsid w:val="00053A44"/>
    <w:rsid w:val="00055C00"/>
    <w:rsid w:val="00060994"/>
    <w:rsid w:val="00075892"/>
    <w:rsid w:val="00085C1A"/>
    <w:rsid w:val="000A0C1F"/>
    <w:rsid w:val="000A31EC"/>
    <w:rsid w:val="000B48EA"/>
    <w:rsid w:val="000C4417"/>
    <w:rsid w:val="000C4707"/>
    <w:rsid w:val="000C7BB4"/>
    <w:rsid w:val="000D3362"/>
    <w:rsid w:val="000D65AD"/>
    <w:rsid w:val="000F017F"/>
    <w:rsid w:val="000F0A55"/>
    <w:rsid w:val="000F196F"/>
    <w:rsid w:val="000F2BEA"/>
    <w:rsid w:val="0011125E"/>
    <w:rsid w:val="00111C1D"/>
    <w:rsid w:val="00124ECD"/>
    <w:rsid w:val="00131C4E"/>
    <w:rsid w:val="00132EDB"/>
    <w:rsid w:val="0013539B"/>
    <w:rsid w:val="0013657B"/>
    <w:rsid w:val="001442AF"/>
    <w:rsid w:val="001471B4"/>
    <w:rsid w:val="00150AAA"/>
    <w:rsid w:val="00152430"/>
    <w:rsid w:val="00157C61"/>
    <w:rsid w:val="00160EB3"/>
    <w:rsid w:val="00162071"/>
    <w:rsid w:val="00162BDE"/>
    <w:rsid w:val="001657E5"/>
    <w:rsid w:val="00166768"/>
    <w:rsid w:val="00167E5B"/>
    <w:rsid w:val="00171719"/>
    <w:rsid w:val="00174F93"/>
    <w:rsid w:val="00181424"/>
    <w:rsid w:val="0018383A"/>
    <w:rsid w:val="00185B26"/>
    <w:rsid w:val="0019076F"/>
    <w:rsid w:val="001A0977"/>
    <w:rsid w:val="001A21D3"/>
    <w:rsid w:val="001A347A"/>
    <w:rsid w:val="001A5C37"/>
    <w:rsid w:val="001A7200"/>
    <w:rsid w:val="001B2060"/>
    <w:rsid w:val="001B7B7D"/>
    <w:rsid w:val="001C2FCE"/>
    <w:rsid w:val="001C39B9"/>
    <w:rsid w:val="001C43B1"/>
    <w:rsid w:val="001D2829"/>
    <w:rsid w:val="001D65D2"/>
    <w:rsid w:val="001D6D7A"/>
    <w:rsid w:val="001E3FD9"/>
    <w:rsid w:val="001E4B78"/>
    <w:rsid w:val="001E51C1"/>
    <w:rsid w:val="001E7532"/>
    <w:rsid w:val="001F0714"/>
    <w:rsid w:val="001F2491"/>
    <w:rsid w:val="001F5412"/>
    <w:rsid w:val="002018B9"/>
    <w:rsid w:val="002050E0"/>
    <w:rsid w:val="002079C1"/>
    <w:rsid w:val="0021093C"/>
    <w:rsid w:val="002148D1"/>
    <w:rsid w:val="00223F05"/>
    <w:rsid w:val="002260E9"/>
    <w:rsid w:val="00236FA7"/>
    <w:rsid w:val="00252E5D"/>
    <w:rsid w:val="002533AF"/>
    <w:rsid w:val="00253404"/>
    <w:rsid w:val="00257FEB"/>
    <w:rsid w:val="00273DB9"/>
    <w:rsid w:val="002778F7"/>
    <w:rsid w:val="0028078B"/>
    <w:rsid w:val="00281904"/>
    <w:rsid w:val="00286715"/>
    <w:rsid w:val="00291D6B"/>
    <w:rsid w:val="002A02C0"/>
    <w:rsid w:val="002A4AAA"/>
    <w:rsid w:val="002B0AC9"/>
    <w:rsid w:val="002B4BD4"/>
    <w:rsid w:val="002D5B3D"/>
    <w:rsid w:val="002E57E8"/>
    <w:rsid w:val="002E7046"/>
    <w:rsid w:val="002F12C9"/>
    <w:rsid w:val="002F451A"/>
    <w:rsid w:val="002F6F02"/>
    <w:rsid w:val="003011A0"/>
    <w:rsid w:val="00301E8D"/>
    <w:rsid w:val="00305656"/>
    <w:rsid w:val="0031200E"/>
    <w:rsid w:val="003134FF"/>
    <w:rsid w:val="00316FFB"/>
    <w:rsid w:val="00335304"/>
    <w:rsid w:val="0034459E"/>
    <w:rsid w:val="00345E9C"/>
    <w:rsid w:val="00346A58"/>
    <w:rsid w:val="00375B54"/>
    <w:rsid w:val="00382094"/>
    <w:rsid w:val="00386CC5"/>
    <w:rsid w:val="00386F67"/>
    <w:rsid w:val="00387707"/>
    <w:rsid w:val="003960F8"/>
    <w:rsid w:val="003A4738"/>
    <w:rsid w:val="003A6218"/>
    <w:rsid w:val="003A66BB"/>
    <w:rsid w:val="003A70D8"/>
    <w:rsid w:val="003B4C36"/>
    <w:rsid w:val="003B7450"/>
    <w:rsid w:val="003C36BA"/>
    <w:rsid w:val="003C47A2"/>
    <w:rsid w:val="003C4E3B"/>
    <w:rsid w:val="003D0C4A"/>
    <w:rsid w:val="003D4FCA"/>
    <w:rsid w:val="003D53C2"/>
    <w:rsid w:val="003E3880"/>
    <w:rsid w:val="003E4933"/>
    <w:rsid w:val="003E6529"/>
    <w:rsid w:val="003F1180"/>
    <w:rsid w:val="003F26B0"/>
    <w:rsid w:val="003F27AE"/>
    <w:rsid w:val="00407CB8"/>
    <w:rsid w:val="00416296"/>
    <w:rsid w:val="00421F0A"/>
    <w:rsid w:val="00434653"/>
    <w:rsid w:val="004350C5"/>
    <w:rsid w:val="004437F4"/>
    <w:rsid w:val="00444D06"/>
    <w:rsid w:val="00453A2F"/>
    <w:rsid w:val="00456296"/>
    <w:rsid w:val="004570E1"/>
    <w:rsid w:val="00460154"/>
    <w:rsid w:val="004640DD"/>
    <w:rsid w:val="00466988"/>
    <w:rsid w:val="00470198"/>
    <w:rsid w:val="00471D00"/>
    <w:rsid w:val="00473A8C"/>
    <w:rsid w:val="004870E2"/>
    <w:rsid w:val="004A733A"/>
    <w:rsid w:val="004B78DF"/>
    <w:rsid w:val="004C21A3"/>
    <w:rsid w:val="004C4237"/>
    <w:rsid w:val="004C5395"/>
    <w:rsid w:val="004C7564"/>
    <w:rsid w:val="004D4899"/>
    <w:rsid w:val="004E4A00"/>
    <w:rsid w:val="004E5138"/>
    <w:rsid w:val="004F3CF4"/>
    <w:rsid w:val="00503309"/>
    <w:rsid w:val="00503806"/>
    <w:rsid w:val="00503FC5"/>
    <w:rsid w:val="00512C18"/>
    <w:rsid w:val="005130ED"/>
    <w:rsid w:val="00515814"/>
    <w:rsid w:val="00521194"/>
    <w:rsid w:val="0053380D"/>
    <w:rsid w:val="00537AC3"/>
    <w:rsid w:val="00541291"/>
    <w:rsid w:val="00541D9C"/>
    <w:rsid w:val="00542AC4"/>
    <w:rsid w:val="005462E4"/>
    <w:rsid w:val="00546C80"/>
    <w:rsid w:val="00574834"/>
    <w:rsid w:val="0057604D"/>
    <w:rsid w:val="005871BD"/>
    <w:rsid w:val="0059280F"/>
    <w:rsid w:val="005969CC"/>
    <w:rsid w:val="005A0FA1"/>
    <w:rsid w:val="005A20FC"/>
    <w:rsid w:val="005A78BC"/>
    <w:rsid w:val="005B3B1C"/>
    <w:rsid w:val="005D4FA4"/>
    <w:rsid w:val="005D7F98"/>
    <w:rsid w:val="005E0A01"/>
    <w:rsid w:val="005E0B7A"/>
    <w:rsid w:val="005E1278"/>
    <w:rsid w:val="00614B60"/>
    <w:rsid w:val="006307E7"/>
    <w:rsid w:val="00637E43"/>
    <w:rsid w:val="006409DF"/>
    <w:rsid w:val="00647094"/>
    <w:rsid w:val="00651E16"/>
    <w:rsid w:val="0065516D"/>
    <w:rsid w:val="00655496"/>
    <w:rsid w:val="00657A2D"/>
    <w:rsid w:val="006619E7"/>
    <w:rsid w:val="0066505B"/>
    <w:rsid w:val="006653A0"/>
    <w:rsid w:val="00665A59"/>
    <w:rsid w:val="00667303"/>
    <w:rsid w:val="006674F1"/>
    <w:rsid w:val="00685DF4"/>
    <w:rsid w:val="0069423E"/>
    <w:rsid w:val="00694E62"/>
    <w:rsid w:val="00697455"/>
    <w:rsid w:val="006A0228"/>
    <w:rsid w:val="006A51DC"/>
    <w:rsid w:val="006A58AE"/>
    <w:rsid w:val="006A5F94"/>
    <w:rsid w:val="006A7626"/>
    <w:rsid w:val="006A7B7A"/>
    <w:rsid w:val="006B4092"/>
    <w:rsid w:val="006B5412"/>
    <w:rsid w:val="006B7038"/>
    <w:rsid w:val="006C13A3"/>
    <w:rsid w:val="006C3267"/>
    <w:rsid w:val="006E6AFD"/>
    <w:rsid w:val="006E7C22"/>
    <w:rsid w:val="006F36D4"/>
    <w:rsid w:val="006F647E"/>
    <w:rsid w:val="006F7446"/>
    <w:rsid w:val="007017DB"/>
    <w:rsid w:val="007052FA"/>
    <w:rsid w:val="007130C3"/>
    <w:rsid w:val="00715531"/>
    <w:rsid w:val="007241B0"/>
    <w:rsid w:val="00727F01"/>
    <w:rsid w:val="00746091"/>
    <w:rsid w:val="00750331"/>
    <w:rsid w:val="00767437"/>
    <w:rsid w:val="00773472"/>
    <w:rsid w:val="00773715"/>
    <w:rsid w:val="00787026"/>
    <w:rsid w:val="00790AA1"/>
    <w:rsid w:val="007A40DF"/>
    <w:rsid w:val="007B3503"/>
    <w:rsid w:val="007B3C3D"/>
    <w:rsid w:val="007B7ABA"/>
    <w:rsid w:val="007D1AD4"/>
    <w:rsid w:val="007D5325"/>
    <w:rsid w:val="007D5783"/>
    <w:rsid w:val="007D5A0C"/>
    <w:rsid w:val="007E049F"/>
    <w:rsid w:val="007F5279"/>
    <w:rsid w:val="007F5374"/>
    <w:rsid w:val="008041B3"/>
    <w:rsid w:val="008056F6"/>
    <w:rsid w:val="00806459"/>
    <w:rsid w:val="00806B65"/>
    <w:rsid w:val="00821980"/>
    <w:rsid w:val="0083273D"/>
    <w:rsid w:val="00832C80"/>
    <w:rsid w:val="008332FA"/>
    <w:rsid w:val="00833F85"/>
    <w:rsid w:val="0084344C"/>
    <w:rsid w:val="00875BC9"/>
    <w:rsid w:val="00884A50"/>
    <w:rsid w:val="00886AA5"/>
    <w:rsid w:val="0089161F"/>
    <w:rsid w:val="00892058"/>
    <w:rsid w:val="00892DF8"/>
    <w:rsid w:val="00893DFC"/>
    <w:rsid w:val="0089561F"/>
    <w:rsid w:val="00897E2F"/>
    <w:rsid w:val="008B401F"/>
    <w:rsid w:val="008B4B2C"/>
    <w:rsid w:val="008E064E"/>
    <w:rsid w:val="008E09DB"/>
    <w:rsid w:val="008E17E7"/>
    <w:rsid w:val="008E24C0"/>
    <w:rsid w:val="008E2CBC"/>
    <w:rsid w:val="008E5569"/>
    <w:rsid w:val="008E7A86"/>
    <w:rsid w:val="008F5694"/>
    <w:rsid w:val="009045EE"/>
    <w:rsid w:val="009153A2"/>
    <w:rsid w:val="00925B22"/>
    <w:rsid w:val="00932B7C"/>
    <w:rsid w:val="00936861"/>
    <w:rsid w:val="00936E1D"/>
    <w:rsid w:val="00955CC6"/>
    <w:rsid w:val="00982940"/>
    <w:rsid w:val="0098785E"/>
    <w:rsid w:val="009A05F8"/>
    <w:rsid w:val="009A45D2"/>
    <w:rsid w:val="009A568E"/>
    <w:rsid w:val="009A63F3"/>
    <w:rsid w:val="009B3DCC"/>
    <w:rsid w:val="009B536C"/>
    <w:rsid w:val="009C548C"/>
    <w:rsid w:val="009E7589"/>
    <w:rsid w:val="009F4429"/>
    <w:rsid w:val="00A023C0"/>
    <w:rsid w:val="00A07036"/>
    <w:rsid w:val="00A164A8"/>
    <w:rsid w:val="00A178DD"/>
    <w:rsid w:val="00A2335D"/>
    <w:rsid w:val="00A36ABA"/>
    <w:rsid w:val="00A408B9"/>
    <w:rsid w:val="00A47E42"/>
    <w:rsid w:val="00A50B14"/>
    <w:rsid w:val="00A52D70"/>
    <w:rsid w:val="00A74525"/>
    <w:rsid w:val="00A7568C"/>
    <w:rsid w:val="00A7702B"/>
    <w:rsid w:val="00A951B0"/>
    <w:rsid w:val="00A96766"/>
    <w:rsid w:val="00AA0566"/>
    <w:rsid w:val="00AA2324"/>
    <w:rsid w:val="00AA5493"/>
    <w:rsid w:val="00AA6C28"/>
    <w:rsid w:val="00AA74C3"/>
    <w:rsid w:val="00AB23D7"/>
    <w:rsid w:val="00AB6EE9"/>
    <w:rsid w:val="00AC3F13"/>
    <w:rsid w:val="00AD3744"/>
    <w:rsid w:val="00AE00C8"/>
    <w:rsid w:val="00AE0344"/>
    <w:rsid w:val="00AE0851"/>
    <w:rsid w:val="00AE37EA"/>
    <w:rsid w:val="00AE53FF"/>
    <w:rsid w:val="00AF0D6A"/>
    <w:rsid w:val="00AF228A"/>
    <w:rsid w:val="00AF45B7"/>
    <w:rsid w:val="00B1645E"/>
    <w:rsid w:val="00B21252"/>
    <w:rsid w:val="00B24B24"/>
    <w:rsid w:val="00B33172"/>
    <w:rsid w:val="00B3644B"/>
    <w:rsid w:val="00B4278A"/>
    <w:rsid w:val="00B527A0"/>
    <w:rsid w:val="00B52C14"/>
    <w:rsid w:val="00B56DEA"/>
    <w:rsid w:val="00B57A0F"/>
    <w:rsid w:val="00B646E3"/>
    <w:rsid w:val="00B654EE"/>
    <w:rsid w:val="00B660DE"/>
    <w:rsid w:val="00B7376F"/>
    <w:rsid w:val="00B74F4B"/>
    <w:rsid w:val="00B8587F"/>
    <w:rsid w:val="00B873B8"/>
    <w:rsid w:val="00BB04F7"/>
    <w:rsid w:val="00BB694C"/>
    <w:rsid w:val="00BB7140"/>
    <w:rsid w:val="00BC498C"/>
    <w:rsid w:val="00BC7BA0"/>
    <w:rsid w:val="00BD123F"/>
    <w:rsid w:val="00BD55A8"/>
    <w:rsid w:val="00BE72A3"/>
    <w:rsid w:val="00BF2DC8"/>
    <w:rsid w:val="00BF5149"/>
    <w:rsid w:val="00C0579C"/>
    <w:rsid w:val="00C15D2C"/>
    <w:rsid w:val="00C17986"/>
    <w:rsid w:val="00C2690C"/>
    <w:rsid w:val="00C448AE"/>
    <w:rsid w:val="00C462B4"/>
    <w:rsid w:val="00C568EF"/>
    <w:rsid w:val="00C56D82"/>
    <w:rsid w:val="00C61E7D"/>
    <w:rsid w:val="00C622EA"/>
    <w:rsid w:val="00C65C09"/>
    <w:rsid w:val="00C7059C"/>
    <w:rsid w:val="00C72481"/>
    <w:rsid w:val="00C750F0"/>
    <w:rsid w:val="00C7640B"/>
    <w:rsid w:val="00C76916"/>
    <w:rsid w:val="00C84C38"/>
    <w:rsid w:val="00C911A4"/>
    <w:rsid w:val="00C912FF"/>
    <w:rsid w:val="00C9363D"/>
    <w:rsid w:val="00C948EF"/>
    <w:rsid w:val="00CB170D"/>
    <w:rsid w:val="00CC165C"/>
    <w:rsid w:val="00CC2599"/>
    <w:rsid w:val="00CD12AC"/>
    <w:rsid w:val="00D100F8"/>
    <w:rsid w:val="00D17313"/>
    <w:rsid w:val="00D22C3D"/>
    <w:rsid w:val="00D466B9"/>
    <w:rsid w:val="00D47636"/>
    <w:rsid w:val="00D53C07"/>
    <w:rsid w:val="00D56670"/>
    <w:rsid w:val="00D62A25"/>
    <w:rsid w:val="00D708B2"/>
    <w:rsid w:val="00D7136E"/>
    <w:rsid w:val="00D736C8"/>
    <w:rsid w:val="00D76A00"/>
    <w:rsid w:val="00D82450"/>
    <w:rsid w:val="00DA52C8"/>
    <w:rsid w:val="00DA7363"/>
    <w:rsid w:val="00DB357F"/>
    <w:rsid w:val="00DB4B5F"/>
    <w:rsid w:val="00DC0A34"/>
    <w:rsid w:val="00DD3795"/>
    <w:rsid w:val="00DE367E"/>
    <w:rsid w:val="00DE7E55"/>
    <w:rsid w:val="00DF005B"/>
    <w:rsid w:val="00DF0480"/>
    <w:rsid w:val="00DF129C"/>
    <w:rsid w:val="00DF7347"/>
    <w:rsid w:val="00E14300"/>
    <w:rsid w:val="00E23DE1"/>
    <w:rsid w:val="00E25CFE"/>
    <w:rsid w:val="00E30837"/>
    <w:rsid w:val="00E33948"/>
    <w:rsid w:val="00E45D3C"/>
    <w:rsid w:val="00E51B9C"/>
    <w:rsid w:val="00E5270B"/>
    <w:rsid w:val="00E54A94"/>
    <w:rsid w:val="00E56EEF"/>
    <w:rsid w:val="00E76FBD"/>
    <w:rsid w:val="00E7754E"/>
    <w:rsid w:val="00E80500"/>
    <w:rsid w:val="00E9184B"/>
    <w:rsid w:val="00EB4FA2"/>
    <w:rsid w:val="00EB5362"/>
    <w:rsid w:val="00ED01F1"/>
    <w:rsid w:val="00EE3370"/>
    <w:rsid w:val="00EE4D59"/>
    <w:rsid w:val="00EF22F3"/>
    <w:rsid w:val="00F064B7"/>
    <w:rsid w:val="00F0657F"/>
    <w:rsid w:val="00F06605"/>
    <w:rsid w:val="00F12C69"/>
    <w:rsid w:val="00F138EA"/>
    <w:rsid w:val="00F17FD5"/>
    <w:rsid w:val="00F240A0"/>
    <w:rsid w:val="00F26D30"/>
    <w:rsid w:val="00F31BAD"/>
    <w:rsid w:val="00F31BBD"/>
    <w:rsid w:val="00F3309B"/>
    <w:rsid w:val="00F37FD6"/>
    <w:rsid w:val="00F46D59"/>
    <w:rsid w:val="00F55447"/>
    <w:rsid w:val="00F5638F"/>
    <w:rsid w:val="00F57851"/>
    <w:rsid w:val="00F62084"/>
    <w:rsid w:val="00F63659"/>
    <w:rsid w:val="00F70F39"/>
    <w:rsid w:val="00F714E1"/>
    <w:rsid w:val="00F724D9"/>
    <w:rsid w:val="00F74F05"/>
    <w:rsid w:val="00F74F4A"/>
    <w:rsid w:val="00F76285"/>
    <w:rsid w:val="00F7719B"/>
    <w:rsid w:val="00F852BD"/>
    <w:rsid w:val="00FB0E49"/>
    <w:rsid w:val="00FC17B7"/>
    <w:rsid w:val="00FC1991"/>
    <w:rsid w:val="00FC6D8C"/>
    <w:rsid w:val="00FD1271"/>
    <w:rsid w:val="00FD27C8"/>
    <w:rsid w:val="00FD372A"/>
    <w:rsid w:val="00FD3F13"/>
    <w:rsid w:val="00FD7946"/>
    <w:rsid w:val="00FE0533"/>
    <w:rsid w:val="00FE3BD4"/>
    <w:rsid w:val="00FF0ED3"/>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2F3"/>
    <w:pPr>
      <w:ind w:left="720"/>
      <w:contextualSpacing/>
    </w:pPr>
  </w:style>
  <w:style w:type="paragraph" w:styleId="Footer">
    <w:name w:val="footer"/>
    <w:basedOn w:val="Normal"/>
    <w:link w:val="FooterChar"/>
    <w:uiPriority w:val="99"/>
    <w:rsid w:val="00EF22F3"/>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EF22F3"/>
    <w:rPr>
      <w:rFonts w:ascii="Courier New" w:eastAsia="Times New Roman" w:hAnsi="Courier New" w:cs="Times New Roman"/>
      <w:sz w:val="24"/>
      <w:szCs w:val="24"/>
    </w:rPr>
  </w:style>
  <w:style w:type="paragraph" w:styleId="CommentText">
    <w:name w:val="annotation text"/>
    <w:basedOn w:val="Normal"/>
    <w:link w:val="CommentTextChar"/>
    <w:uiPriority w:val="99"/>
    <w:rsid w:val="00EF22F3"/>
    <w:rPr>
      <w:sz w:val="20"/>
      <w:szCs w:val="20"/>
    </w:rPr>
  </w:style>
  <w:style w:type="character" w:customStyle="1" w:styleId="CommentTextChar">
    <w:name w:val="Comment Text Char"/>
    <w:basedOn w:val="DefaultParagraphFont"/>
    <w:link w:val="CommentText"/>
    <w:uiPriority w:val="99"/>
    <w:rsid w:val="00EF22F3"/>
    <w:rPr>
      <w:rFonts w:ascii="Times New Roman" w:eastAsia="Times New Roman" w:hAnsi="Times New Roman" w:cs="Times New Roman"/>
      <w:sz w:val="20"/>
      <w:szCs w:val="20"/>
    </w:rPr>
  </w:style>
  <w:style w:type="table" w:styleId="TableGrid">
    <w:name w:val="Table Grid"/>
    <w:basedOn w:val="TableNormal"/>
    <w:rsid w:val="00EF22F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F22F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EF22F3"/>
    <w:rPr>
      <w:color w:val="auto"/>
    </w:rPr>
  </w:style>
  <w:style w:type="character" w:styleId="Hyperlink">
    <w:name w:val="Hyperlink"/>
    <w:basedOn w:val="DefaultParagraphFont"/>
    <w:rsid w:val="00EF22F3"/>
    <w:rPr>
      <w:color w:val="0000FF"/>
      <w:u w:val="single"/>
    </w:rPr>
  </w:style>
  <w:style w:type="paragraph" w:styleId="BalloonText">
    <w:name w:val="Balloon Text"/>
    <w:basedOn w:val="Normal"/>
    <w:link w:val="BalloonTextChar"/>
    <w:uiPriority w:val="99"/>
    <w:semiHidden/>
    <w:unhideWhenUsed/>
    <w:rsid w:val="00EF22F3"/>
    <w:rPr>
      <w:rFonts w:ascii="Tahoma" w:hAnsi="Tahoma" w:cs="Tahoma"/>
      <w:sz w:val="16"/>
      <w:szCs w:val="16"/>
    </w:rPr>
  </w:style>
  <w:style w:type="character" w:customStyle="1" w:styleId="BalloonTextChar">
    <w:name w:val="Balloon Text Char"/>
    <w:basedOn w:val="DefaultParagraphFont"/>
    <w:link w:val="BalloonText"/>
    <w:uiPriority w:val="99"/>
    <w:semiHidden/>
    <w:rsid w:val="00EF22F3"/>
    <w:rPr>
      <w:rFonts w:ascii="Tahoma" w:eastAsia="Times New Roman" w:hAnsi="Tahoma" w:cs="Tahoma"/>
      <w:sz w:val="16"/>
      <w:szCs w:val="16"/>
    </w:rPr>
  </w:style>
  <w:style w:type="paragraph" w:styleId="NormalWeb">
    <w:name w:val="Normal (Web)"/>
    <w:basedOn w:val="Normal"/>
    <w:uiPriority w:val="99"/>
    <w:unhideWhenUsed/>
    <w:rsid w:val="000F017F"/>
    <w:pPr>
      <w:spacing w:after="180"/>
    </w:pPr>
  </w:style>
  <w:style w:type="character" w:styleId="CommentReference">
    <w:name w:val="annotation reference"/>
    <w:basedOn w:val="DefaultParagraphFont"/>
    <w:uiPriority w:val="99"/>
    <w:semiHidden/>
    <w:unhideWhenUsed/>
    <w:rsid w:val="00574834"/>
    <w:rPr>
      <w:sz w:val="16"/>
      <w:szCs w:val="16"/>
    </w:rPr>
  </w:style>
  <w:style w:type="paragraph" w:styleId="CommentSubject">
    <w:name w:val="annotation subject"/>
    <w:basedOn w:val="CommentText"/>
    <w:next w:val="CommentText"/>
    <w:link w:val="CommentSubjectChar"/>
    <w:uiPriority w:val="99"/>
    <w:semiHidden/>
    <w:unhideWhenUsed/>
    <w:rsid w:val="00750331"/>
    <w:rPr>
      <w:b/>
      <w:bCs/>
    </w:rPr>
  </w:style>
  <w:style w:type="character" w:customStyle="1" w:styleId="CommentSubjectChar">
    <w:name w:val="Comment Subject Char"/>
    <w:basedOn w:val="CommentTextChar"/>
    <w:link w:val="CommentSubject"/>
    <w:uiPriority w:val="99"/>
    <w:semiHidden/>
    <w:rsid w:val="0075033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437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2F3"/>
    <w:pPr>
      <w:ind w:left="720"/>
      <w:contextualSpacing/>
    </w:pPr>
  </w:style>
  <w:style w:type="paragraph" w:styleId="Footer">
    <w:name w:val="footer"/>
    <w:basedOn w:val="Normal"/>
    <w:link w:val="FooterChar"/>
    <w:uiPriority w:val="99"/>
    <w:rsid w:val="00EF22F3"/>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EF22F3"/>
    <w:rPr>
      <w:rFonts w:ascii="Courier New" w:eastAsia="Times New Roman" w:hAnsi="Courier New" w:cs="Times New Roman"/>
      <w:sz w:val="24"/>
      <w:szCs w:val="24"/>
    </w:rPr>
  </w:style>
  <w:style w:type="paragraph" w:styleId="CommentText">
    <w:name w:val="annotation text"/>
    <w:basedOn w:val="Normal"/>
    <w:link w:val="CommentTextChar"/>
    <w:uiPriority w:val="99"/>
    <w:rsid w:val="00EF22F3"/>
    <w:rPr>
      <w:sz w:val="20"/>
      <w:szCs w:val="20"/>
    </w:rPr>
  </w:style>
  <w:style w:type="character" w:customStyle="1" w:styleId="CommentTextChar">
    <w:name w:val="Comment Text Char"/>
    <w:basedOn w:val="DefaultParagraphFont"/>
    <w:link w:val="CommentText"/>
    <w:uiPriority w:val="99"/>
    <w:rsid w:val="00EF22F3"/>
    <w:rPr>
      <w:rFonts w:ascii="Times New Roman" w:eastAsia="Times New Roman" w:hAnsi="Times New Roman" w:cs="Times New Roman"/>
      <w:sz w:val="20"/>
      <w:szCs w:val="20"/>
    </w:rPr>
  </w:style>
  <w:style w:type="table" w:styleId="TableGrid">
    <w:name w:val="Table Grid"/>
    <w:basedOn w:val="TableNormal"/>
    <w:rsid w:val="00EF22F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F22F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EF22F3"/>
    <w:rPr>
      <w:color w:val="auto"/>
    </w:rPr>
  </w:style>
  <w:style w:type="character" w:styleId="Hyperlink">
    <w:name w:val="Hyperlink"/>
    <w:basedOn w:val="DefaultParagraphFont"/>
    <w:rsid w:val="00EF22F3"/>
    <w:rPr>
      <w:color w:val="0000FF"/>
      <w:u w:val="single"/>
    </w:rPr>
  </w:style>
  <w:style w:type="paragraph" w:styleId="BalloonText">
    <w:name w:val="Balloon Text"/>
    <w:basedOn w:val="Normal"/>
    <w:link w:val="BalloonTextChar"/>
    <w:uiPriority w:val="99"/>
    <w:semiHidden/>
    <w:unhideWhenUsed/>
    <w:rsid w:val="00EF22F3"/>
    <w:rPr>
      <w:rFonts w:ascii="Tahoma" w:hAnsi="Tahoma" w:cs="Tahoma"/>
      <w:sz w:val="16"/>
      <w:szCs w:val="16"/>
    </w:rPr>
  </w:style>
  <w:style w:type="character" w:customStyle="1" w:styleId="BalloonTextChar">
    <w:name w:val="Balloon Text Char"/>
    <w:basedOn w:val="DefaultParagraphFont"/>
    <w:link w:val="BalloonText"/>
    <w:uiPriority w:val="99"/>
    <w:semiHidden/>
    <w:rsid w:val="00EF22F3"/>
    <w:rPr>
      <w:rFonts w:ascii="Tahoma" w:eastAsia="Times New Roman" w:hAnsi="Tahoma" w:cs="Tahoma"/>
      <w:sz w:val="16"/>
      <w:szCs w:val="16"/>
    </w:rPr>
  </w:style>
  <w:style w:type="paragraph" w:styleId="NormalWeb">
    <w:name w:val="Normal (Web)"/>
    <w:basedOn w:val="Normal"/>
    <w:uiPriority w:val="99"/>
    <w:unhideWhenUsed/>
    <w:rsid w:val="000F017F"/>
    <w:pPr>
      <w:spacing w:after="180"/>
    </w:pPr>
  </w:style>
  <w:style w:type="character" w:styleId="CommentReference">
    <w:name w:val="annotation reference"/>
    <w:basedOn w:val="DefaultParagraphFont"/>
    <w:uiPriority w:val="99"/>
    <w:semiHidden/>
    <w:unhideWhenUsed/>
    <w:rsid w:val="00574834"/>
    <w:rPr>
      <w:sz w:val="16"/>
      <w:szCs w:val="16"/>
    </w:rPr>
  </w:style>
  <w:style w:type="paragraph" w:styleId="CommentSubject">
    <w:name w:val="annotation subject"/>
    <w:basedOn w:val="CommentText"/>
    <w:next w:val="CommentText"/>
    <w:link w:val="CommentSubjectChar"/>
    <w:uiPriority w:val="99"/>
    <w:semiHidden/>
    <w:unhideWhenUsed/>
    <w:rsid w:val="00750331"/>
    <w:rPr>
      <w:b/>
      <w:bCs/>
    </w:rPr>
  </w:style>
  <w:style w:type="character" w:customStyle="1" w:styleId="CommentSubjectChar">
    <w:name w:val="Comment Subject Char"/>
    <w:basedOn w:val="CommentTextChar"/>
    <w:link w:val="CommentSubject"/>
    <w:uiPriority w:val="99"/>
    <w:semiHidden/>
    <w:rsid w:val="0075033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43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22420">
      <w:bodyDiv w:val="1"/>
      <w:marLeft w:val="4"/>
      <w:marRight w:val="4"/>
      <w:marTop w:val="4"/>
      <w:marBottom w:val="4"/>
      <w:divBdr>
        <w:top w:val="none" w:sz="0" w:space="0" w:color="auto"/>
        <w:left w:val="none" w:sz="0" w:space="0" w:color="auto"/>
        <w:bottom w:val="none" w:sz="0" w:space="0" w:color="auto"/>
        <w:right w:val="none" w:sz="0" w:space="0" w:color="auto"/>
      </w:divBdr>
      <w:divsChild>
        <w:div w:id="1200430429">
          <w:marLeft w:val="0"/>
          <w:marRight w:val="0"/>
          <w:marTop w:val="0"/>
          <w:marBottom w:val="0"/>
          <w:divBdr>
            <w:top w:val="none" w:sz="0" w:space="0" w:color="auto"/>
            <w:left w:val="none" w:sz="0" w:space="0" w:color="auto"/>
            <w:bottom w:val="none" w:sz="0" w:space="0" w:color="auto"/>
            <w:right w:val="none" w:sz="0" w:space="0" w:color="auto"/>
          </w:divBdr>
          <w:divsChild>
            <w:div w:id="316806097">
              <w:marLeft w:val="0"/>
              <w:marRight w:val="0"/>
              <w:marTop w:val="0"/>
              <w:marBottom w:val="0"/>
              <w:divBdr>
                <w:top w:val="none" w:sz="0" w:space="0" w:color="auto"/>
                <w:left w:val="none" w:sz="0" w:space="0" w:color="auto"/>
                <w:bottom w:val="none" w:sz="0" w:space="0" w:color="auto"/>
                <w:right w:val="none" w:sz="0" w:space="0" w:color="auto"/>
              </w:divBdr>
              <w:divsChild>
                <w:div w:id="1370564805">
                  <w:marLeft w:val="0"/>
                  <w:marRight w:val="0"/>
                  <w:marTop w:val="0"/>
                  <w:marBottom w:val="180"/>
                  <w:divBdr>
                    <w:top w:val="none" w:sz="0" w:space="0" w:color="auto"/>
                    <w:left w:val="none" w:sz="0" w:space="0" w:color="auto"/>
                    <w:bottom w:val="none" w:sz="0" w:space="0" w:color="auto"/>
                    <w:right w:val="none" w:sz="0" w:space="0" w:color="auto"/>
                  </w:divBdr>
                  <w:divsChild>
                    <w:div w:id="216355614">
                      <w:marLeft w:val="0"/>
                      <w:marRight w:val="0"/>
                      <w:marTop w:val="0"/>
                      <w:marBottom w:val="0"/>
                      <w:divBdr>
                        <w:top w:val="none" w:sz="0" w:space="0" w:color="auto"/>
                        <w:left w:val="none" w:sz="0" w:space="0" w:color="auto"/>
                        <w:bottom w:val="none" w:sz="0" w:space="0" w:color="auto"/>
                        <w:right w:val="none" w:sz="0" w:space="0" w:color="auto"/>
                      </w:divBdr>
                      <w:divsChild>
                        <w:div w:id="33507493">
                          <w:marLeft w:val="0"/>
                          <w:marRight w:val="0"/>
                          <w:marTop w:val="0"/>
                          <w:marBottom w:val="0"/>
                          <w:divBdr>
                            <w:top w:val="none" w:sz="0" w:space="0" w:color="auto"/>
                            <w:left w:val="none" w:sz="0" w:space="0" w:color="auto"/>
                            <w:bottom w:val="none" w:sz="0" w:space="0" w:color="auto"/>
                            <w:right w:val="none" w:sz="0" w:space="0" w:color="auto"/>
                          </w:divBdr>
                          <w:divsChild>
                            <w:div w:id="2085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345188">
      <w:bodyDiv w:val="1"/>
      <w:marLeft w:val="4"/>
      <w:marRight w:val="4"/>
      <w:marTop w:val="4"/>
      <w:marBottom w:val="4"/>
      <w:divBdr>
        <w:top w:val="none" w:sz="0" w:space="0" w:color="auto"/>
        <w:left w:val="none" w:sz="0" w:space="0" w:color="auto"/>
        <w:bottom w:val="none" w:sz="0" w:space="0" w:color="auto"/>
        <w:right w:val="none" w:sz="0" w:space="0" w:color="auto"/>
      </w:divBdr>
      <w:divsChild>
        <w:div w:id="1002045708">
          <w:marLeft w:val="0"/>
          <w:marRight w:val="0"/>
          <w:marTop w:val="0"/>
          <w:marBottom w:val="0"/>
          <w:divBdr>
            <w:top w:val="none" w:sz="0" w:space="0" w:color="auto"/>
            <w:left w:val="none" w:sz="0" w:space="0" w:color="auto"/>
            <w:bottom w:val="none" w:sz="0" w:space="0" w:color="auto"/>
            <w:right w:val="none" w:sz="0" w:space="0" w:color="auto"/>
          </w:divBdr>
          <w:divsChild>
            <w:div w:id="1375159332">
              <w:marLeft w:val="0"/>
              <w:marRight w:val="0"/>
              <w:marTop w:val="0"/>
              <w:marBottom w:val="0"/>
              <w:divBdr>
                <w:top w:val="none" w:sz="0" w:space="0" w:color="auto"/>
                <w:left w:val="none" w:sz="0" w:space="0" w:color="auto"/>
                <w:bottom w:val="none" w:sz="0" w:space="0" w:color="auto"/>
                <w:right w:val="none" w:sz="0" w:space="0" w:color="auto"/>
              </w:divBdr>
              <w:divsChild>
                <w:div w:id="1500541845">
                  <w:marLeft w:val="0"/>
                  <w:marRight w:val="0"/>
                  <w:marTop w:val="0"/>
                  <w:marBottom w:val="180"/>
                  <w:divBdr>
                    <w:top w:val="none" w:sz="0" w:space="0" w:color="auto"/>
                    <w:left w:val="none" w:sz="0" w:space="0" w:color="auto"/>
                    <w:bottom w:val="none" w:sz="0" w:space="0" w:color="auto"/>
                    <w:right w:val="none" w:sz="0" w:space="0" w:color="auto"/>
                  </w:divBdr>
                  <w:divsChild>
                    <w:div w:id="262080935">
                      <w:marLeft w:val="0"/>
                      <w:marRight w:val="0"/>
                      <w:marTop w:val="0"/>
                      <w:marBottom w:val="0"/>
                      <w:divBdr>
                        <w:top w:val="none" w:sz="0" w:space="0" w:color="auto"/>
                        <w:left w:val="none" w:sz="0" w:space="0" w:color="auto"/>
                        <w:bottom w:val="none" w:sz="0" w:space="0" w:color="auto"/>
                        <w:right w:val="none" w:sz="0" w:space="0" w:color="auto"/>
                      </w:divBdr>
                      <w:divsChild>
                        <w:div w:id="811946013">
                          <w:marLeft w:val="0"/>
                          <w:marRight w:val="0"/>
                          <w:marTop w:val="0"/>
                          <w:marBottom w:val="0"/>
                          <w:divBdr>
                            <w:top w:val="none" w:sz="0" w:space="0" w:color="auto"/>
                            <w:left w:val="none" w:sz="0" w:space="0" w:color="auto"/>
                            <w:bottom w:val="none" w:sz="0" w:space="0" w:color="auto"/>
                            <w:right w:val="none" w:sz="0" w:space="0" w:color="auto"/>
                          </w:divBdr>
                          <w:divsChild>
                            <w:div w:id="8911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304532">
      <w:bodyDiv w:val="1"/>
      <w:marLeft w:val="0"/>
      <w:marRight w:val="0"/>
      <w:marTop w:val="0"/>
      <w:marBottom w:val="0"/>
      <w:divBdr>
        <w:top w:val="none" w:sz="0" w:space="0" w:color="auto"/>
        <w:left w:val="none" w:sz="0" w:space="0" w:color="auto"/>
        <w:bottom w:val="none" w:sz="0" w:space="0" w:color="auto"/>
        <w:right w:val="none" w:sz="0" w:space="0" w:color="auto"/>
      </w:divBdr>
    </w:div>
    <w:div w:id="842936430">
      <w:bodyDiv w:val="1"/>
      <w:marLeft w:val="4"/>
      <w:marRight w:val="4"/>
      <w:marTop w:val="4"/>
      <w:marBottom w:val="4"/>
      <w:divBdr>
        <w:top w:val="none" w:sz="0" w:space="0" w:color="auto"/>
        <w:left w:val="none" w:sz="0" w:space="0" w:color="auto"/>
        <w:bottom w:val="none" w:sz="0" w:space="0" w:color="auto"/>
        <w:right w:val="none" w:sz="0" w:space="0" w:color="auto"/>
      </w:divBdr>
      <w:divsChild>
        <w:div w:id="1338725770">
          <w:marLeft w:val="0"/>
          <w:marRight w:val="0"/>
          <w:marTop w:val="0"/>
          <w:marBottom w:val="0"/>
          <w:divBdr>
            <w:top w:val="none" w:sz="0" w:space="0" w:color="auto"/>
            <w:left w:val="none" w:sz="0" w:space="0" w:color="auto"/>
            <w:bottom w:val="none" w:sz="0" w:space="0" w:color="auto"/>
            <w:right w:val="none" w:sz="0" w:space="0" w:color="auto"/>
          </w:divBdr>
          <w:divsChild>
            <w:div w:id="661591337">
              <w:marLeft w:val="0"/>
              <w:marRight w:val="0"/>
              <w:marTop w:val="0"/>
              <w:marBottom w:val="0"/>
              <w:divBdr>
                <w:top w:val="none" w:sz="0" w:space="0" w:color="auto"/>
                <w:left w:val="none" w:sz="0" w:space="0" w:color="auto"/>
                <w:bottom w:val="none" w:sz="0" w:space="0" w:color="auto"/>
                <w:right w:val="none" w:sz="0" w:space="0" w:color="auto"/>
              </w:divBdr>
              <w:divsChild>
                <w:div w:id="462774994">
                  <w:marLeft w:val="0"/>
                  <w:marRight w:val="0"/>
                  <w:marTop w:val="0"/>
                  <w:marBottom w:val="180"/>
                  <w:divBdr>
                    <w:top w:val="none" w:sz="0" w:space="0" w:color="auto"/>
                    <w:left w:val="none" w:sz="0" w:space="0" w:color="auto"/>
                    <w:bottom w:val="none" w:sz="0" w:space="0" w:color="auto"/>
                    <w:right w:val="none" w:sz="0" w:space="0" w:color="auto"/>
                  </w:divBdr>
                  <w:divsChild>
                    <w:div w:id="1979072370">
                      <w:marLeft w:val="0"/>
                      <w:marRight w:val="0"/>
                      <w:marTop w:val="0"/>
                      <w:marBottom w:val="0"/>
                      <w:divBdr>
                        <w:top w:val="none" w:sz="0" w:space="0" w:color="auto"/>
                        <w:left w:val="none" w:sz="0" w:space="0" w:color="auto"/>
                        <w:bottom w:val="none" w:sz="0" w:space="0" w:color="auto"/>
                        <w:right w:val="none" w:sz="0" w:space="0" w:color="auto"/>
                      </w:divBdr>
                      <w:divsChild>
                        <w:div w:id="85614505">
                          <w:marLeft w:val="0"/>
                          <w:marRight w:val="0"/>
                          <w:marTop w:val="0"/>
                          <w:marBottom w:val="0"/>
                          <w:divBdr>
                            <w:top w:val="none" w:sz="0" w:space="0" w:color="auto"/>
                            <w:left w:val="none" w:sz="0" w:space="0" w:color="auto"/>
                            <w:bottom w:val="none" w:sz="0" w:space="0" w:color="auto"/>
                            <w:right w:val="none" w:sz="0" w:space="0" w:color="auto"/>
                          </w:divBdr>
                          <w:divsChild>
                            <w:div w:id="19696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736568">
      <w:bodyDiv w:val="1"/>
      <w:marLeft w:val="0"/>
      <w:marRight w:val="0"/>
      <w:marTop w:val="0"/>
      <w:marBottom w:val="0"/>
      <w:divBdr>
        <w:top w:val="none" w:sz="0" w:space="0" w:color="auto"/>
        <w:left w:val="none" w:sz="0" w:space="0" w:color="auto"/>
        <w:bottom w:val="none" w:sz="0" w:space="0" w:color="auto"/>
        <w:right w:val="none" w:sz="0" w:space="0" w:color="auto"/>
      </w:divBdr>
    </w:div>
    <w:div w:id="1643735757">
      <w:bodyDiv w:val="1"/>
      <w:marLeft w:val="4"/>
      <w:marRight w:val="4"/>
      <w:marTop w:val="4"/>
      <w:marBottom w:val="4"/>
      <w:divBdr>
        <w:top w:val="none" w:sz="0" w:space="0" w:color="auto"/>
        <w:left w:val="none" w:sz="0" w:space="0" w:color="auto"/>
        <w:bottom w:val="none" w:sz="0" w:space="0" w:color="auto"/>
        <w:right w:val="none" w:sz="0" w:space="0" w:color="auto"/>
      </w:divBdr>
      <w:divsChild>
        <w:div w:id="490489837">
          <w:marLeft w:val="0"/>
          <w:marRight w:val="0"/>
          <w:marTop w:val="0"/>
          <w:marBottom w:val="0"/>
          <w:divBdr>
            <w:top w:val="none" w:sz="0" w:space="0" w:color="auto"/>
            <w:left w:val="none" w:sz="0" w:space="0" w:color="auto"/>
            <w:bottom w:val="none" w:sz="0" w:space="0" w:color="auto"/>
            <w:right w:val="none" w:sz="0" w:space="0" w:color="auto"/>
          </w:divBdr>
          <w:divsChild>
            <w:div w:id="1144158264">
              <w:marLeft w:val="0"/>
              <w:marRight w:val="0"/>
              <w:marTop w:val="0"/>
              <w:marBottom w:val="0"/>
              <w:divBdr>
                <w:top w:val="none" w:sz="0" w:space="0" w:color="auto"/>
                <w:left w:val="none" w:sz="0" w:space="0" w:color="auto"/>
                <w:bottom w:val="none" w:sz="0" w:space="0" w:color="auto"/>
                <w:right w:val="none" w:sz="0" w:space="0" w:color="auto"/>
              </w:divBdr>
              <w:divsChild>
                <w:div w:id="1090931632">
                  <w:marLeft w:val="0"/>
                  <w:marRight w:val="0"/>
                  <w:marTop w:val="0"/>
                  <w:marBottom w:val="180"/>
                  <w:divBdr>
                    <w:top w:val="none" w:sz="0" w:space="0" w:color="auto"/>
                    <w:left w:val="none" w:sz="0" w:space="0" w:color="auto"/>
                    <w:bottom w:val="none" w:sz="0" w:space="0" w:color="auto"/>
                    <w:right w:val="none" w:sz="0" w:space="0" w:color="auto"/>
                  </w:divBdr>
                  <w:divsChild>
                    <w:div w:id="105007271">
                      <w:marLeft w:val="0"/>
                      <w:marRight w:val="0"/>
                      <w:marTop w:val="0"/>
                      <w:marBottom w:val="0"/>
                      <w:divBdr>
                        <w:top w:val="none" w:sz="0" w:space="0" w:color="auto"/>
                        <w:left w:val="none" w:sz="0" w:space="0" w:color="auto"/>
                        <w:bottom w:val="none" w:sz="0" w:space="0" w:color="auto"/>
                        <w:right w:val="none" w:sz="0" w:space="0" w:color="auto"/>
                      </w:divBdr>
                      <w:divsChild>
                        <w:div w:id="307560728">
                          <w:marLeft w:val="0"/>
                          <w:marRight w:val="0"/>
                          <w:marTop w:val="0"/>
                          <w:marBottom w:val="0"/>
                          <w:divBdr>
                            <w:top w:val="none" w:sz="0" w:space="0" w:color="auto"/>
                            <w:left w:val="none" w:sz="0" w:space="0" w:color="auto"/>
                            <w:bottom w:val="none" w:sz="0" w:space="0" w:color="auto"/>
                            <w:right w:val="none" w:sz="0" w:space="0" w:color="auto"/>
                          </w:divBdr>
                          <w:divsChild>
                            <w:div w:id="21243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812706">
      <w:bodyDiv w:val="1"/>
      <w:marLeft w:val="0"/>
      <w:marRight w:val="0"/>
      <w:marTop w:val="0"/>
      <w:marBottom w:val="0"/>
      <w:divBdr>
        <w:top w:val="none" w:sz="0" w:space="0" w:color="auto"/>
        <w:left w:val="none" w:sz="0" w:space="0" w:color="auto"/>
        <w:bottom w:val="none" w:sz="0" w:space="0" w:color="auto"/>
        <w:right w:val="none" w:sz="0" w:space="0" w:color="auto"/>
      </w:divBdr>
    </w:div>
    <w:div w:id="1723407963">
      <w:bodyDiv w:val="1"/>
      <w:marLeft w:val="0"/>
      <w:marRight w:val="0"/>
      <w:marTop w:val="0"/>
      <w:marBottom w:val="0"/>
      <w:divBdr>
        <w:top w:val="none" w:sz="0" w:space="0" w:color="auto"/>
        <w:left w:val="none" w:sz="0" w:space="0" w:color="auto"/>
        <w:bottom w:val="none" w:sz="0" w:space="0" w:color="auto"/>
        <w:right w:val="none" w:sz="0" w:space="0" w:color="auto"/>
      </w:divBdr>
    </w:div>
    <w:div w:id="19728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A5E3-9111-4659-8BA7-6EFDE894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3759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auu6</dc:creator>
  <cp:lastModifiedBy>CDC User</cp:lastModifiedBy>
  <cp:revision>6</cp:revision>
  <dcterms:created xsi:type="dcterms:W3CDTF">2012-07-26T21:15:00Z</dcterms:created>
  <dcterms:modified xsi:type="dcterms:W3CDTF">2012-07-31T19:47:00Z</dcterms:modified>
</cp:coreProperties>
</file>