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94" w:rsidRDefault="00716F94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</w:p>
    <w:p w:rsidR="003A5BEF" w:rsidRPr="009B4A51" w:rsidRDefault="003A5BEF" w:rsidP="003A5BEF">
      <w:pPr>
        <w:spacing w:after="0"/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 xml:space="preserve">Assessment </w:t>
      </w:r>
      <w:r w:rsidRPr="00792DDA">
        <w:rPr>
          <w:rFonts w:asciiTheme="majorHAnsi" w:hAnsiTheme="majorHAnsi"/>
          <w:b/>
          <w:sz w:val="40"/>
        </w:rPr>
        <w:t>of Performance Management and Improvement Practices</w:t>
      </w:r>
      <w:r>
        <w:rPr>
          <w:rFonts w:asciiTheme="majorHAnsi" w:hAnsiTheme="majorHAnsi"/>
          <w:b/>
          <w:sz w:val="40"/>
        </w:rPr>
        <w:t xml:space="preserve"> </w:t>
      </w:r>
      <w:r w:rsidR="005A6A6E">
        <w:rPr>
          <w:rFonts w:asciiTheme="majorHAnsi" w:hAnsiTheme="majorHAnsi"/>
          <w:b/>
          <w:sz w:val="40"/>
        </w:rPr>
        <w:t>in</w:t>
      </w:r>
      <w:r>
        <w:rPr>
          <w:rFonts w:asciiTheme="majorHAnsi" w:hAnsiTheme="majorHAnsi"/>
          <w:b/>
          <w:sz w:val="40"/>
        </w:rPr>
        <w:t xml:space="preserve"> States, Tribes, Locals and Territories </w:t>
      </w:r>
    </w:p>
    <w:p w:rsidR="00371579" w:rsidRDefault="00371579" w:rsidP="00484011">
      <w:pPr>
        <w:spacing w:after="0"/>
        <w:jc w:val="center"/>
        <w:rPr>
          <w:rFonts w:asciiTheme="majorHAnsi" w:hAnsiTheme="majorHAnsi"/>
          <w:b/>
        </w:rPr>
      </w:pPr>
    </w:p>
    <w:p w:rsidR="00716F94" w:rsidRPr="00AA3192" w:rsidRDefault="00484011" w:rsidP="00484011">
      <w:pPr>
        <w:spacing w:after="0"/>
        <w:jc w:val="center"/>
        <w:rPr>
          <w:rFonts w:asciiTheme="majorHAnsi" w:hAnsiTheme="majorHAnsi"/>
        </w:rPr>
      </w:pPr>
      <w:r w:rsidRPr="00AA3192">
        <w:rPr>
          <w:rFonts w:asciiTheme="majorHAnsi" w:hAnsiTheme="majorHAnsi"/>
        </w:rPr>
        <w:t>OSTLTS Generic Information C</w:t>
      </w:r>
      <w:r w:rsidR="00230CEF">
        <w:rPr>
          <w:rFonts w:asciiTheme="majorHAnsi" w:hAnsiTheme="majorHAnsi"/>
        </w:rPr>
        <w:t>ollection</w:t>
      </w:r>
      <w:r w:rsidRPr="00AA3192">
        <w:rPr>
          <w:rFonts w:asciiTheme="majorHAnsi" w:hAnsiTheme="majorHAnsi"/>
        </w:rPr>
        <w:t xml:space="preserve"> Request</w:t>
      </w:r>
    </w:p>
    <w:p w:rsidR="00484011" w:rsidRPr="00AA3192" w:rsidRDefault="00484011" w:rsidP="00484011">
      <w:pPr>
        <w:pStyle w:val="Header"/>
        <w:tabs>
          <w:tab w:val="clear" w:pos="4680"/>
        </w:tabs>
        <w:jc w:val="center"/>
      </w:pPr>
      <w:r w:rsidRPr="00AA3192">
        <w:t>OMB No. 0920-0879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Pr="00AA3192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  <w:r w:rsidRPr="00AA3192">
        <w:rPr>
          <w:rFonts w:asciiTheme="majorHAnsi" w:hAnsiTheme="majorHAnsi"/>
          <w:b/>
          <w:sz w:val="32"/>
        </w:rPr>
        <w:t xml:space="preserve">Supporting Statement – Section </w:t>
      </w:r>
      <w:r w:rsidR="00601392">
        <w:rPr>
          <w:rFonts w:asciiTheme="majorHAnsi" w:hAnsiTheme="majorHAnsi"/>
          <w:b/>
          <w:sz w:val="32"/>
        </w:rPr>
        <w:t>B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484011" w:rsidRDefault="00484011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187D5A" w:rsidRDefault="00187D5A" w:rsidP="00716F94">
      <w:pPr>
        <w:spacing w:after="0"/>
        <w:rPr>
          <w:rFonts w:asciiTheme="majorHAnsi" w:hAnsiTheme="majorHAnsi"/>
          <w:b/>
        </w:rPr>
      </w:pPr>
    </w:p>
    <w:p w:rsidR="009B4A51" w:rsidRPr="009B4A51" w:rsidRDefault="009B4A51" w:rsidP="009B4A51">
      <w:pPr>
        <w:spacing w:after="0"/>
        <w:jc w:val="center"/>
        <w:rPr>
          <w:rFonts w:asciiTheme="majorHAnsi" w:hAnsiTheme="majorHAnsi"/>
        </w:rPr>
      </w:pPr>
      <w:r w:rsidRPr="00AA3192">
        <w:rPr>
          <w:rFonts w:asciiTheme="majorHAnsi" w:hAnsiTheme="majorHAnsi"/>
          <w:b/>
        </w:rPr>
        <w:t>Submitted:</w:t>
      </w:r>
      <w:r w:rsidR="009A76F5">
        <w:rPr>
          <w:rFonts w:asciiTheme="majorHAnsi" w:hAnsiTheme="majorHAnsi"/>
        </w:rPr>
        <w:t xml:space="preserve"> </w:t>
      </w:r>
      <w:r w:rsidR="00A02F3F">
        <w:rPr>
          <w:rFonts w:asciiTheme="majorHAnsi" w:hAnsiTheme="majorHAnsi"/>
        </w:rPr>
        <w:t>October 3</w:t>
      </w:r>
      <w:r w:rsidR="009A76F5">
        <w:rPr>
          <w:rFonts w:asciiTheme="majorHAnsi" w:hAnsiTheme="majorHAnsi"/>
        </w:rPr>
        <w:t>, 2012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667C89" w:rsidRPr="00667C89" w:rsidRDefault="00716F94" w:rsidP="00716F94">
      <w:pPr>
        <w:spacing w:after="0"/>
        <w:rPr>
          <w:rFonts w:asciiTheme="majorHAnsi" w:hAnsiTheme="majorHAnsi"/>
          <w:b/>
          <w:u w:val="single"/>
        </w:rPr>
      </w:pPr>
      <w:r w:rsidRPr="00667C89">
        <w:rPr>
          <w:rFonts w:asciiTheme="majorHAnsi" w:hAnsiTheme="majorHAnsi"/>
          <w:b/>
          <w:u w:val="single"/>
        </w:rPr>
        <w:t>P</w:t>
      </w:r>
      <w:r w:rsidR="00667C89" w:rsidRPr="00667C89">
        <w:rPr>
          <w:rFonts w:asciiTheme="majorHAnsi" w:hAnsiTheme="majorHAnsi"/>
          <w:b/>
          <w:u w:val="single"/>
        </w:rPr>
        <w:t>rogram Official/Project Officer</w:t>
      </w:r>
    </w:p>
    <w:p w:rsidR="009D6B48" w:rsidRPr="005B12BF" w:rsidRDefault="009D6B48" w:rsidP="009A76F5">
      <w:pPr>
        <w:spacing w:after="0" w:line="240" w:lineRule="auto"/>
        <w:rPr>
          <w:rFonts w:asciiTheme="majorHAnsi" w:hAnsiTheme="majorHAnsi" w:cs="Times New Roman"/>
        </w:rPr>
      </w:pPr>
      <w:r w:rsidRPr="005B12BF">
        <w:rPr>
          <w:rFonts w:asciiTheme="majorHAnsi" w:hAnsiTheme="majorHAnsi" w:cs="Times New Roman"/>
        </w:rPr>
        <w:t>Anita McLees</w:t>
      </w:r>
    </w:p>
    <w:p w:rsidR="009A76F5" w:rsidRPr="005B12BF" w:rsidRDefault="009A76F5" w:rsidP="009A76F5">
      <w:pPr>
        <w:spacing w:after="0" w:line="240" w:lineRule="auto"/>
        <w:rPr>
          <w:rFonts w:asciiTheme="majorHAnsi" w:hAnsiTheme="majorHAnsi" w:cs="Times New Roman"/>
        </w:rPr>
      </w:pPr>
      <w:r w:rsidRPr="005B12BF">
        <w:rPr>
          <w:rFonts w:asciiTheme="majorHAnsi" w:hAnsiTheme="majorHAnsi" w:cs="Times New Roman"/>
        </w:rPr>
        <w:t xml:space="preserve">Health Scientist </w:t>
      </w:r>
      <w:bookmarkStart w:id="0" w:name="_GoBack"/>
      <w:bookmarkEnd w:id="0"/>
    </w:p>
    <w:p w:rsidR="009A76F5" w:rsidRPr="005B12BF" w:rsidRDefault="009A76F5" w:rsidP="009A76F5">
      <w:pPr>
        <w:spacing w:after="0" w:line="240" w:lineRule="auto"/>
        <w:rPr>
          <w:rFonts w:asciiTheme="majorHAnsi" w:hAnsiTheme="majorHAnsi" w:cs="Times New Roman"/>
        </w:rPr>
      </w:pPr>
      <w:r w:rsidRPr="005B12BF">
        <w:rPr>
          <w:rFonts w:asciiTheme="majorHAnsi" w:hAnsiTheme="majorHAnsi" w:cs="Times New Roman"/>
        </w:rPr>
        <w:t>Applied Systems Research and Evaluation Branch</w:t>
      </w:r>
    </w:p>
    <w:p w:rsidR="009A76F5" w:rsidRPr="005B12BF" w:rsidRDefault="009A76F5" w:rsidP="009A76F5">
      <w:pPr>
        <w:spacing w:after="0" w:line="240" w:lineRule="auto"/>
        <w:rPr>
          <w:rFonts w:asciiTheme="majorHAnsi" w:hAnsiTheme="majorHAnsi" w:cs="Times New Roman"/>
        </w:rPr>
      </w:pPr>
      <w:r w:rsidRPr="005B12BF">
        <w:rPr>
          <w:rFonts w:asciiTheme="majorHAnsi" w:hAnsiTheme="majorHAnsi" w:cs="Times New Roman"/>
        </w:rPr>
        <w:t>Division of Public Health Performance Improvement</w:t>
      </w:r>
    </w:p>
    <w:p w:rsidR="009A76F5" w:rsidRPr="005B12BF" w:rsidRDefault="009A76F5" w:rsidP="009A76F5">
      <w:pPr>
        <w:spacing w:after="0" w:line="240" w:lineRule="auto"/>
        <w:rPr>
          <w:rFonts w:asciiTheme="majorHAnsi" w:hAnsiTheme="majorHAnsi" w:cs="Times New Roman"/>
        </w:rPr>
      </w:pPr>
      <w:r w:rsidRPr="005B12BF">
        <w:rPr>
          <w:rFonts w:asciiTheme="majorHAnsi" w:hAnsiTheme="majorHAnsi" w:cs="Times New Roman"/>
        </w:rPr>
        <w:t>Office of State, Tribal, Local and Territorial Support</w:t>
      </w:r>
    </w:p>
    <w:p w:rsidR="009A76F5" w:rsidRPr="005B12BF" w:rsidRDefault="009A76F5" w:rsidP="009A76F5">
      <w:pPr>
        <w:spacing w:after="0" w:line="240" w:lineRule="auto"/>
        <w:rPr>
          <w:rFonts w:asciiTheme="majorHAnsi" w:hAnsiTheme="majorHAnsi" w:cs="Times New Roman"/>
        </w:rPr>
      </w:pPr>
      <w:r w:rsidRPr="005B12BF">
        <w:rPr>
          <w:rFonts w:asciiTheme="majorHAnsi" w:hAnsiTheme="majorHAnsi" w:cs="Times New Roman"/>
        </w:rPr>
        <w:t>Centers for Disease Control</w:t>
      </w:r>
    </w:p>
    <w:p w:rsidR="009A76F5" w:rsidRPr="005B12BF" w:rsidRDefault="009A76F5" w:rsidP="009A76F5">
      <w:pPr>
        <w:spacing w:after="0" w:line="240" w:lineRule="auto"/>
        <w:rPr>
          <w:rFonts w:asciiTheme="majorHAnsi" w:hAnsiTheme="majorHAnsi" w:cs="Times New Roman"/>
        </w:rPr>
      </w:pPr>
      <w:r w:rsidRPr="005B12BF">
        <w:rPr>
          <w:rFonts w:asciiTheme="majorHAnsi" w:hAnsiTheme="majorHAnsi" w:cs="Times New Roman"/>
        </w:rPr>
        <w:t>1825 Century Center MS E-70</w:t>
      </w:r>
    </w:p>
    <w:p w:rsidR="009A76F5" w:rsidRPr="005B12BF" w:rsidRDefault="009A76F5" w:rsidP="009A76F5">
      <w:pPr>
        <w:spacing w:after="0" w:line="240" w:lineRule="auto"/>
        <w:rPr>
          <w:rFonts w:asciiTheme="majorHAnsi" w:hAnsiTheme="majorHAnsi" w:cs="Times New Roman"/>
        </w:rPr>
      </w:pPr>
      <w:r w:rsidRPr="005B12BF">
        <w:rPr>
          <w:rFonts w:asciiTheme="majorHAnsi" w:hAnsiTheme="majorHAnsi" w:cs="Times New Roman"/>
        </w:rPr>
        <w:t>Tel: 404-498-0316</w:t>
      </w:r>
    </w:p>
    <w:p w:rsidR="00BF0783" w:rsidRPr="005B12BF" w:rsidRDefault="009A76F5" w:rsidP="00BF0783">
      <w:pPr>
        <w:spacing w:after="0" w:line="240" w:lineRule="auto"/>
        <w:rPr>
          <w:rStyle w:val="Hyperlink"/>
          <w:rFonts w:asciiTheme="majorHAnsi" w:hAnsiTheme="majorHAnsi" w:cs="Times New Roman"/>
          <w:color w:val="auto"/>
        </w:rPr>
      </w:pPr>
      <w:r w:rsidRPr="005B12BF">
        <w:rPr>
          <w:rFonts w:asciiTheme="majorHAnsi" w:hAnsiTheme="majorHAnsi" w:cs="Times New Roman"/>
        </w:rPr>
        <w:t xml:space="preserve">Email: </w:t>
      </w:r>
      <w:hyperlink r:id="rId9" w:history="1">
        <w:r w:rsidRPr="005B12BF">
          <w:rPr>
            <w:rStyle w:val="Hyperlink"/>
            <w:rFonts w:asciiTheme="majorHAnsi" w:hAnsiTheme="majorHAnsi" w:cs="Times New Roman"/>
            <w:color w:val="auto"/>
          </w:rPr>
          <w:t>zdu5@cdc.gov</w:t>
        </w:r>
      </w:hyperlink>
    </w:p>
    <w:p w:rsidR="003A5BEF" w:rsidRDefault="003A5BEF" w:rsidP="00BF0783">
      <w:pPr>
        <w:spacing w:after="0" w:line="240" w:lineRule="auto"/>
        <w:rPr>
          <w:rFonts w:ascii="Times New Roman" w:hAnsi="Times New Roman" w:cs="Times New Roman"/>
        </w:rPr>
      </w:pPr>
    </w:p>
    <w:p w:rsidR="00A02F3F" w:rsidRDefault="00A02F3F" w:rsidP="00BF0783">
      <w:pPr>
        <w:spacing w:after="0" w:line="240" w:lineRule="auto"/>
        <w:rPr>
          <w:rFonts w:asciiTheme="majorHAnsi" w:hAnsiTheme="majorHAnsi"/>
          <w:b/>
          <w:sz w:val="28"/>
        </w:rPr>
      </w:pPr>
    </w:p>
    <w:p w:rsidR="00A02F3F" w:rsidRDefault="00A02F3F" w:rsidP="00BF0783">
      <w:pPr>
        <w:spacing w:after="0" w:line="240" w:lineRule="auto"/>
        <w:rPr>
          <w:rFonts w:asciiTheme="majorHAnsi" w:hAnsiTheme="majorHAnsi"/>
          <w:b/>
          <w:sz w:val="28"/>
        </w:rPr>
      </w:pPr>
    </w:p>
    <w:p w:rsidR="00B12F51" w:rsidRPr="00BF0783" w:rsidRDefault="00B12F51" w:rsidP="00BF0783">
      <w:pPr>
        <w:spacing w:after="0" w:line="240" w:lineRule="auto"/>
        <w:rPr>
          <w:rFonts w:ascii="Times New Roman" w:hAnsi="Times New Roman" w:cs="Times New Roman"/>
        </w:rPr>
      </w:pPr>
      <w:r w:rsidRPr="00F52BCC">
        <w:rPr>
          <w:rFonts w:asciiTheme="majorHAnsi" w:hAnsiTheme="majorHAnsi"/>
          <w:b/>
          <w:sz w:val="28"/>
        </w:rPr>
        <w:lastRenderedPageBreak/>
        <w:t xml:space="preserve">Section B – </w:t>
      </w:r>
      <w:r w:rsidR="00287E2F" w:rsidRPr="00F52BCC">
        <w:rPr>
          <w:rFonts w:asciiTheme="majorHAnsi" w:hAnsiTheme="majorHAnsi"/>
          <w:b/>
          <w:sz w:val="28"/>
        </w:rPr>
        <w:t>Data Collection Procedures</w:t>
      </w:r>
    </w:p>
    <w:p w:rsidR="00287E2F" w:rsidRDefault="00287E2F" w:rsidP="00B12F51">
      <w:pPr>
        <w:spacing w:after="0"/>
        <w:rPr>
          <w:rFonts w:asciiTheme="majorHAnsi" w:hAnsiTheme="majorHAnsi"/>
        </w:rPr>
      </w:pPr>
    </w:p>
    <w:p w:rsidR="00B12F51" w:rsidRPr="00D26A64" w:rsidRDefault="008C52AE" w:rsidP="00B12F51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9759F3">
        <w:rPr>
          <w:rFonts w:asciiTheme="majorHAnsi" w:hAnsiTheme="majorHAnsi"/>
          <w:b/>
          <w:bCs/>
        </w:rPr>
        <w:t>Respondent Universe and Sampling Methods</w:t>
      </w:r>
      <w:r w:rsidR="00F725B5">
        <w:rPr>
          <w:rFonts w:asciiTheme="majorHAnsi" w:hAnsiTheme="majorHAnsi"/>
          <w:b/>
        </w:rPr>
        <w:t xml:space="preserve">  </w:t>
      </w:r>
    </w:p>
    <w:p w:rsidR="009A76F5" w:rsidRDefault="009A76F5" w:rsidP="00F52BCC">
      <w:pPr>
        <w:pStyle w:val="ListParagraph"/>
        <w:spacing w:after="0"/>
      </w:pPr>
    </w:p>
    <w:p w:rsidR="00BC5BB2" w:rsidRPr="00127A1E" w:rsidRDefault="009A76F5" w:rsidP="00F52BCC">
      <w:pPr>
        <w:pStyle w:val="ListParagraph"/>
        <w:spacing w:after="0"/>
        <w:rPr>
          <w:rFonts w:asciiTheme="majorHAnsi" w:hAnsiTheme="majorHAnsi"/>
        </w:rPr>
      </w:pPr>
      <w:r w:rsidRPr="00127A1E">
        <w:rPr>
          <w:rFonts w:asciiTheme="majorHAnsi" w:hAnsiTheme="majorHAnsi"/>
        </w:rPr>
        <w:t>The respondent universe consists of all seventy-</w:t>
      </w:r>
      <w:r w:rsidR="00E3213E">
        <w:rPr>
          <w:rFonts w:asciiTheme="majorHAnsi" w:hAnsiTheme="majorHAnsi"/>
        </w:rPr>
        <w:t>four</w:t>
      </w:r>
      <w:r w:rsidR="00E3213E" w:rsidRPr="00127A1E">
        <w:rPr>
          <w:rFonts w:asciiTheme="majorHAnsi" w:hAnsiTheme="majorHAnsi"/>
        </w:rPr>
        <w:t xml:space="preserve"> </w:t>
      </w:r>
      <w:r w:rsidR="00BF0783">
        <w:rPr>
          <w:rFonts w:asciiTheme="majorHAnsi" w:hAnsiTheme="majorHAnsi"/>
        </w:rPr>
        <w:t>states, tribes, locals and territories (STLTs)</w:t>
      </w:r>
      <w:r w:rsidRPr="00127A1E">
        <w:rPr>
          <w:rFonts w:asciiTheme="majorHAnsi" w:hAnsiTheme="majorHAnsi"/>
        </w:rPr>
        <w:t xml:space="preserve"> awarded funding in </w:t>
      </w:r>
      <w:r w:rsidR="001F053B">
        <w:rPr>
          <w:rFonts w:asciiTheme="majorHAnsi" w:hAnsiTheme="majorHAnsi"/>
        </w:rPr>
        <w:t>Y</w:t>
      </w:r>
      <w:r w:rsidRPr="00127A1E">
        <w:rPr>
          <w:rFonts w:asciiTheme="majorHAnsi" w:hAnsiTheme="majorHAnsi"/>
        </w:rPr>
        <w:t xml:space="preserve">ear </w:t>
      </w:r>
      <w:r w:rsidR="001F053B">
        <w:rPr>
          <w:rFonts w:asciiTheme="majorHAnsi" w:hAnsiTheme="majorHAnsi"/>
        </w:rPr>
        <w:t>T</w:t>
      </w:r>
      <w:r w:rsidR="00E3213E">
        <w:rPr>
          <w:rFonts w:asciiTheme="majorHAnsi" w:hAnsiTheme="majorHAnsi"/>
        </w:rPr>
        <w:t>wo</w:t>
      </w:r>
      <w:r w:rsidR="00E3213E" w:rsidRPr="00127A1E">
        <w:rPr>
          <w:rFonts w:asciiTheme="majorHAnsi" w:hAnsiTheme="majorHAnsi"/>
        </w:rPr>
        <w:t xml:space="preserve"> </w:t>
      </w:r>
      <w:r w:rsidR="00AA6E0B">
        <w:rPr>
          <w:rFonts w:asciiTheme="majorHAnsi" w:hAnsiTheme="majorHAnsi"/>
        </w:rPr>
        <w:t>of the NPHII</w:t>
      </w:r>
      <w:r w:rsidR="001F053B">
        <w:rPr>
          <w:rFonts w:asciiTheme="majorHAnsi" w:hAnsiTheme="majorHAnsi"/>
        </w:rPr>
        <w:t xml:space="preserve"> and, for the second year of data collection, all seventy-three states, tribes, locals and territories (STLTs) awarded funding in Year Three of the NPHII</w:t>
      </w:r>
      <w:r w:rsidR="00AA6E0B">
        <w:rPr>
          <w:rFonts w:asciiTheme="majorHAnsi" w:hAnsiTheme="majorHAnsi"/>
        </w:rPr>
        <w:t>.  The universe</w:t>
      </w:r>
      <w:r w:rsidR="001F053B">
        <w:rPr>
          <w:rFonts w:asciiTheme="majorHAnsi" w:hAnsiTheme="majorHAnsi"/>
        </w:rPr>
        <w:t xml:space="preserve"> for Year Two</w:t>
      </w:r>
      <w:r w:rsidRPr="00127A1E">
        <w:rPr>
          <w:rFonts w:asciiTheme="majorHAnsi" w:hAnsiTheme="majorHAnsi"/>
        </w:rPr>
        <w:t xml:space="preserve"> include</w:t>
      </w:r>
      <w:r w:rsidR="00AA6E0B">
        <w:rPr>
          <w:rFonts w:asciiTheme="majorHAnsi" w:hAnsiTheme="majorHAnsi"/>
        </w:rPr>
        <w:t>s</w:t>
      </w:r>
      <w:r w:rsidRPr="00127A1E">
        <w:rPr>
          <w:rFonts w:asciiTheme="majorHAnsi" w:hAnsiTheme="majorHAnsi"/>
        </w:rPr>
        <w:t xml:space="preserve"> </w:t>
      </w:r>
      <w:r w:rsidR="00CF38D4" w:rsidRPr="00127A1E">
        <w:rPr>
          <w:rFonts w:asciiTheme="majorHAnsi" w:hAnsiTheme="majorHAnsi"/>
        </w:rPr>
        <w:t>f</w:t>
      </w:r>
      <w:r w:rsidR="00CF38D4">
        <w:rPr>
          <w:rFonts w:asciiTheme="majorHAnsi" w:hAnsiTheme="majorHAnsi"/>
        </w:rPr>
        <w:t>orty</w:t>
      </w:r>
      <w:r w:rsidR="007B7ED6">
        <w:rPr>
          <w:rFonts w:asciiTheme="majorHAnsi" w:hAnsiTheme="majorHAnsi"/>
        </w:rPr>
        <w:t>-</w:t>
      </w:r>
      <w:r w:rsidR="00780568">
        <w:rPr>
          <w:rFonts w:asciiTheme="majorHAnsi" w:hAnsiTheme="majorHAnsi"/>
        </w:rPr>
        <w:t>nine</w:t>
      </w:r>
      <w:r w:rsidR="00780568" w:rsidRPr="00127A1E">
        <w:rPr>
          <w:rFonts w:asciiTheme="majorHAnsi" w:hAnsiTheme="majorHAnsi"/>
        </w:rPr>
        <w:t xml:space="preserve"> </w:t>
      </w:r>
      <w:r w:rsidR="001F053B">
        <w:rPr>
          <w:rFonts w:asciiTheme="majorHAnsi" w:hAnsiTheme="majorHAnsi"/>
        </w:rPr>
        <w:t xml:space="preserve">state </w:t>
      </w:r>
      <w:r w:rsidRPr="00127A1E">
        <w:rPr>
          <w:rFonts w:asciiTheme="majorHAnsi" w:hAnsiTheme="majorHAnsi"/>
        </w:rPr>
        <w:t>health departments representing forty-</w:t>
      </w:r>
      <w:r w:rsidR="00CF38D4">
        <w:rPr>
          <w:rFonts w:asciiTheme="majorHAnsi" w:hAnsiTheme="majorHAnsi"/>
        </w:rPr>
        <w:t>eight</w:t>
      </w:r>
      <w:r w:rsidR="00CF38D4" w:rsidRPr="00127A1E">
        <w:rPr>
          <w:rFonts w:asciiTheme="majorHAnsi" w:hAnsiTheme="majorHAnsi"/>
        </w:rPr>
        <w:t xml:space="preserve"> </w:t>
      </w:r>
      <w:r w:rsidRPr="00127A1E">
        <w:rPr>
          <w:rFonts w:asciiTheme="majorHAnsi" w:hAnsiTheme="majorHAnsi"/>
        </w:rPr>
        <w:t xml:space="preserve">states and the District of Columbia, nine local health departments, </w:t>
      </w:r>
      <w:r w:rsidR="007B7ED6">
        <w:rPr>
          <w:rFonts w:asciiTheme="majorHAnsi" w:hAnsiTheme="majorHAnsi"/>
        </w:rPr>
        <w:t>eight</w:t>
      </w:r>
      <w:r w:rsidRPr="00127A1E">
        <w:rPr>
          <w:rFonts w:asciiTheme="majorHAnsi" w:hAnsiTheme="majorHAnsi"/>
        </w:rPr>
        <w:t xml:space="preserve"> organizations representing the U.S. Territories and Pacific Islands, and eight organizations representing </w:t>
      </w:r>
      <w:r w:rsidR="00CF38D4" w:rsidRPr="00CF38D4">
        <w:rPr>
          <w:rFonts w:asciiTheme="majorHAnsi" w:hAnsiTheme="majorHAnsi"/>
        </w:rPr>
        <w:t>American Indian/Alaska Native Tribes/Organizations</w:t>
      </w:r>
      <w:r w:rsidRPr="00127A1E">
        <w:rPr>
          <w:rFonts w:asciiTheme="majorHAnsi" w:hAnsiTheme="majorHAnsi"/>
        </w:rPr>
        <w:t xml:space="preserve">.  </w:t>
      </w:r>
      <w:r w:rsidR="007B7ED6">
        <w:rPr>
          <w:rFonts w:asciiTheme="majorHAnsi" w:hAnsiTheme="majorHAnsi"/>
        </w:rPr>
        <w:t xml:space="preserve">The universe for Year Three includes forty-nine </w:t>
      </w:r>
      <w:r w:rsidR="00505E5B">
        <w:rPr>
          <w:rFonts w:asciiTheme="majorHAnsi" w:hAnsiTheme="majorHAnsi"/>
        </w:rPr>
        <w:t>nine</w:t>
      </w:r>
      <w:r w:rsidR="00505E5B" w:rsidRPr="00127A1E">
        <w:rPr>
          <w:rFonts w:asciiTheme="majorHAnsi" w:hAnsiTheme="majorHAnsi"/>
        </w:rPr>
        <w:t xml:space="preserve"> </w:t>
      </w:r>
      <w:r w:rsidR="00505E5B">
        <w:rPr>
          <w:rFonts w:asciiTheme="majorHAnsi" w:hAnsiTheme="majorHAnsi"/>
        </w:rPr>
        <w:t xml:space="preserve">state </w:t>
      </w:r>
      <w:r w:rsidR="00505E5B" w:rsidRPr="00127A1E">
        <w:rPr>
          <w:rFonts w:asciiTheme="majorHAnsi" w:hAnsiTheme="majorHAnsi"/>
        </w:rPr>
        <w:t>health departments representing forty-</w:t>
      </w:r>
      <w:r w:rsidR="00505E5B">
        <w:rPr>
          <w:rFonts w:asciiTheme="majorHAnsi" w:hAnsiTheme="majorHAnsi"/>
        </w:rPr>
        <w:t>eight</w:t>
      </w:r>
      <w:r w:rsidR="00505E5B" w:rsidRPr="00127A1E">
        <w:rPr>
          <w:rFonts w:asciiTheme="majorHAnsi" w:hAnsiTheme="majorHAnsi"/>
        </w:rPr>
        <w:t xml:space="preserve"> states and the District of Columbia, nine local health departments, </w:t>
      </w:r>
      <w:r w:rsidR="00505E5B">
        <w:rPr>
          <w:rFonts w:asciiTheme="majorHAnsi" w:hAnsiTheme="majorHAnsi"/>
        </w:rPr>
        <w:t>eight</w:t>
      </w:r>
      <w:r w:rsidR="00505E5B" w:rsidRPr="00127A1E">
        <w:rPr>
          <w:rFonts w:asciiTheme="majorHAnsi" w:hAnsiTheme="majorHAnsi"/>
        </w:rPr>
        <w:t xml:space="preserve"> organizations representing the U.S. Territories and Pacific Islands, and </w:t>
      </w:r>
      <w:r w:rsidR="00505E5B">
        <w:rPr>
          <w:rFonts w:asciiTheme="majorHAnsi" w:hAnsiTheme="majorHAnsi"/>
        </w:rPr>
        <w:t>seven</w:t>
      </w:r>
      <w:r w:rsidR="00505E5B" w:rsidRPr="00127A1E">
        <w:rPr>
          <w:rFonts w:asciiTheme="majorHAnsi" w:hAnsiTheme="majorHAnsi"/>
        </w:rPr>
        <w:t xml:space="preserve"> organizations representing </w:t>
      </w:r>
      <w:r w:rsidR="00505E5B" w:rsidRPr="00CF38D4">
        <w:rPr>
          <w:rFonts w:asciiTheme="majorHAnsi" w:hAnsiTheme="majorHAnsi"/>
        </w:rPr>
        <w:t>American Indian/Alaska Native Tribes/Organizations</w:t>
      </w:r>
      <w:r w:rsidR="00505E5B">
        <w:rPr>
          <w:rFonts w:asciiTheme="majorHAnsi" w:hAnsiTheme="majorHAnsi"/>
        </w:rPr>
        <w:t xml:space="preserve">. </w:t>
      </w:r>
      <w:r w:rsidR="00F45CC0">
        <w:rPr>
          <w:rFonts w:asciiTheme="majorHAnsi" w:hAnsiTheme="majorHAnsi"/>
        </w:rPr>
        <w:t>South East Alaska Regional Health Consortium decided not to apply for FY 2012 NPHII funding, and will not be included in the respondent population f</w:t>
      </w:r>
      <w:r w:rsidR="005A6A6E">
        <w:rPr>
          <w:rFonts w:asciiTheme="majorHAnsi" w:hAnsiTheme="majorHAnsi"/>
        </w:rPr>
        <w:t xml:space="preserve">or the Year 3 data collection </w:t>
      </w:r>
      <w:r w:rsidR="005A6A6E" w:rsidRPr="00A425F9">
        <w:rPr>
          <w:rFonts w:asciiTheme="majorHAnsi" w:hAnsiTheme="majorHAnsi" w:cstheme="minorHAnsi"/>
          <w:b/>
        </w:rPr>
        <w:t xml:space="preserve">(Attachment B – Map and Listing of </w:t>
      </w:r>
      <w:r w:rsidR="005A6A6E">
        <w:rPr>
          <w:rFonts w:asciiTheme="majorHAnsi" w:hAnsiTheme="majorHAnsi" w:cstheme="minorHAnsi"/>
          <w:b/>
        </w:rPr>
        <w:t xml:space="preserve">FY 2011 </w:t>
      </w:r>
      <w:r w:rsidR="005A6A6E" w:rsidRPr="00A425F9">
        <w:rPr>
          <w:rFonts w:asciiTheme="majorHAnsi" w:hAnsiTheme="majorHAnsi" w:cstheme="minorHAnsi"/>
          <w:b/>
        </w:rPr>
        <w:t>NPHII Awardees)</w:t>
      </w:r>
      <w:r w:rsidR="005A6A6E">
        <w:rPr>
          <w:rFonts w:asciiTheme="majorHAnsi" w:hAnsiTheme="majorHAnsi" w:cstheme="minorHAnsi"/>
          <w:b/>
        </w:rPr>
        <w:t xml:space="preserve">.  </w:t>
      </w:r>
      <w:r w:rsidRPr="00127A1E">
        <w:rPr>
          <w:rFonts w:asciiTheme="majorHAnsi" w:hAnsiTheme="majorHAnsi"/>
        </w:rPr>
        <w:t xml:space="preserve">Due to </w:t>
      </w:r>
      <w:r w:rsidR="003F7FFB">
        <w:rPr>
          <w:rFonts w:asciiTheme="majorHAnsi" w:hAnsiTheme="majorHAnsi"/>
        </w:rPr>
        <w:t>the desire to understand progress made across the entire initiative</w:t>
      </w:r>
      <w:r w:rsidR="00780568">
        <w:rPr>
          <w:rFonts w:asciiTheme="majorHAnsi" w:hAnsiTheme="majorHAnsi"/>
        </w:rPr>
        <w:t xml:space="preserve">, recognizing that there is </w:t>
      </w:r>
      <w:r w:rsidRPr="00127A1E">
        <w:rPr>
          <w:rFonts w:asciiTheme="majorHAnsi" w:hAnsiTheme="majorHAnsi"/>
        </w:rPr>
        <w:t xml:space="preserve">significant variability in the size and organization of </w:t>
      </w:r>
      <w:r w:rsidR="003F7FFB">
        <w:rPr>
          <w:rFonts w:asciiTheme="majorHAnsi" w:hAnsiTheme="majorHAnsi"/>
        </w:rPr>
        <w:t xml:space="preserve">funded </w:t>
      </w:r>
      <w:r w:rsidRPr="00127A1E">
        <w:rPr>
          <w:rFonts w:asciiTheme="majorHAnsi" w:hAnsiTheme="majorHAnsi"/>
        </w:rPr>
        <w:t xml:space="preserve">public health agencies, all </w:t>
      </w:r>
      <w:r w:rsidR="00780568">
        <w:rPr>
          <w:rFonts w:asciiTheme="majorHAnsi" w:hAnsiTheme="majorHAnsi"/>
        </w:rPr>
        <w:t>awardee</w:t>
      </w:r>
      <w:r w:rsidRPr="00127A1E">
        <w:rPr>
          <w:rFonts w:asciiTheme="majorHAnsi" w:hAnsiTheme="majorHAnsi"/>
        </w:rPr>
        <w:t xml:space="preserve">s will be </w:t>
      </w:r>
      <w:r w:rsidR="00505E5B">
        <w:rPr>
          <w:rFonts w:asciiTheme="majorHAnsi" w:hAnsiTheme="majorHAnsi"/>
        </w:rPr>
        <w:t>asked to complete the assessment</w:t>
      </w:r>
      <w:r w:rsidRPr="00127A1E">
        <w:rPr>
          <w:rFonts w:asciiTheme="majorHAnsi" w:hAnsiTheme="majorHAnsi"/>
        </w:rPr>
        <w:t xml:space="preserve">.  </w:t>
      </w:r>
    </w:p>
    <w:p w:rsidR="00A75D1C" w:rsidRDefault="00A75D1C" w:rsidP="00F52BCC">
      <w:pPr>
        <w:pStyle w:val="ListParagraph"/>
        <w:spacing w:after="0"/>
        <w:rPr>
          <w:rFonts w:asciiTheme="majorHAnsi" w:hAnsiTheme="majorHAnsi"/>
        </w:rPr>
      </w:pPr>
    </w:p>
    <w:p w:rsidR="003635BE" w:rsidRDefault="003635BE" w:rsidP="003635B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Table B</w:t>
      </w:r>
      <w:r w:rsidRPr="00241B17">
        <w:rPr>
          <w:rFonts w:asciiTheme="majorHAnsi" w:hAnsiTheme="majorHAnsi"/>
          <w:b/>
          <w:u w:val="single"/>
        </w:rPr>
        <w:t>-1</w:t>
      </w:r>
      <w:r w:rsidRPr="00241B17">
        <w:rPr>
          <w:rFonts w:asciiTheme="majorHAnsi" w:hAnsiTheme="majorHAnsi"/>
          <w:b/>
        </w:rPr>
        <w:t>:</w:t>
      </w:r>
      <w:r w:rsidRPr="008E068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Potential Respondent Universe</w:t>
      </w:r>
    </w:p>
    <w:p w:rsidR="003635BE" w:rsidRDefault="003635BE" w:rsidP="00F52BCC">
      <w:pPr>
        <w:pStyle w:val="ListParagraph"/>
        <w:spacing w:after="0"/>
        <w:rPr>
          <w:rFonts w:asciiTheme="majorHAnsi" w:hAnsiTheme="majorHAnsi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600"/>
        <w:gridCol w:w="4860"/>
        <w:gridCol w:w="1080"/>
      </w:tblGrid>
      <w:tr w:rsidR="00BC5BB2" w:rsidRPr="006F6856" w:rsidTr="002C0877">
        <w:trPr>
          <w:trHeight w:val="377"/>
        </w:trPr>
        <w:tc>
          <w:tcPr>
            <w:tcW w:w="36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6F6856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6F6856">
              <w:rPr>
                <w:rFonts w:asciiTheme="majorHAnsi" w:hAnsiTheme="majorHAnsi"/>
                <w:b/>
                <w:sz w:val="20"/>
              </w:rPr>
              <w:t>Entity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6F6856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6F6856">
              <w:rPr>
                <w:rFonts w:asciiTheme="majorHAnsi" w:hAnsiTheme="majorHAnsi"/>
                <w:b/>
                <w:sz w:val="20"/>
              </w:rPr>
              <w:t>Potential Respondent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6F6856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6F6856">
              <w:rPr>
                <w:rFonts w:asciiTheme="majorHAnsi" w:hAnsiTheme="majorHAnsi"/>
                <w:b/>
                <w:sz w:val="20"/>
              </w:rPr>
              <w:t>N</w:t>
            </w:r>
          </w:p>
        </w:tc>
      </w:tr>
      <w:tr w:rsidR="00BC5BB2" w:rsidRPr="006F6856" w:rsidTr="00A02F3F">
        <w:trPr>
          <w:trHeight w:hRule="exact" w:val="1020"/>
        </w:trPr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02F3F" w:rsidRDefault="00A02F3F" w:rsidP="00420CD1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Year 2 NPHII Assessment</w:t>
            </w:r>
          </w:p>
          <w:p w:rsidR="00BC5BB2" w:rsidRPr="006F6856" w:rsidRDefault="00AA6E0B" w:rsidP="00420CD1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STLTS awarded</w:t>
            </w:r>
            <w:r w:rsidR="00420CD1">
              <w:rPr>
                <w:rFonts w:asciiTheme="majorHAnsi" w:hAnsiTheme="majorHAnsi"/>
                <w:sz w:val="20"/>
              </w:rPr>
              <w:t xml:space="preserve"> funds from CDC’s</w:t>
            </w:r>
            <w:r w:rsidR="009A76F5">
              <w:rPr>
                <w:rFonts w:asciiTheme="majorHAnsi" w:hAnsiTheme="majorHAnsi"/>
                <w:sz w:val="20"/>
              </w:rPr>
              <w:t xml:space="preserve"> National Public Health Improvement Initiative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6F6856" w:rsidRDefault="009A76F5" w:rsidP="00975AD2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Performance Improvement Managers</w:t>
            </w:r>
            <w:r w:rsidR="003F7FFB">
              <w:rPr>
                <w:rFonts w:asciiTheme="majorHAnsi" w:hAnsiTheme="majorHAnsi"/>
                <w:sz w:val="20"/>
              </w:rPr>
              <w:t xml:space="preserve"> or Pr</w:t>
            </w:r>
            <w:r w:rsidR="00975AD2">
              <w:rPr>
                <w:rFonts w:asciiTheme="majorHAnsi" w:hAnsiTheme="majorHAnsi"/>
                <w:sz w:val="20"/>
              </w:rPr>
              <w:t xml:space="preserve">incipal </w:t>
            </w:r>
            <w:r w:rsidR="003F7FFB">
              <w:rPr>
                <w:rFonts w:asciiTheme="majorHAnsi" w:hAnsiTheme="majorHAnsi"/>
                <w:sz w:val="20"/>
              </w:rPr>
              <w:t xml:space="preserve"> Investigators</w:t>
            </w:r>
            <w:r>
              <w:rPr>
                <w:rFonts w:asciiTheme="majorHAnsi" w:hAnsiTheme="majorHAnsi"/>
                <w:sz w:val="20"/>
              </w:rPr>
              <w:t xml:space="preserve"> in STLT organizations</w:t>
            </w:r>
            <w:r w:rsidR="003F7FFB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6F6856" w:rsidRDefault="003F7FFB" w:rsidP="003F7FFB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74</w:t>
            </w:r>
          </w:p>
        </w:tc>
      </w:tr>
      <w:tr w:rsidR="00A02F3F" w:rsidRPr="006F6856" w:rsidTr="00901EE4">
        <w:trPr>
          <w:trHeight w:hRule="exact" w:val="1002"/>
        </w:trPr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02F3F" w:rsidRDefault="00A02F3F" w:rsidP="00A02F3F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Year 3 NPHII Assessment</w:t>
            </w:r>
          </w:p>
          <w:p w:rsidR="00A02F3F" w:rsidRDefault="00A02F3F" w:rsidP="00A02F3F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STLTS awarded funds from CDC’s National Public Health Improvement Initiative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02F3F" w:rsidRDefault="00A02F3F" w:rsidP="00975AD2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Performance Improvement Managers or Principal  Investigators in STLT organizations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02F3F" w:rsidRDefault="00A02F3F" w:rsidP="003F7FFB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73</w:t>
            </w:r>
          </w:p>
        </w:tc>
      </w:tr>
      <w:tr w:rsidR="00053A92" w:rsidRPr="006F6856" w:rsidTr="00BF0783">
        <w:trPr>
          <w:trHeight w:hRule="exact" w:val="360"/>
        </w:trPr>
        <w:tc>
          <w:tcPr>
            <w:tcW w:w="84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A92" w:rsidRPr="00A75D1C" w:rsidRDefault="00053A92" w:rsidP="00A02F3F">
            <w:pPr>
              <w:pStyle w:val="ListParagraph"/>
              <w:ind w:left="0"/>
              <w:jc w:val="right"/>
              <w:rPr>
                <w:rFonts w:asciiTheme="majorHAnsi" w:hAnsiTheme="majorHAnsi"/>
                <w:b/>
                <w:sz w:val="20"/>
              </w:rPr>
            </w:pPr>
            <w:r w:rsidRPr="00A75D1C">
              <w:rPr>
                <w:rFonts w:asciiTheme="majorHAnsi" w:hAnsiTheme="majorHAnsi"/>
                <w:b/>
                <w:sz w:val="20"/>
              </w:rPr>
              <w:t>Total Universe of Potential Respondents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A92" w:rsidRPr="00A75D1C" w:rsidRDefault="00A02F3F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147</w:t>
            </w:r>
          </w:p>
        </w:tc>
      </w:tr>
    </w:tbl>
    <w:p w:rsidR="00BC5BB2" w:rsidRDefault="00BC5BB2" w:rsidP="00F52BCC">
      <w:pPr>
        <w:pStyle w:val="ListParagraph"/>
        <w:spacing w:after="0"/>
        <w:rPr>
          <w:rFonts w:asciiTheme="majorHAnsi" w:hAnsiTheme="majorHAnsi"/>
        </w:rPr>
      </w:pPr>
    </w:p>
    <w:p w:rsidR="00F52BCC" w:rsidRDefault="00F52BCC" w:rsidP="00F52BCC">
      <w:pPr>
        <w:pStyle w:val="ListParagraph"/>
        <w:spacing w:after="0"/>
        <w:rPr>
          <w:rFonts w:asciiTheme="majorHAnsi" w:hAnsiTheme="majorHAnsi"/>
        </w:rPr>
      </w:pPr>
    </w:p>
    <w:p w:rsidR="009A76F5" w:rsidRPr="00867678" w:rsidRDefault="00287E2F" w:rsidP="009A76F5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867678">
        <w:rPr>
          <w:rFonts w:asciiTheme="majorHAnsi" w:hAnsiTheme="majorHAnsi"/>
          <w:b/>
        </w:rPr>
        <w:t>Procedures for Collecti</w:t>
      </w:r>
      <w:r w:rsidR="008C52AE">
        <w:rPr>
          <w:rFonts w:asciiTheme="majorHAnsi" w:hAnsiTheme="majorHAnsi"/>
          <w:b/>
        </w:rPr>
        <w:t>on</w:t>
      </w:r>
      <w:r w:rsidRPr="00867678">
        <w:rPr>
          <w:rFonts w:asciiTheme="majorHAnsi" w:hAnsiTheme="majorHAnsi"/>
          <w:b/>
        </w:rPr>
        <w:t xml:space="preserve"> of Information</w:t>
      </w:r>
      <w:r w:rsidR="00F725B5" w:rsidRPr="00867678">
        <w:rPr>
          <w:rFonts w:asciiTheme="majorHAnsi" w:hAnsiTheme="majorHAnsi"/>
          <w:b/>
        </w:rPr>
        <w:t xml:space="preserve"> </w:t>
      </w:r>
    </w:p>
    <w:p w:rsidR="006A64AD" w:rsidRDefault="009A76F5" w:rsidP="00780568">
      <w:pPr>
        <w:pStyle w:val="BodyText"/>
        <w:spacing w:line="240" w:lineRule="auto"/>
        <w:ind w:left="720"/>
        <w:rPr>
          <w:rFonts w:asciiTheme="majorHAnsi" w:hAnsiTheme="majorHAnsi"/>
          <w:szCs w:val="22"/>
        </w:rPr>
      </w:pPr>
      <w:r w:rsidRPr="00127A1E">
        <w:rPr>
          <w:rFonts w:asciiTheme="majorHAnsi" w:hAnsiTheme="majorHAnsi"/>
          <w:szCs w:val="22"/>
        </w:rPr>
        <w:t xml:space="preserve">The NPHII Year Two </w:t>
      </w:r>
      <w:r w:rsidR="003C13E1">
        <w:rPr>
          <w:rFonts w:asciiTheme="majorHAnsi" w:hAnsiTheme="majorHAnsi"/>
          <w:szCs w:val="22"/>
        </w:rPr>
        <w:t xml:space="preserve">&amp; Year Three </w:t>
      </w:r>
      <w:r w:rsidRPr="00127A1E">
        <w:rPr>
          <w:rFonts w:asciiTheme="majorHAnsi" w:hAnsiTheme="majorHAnsi"/>
          <w:szCs w:val="22"/>
        </w:rPr>
        <w:t>Assessment</w:t>
      </w:r>
      <w:r w:rsidR="003C13E1">
        <w:rPr>
          <w:rFonts w:asciiTheme="majorHAnsi" w:hAnsiTheme="majorHAnsi"/>
          <w:szCs w:val="22"/>
        </w:rPr>
        <w:t>s</w:t>
      </w:r>
      <w:r w:rsidRPr="00127A1E">
        <w:rPr>
          <w:rFonts w:asciiTheme="majorHAnsi" w:hAnsiTheme="majorHAnsi"/>
          <w:szCs w:val="22"/>
        </w:rPr>
        <w:t xml:space="preserve"> will be conducted using an online survey tool. </w:t>
      </w:r>
      <w:r w:rsidR="004E35E5">
        <w:rPr>
          <w:rFonts w:asciiTheme="majorHAnsi" w:hAnsiTheme="majorHAnsi"/>
          <w:szCs w:val="22"/>
        </w:rPr>
        <w:t>STLTs</w:t>
      </w:r>
      <w:r w:rsidRPr="00127A1E">
        <w:rPr>
          <w:rFonts w:asciiTheme="majorHAnsi" w:hAnsiTheme="majorHAnsi"/>
          <w:szCs w:val="22"/>
        </w:rPr>
        <w:t xml:space="preserve"> will be instructed to have their </w:t>
      </w:r>
      <w:r w:rsidR="001A329C">
        <w:rPr>
          <w:rFonts w:asciiTheme="majorHAnsi" w:hAnsiTheme="majorHAnsi"/>
          <w:szCs w:val="22"/>
        </w:rPr>
        <w:t>Performance Improvement Manager</w:t>
      </w:r>
      <w:r w:rsidRPr="00127A1E">
        <w:rPr>
          <w:rFonts w:asciiTheme="majorHAnsi" w:hAnsiTheme="majorHAnsi"/>
          <w:szCs w:val="22"/>
        </w:rPr>
        <w:t xml:space="preserve"> respond to the assessment if that individual has been hired. If a PIM had not been hired </w:t>
      </w:r>
      <w:r w:rsidR="001A329C">
        <w:rPr>
          <w:rFonts w:asciiTheme="majorHAnsi" w:hAnsiTheme="majorHAnsi"/>
          <w:szCs w:val="22"/>
        </w:rPr>
        <w:t xml:space="preserve">or appointed </w:t>
      </w:r>
      <w:r w:rsidRPr="00127A1E">
        <w:rPr>
          <w:rFonts w:asciiTheme="majorHAnsi" w:hAnsiTheme="majorHAnsi"/>
          <w:szCs w:val="22"/>
        </w:rPr>
        <w:t xml:space="preserve">at the time of data collection, the </w:t>
      </w:r>
      <w:r w:rsidR="004E35E5">
        <w:rPr>
          <w:rFonts w:asciiTheme="majorHAnsi" w:hAnsiTheme="majorHAnsi"/>
          <w:szCs w:val="22"/>
        </w:rPr>
        <w:t>STLT</w:t>
      </w:r>
      <w:r w:rsidRPr="00127A1E">
        <w:rPr>
          <w:rFonts w:asciiTheme="majorHAnsi" w:hAnsiTheme="majorHAnsi"/>
          <w:szCs w:val="22"/>
        </w:rPr>
        <w:t xml:space="preserve"> principal investigator will complete the assessment. </w:t>
      </w:r>
    </w:p>
    <w:p w:rsidR="00FF42CC" w:rsidRPr="00127A1E" w:rsidRDefault="009A76F5" w:rsidP="00780568">
      <w:pPr>
        <w:pStyle w:val="BodyText"/>
        <w:spacing w:line="240" w:lineRule="auto"/>
        <w:ind w:left="720"/>
        <w:rPr>
          <w:rFonts w:asciiTheme="majorHAnsi" w:hAnsiTheme="majorHAnsi"/>
          <w:szCs w:val="22"/>
        </w:rPr>
      </w:pPr>
      <w:r w:rsidRPr="00127A1E">
        <w:rPr>
          <w:rFonts w:asciiTheme="majorHAnsi" w:hAnsiTheme="majorHAnsi"/>
          <w:szCs w:val="22"/>
        </w:rPr>
        <w:t xml:space="preserve">The </w:t>
      </w:r>
      <w:r w:rsidR="004E35E5">
        <w:rPr>
          <w:rFonts w:asciiTheme="majorHAnsi" w:hAnsiTheme="majorHAnsi"/>
          <w:szCs w:val="22"/>
        </w:rPr>
        <w:t>data collection tool</w:t>
      </w:r>
      <w:r w:rsidRPr="00127A1E">
        <w:rPr>
          <w:rFonts w:asciiTheme="majorHAnsi" w:hAnsiTheme="majorHAnsi"/>
          <w:szCs w:val="22"/>
        </w:rPr>
        <w:t xml:space="preserve">, which was </w:t>
      </w:r>
      <w:r w:rsidRPr="00A02F3F">
        <w:rPr>
          <w:rFonts w:asciiTheme="majorHAnsi" w:hAnsiTheme="majorHAnsi"/>
          <w:szCs w:val="22"/>
        </w:rPr>
        <w:t>developed</w:t>
      </w:r>
      <w:r w:rsidRPr="00127A1E">
        <w:rPr>
          <w:rFonts w:asciiTheme="majorHAnsi" w:hAnsiTheme="majorHAnsi"/>
          <w:szCs w:val="22"/>
        </w:rPr>
        <w:t xml:space="preserve"> by </w:t>
      </w:r>
      <w:r w:rsidR="00975AD2">
        <w:rPr>
          <w:rFonts w:asciiTheme="majorHAnsi" w:hAnsiTheme="majorHAnsi"/>
          <w:szCs w:val="22"/>
        </w:rPr>
        <w:t xml:space="preserve">CDC and </w:t>
      </w:r>
      <w:r w:rsidR="003C13E1">
        <w:rPr>
          <w:rFonts w:asciiTheme="majorHAnsi" w:hAnsiTheme="majorHAnsi"/>
          <w:szCs w:val="22"/>
        </w:rPr>
        <w:t>the NNPHI Evaluation Team</w:t>
      </w:r>
      <w:r w:rsidRPr="00127A1E">
        <w:rPr>
          <w:rFonts w:asciiTheme="majorHAnsi" w:hAnsiTheme="majorHAnsi"/>
          <w:szCs w:val="22"/>
        </w:rPr>
        <w:t xml:space="preserve">, contains questions addressing four topics: the PIMs’ experience and qualifications; </w:t>
      </w:r>
      <w:r w:rsidR="003C13E1">
        <w:rPr>
          <w:rFonts w:asciiTheme="majorHAnsi" w:hAnsiTheme="majorHAnsi"/>
          <w:szCs w:val="22"/>
        </w:rPr>
        <w:t xml:space="preserve">accreditation readiness; </w:t>
      </w:r>
      <w:r w:rsidR="00E41947">
        <w:rPr>
          <w:rFonts w:asciiTheme="majorHAnsi" w:hAnsiTheme="majorHAnsi"/>
          <w:szCs w:val="22"/>
        </w:rPr>
        <w:t>STLT</w:t>
      </w:r>
      <w:r w:rsidRPr="00127A1E">
        <w:rPr>
          <w:rFonts w:asciiTheme="majorHAnsi" w:hAnsiTheme="majorHAnsi"/>
          <w:szCs w:val="22"/>
        </w:rPr>
        <w:t>s’ experience in performance management</w:t>
      </w:r>
      <w:r w:rsidR="003C13E1">
        <w:rPr>
          <w:rFonts w:asciiTheme="majorHAnsi" w:hAnsiTheme="majorHAnsi"/>
          <w:szCs w:val="22"/>
        </w:rPr>
        <w:t xml:space="preserve"> and quality </w:t>
      </w:r>
      <w:r w:rsidR="003C13E1">
        <w:rPr>
          <w:rFonts w:asciiTheme="majorHAnsi" w:hAnsiTheme="majorHAnsi"/>
          <w:szCs w:val="22"/>
        </w:rPr>
        <w:lastRenderedPageBreak/>
        <w:t>improvement</w:t>
      </w:r>
      <w:r w:rsidRPr="00127A1E">
        <w:rPr>
          <w:rFonts w:asciiTheme="majorHAnsi" w:hAnsiTheme="majorHAnsi"/>
          <w:szCs w:val="22"/>
        </w:rPr>
        <w:t xml:space="preserve">; and the degree to which the environment of the responding </w:t>
      </w:r>
      <w:r w:rsidR="00E41947">
        <w:rPr>
          <w:rFonts w:asciiTheme="majorHAnsi" w:hAnsiTheme="majorHAnsi"/>
          <w:szCs w:val="22"/>
        </w:rPr>
        <w:t>STLT</w:t>
      </w:r>
      <w:r w:rsidRPr="00127A1E">
        <w:rPr>
          <w:rFonts w:asciiTheme="majorHAnsi" w:hAnsiTheme="majorHAnsi"/>
          <w:szCs w:val="22"/>
        </w:rPr>
        <w:t xml:space="preserve"> supports quality improvement and performance management. </w:t>
      </w:r>
    </w:p>
    <w:p w:rsidR="00D93EAA" w:rsidRDefault="00FF42CC" w:rsidP="00D93EAA">
      <w:pPr>
        <w:pStyle w:val="BodyText"/>
        <w:spacing w:line="240" w:lineRule="auto"/>
        <w:ind w:left="720"/>
        <w:rPr>
          <w:rFonts w:asciiTheme="majorHAnsi" w:hAnsiTheme="majorHAnsi"/>
          <w:szCs w:val="22"/>
        </w:rPr>
      </w:pPr>
      <w:r w:rsidRPr="00127A1E">
        <w:rPr>
          <w:rFonts w:asciiTheme="majorHAnsi" w:hAnsiTheme="majorHAnsi"/>
          <w:szCs w:val="22"/>
        </w:rPr>
        <w:t>An intro</w:t>
      </w:r>
      <w:r w:rsidR="003669B1">
        <w:rPr>
          <w:rFonts w:asciiTheme="majorHAnsi" w:hAnsiTheme="majorHAnsi"/>
          <w:szCs w:val="22"/>
        </w:rPr>
        <w:t>ductory email notification</w:t>
      </w:r>
      <w:r w:rsidR="003669B1" w:rsidRPr="005A6A6E">
        <w:rPr>
          <w:rFonts w:asciiTheme="majorHAnsi" w:hAnsiTheme="majorHAnsi"/>
          <w:b/>
          <w:szCs w:val="22"/>
        </w:rPr>
        <w:t xml:space="preserve"> (</w:t>
      </w:r>
      <w:r w:rsidRPr="00C6024F">
        <w:rPr>
          <w:rFonts w:asciiTheme="majorHAnsi" w:hAnsiTheme="majorHAnsi"/>
          <w:b/>
          <w:szCs w:val="22"/>
        </w:rPr>
        <w:t xml:space="preserve">Attachment </w:t>
      </w:r>
      <w:r w:rsidR="00A02F3F">
        <w:rPr>
          <w:rFonts w:asciiTheme="majorHAnsi" w:hAnsiTheme="majorHAnsi"/>
          <w:b/>
          <w:szCs w:val="22"/>
        </w:rPr>
        <w:t>J</w:t>
      </w:r>
      <w:r w:rsidR="00AC70C2">
        <w:rPr>
          <w:rFonts w:asciiTheme="majorHAnsi" w:hAnsiTheme="majorHAnsi"/>
          <w:b/>
          <w:szCs w:val="22"/>
        </w:rPr>
        <w:t xml:space="preserve"> - </w:t>
      </w:r>
      <w:r w:rsidR="00AC70C2">
        <w:rPr>
          <w:rFonts w:asciiTheme="majorHAnsi" w:hAnsiTheme="majorHAnsi"/>
          <w:b/>
        </w:rPr>
        <w:t>Advance Notification of NPHII Assessment</w:t>
      </w:r>
      <w:r w:rsidRPr="005A6A6E">
        <w:rPr>
          <w:rFonts w:asciiTheme="majorHAnsi" w:hAnsiTheme="majorHAnsi"/>
          <w:b/>
          <w:szCs w:val="22"/>
        </w:rPr>
        <w:t>)</w:t>
      </w:r>
      <w:r w:rsidRPr="00127A1E">
        <w:rPr>
          <w:rFonts w:asciiTheme="majorHAnsi" w:hAnsiTheme="majorHAnsi"/>
          <w:szCs w:val="22"/>
        </w:rPr>
        <w:t xml:space="preserve"> will be sent to all potential respondents informing them of the planned </w:t>
      </w:r>
      <w:r w:rsidR="004E35E5">
        <w:rPr>
          <w:rFonts w:asciiTheme="majorHAnsi" w:hAnsiTheme="majorHAnsi"/>
          <w:szCs w:val="22"/>
        </w:rPr>
        <w:t>data collection</w:t>
      </w:r>
      <w:r w:rsidRPr="00127A1E">
        <w:rPr>
          <w:rFonts w:asciiTheme="majorHAnsi" w:hAnsiTheme="majorHAnsi"/>
          <w:szCs w:val="22"/>
        </w:rPr>
        <w:t xml:space="preserve"> and announcing the dates the </w:t>
      </w:r>
      <w:r w:rsidR="004E35E5">
        <w:rPr>
          <w:rFonts w:asciiTheme="majorHAnsi" w:hAnsiTheme="majorHAnsi"/>
          <w:szCs w:val="22"/>
        </w:rPr>
        <w:t>data collection</w:t>
      </w:r>
      <w:r w:rsidRPr="00127A1E">
        <w:rPr>
          <w:rFonts w:asciiTheme="majorHAnsi" w:hAnsiTheme="majorHAnsi"/>
          <w:szCs w:val="22"/>
        </w:rPr>
        <w:t xml:space="preserve"> will be administered</w:t>
      </w:r>
      <w:r w:rsidR="00C267A3">
        <w:rPr>
          <w:rFonts w:asciiTheme="majorHAnsi" w:hAnsiTheme="majorHAnsi"/>
          <w:szCs w:val="22"/>
        </w:rPr>
        <w:t xml:space="preserve">.  This email will also include </w:t>
      </w:r>
      <w:r w:rsidR="00190DF9">
        <w:rPr>
          <w:rFonts w:asciiTheme="majorHAnsi" w:hAnsiTheme="majorHAnsi"/>
          <w:szCs w:val="22"/>
        </w:rPr>
        <w:t xml:space="preserve">a PDF of the data collection tool and instructions for </w:t>
      </w:r>
      <w:r w:rsidR="005A0418">
        <w:rPr>
          <w:rFonts w:asciiTheme="majorHAnsi" w:hAnsiTheme="majorHAnsi"/>
          <w:szCs w:val="22"/>
        </w:rPr>
        <w:t>how to consult with colleagues to ensure the PIM/principal investigator is able to provide complete and accurate responses</w:t>
      </w:r>
      <w:r w:rsidRPr="00127A1E">
        <w:rPr>
          <w:rFonts w:asciiTheme="majorHAnsi" w:hAnsiTheme="majorHAnsi"/>
          <w:szCs w:val="22"/>
        </w:rPr>
        <w:t xml:space="preserve">.  </w:t>
      </w:r>
      <w:r w:rsidR="003812C5">
        <w:rPr>
          <w:rFonts w:asciiTheme="majorHAnsi" w:hAnsiTheme="majorHAnsi"/>
          <w:szCs w:val="22"/>
        </w:rPr>
        <w:t xml:space="preserve">A personalized email notification, </w:t>
      </w:r>
      <w:r w:rsidR="00190DF9">
        <w:rPr>
          <w:rFonts w:asciiTheme="majorHAnsi" w:hAnsiTheme="majorHAnsi"/>
          <w:szCs w:val="22"/>
        </w:rPr>
        <w:t xml:space="preserve">which will include a link to the </w:t>
      </w:r>
      <w:r w:rsidR="005A0418">
        <w:rPr>
          <w:rFonts w:asciiTheme="majorHAnsi" w:hAnsiTheme="majorHAnsi"/>
          <w:szCs w:val="22"/>
        </w:rPr>
        <w:t>online assessment tool,</w:t>
      </w:r>
      <w:r w:rsidR="000B2F2C">
        <w:rPr>
          <w:rFonts w:asciiTheme="majorHAnsi" w:hAnsiTheme="majorHAnsi"/>
          <w:szCs w:val="22"/>
        </w:rPr>
        <w:t xml:space="preserve"> will</w:t>
      </w:r>
      <w:r w:rsidR="005A0418">
        <w:rPr>
          <w:rFonts w:asciiTheme="majorHAnsi" w:hAnsiTheme="majorHAnsi"/>
          <w:szCs w:val="22"/>
        </w:rPr>
        <w:t xml:space="preserve"> be sent to all </w:t>
      </w:r>
      <w:r w:rsidR="00E41947">
        <w:rPr>
          <w:rFonts w:asciiTheme="majorHAnsi" w:hAnsiTheme="majorHAnsi"/>
          <w:szCs w:val="22"/>
        </w:rPr>
        <w:t xml:space="preserve">potential </w:t>
      </w:r>
      <w:r w:rsidR="005A0418">
        <w:rPr>
          <w:rFonts w:asciiTheme="majorHAnsi" w:hAnsiTheme="majorHAnsi"/>
          <w:szCs w:val="22"/>
        </w:rPr>
        <w:t xml:space="preserve">respondents </w:t>
      </w:r>
      <w:r w:rsidR="005A0418" w:rsidRPr="005A6A6E">
        <w:rPr>
          <w:rFonts w:asciiTheme="majorHAnsi" w:hAnsiTheme="majorHAnsi"/>
          <w:b/>
          <w:szCs w:val="22"/>
        </w:rPr>
        <w:t>(</w:t>
      </w:r>
      <w:r w:rsidR="005A0418" w:rsidRPr="005A0418">
        <w:rPr>
          <w:rFonts w:asciiTheme="majorHAnsi" w:hAnsiTheme="majorHAnsi"/>
          <w:b/>
          <w:szCs w:val="22"/>
        </w:rPr>
        <w:t xml:space="preserve">Attachment </w:t>
      </w:r>
      <w:r w:rsidR="00A02F3F">
        <w:rPr>
          <w:rFonts w:asciiTheme="majorHAnsi" w:hAnsiTheme="majorHAnsi"/>
          <w:b/>
          <w:szCs w:val="22"/>
        </w:rPr>
        <w:t>K</w:t>
      </w:r>
      <w:r w:rsidR="00D93EAA">
        <w:rPr>
          <w:rFonts w:asciiTheme="majorHAnsi" w:hAnsiTheme="majorHAnsi"/>
          <w:b/>
          <w:szCs w:val="22"/>
        </w:rPr>
        <w:t xml:space="preserve"> – Email with NPHII Assessment Instructions and Link</w:t>
      </w:r>
      <w:r w:rsidR="005A0418" w:rsidRPr="005A6A6E">
        <w:rPr>
          <w:rFonts w:asciiTheme="majorHAnsi" w:hAnsiTheme="majorHAnsi"/>
          <w:b/>
          <w:szCs w:val="22"/>
        </w:rPr>
        <w:t>)</w:t>
      </w:r>
      <w:r w:rsidR="005A0418">
        <w:rPr>
          <w:rFonts w:asciiTheme="majorHAnsi" w:hAnsiTheme="majorHAnsi"/>
          <w:szCs w:val="22"/>
        </w:rPr>
        <w:t xml:space="preserve">.  </w:t>
      </w:r>
      <w:r w:rsidRPr="00127A1E">
        <w:rPr>
          <w:rFonts w:asciiTheme="majorHAnsi" w:hAnsiTheme="majorHAnsi"/>
          <w:szCs w:val="22"/>
        </w:rPr>
        <w:t>Th</w:t>
      </w:r>
      <w:r w:rsidR="00B641C9">
        <w:rPr>
          <w:rFonts w:asciiTheme="majorHAnsi" w:hAnsiTheme="majorHAnsi"/>
          <w:szCs w:val="22"/>
        </w:rPr>
        <w:t>e</w:t>
      </w:r>
      <w:r w:rsidRPr="00127A1E">
        <w:rPr>
          <w:rFonts w:asciiTheme="majorHAnsi" w:hAnsiTheme="majorHAnsi"/>
          <w:szCs w:val="22"/>
        </w:rPr>
        <w:t xml:space="preserve"> </w:t>
      </w:r>
      <w:r w:rsidR="005A0418">
        <w:rPr>
          <w:rFonts w:asciiTheme="majorHAnsi" w:hAnsiTheme="majorHAnsi"/>
          <w:szCs w:val="22"/>
        </w:rPr>
        <w:t>data collection tool</w:t>
      </w:r>
      <w:r w:rsidRPr="00127A1E">
        <w:rPr>
          <w:rFonts w:asciiTheme="majorHAnsi" w:hAnsiTheme="majorHAnsi"/>
          <w:szCs w:val="22"/>
        </w:rPr>
        <w:t xml:space="preserve"> will be open for </w:t>
      </w:r>
      <w:r w:rsidR="00E41947">
        <w:rPr>
          <w:rFonts w:asciiTheme="majorHAnsi" w:hAnsiTheme="majorHAnsi"/>
          <w:szCs w:val="22"/>
        </w:rPr>
        <w:t>31</w:t>
      </w:r>
      <w:r w:rsidRPr="00127A1E">
        <w:rPr>
          <w:rFonts w:asciiTheme="majorHAnsi" w:hAnsiTheme="majorHAnsi"/>
          <w:szCs w:val="22"/>
        </w:rPr>
        <w:t xml:space="preserve"> business days to allow ample time for respondents to complete the </w:t>
      </w:r>
      <w:r w:rsidR="005A0418">
        <w:rPr>
          <w:rFonts w:asciiTheme="majorHAnsi" w:hAnsiTheme="majorHAnsi"/>
          <w:szCs w:val="22"/>
        </w:rPr>
        <w:t>tool</w:t>
      </w:r>
      <w:r w:rsidR="00E41947">
        <w:rPr>
          <w:rFonts w:asciiTheme="majorHAnsi" w:hAnsiTheme="majorHAnsi"/>
          <w:szCs w:val="22"/>
        </w:rPr>
        <w:t>.</w:t>
      </w:r>
      <w:r w:rsidR="00B641C9">
        <w:rPr>
          <w:rFonts w:asciiTheme="majorHAnsi" w:hAnsiTheme="majorHAnsi"/>
          <w:szCs w:val="22"/>
        </w:rPr>
        <w:t xml:space="preserve">  </w:t>
      </w:r>
      <w:r w:rsidR="003812C5">
        <w:rPr>
          <w:rFonts w:asciiTheme="majorHAnsi" w:hAnsiTheme="majorHAnsi"/>
          <w:szCs w:val="22"/>
        </w:rPr>
        <w:t xml:space="preserve">A reminder email </w:t>
      </w:r>
      <w:r w:rsidR="003812C5" w:rsidRPr="005A6A6E">
        <w:rPr>
          <w:rFonts w:asciiTheme="majorHAnsi" w:hAnsiTheme="majorHAnsi"/>
          <w:b/>
          <w:szCs w:val="22"/>
        </w:rPr>
        <w:t>(</w:t>
      </w:r>
      <w:r w:rsidR="003812C5" w:rsidRPr="003812C5">
        <w:rPr>
          <w:rFonts w:asciiTheme="majorHAnsi" w:hAnsiTheme="majorHAnsi"/>
          <w:b/>
          <w:szCs w:val="22"/>
        </w:rPr>
        <w:t xml:space="preserve">Attachment </w:t>
      </w:r>
      <w:r w:rsidR="00A02F3F">
        <w:rPr>
          <w:rFonts w:asciiTheme="majorHAnsi" w:hAnsiTheme="majorHAnsi"/>
          <w:b/>
          <w:szCs w:val="22"/>
        </w:rPr>
        <w:t>L</w:t>
      </w:r>
      <w:r w:rsidR="00D93EAA">
        <w:rPr>
          <w:rFonts w:asciiTheme="majorHAnsi" w:hAnsiTheme="majorHAnsi"/>
          <w:b/>
          <w:szCs w:val="22"/>
        </w:rPr>
        <w:t xml:space="preserve"> – Reminder Emails for NPHII Assessment</w:t>
      </w:r>
      <w:r w:rsidR="003812C5" w:rsidRPr="005A6A6E">
        <w:rPr>
          <w:rFonts w:asciiTheme="majorHAnsi" w:hAnsiTheme="majorHAnsi"/>
          <w:b/>
          <w:szCs w:val="22"/>
        </w:rPr>
        <w:t>)</w:t>
      </w:r>
      <w:r w:rsidR="003812C5">
        <w:rPr>
          <w:rFonts w:asciiTheme="majorHAnsi" w:hAnsiTheme="majorHAnsi"/>
          <w:szCs w:val="22"/>
        </w:rPr>
        <w:t xml:space="preserve"> will be sent out on Day 15, and if necessary CDC NPHII project officers will follow-up by phone </w:t>
      </w:r>
      <w:r w:rsidR="003812C5" w:rsidRPr="005A6A6E">
        <w:rPr>
          <w:rFonts w:asciiTheme="majorHAnsi" w:hAnsiTheme="majorHAnsi"/>
          <w:b/>
          <w:szCs w:val="22"/>
        </w:rPr>
        <w:t>(</w:t>
      </w:r>
      <w:r w:rsidR="003812C5" w:rsidRPr="003812C5">
        <w:rPr>
          <w:rFonts w:asciiTheme="majorHAnsi" w:hAnsiTheme="majorHAnsi"/>
          <w:b/>
          <w:szCs w:val="22"/>
        </w:rPr>
        <w:t xml:space="preserve">Attachment </w:t>
      </w:r>
      <w:r w:rsidR="00A02F3F">
        <w:rPr>
          <w:rFonts w:asciiTheme="majorHAnsi" w:hAnsiTheme="majorHAnsi"/>
          <w:b/>
          <w:szCs w:val="22"/>
        </w:rPr>
        <w:t>M</w:t>
      </w:r>
      <w:r w:rsidR="00D93EAA">
        <w:rPr>
          <w:rFonts w:asciiTheme="majorHAnsi" w:hAnsiTheme="majorHAnsi"/>
          <w:b/>
          <w:szCs w:val="22"/>
        </w:rPr>
        <w:t xml:space="preserve"> – Phone Reminder for NPHII Assessment</w:t>
      </w:r>
      <w:r w:rsidR="003812C5" w:rsidRPr="005A6A6E">
        <w:rPr>
          <w:rFonts w:asciiTheme="majorHAnsi" w:hAnsiTheme="majorHAnsi"/>
          <w:b/>
          <w:szCs w:val="22"/>
        </w:rPr>
        <w:t>)</w:t>
      </w:r>
      <w:r w:rsidR="003812C5">
        <w:rPr>
          <w:rFonts w:asciiTheme="majorHAnsi" w:hAnsiTheme="majorHAnsi"/>
          <w:szCs w:val="22"/>
        </w:rPr>
        <w:t xml:space="preserve"> with non-respondents on Day 21 until the survey closes.  </w:t>
      </w:r>
      <w:r w:rsidR="00B63766">
        <w:rPr>
          <w:rFonts w:asciiTheme="majorHAnsi" w:hAnsiTheme="majorHAnsi"/>
          <w:szCs w:val="22"/>
        </w:rPr>
        <w:t xml:space="preserve">  </w:t>
      </w:r>
    </w:p>
    <w:p w:rsidR="004E35E5" w:rsidRPr="004E35E5" w:rsidRDefault="004E35E5" w:rsidP="004E35E5">
      <w:pPr>
        <w:spacing w:after="0"/>
        <w:ind w:left="720"/>
        <w:rPr>
          <w:rFonts w:asciiTheme="majorHAnsi" w:hAnsiTheme="majorHAnsi" w:cstheme="minorHAnsi"/>
        </w:rPr>
      </w:pPr>
      <w:r>
        <w:rPr>
          <w:rFonts w:asciiTheme="majorHAnsi" w:hAnsiTheme="majorHAnsi"/>
        </w:rPr>
        <w:t xml:space="preserve">The data collection tool will be administered </w:t>
      </w:r>
      <w:r w:rsidR="00111ED5">
        <w:rPr>
          <w:rFonts w:asciiTheme="majorHAnsi" w:hAnsiTheme="majorHAnsi" w:cstheme="minorHAnsi"/>
        </w:rPr>
        <w:t>following</w:t>
      </w:r>
      <w:r>
        <w:rPr>
          <w:rFonts w:asciiTheme="majorHAnsi" w:hAnsiTheme="majorHAnsi" w:cstheme="minorHAnsi"/>
        </w:rPr>
        <w:t xml:space="preserve"> the second (September 30, 2011 – September 29, 2012) and third year</w:t>
      </w:r>
      <w:r w:rsidR="00EC2BC2">
        <w:rPr>
          <w:rFonts w:asciiTheme="majorHAnsi" w:hAnsiTheme="majorHAnsi" w:cstheme="minorHAnsi"/>
        </w:rPr>
        <w:t>s</w:t>
      </w:r>
      <w:r>
        <w:rPr>
          <w:rFonts w:asciiTheme="majorHAnsi" w:hAnsiTheme="majorHAnsi" w:cstheme="minorHAnsi"/>
        </w:rPr>
        <w:t xml:space="preserve"> of </w:t>
      </w:r>
      <w:r w:rsidR="00111ED5">
        <w:rPr>
          <w:rFonts w:asciiTheme="majorHAnsi" w:hAnsiTheme="majorHAnsi" w:cstheme="minorHAnsi"/>
        </w:rPr>
        <w:t xml:space="preserve">NPHII </w:t>
      </w:r>
      <w:r>
        <w:rPr>
          <w:rFonts w:asciiTheme="majorHAnsi" w:hAnsiTheme="majorHAnsi" w:cstheme="minorHAnsi"/>
        </w:rPr>
        <w:t xml:space="preserve">funding (September </w:t>
      </w:r>
      <w:r w:rsidR="00111ED5">
        <w:rPr>
          <w:rFonts w:asciiTheme="majorHAnsi" w:hAnsiTheme="majorHAnsi" w:cstheme="minorHAnsi"/>
        </w:rPr>
        <w:t xml:space="preserve">30, </w:t>
      </w:r>
      <w:r>
        <w:rPr>
          <w:rFonts w:asciiTheme="majorHAnsi" w:hAnsiTheme="majorHAnsi" w:cstheme="minorHAnsi"/>
        </w:rPr>
        <w:t xml:space="preserve">2012-September </w:t>
      </w:r>
      <w:r w:rsidR="00111ED5">
        <w:rPr>
          <w:rFonts w:asciiTheme="majorHAnsi" w:hAnsiTheme="majorHAnsi" w:cstheme="minorHAnsi"/>
        </w:rPr>
        <w:t xml:space="preserve">29, </w:t>
      </w:r>
      <w:r>
        <w:rPr>
          <w:rFonts w:asciiTheme="majorHAnsi" w:hAnsiTheme="majorHAnsi" w:cstheme="minorHAnsi"/>
        </w:rPr>
        <w:t xml:space="preserve">2013).  </w:t>
      </w:r>
      <w:r w:rsidRPr="004E35E5">
        <w:rPr>
          <w:rFonts w:asciiTheme="majorHAnsi" w:hAnsiTheme="majorHAnsi"/>
        </w:rPr>
        <w:t xml:space="preserve">Data </w:t>
      </w:r>
      <w:r>
        <w:rPr>
          <w:rFonts w:asciiTheme="majorHAnsi" w:hAnsiTheme="majorHAnsi"/>
        </w:rPr>
        <w:t>will be collected and stored in</w:t>
      </w:r>
      <w:r w:rsidRPr="004E35E5">
        <w:rPr>
          <w:rFonts w:asciiTheme="majorHAnsi" w:hAnsiTheme="majorHAnsi"/>
        </w:rPr>
        <w:t xml:space="preserve"> survey software maintained by </w:t>
      </w:r>
      <w:r>
        <w:rPr>
          <w:rFonts w:asciiTheme="majorHAnsi" w:hAnsiTheme="majorHAnsi"/>
        </w:rPr>
        <w:t xml:space="preserve">NORC and protected under their data privacy policies </w:t>
      </w:r>
      <w:r w:rsidRPr="005A6A6E">
        <w:rPr>
          <w:rFonts w:asciiTheme="majorHAnsi" w:hAnsiTheme="majorHAnsi"/>
          <w:b/>
        </w:rPr>
        <w:t>(</w:t>
      </w:r>
      <w:r w:rsidR="005A0418" w:rsidRPr="00111ED5">
        <w:rPr>
          <w:rFonts w:asciiTheme="majorHAnsi" w:hAnsiTheme="majorHAnsi"/>
          <w:b/>
        </w:rPr>
        <w:t>Attachment</w:t>
      </w:r>
      <w:r w:rsidR="00797E6E">
        <w:rPr>
          <w:rFonts w:asciiTheme="majorHAnsi" w:hAnsiTheme="majorHAnsi"/>
          <w:b/>
        </w:rPr>
        <w:t xml:space="preserve"> </w:t>
      </w:r>
      <w:r w:rsidR="00A02F3F">
        <w:rPr>
          <w:rFonts w:asciiTheme="majorHAnsi" w:hAnsiTheme="majorHAnsi"/>
          <w:b/>
        </w:rPr>
        <w:t>N</w:t>
      </w:r>
      <w:r w:rsidR="00111ED5">
        <w:rPr>
          <w:rFonts w:asciiTheme="majorHAnsi" w:hAnsiTheme="majorHAnsi"/>
          <w:b/>
        </w:rPr>
        <w:t xml:space="preserve"> – NORC’s Data Privacy Policy</w:t>
      </w:r>
      <w:r w:rsidRPr="005A6A6E">
        <w:rPr>
          <w:rFonts w:asciiTheme="majorHAnsi" w:hAnsiTheme="majorHAnsi"/>
          <w:b/>
        </w:rPr>
        <w:t>)</w:t>
      </w:r>
      <w:r>
        <w:rPr>
          <w:rFonts w:asciiTheme="majorHAnsi" w:hAnsiTheme="majorHAnsi"/>
        </w:rPr>
        <w:t xml:space="preserve">.  NORC will conduct preliminary analysis of the data using SAS statistical software, and will </w:t>
      </w:r>
      <w:r w:rsidRPr="004E35E5">
        <w:rPr>
          <w:rFonts w:asciiTheme="majorHAnsi" w:hAnsiTheme="majorHAnsi"/>
        </w:rPr>
        <w:t>the</w:t>
      </w:r>
      <w:r>
        <w:rPr>
          <w:rFonts w:asciiTheme="majorHAnsi" w:hAnsiTheme="majorHAnsi"/>
        </w:rPr>
        <w:t xml:space="preserve">n transfer all data files and analysis tables to OSTLTS.  </w:t>
      </w:r>
      <w:r w:rsidR="005A0418">
        <w:rPr>
          <w:rFonts w:asciiTheme="majorHAnsi" w:hAnsiTheme="majorHAnsi"/>
        </w:rPr>
        <w:t xml:space="preserve">Opportunities for further data analysis identified by the evaluation team at OSTLTS will be completed </w:t>
      </w:r>
      <w:r w:rsidR="005A6A6E">
        <w:rPr>
          <w:rFonts w:asciiTheme="majorHAnsi" w:hAnsiTheme="majorHAnsi"/>
        </w:rPr>
        <w:t xml:space="preserve">using statistical packages such as </w:t>
      </w:r>
      <w:r w:rsidR="005A0418">
        <w:rPr>
          <w:rFonts w:asciiTheme="majorHAnsi" w:hAnsiTheme="majorHAnsi"/>
        </w:rPr>
        <w:t xml:space="preserve">Excel and STATA.  </w:t>
      </w:r>
      <w:r w:rsidR="00ED500D">
        <w:rPr>
          <w:rFonts w:asciiTheme="majorHAnsi" w:hAnsiTheme="majorHAnsi"/>
        </w:rPr>
        <w:t>Data will be stored at CDC on a secured shared drive with access limited to NPHII evaluation staff and select NPHII leadership staff at CDC.</w:t>
      </w:r>
    </w:p>
    <w:p w:rsidR="003C13E1" w:rsidRPr="00127A1E" w:rsidRDefault="003C13E1" w:rsidP="00780568">
      <w:pPr>
        <w:pStyle w:val="BodyText"/>
        <w:spacing w:line="240" w:lineRule="auto"/>
        <w:ind w:left="720"/>
        <w:rPr>
          <w:rFonts w:asciiTheme="majorHAnsi" w:hAnsiTheme="majorHAnsi"/>
          <w:szCs w:val="22"/>
        </w:rPr>
      </w:pPr>
    </w:p>
    <w:p w:rsidR="00287E2F" w:rsidRPr="00D26A64" w:rsidRDefault="00287E2F" w:rsidP="00B12F51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D26A64">
        <w:rPr>
          <w:rFonts w:asciiTheme="majorHAnsi" w:hAnsiTheme="majorHAnsi"/>
          <w:b/>
        </w:rPr>
        <w:t>Methods to Maximize Response Rates</w:t>
      </w:r>
      <w:r w:rsidR="008C52AE">
        <w:rPr>
          <w:rFonts w:asciiTheme="majorHAnsi" w:hAnsiTheme="majorHAnsi"/>
          <w:b/>
        </w:rPr>
        <w:t xml:space="preserve"> &amp; Deal with Nonresponse</w:t>
      </w:r>
      <w:r w:rsidR="00F725B5">
        <w:rPr>
          <w:rFonts w:asciiTheme="majorHAnsi" w:hAnsiTheme="majorHAnsi"/>
          <w:b/>
        </w:rPr>
        <w:t xml:space="preserve"> </w:t>
      </w:r>
      <w:r w:rsidRPr="00D26A64">
        <w:rPr>
          <w:rFonts w:asciiTheme="majorHAnsi" w:hAnsiTheme="majorHAnsi"/>
          <w:b/>
        </w:rPr>
        <w:t xml:space="preserve"> </w:t>
      </w:r>
    </w:p>
    <w:p w:rsidR="00797E6E" w:rsidRPr="00780568" w:rsidRDefault="00797E6E" w:rsidP="00797E6E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Advance email notification, reminder emails and if necessary, telephone calls will be used to maximize the response rate (</w:t>
      </w:r>
      <w:r>
        <w:rPr>
          <w:rFonts w:asciiTheme="majorHAnsi" w:hAnsiTheme="majorHAnsi"/>
          <w:b/>
        </w:rPr>
        <w:t xml:space="preserve">Attachments </w:t>
      </w:r>
      <w:r w:rsidR="004319D8">
        <w:rPr>
          <w:rFonts w:asciiTheme="majorHAnsi" w:hAnsiTheme="majorHAnsi"/>
          <w:b/>
        </w:rPr>
        <w:t>J</w:t>
      </w:r>
      <w:r>
        <w:rPr>
          <w:rFonts w:asciiTheme="majorHAnsi" w:hAnsiTheme="majorHAnsi"/>
          <w:b/>
        </w:rPr>
        <w:t>,</w:t>
      </w:r>
      <w:r w:rsidRPr="00797E6E">
        <w:rPr>
          <w:rFonts w:asciiTheme="majorHAnsi" w:hAnsiTheme="majorHAnsi"/>
          <w:b/>
        </w:rPr>
        <w:t xml:space="preserve"> </w:t>
      </w:r>
      <w:r w:rsidR="004319D8">
        <w:rPr>
          <w:rFonts w:asciiTheme="majorHAnsi" w:hAnsiTheme="majorHAnsi"/>
          <w:b/>
        </w:rPr>
        <w:t>L</w:t>
      </w:r>
      <w:r>
        <w:rPr>
          <w:rFonts w:asciiTheme="majorHAnsi" w:hAnsiTheme="majorHAnsi"/>
          <w:b/>
        </w:rPr>
        <w:t xml:space="preserve"> &amp; </w:t>
      </w:r>
      <w:r w:rsidR="004319D8">
        <w:rPr>
          <w:rFonts w:asciiTheme="majorHAnsi" w:hAnsiTheme="majorHAnsi"/>
          <w:b/>
        </w:rPr>
        <w:t>M</w:t>
      </w:r>
      <w:r>
        <w:rPr>
          <w:rFonts w:asciiTheme="majorHAnsi" w:hAnsiTheme="majorHAnsi"/>
        </w:rPr>
        <w:t xml:space="preserve">).  The </w:t>
      </w:r>
      <w:r w:rsidR="00A46ECA">
        <w:rPr>
          <w:rFonts w:asciiTheme="majorHAnsi" w:hAnsiTheme="majorHAnsi"/>
        </w:rPr>
        <w:t xml:space="preserve">advance </w:t>
      </w:r>
      <w:r>
        <w:rPr>
          <w:rFonts w:asciiTheme="majorHAnsi" w:hAnsiTheme="majorHAnsi"/>
        </w:rPr>
        <w:t xml:space="preserve">notification </w:t>
      </w:r>
      <w:r w:rsidR="00A46ECA">
        <w:rPr>
          <w:rFonts w:asciiTheme="majorHAnsi" w:hAnsiTheme="majorHAnsi"/>
        </w:rPr>
        <w:t>email</w:t>
      </w:r>
      <w:r>
        <w:rPr>
          <w:rFonts w:asciiTheme="majorHAnsi" w:hAnsiTheme="majorHAnsi"/>
        </w:rPr>
        <w:t xml:space="preserve"> will be sent by OSTLTS</w:t>
      </w:r>
      <w:r w:rsidR="00A46ECA">
        <w:rPr>
          <w:rFonts w:asciiTheme="majorHAnsi" w:hAnsiTheme="majorHAnsi"/>
        </w:rPr>
        <w:t>, and the reminder emails will be sent by NORC</w:t>
      </w:r>
      <w:r>
        <w:rPr>
          <w:rFonts w:asciiTheme="majorHAnsi" w:hAnsiTheme="majorHAnsi"/>
        </w:rPr>
        <w:t xml:space="preserve">.  </w:t>
      </w:r>
      <w:r w:rsidRPr="00FF42CC">
        <w:rPr>
          <w:rFonts w:asciiTheme="majorHAnsi" w:hAnsiTheme="majorHAnsi"/>
        </w:rPr>
        <w:t xml:space="preserve">The purpose of this survey is to capture the </w:t>
      </w:r>
      <w:r>
        <w:rPr>
          <w:rFonts w:asciiTheme="majorHAnsi" w:hAnsiTheme="majorHAnsi"/>
        </w:rPr>
        <w:t xml:space="preserve">PIMs </w:t>
      </w:r>
      <w:r w:rsidRPr="00FF42CC">
        <w:rPr>
          <w:rFonts w:asciiTheme="majorHAnsi" w:hAnsiTheme="majorHAnsi"/>
        </w:rPr>
        <w:t>perspective</w:t>
      </w:r>
      <w:r>
        <w:rPr>
          <w:rFonts w:asciiTheme="majorHAnsi" w:hAnsiTheme="majorHAnsi"/>
        </w:rPr>
        <w:t>s on progress made on NPHII priorities; h</w:t>
      </w:r>
      <w:r w:rsidRPr="00FF42CC">
        <w:rPr>
          <w:rFonts w:asciiTheme="majorHAnsi" w:hAnsiTheme="majorHAnsi"/>
        </w:rPr>
        <w:t>igher response rates will yield more reliable information, however, no scienti</w:t>
      </w:r>
      <w:r>
        <w:rPr>
          <w:rFonts w:asciiTheme="majorHAnsi" w:hAnsiTheme="majorHAnsi"/>
        </w:rPr>
        <w:t xml:space="preserve">fic inferences will be made.  </w:t>
      </w:r>
    </w:p>
    <w:p w:rsidR="00FF42CC" w:rsidRDefault="00FF42CC" w:rsidP="00F52BCC">
      <w:pPr>
        <w:pStyle w:val="ListParagraph"/>
        <w:spacing w:after="0"/>
        <w:rPr>
          <w:rFonts w:asciiTheme="majorHAnsi" w:hAnsiTheme="majorHAnsi"/>
        </w:rPr>
      </w:pPr>
    </w:p>
    <w:p w:rsidR="00C16633" w:rsidRPr="00371579" w:rsidRDefault="00287E2F" w:rsidP="00371579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867678">
        <w:rPr>
          <w:rFonts w:asciiTheme="majorHAnsi" w:hAnsiTheme="majorHAnsi"/>
          <w:b/>
        </w:rPr>
        <w:t>Test of Procedures</w:t>
      </w:r>
      <w:r w:rsidR="008C52AE">
        <w:rPr>
          <w:rFonts w:asciiTheme="majorHAnsi" w:hAnsiTheme="majorHAnsi"/>
          <w:b/>
        </w:rPr>
        <w:t xml:space="preserve"> or Methods to be Undertaken</w:t>
      </w:r>
      <w:r w:rsidRPr="00867678">
        <w:rPr>
          <w:rFonts w:asciiTheme="majorHAnsi" w:hAnsiTheme="majorHAnsi"/>
          <w:b/>
        </w:rPr>
        <w:t xml:space="preserve"> </w:t>
      </w:r>
    </w:p>
    <w:p w:rsidR="00BF0783" w:rsidRDefault="00C16633" w:rsidP="00BF0783">
      <w:pPr>
        <w:pStyle w:val="ListParagraph"/>
        <w:autoSpaceDE w:val="0"/>
        <w:autoSpaceDN w:val="0"/>
        <w:adjustRightInd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 xml:space="preserve">To ensure that items and responses are understandable by respondents, </w:t>
      </w:r>
      <w:r w:rsidR="003C13E1">
        <w:rPr>
          <w:rFonts w:asciiTheme="majorHAnsi" w:hAnsiTheme="majorHAnsi"/>
        </w:rPr>
        <w:t xml:space="preserve">three </w:t>
      </w:r>
      <w:r w:rsidR="003377FD">
        <w:rPr>
          <w:rFonts w:asciiTheme="majorHAnsi" w:hAnsiTheme="majorHAnsi"/>
        </w:rPr>
        <w:t>public health professionals were</w:t>
      </w:r>
      <w:r>
        <w:rPr>
          <w:rFonts w:asciiTheme="majorHAnsi" w:hAnsiTheme="majorHAnsi"/>
        </w:rPr>
        <w:t xml:space="preserve"> asked to review the</w:t>
      </w:r>
      <w:r w:rsidR="00867678">
        <w:rPr>
          <w:rFonts w:asciiTheme="majorHAnsi" w:hAnsiTheme="majorHAnsi"/>
        </w:rPr>
        <w:t xml:space="preserve"> data collection tool</w:t>
      </w:r>
      <w:r>
        <w:rPr>
          <w:rFonts w:asciiTheme="majorHAnsi" w:hAnsiTheme="majorHAnsi"/>
        </w:rPr>
        <w:t xml:space="preserve"> and provide specific feedback on how to improve item</w:t>
      </w:r>
      <w:r w:rsidR="0086767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and response wording. </w:t>
      </w:r>
      <w:r w:rsidR="00867678">
        <w:rPr>
          <w:rFonts w:asciiTheme="majorHAnsi" w:hAnsiTheme="majorHAnsi"/>
        </w:rPr>
        <w:t xml:space="preserve">The length of the survey was also significantly reduced based on pilot testing results and expert review.  </w:t>
      </w:r>
      <w:r w:rsidR="00BF0783">
        <w:rPr>
          <w:rFonts w:asciiTheme="majorHAnsi" w:hAnsiTheme="majorHAnsi"/>
          <w:color w:val="000000"/>
        </w:rPr>
        <w:t xml:space="preserve">The estimate for burden hours is based on a second pilot test of the data collection tool by three </w:t>
      </w:r>
      <w:r w:rsidR="00BF0783" w:rsidRPr="00FE6A5C">
        <w:rPr>
          <w:rFonts w:asciiTheme="majorHAnsi" w:hAnsiTheme="majorHAnsi"/>
        </w:rPr>
        <w:t>public health professionals</w:t>
      </w:r>
      <w:r w:rsidR="00BF0783" w:rsidRPr="00CF5ABD">
        <w:rPr>
          <w:rFonts w:asciiTheme="majorHAnsi" w:hAnsiTheme="majorHAnsi"/>
        </w:rPr>
        <w:t>.</w:t>
      </w:r>
      <w:r w:rsidR="00BF0783">
        <w:rPr>
          <w:rFonts w:asciiTheme="majorHAnsi" w:hAnsiTheme="majorHAnsi"/>
        </w:rPr>
        <w:t xml:space="preserve"> In the </w:t>
      </w:r>
      <w:r w:rsidR="007E1E91">
        <w:rPr>
          <w:rFonts w:asciiTheme="majorHAnsi" w:hAnsiTheme="majorHAnsi"/>
        </w:rPr>
        <w:t xml:space="preserve">second </w:t>
      </w:r>
      <w:r w:rsidR="00BF0783">
        <w:rPr>
          <w:rFonts w:asciiTheme="majorHAnsi" w:hAnsiTheme="majorHAnsi"/>
        </w:rPr>
        <w:t xml:space="preserve">pilot test, the average time to complete the data collection tool including time for reviewing instructions, gathering needed information and completing the data collection tool, was approximately </w:t>
      </w:r>
      <w:r w:rsidR="00A02F3F">
        <w:rPr>
          <w:rFonts w:asciiTheme="majorHAnsi" w:hAnsiTheme="majorHAnsi"/>
          <w:u w:val="single"/>
        </w:rPr>
        <w:t>22</w:t>
      </w:r>
      <w:r w:rsidR="00BF0783">
        <w:rPr>
          <w:rFonts w:asciiTheme="majorHAnsi" w:hAnsiTheme="majorHAnsi"/>
        </w:rPr>
        <w:t xml:space="preserve"> minutes. Based on these results, the estimated time range for actual respondents to complete the data collection tool is </w:t>
      </w:r>
      <w:r w:rsidR="00BF0783">
        <w:rPr>
          <w:rFonts w:asciiTheme="majorHAnsi" w:hAnsiTheme="majorHAnsi"/>
          <w:u w:val="single"/>
        </w:rPr>
        <w:t>20-25</w:t>
      </w:r>
      <w:r w:rsidR="00BF0783" w:rsidRPr="0073139C">
        <w:rPr>
          <w:rFonts w:asciiTheme="majorHAnsi" w:hAnsiTheme="majorHAnsi"/>
          <w:u w:val="single"/>
        </w:rPr>
        <w:t xml:space="preserve"> </w:t>
      </w:r>
      <w:r w:rsidR="00BF0783">
        <w:rPr>
          <w:rFonts w:asciiTheme="majorHAnsi" w:hAnsiTheme="majorHAnsi"/>
        </w:rPr>
        <w:t xml:space="preserve">minutes. For the purposes of estimating burden hours, the upper limit of this range (i.e., </w:t>
      </w:r>
      <w:r w:rsidR="00BF0783">
        <w:rPr>
          <w:rFonts w:asciiTheme="majorHAnsi" w:hAnsiTheme="majorHAnsi"/>
          <w:u w:val="single"/>
        </w:rPr>
        <w:t xml:space="preserve">25 </w:t>
      </w:r>
      <w:r w:rsidR="00BF0783">
        <w:rPr>
          <w:rFonts w:asciiTheme="majorHAnsi" w:hAnsiTheme="majorHAnsi"/>
        </w:rPr>
        <w:t>minutes) is used.</w:t>
      </w:r>
    </w:p>
    <w:p w:rsidR="00F52BCC" w:rsidRDefault="00F52BCC" w:rsidP="00F52BCC">
      <w:pPr>
        <w:pStyle w:val="ListParagraph"/>
        <w:spacing w:after="0"/>
        <w:rPr>
          <w:rFonts w:asciiTheme="majorHAnsi" w:hAnsiTheme="majorHAnsi"/>
        </w:rPr>
      </w:pPr>
    </w:p>
    <w:p w:rsidR="008C52AE" w:rsidRPr="008C52AE" w:rsidRDefault="008C52AE" w:rsidP="008C52AE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Individuals Consulted on Statistical Aspects and Individuals Collecting and/or Analyzing Data</w:t>
      </w:r>
    </w:p>
    <w:p w:rsidR="00797E6E" w:rsidRDefault="00797E6E" w:rsidP="00FF42CC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</w:p>
    <w:p w:rsidR="00FF42CC" w:rsidRPr="00181F43" w:rsidRDefault="00FF42CC" w:rsidP="00FF42CC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  <w:r w:rsidRPr="00181F43">
        <w:rPr>
          <w:rFonts w:ascii="Times New Roman" w:hAnsi="Times New Roman" w:cs="Times New Roman"/>
          <w:bCs/>
        </w:rPr>
        <w:t>Anita McLees</w:t>
      </w:r>
      <w:r>
        <w:rPr>
          <w:rFonts w:ascii="Times New Roman" w:hAnsi="Times New Roman" w:cs="Times New Roman"/>
          <w:bCs/>
        </w:rPr>
        <w:tab/>
      </w:r>
    </w:p>
    <w:p w:rsidR="00FF42CC" w:rsidRPr="00181F43" w:rsidRDefault="00FF42CC" w:rsidP="00FF42C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81F43">
        <w:rPr>
          <w:rFonts w:ascii="Times New Roman" w:hAnsi="Times New Roman" w:cs="Times New Roman"/>
        </w:rPr>
        <w:t xml:space="preserve">Health Scientist </w:t>
      </w:r>
    </w:p>
    <w:p w:rsidR="00FF42CC" w:rsidRPr="00181F43" w:rsidRDefault="00FF42CC" w:rsidP="00FF42C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81F43">
        <w:rPr>
          <w:rFonts w:ascii="Times New Roman" w:hAnsi="Times New Roman" w:cs="Times New Roman"/>
        </w:rPr>
        <w:t>Applied Systems Research and Evaluation Branch</w:t>
      </w:r>
    </w:p>
    <w:p w:rsidR="00FF42CC" w:rsidRPr="00181F43" w:rsidRDefault="00FF42CC" w:rsidP="00FF42C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81F43">
        <w:rPr>
          <w:rFonts w:ascii="Times New Roman" w:hAnsi="Times New Roman" w:cs="Times New Roman"/>
        </w:rPr>
        <w:t>Division of Public Health Performance Improvement</w:t>
      </w:r>
    </w:p>
    <w:p w:rsidR="00FF42CC" w:rsidRPr="00181F43" w:rsidRDefault="00FF42CC" w:rsidP="00FF42C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81F43">
        <w:rPr>
          <w:rFonts w:ascii="Times New Roman" w:hAnsi="Times New Roman" w:cs="Times New Roman"/>
        </w:rPr>
        <w:t>Office of State, Tribal, Local and Territorial Support</w:t>
      </w:r>
    </w:p>
    <w:p w:rsidR="00FF42CC" w:rsidRPr="00181F43" w:rsidRDefault="00FF42CC" w:rsidP="00FF42C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81F43">
        <w:rPr>
          <w:rFonts w:ascii="Times New Roman" w:hAnsi="Times New Roman" w:cs="Times New Roman"/>
        </w:rPr>
        <w:t>Centers for Disease Control</w:t>
      </w:r>
    </w:p>
    <w:p w:rsidR="00FF42CC" w:rsidRPr="00181F43" w:rsidRDefault="00FF42CC" w:rsidP="00FF42C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81F43">
        <w:rPr>
          <w:rFonts w:ascii="Times New Roman" w:hAnsi="Times New Roman" w:cs="Times New Roman"/>
        </w:rPr>
        <w:t>1825 Century Center MS E-70</w:t>
      </w:r>
    </w:p>
    <w:p w:rsidR="00FF42CC" w:rsidRPr="00181F43" w:rsidRDefault="00FF42CC" w:rsidP="00FF42C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81F43">
        <w:rPr>
          <w:rFonts w:ascii="Times New Roman" w:hAnsi="Times New Roman" w:cs="Times New Roman"/>
        </w:rPr>
        <w:t>Tel: 404-498-0316</w:t>
      </w:r>
    </w:p>
    <w:p w:rsidR="005F3FEF" w:rsidRDefault="00FF42CC" w:rsidP="00FF42CC">
      <w:pPr>
        <w:tabs>
          <w:tab w:val="left" w:pos="5040"/>
        </w:tabs>
        <w:spacing w:after="0"/>
        <w:ind w:left="720"/>
        <w:rPr>
          <w:rFonts w:asciiTheme="majorHAnsi" w:hAnsiTheme="majorHAnsi"/>
        </w:rPr>
      </w:pPr>
      <w:r w:rsidRPr="00181F43">
        <w:rPr>
          <w:rFonts w:ascii="Times New Roman" w:hAnsi="Times New Roman" w:cs="Times New Roman"/>
        </w:rPr>
        <w:t xml:space="preserve">Email: </w:t>
      </w:r>
      <w:hyperlink r:id="rId10" w:history="1">
        <w:r w:rsidRPr="00181F43">
          <w:rPr>
            <w:rStyle w:val="Hyperlink"/>
            <w:rFonts w:ascii="Times New Roman" w:hAnsi="Times New Roman" w:cs="Times New Roman"/>
            <w:color w:val="auto"/>
          </w:rPr>
          <w:t>zdu5@cdc.gov</w:t>
        </w:r>
      </w:hyperlink>
    </w:p>
    <w:p w:rsidR="00FF42CC" w:rsidRDefault="00FF42CC" w:rsidP="00FF42CC">
      <w:pPr>
        <w:spacing w:after="0" w:line="240" w:lineRule="auto"/>
        <w:ind w:firstLine="720"/>
        <w:rPr>
          <w:rFonts w:asciiTheme="majorHAnsi" w:hAnsiTheme="majorHAnsi"/>
          <w:b/>
          <w:sz w:val="28"/>
        </w:rPr>
      </w:pPr>
    </w:p>
    <w:p w:rsidR="00FF42CC" w:rsidRPr="00181F43" w:rsidRDefault="00FF42CC" w:rsidP="00FF42CC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Nikki </w:t>
      </w:r>
      <w:proofErr w:type="spellStart"/>
      <w:r>
        <w:rPr>
          <w:rFonts w:ascii="Times New Roman" w:hAnsi="Times New Roman" w:cs="Times New Roman"/>
          <w:bCs/>
        </w:rPr>
        <w:t>Lawhorn</w:t>
      </w:r>
      <w:proofErr w:type="spellEnd"/>
      <w:r>
        <w:rPr>
          <w:rFonts w:ascii="Times New Roman" w:hAnsi="Times New Roman" w:cs="Times New Roman"/>
          <w:bCs/>
        </w:rPr>
        <w:tab/>
      </w:r>
    </w:p>
    <w:p w:rsidR="00FF42CC" w:rsidRPr="00181F43" w:rsidRDefault="00FF42CC" w:rsidP="00FF42C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Manager</w:t>
      </w:r>
      <w:r w:rsidRPr="00181F43">
        <w:rPr>
          <w:rFonts w:ascii="Times New Roman" w:hAnsi="Times New Roman" w:cs="Times New Roman"/>
        </w:rPr>
        <w:t xml:space="preserve"> </w:t>
      </w:r>
    </w:p>
    <w:p w:rsidR="00FF42CC" w:rsidRPr="00181F43" w:rsidRDefault="00FF42CC" w:rsidP="00FF42C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Network of Public Health Institutes</w:t>
      </w:r>
    </w:p>
    <w:p w:rsidR="00FF42CC" w:rsidRDefault="00127A1E" w:rsidP="00FF42C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1515 </w:t>
      </w:r>
      <w:proofErr w:type="spellStart"/>
      <w:r>
        <w:rPr>
          <w:rFonts w:ascii="Times New Roman" w:hAnsi="Times New Roman" w:cs="Times New Roman"/>
        </w:rPr>
        <w:t>Poydras</w:t>
      </w:r>
      <w:proofErr w:type="spellEnd"/>
      <w:r>
        <w:rPr>
          <w:rFonts w:ascii="Times New Roman" w:hAnsi="Times New Roman" w:cs="Times New Roman"/>
        </w:rPr>
        <w:t xml:space="preserve"> St, Suite 1490</w:t>
      </w:r>
    </w:p>
    <w:p w:rsidR="00127A1E" w:rsidRPr="00181F43" w:rsidRDefault="00127A1E" w:rsidP="00FF42C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Orleans, LA</w:t>
      </w:r>
    </w:p>
    <w:p w:rsidR="00127A1E" w:rsidRDefault="00FF42CC" w:rsidP="00127A1E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81F43">
        <w:rPr>
          <w:rFonts w:ascii="Times New Roman" w:hAnsi="Times New Roman" w:cs="Times New Roman"/>
        </w:rPr>
        <w:t xml:space="preserve">Tel: </w:t>
      </w:r>
      <w:r w:rsidR="00127A1E">
        <w:rPr>
          <w:rFonts w:ascii="Times New Roman" w:hAnsi="Times New Roman" w:cs="Times New Roman"/>
        </w:rPr>
        <w:t>251-928-8534</w:t>
      </w:r>
    </w:p>
    <w:p w:rsidR="00FF42CC" w:rsidRPr="00127A1E" w:rsidRDefault="00FF42CC" w:rsidP="00127A1E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81F43">
        <w:rPr>
          <w:rFonts w:ascii="Times New Roman" w:hAnsi="Times New Roman" w:cs="Times New Roman"/>
        </w:rPr>
        <w:t xml:space="preserve">Email: </w:t>
      </w:r>
      <w:hyperlink r:id="rId11" w:history="1">
        <w:r w:rsidR="00127A1E" w:rsidRPr="00AB203E">
          <w:rPr>
            <w:rStyle w:val="Hyperlink"/>
            <w:rFonts w:ascii="Times New Roman" w:hAnsi="Times New Roman" w:cs="Times New Roman"/>
          </w:rPr>
          <w:t>nlawhorn@nnphi.org</w:t>
        </w:r>
      </w:hyperlink>
    </w:p>
    <w:p w:rsidR="0073087F" w:rsidRDefault="008C52AE" w:rsidP="0073087F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ab/>
      </w:r>
    </w:p>
    <w:p w:rsidR="0073087F" w:rsidRPr="0073087F" w:rsidRDefault="0073087F" w:rsidP="0073087F">
      <w:pPr>
        <w:pStyle w:val="NoSpacing"/>
        <w:ind w:firstLine="720"/>
        <w:rPr>
          <w:rFonts w:ascii="Times New Roman" w:hAnsi="Times New Roman" w:cs="Times New Roman"/>
          <w:b/>
          <w:sz w:val="28"/>
        </w:rPr>
      </w:pPr>
      <w:proofErr w:type="spellStart"/>
      <w:r w:rsidRPr="0073087F">
        <w:rPr>
          <w:rFonts w:ascii="Times New Roman" w:hAnsi="Times New Roman" w:cs="Times New Roman"/>
        </w:rPr>
        <w:t>Arika</w:t>
      </w:r>
      <w:proofErr w:type="spellEnd"/>
      <w:r w:rsidRPr="0073087F">
        <w:rPr>
          <w:rFonts w:ascii="Times New Roman" w:hAnsi="Times New Roman" w:cs="Times New Roman"/>
        </w:rPr>
        <w:t xml:space="preserve"> </w:t>
      </w:r>
      <w:proofErr w:type="spellStart"/>
      <w:r w:rsidRPr="0073087F">
        <w:rPr>
          <w:rFonts w:ascii="Times New Roman" w:hAnsi="Times New Roman" w:cs="Times New Roman"/>
        </w:rPr>
        <w:t>Garg</w:t>
      </w:r>
      <w:proofErr w:type="spellEnd"/>
    </w:p>
    <w:p w:rsidR="0073087F" w:rsidRPr="0073087F" w:rsidRDefault="0073087F" w:rsidP="0073087F">
      <w:pPr>
        <w:pStyle w:val="NoSpacing"/>
        <w:ind w:firstLine="720"/>
        <w:rPr>
          <w:rFonts w:ascii="Times New Roman" w:hAnsi="Times New Roman" w:cs="Times New Roman"/>
          <w:b/>
          <w:sz w:val="28"/>
        </w:rPr>
      </w:pPr>
      <w:r w:rsidRPr="0073087F">
        <w:rPr>
          <w:rFonts w:ascii="Times New Roman" w:hAnsi="Times New Roman" w:cs="Times New Roman"/>
        </w:rPr>
        <w:t>Research Manager</w:t>
      </w:r>
    </w:p>
    <w:p w:rsidR="0073087F" w:rsidRDefault="0073087F" w:rsidP="0073087F">
      <w:pPr>
        <w:pStyle w:val="NoSpacing"/>
        <w:ind w:firstLine="720"/>
        <w:rPr>
          <w:rFonts w:ascii="Times New Roman" w:hAnsi="Times New Roman" w:cs="Times New Roman"/>
        </w:rPr>
      </w:pPr>
      <w:r w:rsidRPr="0073087F">
        <w:rPr>
          <w:rFonts w:ascii="Times New Roman" w:hAnsi="Times New Roman" w:cs="Times New Roman"/>
        </w:rPr>
        <w:t>NORC</w:t>
      </w:r>
      <w:r w:rsidR="00A02F3F">
        <w:rPr>
          <w:rFonts w:ascii="Times New Roman" w:hAnsi="Times New Roman" w:cs="Times New Roman"/>
        </w:rPr>
        <w:t xml:space="preserve"> at the University of Chicago</w:t>
      </w:r>
    </w:p>
    <w:p w:rsidR="00A02F3F" w:rsidRPr="0073087F" w:rsidRDefault="00A02F3F" w:rsidP="0073087F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Chicago, IL</w:t>
      </w:r>
    </w:p>
    <w:p w:rsidR="0073087F" w:rsidRPr="0073087F" w:rsidRDefault="0073087F" w:rsidP="0073087F">
      <w:pPr>
        <w:pStyle w:val="NoSpacing"/>
        <w:ind w:firstLine="720"/>
        <w:rPr>
          <w:rFonts w:ascii="Times New Roman" w:hAnsi="Times New Roman" w:cs="Times New Roman"/>
        </w:rPr>
      </w:pPr>
      <w:r w:rsidRPr="0073087F">
        <w:rPr>
          <w:rFonts w:ascii="Times New Roman" w:hAnsi="Times New Roman" w:cs="Times New Roman"/>
        </w:rPr>
        <w:t>Tel: 301-634-9479</w:t>
      </w:r>
    </w:p>
    <w:p w:rsidR="0073087F" w:rsidRPr="0073087F" w:rsidRDefault="0073087F" w:rsidP="0073087F">
      <w:pPr>
        <w:pStyle w:val="NoSpacing"/>
        <w:ind w:firstLine="720"/>
        <w:rPr>
          <w:rFonts w:ascii="Times New Roman" w:hAnsi="Times New Roman" w:cs="Times New Roman"/>
        </w:rPr>
      </w:pPr>
      <w:r w:rsidRPr="0073087F">
        <w:rPr>
          <w:rFonts w:ascii="Times New Roman" w:hAnsi="Times New Roman" w:cs="Times New Roman"/>
        </w:rPr>
        <w:t>Email: garg-arika@norc.org</w:t>
      </w:r>
    </w:p>
    <w:p w:rsidR="0073087F" w:rsidRDefault="0073087F" w:rsidP="008C52AE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8C52AE" w:rsidRDefault="008C52AE">
      <w:pPr>
        <w:rPr>
          <w:rFonts w:asciiTheme="majorHAnsi" w:hAnsiTheme="majorHAnsi"/>
          <w:b/>
          <w:sz w:val="28"/>
        </w:rPr>
      </w:pPr>
    </w:p>
    <w:p w:rsidR="00E24C20" w:rsidRDefault="00E24C20">
      <w:pPr>
        <w:rPr>
          <w:rFonts w:asciiTheme="majorHAnsi" w:hAnsiTheme="majorHAnsi"/>
          <w:b/>
          <w:sz w:val="28"/>
        </w:rPr>
      </w:pPr>
    </w:p>
    <w:p w:rsidR="00A36419" w:rsidRDefault="00127A1E" w:rsidP="00BF0783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br w:type="page"/>
      </w:r>
      <w:r w:rsidR="00A36419">
        <w:rPr>
          <w:rFonts w:asciiTheme="majorHAnsi" w:hAnsiTheme="majorHAnsi"/>
          <w:b/>
          <w:sz w:val="28"/>
        </w:rPr>
        <w:lastRenderedPageBreak/>
        <w:t>LIST OF ATTACHMENTS</w:t>
      </w:r>
      <w:r w:rsidR="00E24C20">
        <w:rPr>
          <w:rFonts w:asciiTheme="majorHAnsi" w:hAnsiTheme="majorHAnsi"/>
          <w:b/>
          <w:sz w:val="28"/>
        </w:rPr>
        <w:t xml:space="preserve"> – Section B</w:t>
      </w:r>
    </w:p>
    <w:p w:rsidR="006B5E55" w:rsidRPr="00CD1EA8" w:rsidRDefault="006B5E55" w:rsidP="006B5E55">
      <w:pPr>
        <w:spacing w:after="0"/>
        <w:rPr>
          <w:rFonts w:asciiTheme="majorHAnsi" w:hAnsiTheme="majorHAnsi"/>
          <w:sz w:val="20"/>
        </w:rPr>
      </w:pPr>
      <w:r w:rsidRPr="00CD1EA8">
        <w:rPr>
          <w:rFonts w:asciiTheme="majorHAnsi" w:hAnsiTheme="majorHAnsi"/>
          <w:sz w:val="20"/>
        </w:rPr>
        <w:t>Note:</w:t>
      </w:r>
      <w:r>
        <w:rPr>
          <w:rFonts w:asciiTheme="majorHAnsi" w:hAnsiTheme="majorHAnsi"/>
          <w:sz w:val="20"/>
        </w:rPr>
        <w:t xml:space="preserve"> Attachments are included as separate files as instructed.</w:t>
      </w:r>
    </w:p>
    <w:p w:rsidR="000E6577" w:rsidRDefault="000E6577" w:rsidP="000E6577">
      <w:pPr>
        <w:spacing w:line="360" w:lineRule="auto"/>
        <w:rPr>
          <w:rFonts w:asciiTheme="majorHAnsi" w:hAnsiTheme="majorHAnsi"/>
          <w:b/>
        </w:rPr>
      </w:pPr>
    </w:p>
    <w:p w:rsidR="003669B1" w:rsidRDefault="00A02F3F" w:rsidP="000E6577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</w:t>
      </w:r>
      <w:r w:rsidR="003812C5">
        <w:rPr>
          <w:rFonts w:asciiTheme="majorHAnsi" w:hAnsiTheme="majorHAnsi"/>
          <w:b/>
        </w:rPr>
        <w:t xml:space="preserve">. </w:t>
      </w:r>
      <w:r w:rsidR="00637563">
        <w:rPr>
          <w:rFonts w:asciiTheme="majorHAnsi" w:hAnsiTheme="majorHAnsi"/>
          <w:b/>
        </w:rPr>
        <w:t xml:space="preserve"> </w:t>
      </w:r>
      <w:r w:rsidR="003812C5">
        <w:rPr>
          <w:rFonts w:asciiTheme="majorHAnsi" w:hAnsiTheme="majorHAnsi"/>
          <w:b/>
        </w:rPr>
        <w:t xml:space="preserve">Advance Notification of </w:t>
      </w:r>
      <w:r w:rsidR="003377FD">
        <w:rPr>
          <w:rFonts w:asciiTheme="majorHAnsi" w:hAnsiTheme="majorHAnsi"/>
          <w:b/>
        </w:rPr>
        <w:t xml:space="preserve">NPHII </w:t>
      </w:r>
      <w:r w:rsidR="00BF0783">
        <w:rPr>
          <w:rFonts w:asciiTheme="majorHAnsi" w:hAnsiTheme="majorHAnsi"/>
          <w:b/>
        </w:rPr>
        <w:t>Assessment</w:t>
      </w:r>
      <w:r w:rsidR="003377FD">
        <w:rPr>
          <w:rFonts w:asciiTheme="majorHAnsi" w:hAnsiTheme="majorHAnsi"/>
          <w:b/>
        </w:rPr>
        <w:t xml:space="preserve"> </w:t>
      </w:r>
    </w:p>
    <w:p w:rsidR="002D20E4" w:rsidRDefault="00A02F3F" w:rsidP="000E6577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</w:t>
      </w:r>
      <w:r w:rsidR="00637563">
        <w:rPr>
          <w:rFonts w:asciiTheme="majorHAnsi" w:hAnsiTheme="majorHAnsi"/>
          <w:b/>
        </w:rPr>
        <w:t xml:space="preserve">. </w:t>
      </w:r>
      <w:r w:rsidR="003812C5">
        <w:rPr>
          <w:rFonts w:asciiTheme="majorHAnsi" w:hAnsiTheme="majorHAnsi"/>
          <w:b/>
        </w:rPr>
        <w:t xml:space="preserve"> </w:t>
      </w:r>
      <w:r w:rsidR="003377FD">
        <w:rPr>
          <w:rFonts w:asciiTheme="majorHAnsi" w:hAnsiTheme="majorHAnsi"/>
          <w:b/>
        </w:rPr>
        <w:t xml:space="preserve">Email with NPHII </w:t>
      </w:r>
      <w:r w:rsidR="00BF0783">
        <w:rPr>
          <w:rFonts w:asciiTheme="majorHAnsi" w:hAnsiTheme="majorHAnsi"/>
          <w:b/>
        </w:rPr>
        <w:t>Assessment</w:t>
      </w:r>
      <w:r w:rsidR="003377FD">
        <w:rPr>
          <w:rFonts w:asciiTheme="majorHAnsi" w:hAnsiTheme="majorHAnsi"/>
          <w:b/>
        </w:rPr>
        <w:t xml:space="preserve"> Instructions</w:t>
      </w:r>
      <w:r w:rsidR="003812C5">
        <w:rPr>
          <w:rFonts w:asciiTheme="majorHAnsi" w:hAnsiTheme="majorHAnsi"/>
          <w:b/>
        </w:rPr>
        <w:t xml:space="preserve"> and Link</w:t>
      </w:r>
    </w:p>
    <w:p w:rsidR="003669B1" w:rsidRDefault="00A02F3F" w:rsidP="000E6577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</w:t>
      </w:r>
      <w:r w:rsidR="003812C5">
        <w:rPr>
          <w:rFonts w:asciiTheme="majorHAnsi" w:hAnsiTheme="majorHAnsi"/>
          <w:b/>
        </w:rPr>
        <w:t>. Reminder Emails for NPHII Assessment</w:t>
      </w:r>
    </w:p>
    <w:p w:rsidR="00BF0783" w:rsidRDefault="00A02F3F" w:rsidP="000E6577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</w:t>
      </w:r>
      <w:r w:rsidR="003812C5">
        <w:rPr>
          <w:rFonts w:asciiTheme="majorHAnsi" w:hAnsiTheme="majorHAnsi"/>
          <w:b/>
        </w:rPr>
        <w:t>. Phone Reminder for NPHII Assessment</w:t>
      </w:r>
    </w:p>
    <w:p w:rsidR="002D20E4" w:rsidRPr="000E6577" w:rsidRDefault="00A02F3F" w:rsidP="000E6577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</w:t>
      </w:r>
      <w:r w:rsidR="004A3F36">
        <w:rPr>
          <w:rFonts w:asciiTheme="majorHAnsi" w:hAnsiTheme="majorHAnsi"/>
          <w:b/>
        </w:rPr>
        <w:t xml:space="preserve">. </w:t>
      </w:r>
      <w:r w:rsidR="00797E6E">
        <w:rPr>
          <w:rFonts w:asciiTheme="majorHAnsi" w:hAnsiTheme="majorHAnsi"/>
          <w:b/>
        </w:rPr>
        <w:t>NORC’s Data Privacy Policy</w:t>
      </w:r>
    </w:p>
    <w:sectPr w:rsidR="002D20E4" w:rsidRPr="000E6577" w:rsidSect="003E5D5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37D" w:rsidRDefault="0032637D" w:rsidP="00716F94">
      <w:pPr>
        <w:spacing w:after="0" w:line="240" w:lineRule="auto"/>
      </w:pPr>
      <w:r>
        <w:separator/>
      </w:r>
    </w:p>
  </w:endnote>
  <w:endnote w:type="continuationSeparator" w:id="0">
    <w:p w:rsidR="0032637D" w:rsidRDefault="0032637D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2283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5CC0" w:rsidRDefault="00F45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57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45CC0" w:rsidRDefault="00F45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7D" w:rsidRDefault="0032637D" w:rsidP="00716F94">
      <w:pPr>
        <w:spacing w:after="0" w:line="240" w:lineRule="auto"/>
      </w:pPr>
      <w:r>
        <w:separator/>
      </w:r>
    </w:p>
  </w:footnote>
  <w:footnote w:type="continuationSeparator" w:id="0">
    <w:p w:rsidR="0032637D" w:rsidRDefault="0032637D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CC0" w:rsidRPr="00716F94" w:rsidRDefault="00F45CC0" w:rsidP="00484011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10"/>
  </w:num>
  <w:num w:numId="5">
    <w:abstractNumId w:val="14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5"/>
  </w:num>
  <w:num w:numId="11">
    <w:abstractNumId w:val="2"/>
  </w:num>
  <w:num w:numId="12">
    <w:abstractNumId w:val="17"/>
  </w:num>
  <w:num w:numId="13">
    <w:abstractNumId w:val="6"/>
  </w:num>
  <w:num w:numId="14">
    <w:abstractNumId w:val="3"/>
  </w:num>
  <w:num w:numId="15">
    <w:abstractNumId w:val="16"/>
  </w:num>
  <w:num w:numId="16">
    <w:abstractNumId w:val="19"/>
  </w:num>
  <w:num w:numId="17">
    <w:abstractNumId w:val="8"/>
  </w:num>
  <w:num w:numId="18">
    <w:abstractNumId w:val="11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0420"/>
    <w:rsid w:val="00011A98"/>
    <w:rsid w:val="00011F8D"/>
    <w:rsid w:val="000130B4"/>
    <w:rsid w:val="00014361"/>
    <w:rsid w:val="000474FB"/>
    <w:rsid w:val="00053A92"/>
    <w:rsid w:val="00055D69"/>
    <w:rsid w:val="0005605E"/>
    <w:rsid w:val="00057F36"/>
    <w:rsid w:val="00073613"/>
    <w:rsid w:val="000A1F30"/>
    <w:rsid w:val="000B2F2C"/>
    <w:rsid w:val="000E6577"/>
    <w:rsid w:val="000E7A19"/>
    <w:rsid w:val="00104A1B"/>
    <w:rsid w:val="00111ED5"/>
    <w:rsid w:val="001177DD"/>
    <w:rsid w:val="00127A1E"/>
    <w:rsid w:val="001308EB"/>
    <w:rsid w:val="001412D4"/>
    <w:rsid w:val="00144F64"/>
    <w:rsid w:val="00151567"/>
    <w:rsid w:val="00163E17"/>
    <w:rsid w:val="00166F9E"/>
    <w:rsid w:val="00187D5A"/>
    <w:rsid w:val="00190DF9"/>
    <w:rsid w:val="001972D7"/>
    <w:rsid w:val="001A28F6"/>
    <w:rsid w:val="001A329C"/>
    <w:rsid w:val="001B2831"/>
    <w:rsid w:val="001C0493"/>
    <w:rsid w:val="001C28AD"/>
    <w:rsid w:val="001D7FCB"/>
    <w:rsid w:val="001E2B99"/>
    <w:rsid w:val="001E2D5D"/>
    <w:rsid w:val="001E69B6"/>
    <w:rsid w:val="001F053B"/>
    <w:rsid w:val="001F4DBB"/>
    <w:rsid w:val="001F7C89"/>
    <w:rsid w:val="0020312D"/>
    <w:rsid w:val="0020495F"/>
    <w:rsid w:val="00206E33"/>
    <w:rsid w:val="00210519"/>
    <w:rsid w:val="00230CEF"/>
    <w:rsid w:val="00241B17"/>
    <w:rsid w:val="00241C81"/>
    <w:rsid w:val="00257A1C"/>
    <w:rsid w:val="002603F7"/>
    <w:rsid w:val="0027234C"/>
    <w:rsid w:val="00272E03"/>
    <w:rsid w:val="00281795"/>
    <w:rsid w:val="002850E3"/>
    <w:rsid w:val="00287E2F"/>
    <w:rsid w:val="002A1948"/>
    <w:rsid w:val="002B4476"/>
    <w:rsid w:val="002C0877"/>
    <w:rsid w:val="002C2AE2"/>
    <w:rsid w:val="002D0C8E"/>
    <w:rsid w:val="002D0DCE"/>
    <w:rsid w:val="002D20E4"/>
    <w:rsid w:val="002E2B10"/>
    <w:rsid w:val="002F1502"/>
    <w:rsid w:val="002F169D"/>
    <w:rsid w:val="002F2069"/>
    <w:rsid w:val="002F6F92"/>
    <w:rsid w:val="003041AD"/>
    <w:rsid w:val="00304C16"/>
    <w:rsid w:val="00306380"/>
    <w:rsid w:val="0031279F"/>
    <w:rsid w:val="0032637D"/>
    <w:rsid w:val="00336D96"/>
    <w:rsid w:val="003377FD"/>
    <w:rsid w:val="00344F07"/>
    <w:rsid w:val="003469C8"/>
    <w:rsid w:val="00355EA4"/>
    <w:rsid w:val="003635BE"/>
    <w:rsid w:val="003669B1"/>
    <w:rsid w:val="00366B5E"/>
    <w:rsid w:val="00371579"/>
    <w:rsid w:val="00372844"/>
    <w:rsid w:val="003812C5"/>
    <w:rsid w:val="003821DF"/>
    <w:rsid w:val="003A5BEF"/>
    <w:rsid w:val="003C13E1"/>
    <w:rsid w:val="003C31C9"/>
    <w:rsid w:val="003C4961"/>
    <w:rsid w:val="003C7C5D"/>
    <w:rsid w:val="003D0AD2"/>
    <w:rsid w:val="003E4E7D"/>
    <w:rsid w:val="003E5D57"/>
    <w:rsid w:val="003F5913"/>
    <w:rsid w:val="003F7FFB"/>
    <w:rsid w:val="004024F8"/>
    <w:rsid w:val="0041159A"/>
    <w:rsid w:val="00420CD1"/>
    <w:rsid w:val="004305A8"/>
    <w:rsid w:val="004319D8"/>
    <w:rsid w:val="004374C8"/>
    <w:rsid w:val="00443CA0"/>
    <w:rsid w:val="00450E14"/>
    <w:rsid w:val="00462C65"/>
    <w:rsid w:val="00467B14"/>
    <w:rsid w:val="00474EDA"/>
    <w:rsid w:val="0047536D"/>
    <w:rsid w:val="004824FA"/>
    <w:rsid w:val="00484011"/>
    <w:rsid w:val="004841F1"/>
    <w:rsid w:val="004A1E3A"/>
    <w:rsid w:val="004A3F36"/>
    <w:rsid w:val="004C4AEA"/>
    <w:rsid w:val="004D415E"/>
    <w:rsid w:val="004E003C"/>
    <w:rsid w:val="004E16EB"/>
    <w:rsid w:val="004E35E5"/>
    <w:rsid w:val="004E6665"/>
    <w:rsid w:val="004F634E"/>
    <w:rsid w:val="004F67A8"/>
    <w:rsid w:val="00504121"/>
    <w:rsid w:val="00505E5B"/>
    <w:rsid w:val="00522A50"/>
    <w:rsid w:val="00527225"/>
    <w:rsid w:val="0053557D"/>
    <w:rsid w:val="005463DE"/>
    <w:rsid w:val="00546DC2"/>
    <w:rsid w:val="00547221"/>
    <w:rsid w:val="00553316"/>
    <w:rsid w:val="005542E8"/>
    <w:rsid w:val="00555395"/>
    <w:rsid w:val="00556630"/>
    <w:rsid w:val="0055686D"/>
    <w:rsid w:val="005800EE"/>
    <w:rsid w:val="00581FEB"/>
    <w:rsid w:val="005865E7"/>
    <w:rsid w:val="005869D6"/>
    <w:rsid w:val="005A0418"/>
    <w:rsid w:val="005A33F6"/>
    <w:rsid w:val="005A531D"/>
    <w:rsid w:val="005A59E5"/>
    <w:rsid w:val="005A6A6E"/>
    <w:rsid w:val="005B12BF"/>
    <w:rsid w:val="005B7440"/>
    <w:rsid w:val="005C157C"/>
    <w:rsid w:val="005C6E9D"/>
    <w:rsid w:val="005E2150"/>
    <w:rsid w:val="005E2995"/>
    <w:rsid w:val="005F3FEF"/>
    <w:rsid w:val="00601392"/>
    <w:rsid w:val="00604708"/>
    <w:rsid w:val="00607F7C"/>
    <w:rsid w:val="006102DA"/>
    <w:rsid w:val="006134B1"/>
    <w:rsid w:val="00621F93"/>
    <w:rsid w:val="006315A3"/>
    <w:rsid w:val="00637563"/>
    <w:rsid w:val="00637CC1"/>
    <w:rsid w:val="006579A2"/>
    <w:rsid w:val="00667C89"/>
    <w:rsid w:val="006711EE"/>
    <w:rsid w:val="006809BB"/>
    <w:rsid w:val="006809FD"/>
    <w:rsid w:val="0068786E"/>
    <w:rsid w:val="00691D1F"/>
    <w:rsid w:val="00697BAE"/>
    <w:rsid w:val="006A64AD"/>
    <w:rsid w:val="006B0873"/>
    <w:rsid w:val="006B4DDC"/>
    <w:rsid w:val="006B5E55"/>
    <w:rsid w:val="006D25A1"/>
    <w:rsid w:val="006F6856"/>
    <w:rsid w:val="007145D0"/>
    <w:rsid w:val="00716F94"/>
    <w:rsid w:val="0073087F"/>
    <w:rsid w:val="00760E12"/>
    <w:rsid w:val="00763CF3"/>
    <w:rsid w:val="00772293"/>
    <w:rsid w:val="00780568"/>
    <w:rsid w:val="00783C75"/>
    <w:rsid w:val="00784619"/>
    <w:rsid w:val="0078627B"/>
    <w:rsid w:val="007930A4"/>
    <w:rsid w:val="00794E32"/>
    <w:rsid w:val="00797E6E"/>
    <w:rsid w:val="007B305A"/>
    <w:rsid w:val="007B7ED6"/>
    <w:rsid w:val="007D2799"/>
    <w:rsid w:val="007E1E91"/>
    <w:rsid w:val="007F6B29"/>
    <w:rsid w:val="00800993"/>
    <w:rsid w:val="00815C7D"/>
    <w:rsid w:val="00817941"/>
    <w:rsid w:val="008261AB"/>
    <w:rsid w:val="00835CA7"/>
    <w:rsid w:val="008370D4"/>
    <w:rsid w:val="008414AD"/>
    <w:rsid w:val="008428D9"/>
    <w:rsid w:val="008455F3"/>
    <w:rsid w:val="00867678"/>
    <w:rsid w:val="00884DB9"/>
    <w:rsid w:val="0089676F"/>
    <w:rsid w:val="008C52AE"/>
    <w:rsid w:val="008C67D2"/>
    <w:rsid w:val="008D1EB1"/>
    <w:rsid w:val="008E0683"/>
    <w:rsid w:val="00901EE4"/>
    <w:rsid w:val="00902DD9"/>
    <w:rsid w:val="00911486"/>
    <w:rsid w:val="009129CA"/>
    <w:rsid w:val="009206B6"/>
    <w:rsid w:val="009263C1"/>
    <w:rsid w:val="00931C02"/>
    <w:rsid w:val="00941B4F"/>
    <w:rsid w:val="00963CE3"/>
    <w:rsid w:val="00964F18"/>
    <w:rsid w:val="00974424"/>
    <w:rsid w:val="00975AD2"/>
    <w:rsid w:val="00987F76"/>
    <w:rsid w:val="0099095A"/>
    <w:rsid w:val="00993088"/>
    <w:rsid w:val="0099664F"/>
    <w:rsid w:val="00997D5D"/>
    <w:rsid w:val="009A0447"/>
    <w:rsid w:val="009A76F5"/>
    <w:rsid w:val="009B034F"/>
    <w:rsid w:val="009B4A51"/>
    <w:rsid w:val="009C28B1"/>
    <w:rsid w:val="009C61AD"/>
    <w:rsid w:val="009D373D"/>
    <w:rsid w:val="009D6B48"/>
    <w:rsid w:val="009E1D05"/>
    <w:rsid w:val="00A02F3F"/>
    <w:rsid w:val="00A11B0C"/>
    <w:rsid w:val="00A2333B"/>
    <w:rsid w:val="00A23957"/>
    <w:rsid w:val="00A305CE"/>
    <w:rsid w:val="00A33B35"/>
    <w:rsid w:val="00A36419"/>
    <w:rsid w:val="00A46ECA"/>
    <w:rsid w:val="00A578C2"/>
    <w:rsid w:val="00A72652"/>
    <w:rsid w:val="00A75D1C"/>
    <w:rsid w:val="00A809AA"/>
    <w:rsid w:val="00A849B3"/>
    <w:rsid w:val="00A8510D"/>
    <w:rsid w:val="00A86AF3"/>
    <w:rsid w:val="00A90BDC"/>
    <w:rsid w:val="00A93CFF"/>
    <w:rsid w:val="00A95477"/>
    <w:rsid w:val="00A975A9"/>
    <w:rsid w:val="00AA3192"/>
    <w:rsid w:val="00AA6E0B"/>
    <w:rsid w:val="00AB3608"/>
    <w:rsid w:val="00AC4061"/>
    <w:rsid w:val="00AC5C48"/>
    <w:rsid w:val="00AC70C2"/>
    <w:rsid w:val="00AF0CF4"/>
    <w:rsid w:val="00AF2252"/>
    <w:rsid w:val="00AF6BD2"/>
    <w:rsid w:val="00B1129F"/>
    <w:rsid w:val="00B11D61"/>
    <w:rsid w:val="00B12F51"/>
    <w:rsid w:val="00B2751E"/>
    <w:rsid w:val="00B3650C"/>
    <w:rsid w:val="00B63766"/>
    <w:rsid w:val="00B641C9"/>
    <w:rsid w:val="00B64BFA"/>
    <w:rsid w:val="00B85DE4"/>
    <w:rsid w:val="00B91A31"/>
    <w:rsid w:val="00BA15B7"/>
    <w:rsid w:val="00BA6DB4"/>
    <w:rsid w:val="00BC3F3C"/>
    <w:rsid w:val="00BC5BB2"/>
    <w:rsid w:val="00BF0783"/>
    <w:rsid w:val="00BF228B"/>
    <w:rsid w:val="00BF3F54"/>
    <w:rsid w:val="00C00697"/>
    <w:rsid w:val="00C0376C"/>
    <w:rsid w:val="00C06D77"/>
    <w:rsid w:val="00C14BA6"/>
    <w:rsid w:val="00C16633"/>
    <w:rsid w:val="00C267A3"/>
    <w:rsid w:val="00C33930"/>
    <w:rsid w:val="00C347E7"/>
    <w:rsid w:val="00C3485C"/>
    <w:rsid w:val="00C405E6"/>
    <w:rsid w:val="00C6024F"/>
    <w:rsid w:val="00CA2004"/>
    <w:rsid w:val="00CB334D"/>
    <w:rsid w:val="00CB56D5"/>
    <w:rsid w:val="00CC7984"/>
    <w:rsid w:val="00CD0771"/>
    <w:rsid w:val="00CD1EA8"/>
    <w:rsid w:val="00CF38D4"/>
    <w:rsid w:val="00CF5ABD"/>
    <w:rsid w:val="00CF63CE"/>
    <w:rsid w:val="00D067C1"/>
    <w:rsid w:val="00D13B13"/>
    <w:rsid w:val="00D16E78"/>
    <w:rsid w:val="00D201D3"/>
    <w:rsid w:val="00D2187D"/>
    <w:rsid w:val="00D26A64"/>
    <w:rsid w:val="00D4221A"/>
    <w:rsid w:val="00D52B9A"/>
    <w:rsid w:val="00D5367E"/>
    <w:rsid w:val="00D7285C"/>
    <w:rsid w:val="00D861ED"/>
    <w:rsid w:val="00D873E0"/>
    <w:rsid w:val="00D87716"/>
    <w:rsid w:val="00D93EAA"/>
    <w:rsid w:val="00D94F8B"/>
    <w:rsid w:val="00DA4EA9"/>
    <w:rsid w:val="00DA5988"/>
    <w:rsid w:val="00DA7F26"/>
    <w:rsid w:val="00DC317C"/>
    <w:rsid w:val="00DC4FF2"/>
    <w:rsid w:val="00DC79CC"/>
    <w:rsid w:val="00E134F4"/>
    <w:rsid w:val="00E23568"/>
    <w:rsid w:val="00E245B5"/>
    <w:rsid w:val="00E24C20"/>
    <w:rsid w:val="00E25861"/>
    <w:rsid w:val="00E3213E"/>
    <w:rsid w:val="00E33E1B"/>
    <w:rsid w:val="00E34D3E"/>
    <w:rsid w:val="00E41947"/>
    <w:rsid w:val="00E81C5E"/>
    <w:rsid w:val="00E83B3C"/>
    <w:rsid w:val="00E864E1"/>
    <w:rsid w:val="00E8736B"/>
    <w:rsid w:val="00E90275"/>
    <w:rsid w:val="00E925D4"/>
    <w:rsid w:val="00E97226"/>
    <w:rsid w:val="00EB63B3"/>
    <w:rsid w:val="00EC2BC2"/>
    <w:rsid w:val="00ED500D"/>
    <w:rsid w:val="00ED6878"/>
    <w:rsid w:val="00EE20B9"/>
    <w:rsid w:val="00EF0EC8"/>
    <w:rsid w:val="00EF33CD"/>
    <w:rsid w:val="00F300CB"/>
    <w:rsid w:val="00F42C3A"/>
    <w:rsid w:val="00F45CC0"/>
    <w:rsid w:val="00F52BCC"/>
    <w:rsid w:val="00F5313F"/>
    <w:rsid w:val="00F57581"/>
    <w:rsid w:val="00F725B5"/>
    <w:rsid w:val="00F81A48"/>
    <w:rsid w:val="00FD17C9"/>
    <w:rsid w:val="00FD1EF0"/>
    <w:rsid w:val="00FD2A5B"/>
    <w:rsid w:val="00FE6A5C"/>
    <w:rsid w:val="00FF42CC"/>
    <w:rsid w:val="00FF4E1A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A76F5"/>
  </w:style>
  <w:style w:type="paragraph" w:styleId="BodyText">
    <w:name w:val="Body Text"/>
    <w:basedOn w:val="Normal"/>
    <w:link w:val="BodyTextChar"/>
    <w:uiPriority w:val="99"/>
    <w:unhideWhenUsed/>
    <w:rsid w:val="009A76F5"/>
    <w:pPr>
      <w:spacing w:after="240" w:line="360" w:lineRule="auto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A76F5"/>
    <w:rPr>
      <w:rFonts w:ascii="Times New Roman" w:hAnsi="Times New Roman" w:cs="Times New Roman"/>
      <w:szCs w:val="24"/>
    </w:rPr>
  </w:style>
  <w:style w:type="paragraph" w:styleId="NoSpacing">
    <w:name w:val="No Spacing"/>
    <w:uiPriority w:val="1"/>
    <w:qFormat/>
    <w:rsid w:val="007308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A76F5"/>
  </w:style>
  <w:style w:type="paragraph" w:styleId="BodyText">
    <w:name w:val="Body Text"/>
    <w:basedOn w:val="Normal"/>
    <w:link w:val="BodyTextChar"/>
    <w:uiPriority w:val="99"/>
    <w:unhideWhenUsed/>
    <w:rsid w:val="009A76F5"/>
    <w:pPr>
      <w:spacing w:after="240" w:line="360" w:lineRule="auto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A76F5"/>
    <w:rPr>
      <w:rFonts w:ascii="Times New Roman" w:hAnsi="Times New Roman" w:cs="Times New Roman"/>
      <w:szCs w:val="24"/>
    </w:rPr>
  </w:style>
  <w:style w:type="paragraph" w:styleId="NoSpacing">
    <w:name w:val="No Spacing"/>
    <w:uiPriority w:val="1"/>
    <w:qFormat/>
    <w:rsid w:val="00730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655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25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4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53265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6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31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016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94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lawhorn@nnphi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du5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du5@cd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2673A-0DEB-4BCB-9EF9-83737430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CDC User</cp:lastModifiedBy>
  <cp:revision>53</cp:revision>
  <cp:lastPrinted>2011-06-07T15:53:00Z</cp:lastPrinted>
  <dcterms:created xsi:type="dcterms:W3CDTF">2012-08-02T18:48:00Z</dcterms:created>
  <dcterms:modified xsi:type="dcterms:W3CDTF">2012-10-03T13:21:00Z</dcterms:modified>
</cp:coreProperties>
</file>