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DC9" w:rsidRDefault="00A54DC9" w:rsidP="00A54DC9">
      <w:pPr>
        <w:spacing w:after="0"/>
        <w:jc w:val="center"/>
        <w:rPr>
          <w:rFonts w:asciiTheme="majorHAnsi" w:hAnsiTheme="majorHAnsi"/>
          <w:b/>
          <w:sz w:val="40"/>
        </w:rPr>
      </w:pPr>
    </w:p>
    <w:p w:rsidR="00A54DC9" w:rsidRDefault="00A54DC9" w:rsidP="00A54DC9">
      <w:pPr>
        <w:spacing w:after="0"/>
        <w:jc w:val="center"/>
        <w:rPr>
          <w:rFonts w:asciiTheme="majorHAnsi" w:hAnsiTheme="majorHAnsi"/>
          <w:b/>
          <w:sz w:val="40"/>
        </w:rPr>
      </w:pPr>
    </w:p>
    <w:p w:rsidR="00A54DC9" w:rsidRDefault="00A54DC9" w:rsidP="00A54DC9">
      <w:pPr>
        <w:spacing w:after="0"/>
        <w:jc w:val="center"/>
        <w:rPr>
          <w:rFonts w:asciiTheme="majorHAnsi" w:hAnsiTheme="majorHAnsi"/>
          <w:b/>
          <w:sz w:val="40"/>
        </w:rPr>
      </w:pPr>
    </w:p>
    <w:p w:rsidR="00A54DC9" w:rsidRDefault="00A54DC9" w:rsidP="00A54DC9">
      <w:pPr>
        <w:spacing w:after="0"/>
        <w:jc w:val="center"/>
        <w:rPr>
          <w:rFonts w:asciiTheme="majorHAnsi" w:hAnsiTheme="majorHAnsi"/>
          <w:b/>
          <w:sz w:val="40"/>
        </w:rPr>
      </w:pPr>
    </w:p>
    <w:p w:rsidR="00A54DC9" w:rsidRDefault="00A54DC9" w:rsidP="00A54DC9">
      <w:pPr>
        <w:spacing w:after="0"/>
        <w:jc w:val="center"/>
        <w:rPr>
          <w:rFonts w:asciiTheme="majorHAnsi" w:hAnsiTheme="majorHAnsi"/>
          <w:b/>
          <w:sz w:val="40"/>
        </w:rPr>
      </w:pPr>
    </w:p>
    <w:p w:rsidR="00A54DC9" w:rsidRDefault="00A54DC9" w:rsidP="00A54DC9">
      <w:pPr>
        <w:spacing w:after="0"/>
        <w:jc w:val="center"/>
        <w:rPr>
          <w:rFonts w:asciiTheme="majorHAnsi" w:hAnsiTheme="majorHAnsi"/>
          <w:b/>
          <w:sz w:val="40"/>
        </w:rPr>
      </w:pPr>
    </w:p>
    <w:p w:rsidR="00A54DC9" w:rsidRDefault="00A54DC9" w:rsidP="00A54DC9">
      <w:pPr>
        <w:spacing w:after="0"/>
        <w:jc w:val="center"/>
        <w:rPr>
          <w:rFonts w:asciiTheme="majorHAnsi" w:hAnsiTheme="majorHAnsi"/>
          <w:b/>
          <w:sz w:val="40"/>
        </w:rPr>
      </w:pPr>
    </w:p>
    <w:p w:rsidR="00A54DC9" w:rsidRPr="009B4A51" w:rsidRDefault="00A54DC9" w:rsidP="00A54DC9">
      <w:pPr>
        <w:spacing w:after="0"/>
        <w:jc w:val="center"/>
        <w:rPr>
          <w:rFonts w:asciiTheme="majorHAnsi" w:hAnsiTheme="majorHAnsi"/>
          <w:b/>
          <w:sz w:val="40"/>
        </w:rPr>
      </w:pPr>
      <w:r>
        <w:rPr>
          <w:rFonts w:asciiTheme="majorHAnsi" w:hAnsiTheme="majorHAnsi"/>
          <w:b/>
          <w:sz w:val="40"/>
        </w:rPr>
        <w:t xml:space="preserve">Assessment of </w:t>
      </w:r>
      <w:r w:rsidR="006D4054">
        <w:rPr>
          <w:rFonts w:asciiTheme="majorHAnsi" w:hAnsiTheme="majorHAnsi"/>
          <w:b/>
          <w:sz w:val="40"/>
        </w:rPr>
        <w:t>State</w:t>
      </w:r>
      <w:r w:rsidR="00323610">
        <w:rPr>
          <w:rFonts w:asciiTheme="majorHAnsi" w:hAnsiTheme="majorHAnsi"/>
          <w:b/>
          <w:sz w:val="40"/>
        </w:rPr>
        <w:t xml:space="preserve"> Public Health Department</w:t>
      </w:r>
      <w:r>
        <w:rPr>
          <w:rFonts w:asciiTheme="majorHAnsi" w:hAnsiTheme="majorHAnsi"/>
          <w:b/>
          <w:sz w:val="40"/>
        </w:rPr>
        <w:t xml:space="preserve"> Immunization Billing Reimbursement Projects </w:t>
      </w:r>
    </w:p>
    <w:p w:rsidR="00A54DC9" w:rsidRDefault="00A54DC9" w:rsidP="00A54DC9">
      <w:pPr>
        <w:spacing w:after="0"/>
        <w:jc w:val="center"/>
        <w:rPr>
          <w:rFonts w:asciiTheme="majorHAnsi" w:hAnsiTheme="majorHAnsi"/>
          <w:b/>
        </w:rPr>
      </w:pPr>
    </w:p>
    <w:p w:rsidR="00A54DC9" w:rsidRPr="00AA3192" w:rsidRDefault="00A54DC9" w:rsidP="00A54DC9">
      <w:pPr>
        <w:spacing w:after="0"/>
        <w:jc w:val="center"/>
        <w:rPr>
          <w:rFonts w:asciiTheme="majorHAnsi" w:hAnsiTheme="majorHAnsi"/>
        </w:rPr>
      </w:pPr>
      <w:r w:rsidRPr="00AA3192">
        <w:rPr>
          <w:rFonts w:asciiTheme="majorHAnsi" w:hAnsiTheme="majorHAnsi"/>
        </w:rPr>
        <w:t>OSTL</w:t>
      </w:r>
      <w:r>
        <w:rPr>
          <w:rFonts w:asciiTheme="majorHAnsi" w:hAnsiTheme="majorHAnsi"/>
        </w:rPr>
        <w:t>TS Generic Information Collection</w:t>
      </w:r>
      <w:r w:rsidRPr="00AA3192">
        <w:rPr>
          <w:rFonts w:asciiTheme="majorHAnsi" w:hAnsiTheme="majorHAnsi"/>
        </w:rPr>
        <w:t xml:space="preserve"> Request</w:t>
      </w:r>
    </w:p>
    <w:p w:rsidR="00A54DC9" w:rsidRPr="00AA3192" w:rsidRDefault="00A54DC9" w:rsidP="00A54DC9">
      <w:pPr>
        <w:pStyle w:val="Header"/>
        <w:tabs>
          <w:tab w:val="clear" w:pos="4680"/>
        </w:tabs>
        <w:jc w:val="center"/>
      </w:pPr>
      <w:r w:rsidRPr="00AA3192">
        <w:t>OMB No. 0920-0879</w:t>
      </w:r>
    </w:p>
    <w:p w:rsidR="00A54DC9" w:rsidRDefault="00A54DC9" w:rsidP="00A54DC9">
      <w:pPr>
        <w:spacing w:after="0"/>
        <w:rPr>
          <w:rFonts w:asciiTheme="majorHAnsi" w:hAnsiTheme="majorHAnsi"/>
          <w:b/>
        </w:rPr>
      </w:pPr>
    </w:p>
    <w:p w:rsidR="00A54DC9" w:rsidRDefault="00A54DC9" w:rsidP="00A54DC9">
      <w:pPr>
        <w:spacing w:after="0"/>
        <w:rPr>
          <w:rFonts w:asciiTheme="majorHAnsi" w:hAnsiTheme="majorHAnsi"/>
          <w:b/>
        </w:rPr>
      </w:pPr>
    </w:p>
    <w:p w:rsidR="000B39C1" w:rsidRDefault="000B39C1" w:rsidP="00A54DC9">
      <w:pPr>
        <w:spacing w:after="0"/>
        <w:rPr>
          <w:rFonts w:asciiTheme="majorHAnsi" w:hAnsiTheme="majorHAnsi"/>
          <w:b/>
        </w:rPr>
      </w:pPr>
    </w:p>
    <w:p w:rsidR="00A54DC9" w:rsidRDefault="00A54DC9" w:rsidP="00A54DC9">
      <w:pPr>
        <w:spacing w:after="0"/>
        <w:rPr>
          <w:rFonts w:asciiTheme="majorHAnsi" w:hAnsiTheme="majorHAnsi"/>
          <w:b/>
        </w:rPr>
      </w:pPr>
    </w:p>
    <w:p w:rsidR="00A54DC9" w:rsidRPr="00AA3192" w:rsidRDefault="00A54DC9" w:rsidP="00A54DC9">
      <w:pPr>
        <w:spacing w:after="0"/>
        <w:jc w:val="center"/>
        <w:rPr>
          <w:rFonts w:asciiTheme="majorHAnsi" w:hAnsiTheme="majorHAnsi"/>
          <w:sz w:val="32"/>
        </w:rPr>
      </w:pPr>
      <w:r w:rsidRPr="00AA3192">
        <w:rPr>
          <w:rFonts w:asciiTheme="majorHAnsi" w:hAnsiTheme="majorHAnsi"/>
          <w:b/>
          <w:sz w:val="32"/>
        </w:rPr>
        <w:t>Supporting Statement – Section A</w:t>
      </w:r>
    </w:p>
    <w:p w:rsidR="00A54DC9" w:rsidRDefault="00A54DC9" w:rsidP="00A54DC9">
      <w:pPr>
        <w:spacing w:after="0"/>
        <w:rPr>
          <w:rFonts w:asciiTheme="majorHAnsi" w:hAnsiTheme="majorHAnsi"/>
          <w:b/>
        </w:rPr>
      </w:pPr>
    </w:p>
    <w:p w:rsidR="00A54DC9" w:rsidRDefault="00A54DC9" w:rsidP="00A54DC9">
      <w:pPr>
        <w:spacing w:after="0"/>
        <w:rPr>
          <w:rFonts w:asciiTheme="majorHAnsi" w:hAnsiTheme="majorHAnsi"/>
          <w:b/>
        </w:rPr>
      </w:pPr>
    </w:p>
    <w:p w:rsidR="00A54DC9" w:rsidRDefault="00A54DC9" w:rsidP="00A54DC9">
      <w:pPr>
        <w:spacing w:after="0"/>
        <w:rPr>
          <w:rFonts w:asciiTheme="majorHAnsi" w:hAnsiTheme="majorHAnsi"/>
          <w:b/>
        </w:rPr>
      </w:pPr>
    </w:p>
    <w:p w:rsidR="00A54DC9" w:rsidRDefault="00A54DC9" w:rsidP="00A54DC9">
      <w:pPr>
        <w:spacing w:after="0"/>
        <w:rPr>
          <w:rFonts w:asciiTheme="majorHAnsi" w:hAnsiTheme="majorHAnsi"/>
          <w:b/>
        </w:rPr>
      </w:pPr>
    </w:p>
    <w:p w:rsidR="00A54DC9" w:rsidRDefault="00A54DC9" w:rsidP="00A54DC9">
      <w:pPr>
        <w:spacing w:after="0"/>
        <w:rPr>
          <w:rFonts w:asciiTheme="majorHAnsi" w:hAnsiTheme="majorHAnsi"/>
          <w:b/>
        </w:rPr>
      </w:pPr>
    </w:p>
    <w:p w:rsidR="00A54DC9" w:rsidRPr="00916CED" w:rsidRDefault="00A54DC9" w:rsidP="00A54DC9">
      <w:pPr>
        <w:spacing w:after="0"/>
        <w:jc w:val="center"/>
        <w:rPr>
          <w:rFonts w:asciiTheme="majorHAnsi" w:hAnsiTheme="majorHAnsi"/>
          <w:b/>
        </w:rPr>
      </w:pPr>
      <w:r w:rsidRPr="00916CED">
        <w:rPr>
          <w:rFonts w:asciiTheme="majorHAnsi" w:hAnsiTheme="majorHAnsi"/>
          <w:b/>
        </w:rPr>
        <w:t xml:space="preserve">Submitted: </w:t>
      </w:r>
      <w:r w:rsidR="00320AAC">
        <w:rPr>
          <w:rFonts w:asciiTheme="majorHAnsi" w:hAnsiTheme="majorHAnsi"/>
          <w:b/>
        </w:rPr>
        <w:t xml:space="preserve">November </w:t>
      </w:r>
      <w:r w:rsidR="000B39C1">
        <w:rPr>
          <w:rFonts w:asciiTheme="majorHAnsi" w:hAnsiTheme="majorHAnsi"/>
          <w:b/>
        </w:rPr>
        <w:t>1</w:t>
      </w:r>
      <w:r w:rsidR="0028797D">
        <w:rPr>
          <w:rFonts w:asciiTheme="majorHAnsi" w:hAnsiTheme="majorHAnsi"/>
          <w:b/>
        </w:rPr>
        <w:t>4</w:t>
      </w:r>
      <w:r w:rsidR="00D238E8">
        <w:rPr>
          <w:rFonts w:asciiTheme="majorHAnsi" w:hAnsiTheme="majorHAnsi"/>
          <w:b/>
        </w:rPr>
        <w:t>, 2013</w:t>
      </w:r>
    </w:p>
    <w:p w:rsidR="00A54DC9" w:rsidRDefault="00A54DC9" w:rsidP="00A54DC9">
      <w:pPr>
        <w:spacing w:after="0"/>
        <w:rPr>
          <w:rFonts w:asciiTheme="majorHAnsi" w:hAnsiTheme="majorHAnsi"/>
          <w:b/>
        </w:rPr>
      </w:pPr>
    </w:p>
    <w:p w:rsidR="00A54DC9" w:rsidRDefault="00A54DC9" w:rsidP="00A54DC9">
      <w:pPr>
        <w:spacing w:after="0"/>
        <w:rPr>
          <w:rFonts w:asciiTheme="majorHAnsi" w:hAnsiTheme="majorHAnsi"/>
          <w:b/>
        </w:rPr>
      </w:pPr>
    </w:p>
    <w:p w:rsidR="00A54DC9" w:rsidRDefault="00A54DC9" w:rsidP="00A54DC9">
      <w:pPr>
        <w:spacing w:after="0"/>
        <w:rPr>
          <w:rFonts w:asciiTheme="majorHAnsi" w:hAnsiTheme="majorHAnsi"/>
          <w:b/>
        </w:rPr>
      </w:pPr>
    </w:p>
    <w:p w:rsidR="00A54DC9" w:rsidRPr="00A54DC9" w:rsidRDefault="00A54DC9" w:rsidP="00A54DC9">
      <w:pPr>
        <w:spacing w:after="0"/>
        <w:rPr>
          <w:rFonts w:asciiTheme="majorHAnsi" w:hAnsiTheme="majorHAnsi"/>
          <w:b/>
        </w:rPr>
      </w:pPr>
      <w:r w:rsidRPr="00A54DC9">
        <w:rPr>
          <w:rFonts w:asciiTheme="majorHAnsi" w:hAnsiTheme="majorHAnsi"/>
          <w:b/>
        </w:rPr>
        <w:t>Program Official/Project Officer</w:t>
      </w:r>
    </w:p>
    <w:p w:rsidR="00A54DC9" w:rsidRPr="00A54DC9" w:rsidRDefault="00A54DC9" w:rsidP="00A54DC9">
      <w:pPr>
        <w:spacing w:after="0"/>
        <w:rPr>
          <w:rFonts w:asciiTheme="majorHAnsi" w:hAnsiTheme="majorHAnsi"/>
        </w:rPr>
      </w:pPr>
      <w:r w:rsidRPr="00A54DC9">
        <w:rPr>
          <w:rFonts w:asciiTheme="majorHAnsi" w:hAnsiTheme="majorHAnsi"/>
        </w:rPr>
        <w:t xml:space="preserve">CAPT Duane </w:t>
      </w:r>
      <w:proofErr w:type="spellStart"/>
      <w:r w:rsidRPr="00A54DC9">
        <w:rPr>
          <w:rFonts w:asciiTheme="majorHAnsi" w:hAnsiTheme="majorHAnsi"/>
        </w:rPr>
        <w:t>Kilgus</w:t>
      </w:r>
      <w:proofErr w:type="spellEnd"/>
      <w:r w:rsidRPr="00A54DC9">
        <w:rPr>
          <w:rFonts w:asciiTheme="majorHAnsi" w:hAnsiTheme="majorHAnsi"/>
        </w:rPr>
        <w:t>, MPH, RS</w:t>
      </w:r>
    </w:p>
    <w:p w:rsidR="00A54DC9" w:rsidRPr="00A54DC9" w:rsidRDefault="00A54DC9" w:rsidP="00A54DC9">
      <w:pPr>
        <w:spacing w:after="0"/>
        <w:rPr>
          <w:rFonts w:asciiTheme="majorHAnsi" w:hAnsiTheme="majorHAnsi"/>
        </w:rPr>
      </w:pPr>
      <w:r w:rsidRPr="00A54DC9">
        <w:rPr>
          <w:rFonts w:asciiTheme="majorHAnsi" w:hAnsiTheme="majorHAnsi"/>
        </w:rPr>
        <w:t>Billing Team Lead</w:t>
      </w:r>
    </w:p>
    <w:p w:rsidR="00A54DC9" w:rsidRPr="00A54DC9" w:rsidRDefault="00A54DC9" w:rsidP="00A54DC9">
      <w:pPr>
        <w:spacing w:after="0"/>
        <w:rPr>
          <w:rFonts w:asciiTheme="majorHAnsi" w:hAnsiTheme="majorHAnsi"/>
        </w:rPr>
      </w:pPr>
      <w:r w:rsidRPr="00A54DC9">
        <w:rPr>
          <w:rFonts w:asciiTheme="majorHAnsi" w:hAnsiTheme="majorHAnsi"/>
        </w:rPr>
        <w:t>Centers for Disease Control and Prevention</w:t>
      </w:r>
    </w:p>
    <w:p w:rsidR="00A54DC9" w:rsidRPr="00A54DC9" w:rsidRDefault="00A54DC9" w:rsidP="00A54DC9">
      <w:pPr>
        <w:spacing w:after="0"/>
        <w:rPr>
          <w:rFonts w:asciiTheme="majorHAnsi" w:hAnsiTheme="majorHAnsi"/>
        </w:rPr>
      </w:pPr>
      <w:r w:rsidRPr="00A54DC9">
        <w:rPr>
          <w:rFonts w:asciiTheme="majorHAnsi" w:hAnsiTheme="majorHAnsi"/>
        </w:rPr>
        <w:t>National Center for Immunization and Respiratory Diseases</w:t>
      </w:r>
    </w:p>
    <w:p w:rsidR="00A54DC9" w:rsidRPr="00A54DC9" w:rsidRDefault="00A54DC9" w:rsidP="00A54DC9">
      <w:pPr>
        <w:spacing w:after="0"/>
        <w:rPr>
          <w:rFonts w:asciiTheme="majorHAnsi" w:hAnsiTheme="majorHAnsi"/>
        </w:rPr>
      </w:pPr>
      <w:r w:rsidRPr="00A54DC9">
        <w:rPr>
          <w:rFonts w:asciiTheme="majorHAnsi" w:hAnsiTheme="majorHAnsi"/>
        </w:rPr>
        <w:t>Immunization Services Division</w:t>
      </w:r>
    </w:p>
    <w:p w:rsidR="00A54DC9" w:rsidRPr="00A54DC9" w:rsidRDefault="00A54DC9" w:rsidP="00A54DC9">
      <w:pPr>
        <w:spacing w:after="0"/>
        <w:rPr>
          <w:rFonts w:asciiTheme="majorHAnsi" w:hAnsiTheme="majorHAnsi"/>
        </w:rPr>
      </w:pPr>
      <w:r w:rsidRPr="00A54DC9">
        <w:rPr>
          <w:rFonts w:asciiTheme="majorHAnsi" w:hAnsiTheme="majorHAnsi"/>
        </w:rPr>
        <w:t>1600 Clifton Rd. NE MS-A19 Atlanta, GA 30333</w:t>
      </w:r>
    </w:p>
    <w:p w:rsidR="00A54DC9" w:rsidRDefault="00A54DC9" w:rsidP="00A54DC9">
      <w:pPr>
        <w:spacing w:after="0"/>
        <w:rPr>
          <w:rFonts w:asciiTheme="majorHAnsi" w:hAnsiTheme="majorHAnsi"/>
        </w:rPr>
      </w:pPr>
      <w:r w:rsidRPr="00A54DC9">
        <w:rPr>
          <w:rFonts w:asciiTheme="majorHAnsi" w:hAnsiTheme="majorHAnsi"/>
        </w:rPr>
        <w:t>Phone: 404-639-6354</w:t>
      </w:r>
    </w:p>
    <w:p w:rsidR="00B86319" w:rsidRPr="00A54DC9" w:rsidRDefault="003945D4" w:rsidP="00A54DC9">
      <w:pPr>
        <w:spacing w:after="0"/>
        <w:rPr>
          <w:rFonts w:asciiTheme="majorHAnsi" w:hAnsiTheme="majorHAnsi"/>
        </w:rPr>
      </w:pPr>
      <w:r>
        <w:rPr>
          <w:rFonts w:asciiTheme="majorHAnsi" w:hAnsiTheme="majorHAnsi"/>
        </w:rPr>
        <w:t>Fax Number: 404-235-1747</w:t>
      </w:r>
    </w:p>
    <w:p w:rsidR="00303B00" w:rsidRDefault="00A54DC9" w:rsidP="00303B00">
      <w:pPr>
        <w:spacing w:after="0"/>
        <w:rPr>
          <w:rFonts w:asciiTheme="majorHAnsi" w:hAnsiTheme="majorHAnsi"/>
        </w:rPr>
      </w:pPr>
      <w:r w:rsidRPr="00A54DC9">
        <w:rPr>
          <w:rFonts w:asciiTheme="majorHAnsi" w:hAnsiTheme="majorHAnsi"/>
        </w:rPr>
        <w:t xml:space="preserve">Email: </w:t>
      </w:r>
      <w:hyperlink r:id="rId9" w:history="1">
        <w:r w:rsidRPr="00127EC5">
          <w:rPr>
            <w:rStyle w:val="Hyperlink"/>
            <w:rFonts w:asciiTheme="majorHAnsi" w:hAnsiTheme="majorHAnsi"/>
          </w:rPr>
          <w:t>dgk9@cdc.gov</w:t>
        </w:r>
      </w:hyperlink>
    </w:p>
    <w:p w:rsidR="00A54DC9" w:rsidRPr="00457884" w:rsidRDefault="00A54DC9" w:rsidP="00303B00">
      <w:pPr>
        <w:spacing w:after="0"/>
        <w:rPr>
          <w:rFonts w:asciiTheme="majorHAnsi" w:hAnsiTheme="majorHAnsi"/>
        </w:rPr>
      </w:pPr>
      <w:r w:rsidRPr="005640F3">
        <w:rPr>
          <w:rFonts w:asciiTheme="majorHAnsi" w:hAnsiTheme="majorHAnsi"/>
          <w:b/>
          <w:sz w:val="28"/>
        </w:rPr>
        <w:lastRenderedPageBreak/>
        <w:t xml:space="preserve">Section </w:t>
      </w:r>
      <w:proofErr w:type="gramStart"/>
      <w:r w:rsidRPr="005640F3">
        <w:rPr>
          <w:rFonts w:asciiTheme="majorHAnsi" w:hAnsiTheme="majorHAnsi"/>
          <w:b/>
          <w:sz w:val="28"/>
        </w:rPr>
        <w:t>A</w:t>
      </w:r>
      <w:proofErr w:type="gramEnd"/>
      <w:r w:rsidRPr="005640F3">
        <w:rPr>
          <w:rFonts w:asciiTheme="majorHAnsi" w:hAnsiTheme="majorHAnsi"/>
          <w:b/>
          <w:sz w:val="28"/>
        </w:rPr>
        <w:t xml:space="preserve"> – Justification</w:t>
      </w:r>
    </w:p>
    <w:p w:rsidR="00A54DC9" w:rsidRPr="005640F3" w:rsidRDefault="00A54DC9" w:rsidP="000C67DD">
      <w:pPr>
        <w:spacing w:after="0"/>
        <w:ind w:left="360"/>
        <w:rPr>
          <w:rFonts w:asciiTheme="majorHAnsi" w:hAnsiTheme="majorHAnsi"/>
          <w:b/>
        </w:rPr>
      </w:pPr>
    </w:p>
    <w:p w:rsidR="00A54DC9" w:rsidRPr="00A12DDB" w:rsidRDefault="00A54DC9" w:rsidP="00A12DDB">
      <w:pPr>
        <w:pStyle w:val="ListParagraph"/>
        <w:numPr>
          <w:ilvl w:val="0"/>
          <w:numId w:val="1"/>
        </w:numPr>
        <w:spacing w:after="0"/>
        <w:ind w:left="360"/>
        <w:rPr>
          <w:rFonts w:asciiTheme="majorHAnsi" w:hAnsiTheme="majorHAnsi"/>
          <w:b/>
        </w:rPr>
      </w:pPr>
      <w:r w:rsidRPr="005640F3">
        <w:rPr>
          <w:rFonts w:asciiTheme="majorHAnsi" w:hAnsiTheme="majorHAnsi"/>
          <w:b/>
        </w:rPr>
        <w:t>Circumstances Making the Collection of Information Necessary</w:t>
      </w:r>
    </w:p>
    <w:p w:rsidR="007159F6" w:rsidRPr="0013654A" w:rsidRDefault="00A54DC9" w:rsidP="00A12DDB">
      <w:pPr>
        <w:spacing w:after="0"/>
        <w:ind w:left="360"/>
        <w:rPr>
          <w:rFonts w:asciiTheme="majorHAnsi" w:hAnsiTheme="majorHAnsi"/>
          <w:b/>
        </w:rPr>
      </w:pPr>
      <w:r w:rsidRPr="0013654A">
        <w:rPr>
          <w:rFonts w:asciiTheme="majorHAnsi" w:hAnsiTheme="majorHAnsi"/>
          <w:b/>
        </w:rPr>
        <w:t>Background</w:t>
      </w:r>
    </w:p>
    <w:p w:rsidR="00A54DC9" w:rsidRDefault="00A54DC9" w:rsidP="00A12DDB">
      <w:pPr>
        <w:tabs>
          <w:tab w:val="right" w:pos="9360"/>
        </w:tabs>
        <w:spacing w:after="0"/>
        <w:ind w:left="360"/>
        <w:rPr>
          <w:sz w:val="24"/>
          <w:szCs w:val="24"/>
        </w:rPr>
      </w:pPr>
      <w:r w:rsidRPr="00457884">
        <w:rPr>
          <w:sz w:val="24"/>
          <w:szCs w:val="24"/>
        </w:rPr>
        <w:t>This data collection is being conducted using the Generic Information Collection mechanism of the OSTLTS Survey Center (OSC) – OMB No. 0920-0879. The respondent universe for this data collection aligns with that of the OSC. Data will be collected from stat</w:t>
      </w:r>
      <w:r w:rsidR="00614DF4">
        <w:rPr>
          <w:sz w:val="24"/>
          <w:szCs w:val="24"/>
        </w:rPr>
        <w:t xml:space="preserve">e and local </w:t>
      </w:r>
      <w:r w:rsidRPr="00457884">
        <w:rPr>
          <w:sz w:val="24"/>
          <w:szCs w:val="24"/>
        </w:rPr>
        <w:t>health department professionals acting in their official capacities.</w:t>
      </w:r>
      <w:r w:rsidR="00A12DDB">
        <w:rPr>
          <w:sz w:val="24"/>
          <w:szCs w:val="24"/>
        </w:rPr>
        <w:t xml:space="preserve"> </w:t>
      </w:r>
      <w:r w:rsidRPr="00457884">
        <w:rPr>
          <w:sz w:val="24"/>
          <w:szCs w:val="24"/>
        </w:rPr>
        <w:t>This data collection is authorized by Section 301 of the Public Health S</w:t>
      </w:r>
      <w:r w:rsidR="006D4054">
        <w:rPr>
          <w:sz w:val="24"/>
          <w:szCs w:val="24"/>
        </w:rPr>
        <w:t>ervice Act (42 U.S.C. 241)</w:t>
      </w:r>
      <w:r w:rsidRPr="00457884">
        <w:rPr>
          <w:sz w:val="24"/>
          <w:szCs w:val="24"/>
        </w:rPr>
        <w:t>.</w:t>
      </w:r>
    </w:p>
    <w:p w:rsidR="00D30709" w:rsidRDefault="00D30709" w:rsidP="000C67DD">
      <w:pPr>
        <w:spacing w:after="0"/>
        <w:ind w:left="360" w:firstLine="360"/>
        <w:rPr>
          <w:sz w:val="24"/>
          <w:szCs w:val="24"/>
        </w:rPr>
      </w:pPr>
    </w:p>
    <w:p w:rsidR="003E6007" w:rsidRPr="00DD378F" w:rsidRDefault="003E6007" w:rsidP="000C67DD">
      <w:pPr>
        <w:spacing w:after="0"/>
        <w:ind w:left="360"/>
        <w:rPr>
          <w:rFonts w:cs="Times New Roman"/>
          <w:b/>
          <w:sz w:val="24"/>
          <w:szCs w:val="24"/>
        </w:rPr>
      </w:pPr>
      <w:r w:rsidRPr="003E6007">
        <w:rPr>
          <w:rFonts w:cs="Times New Roman"/>
          <w:sz w:val="24"/>
          <w:szCs w:val="24"/>
        </w:rPr>
        <w:t>The National Vaccine Advisory Committee (NVAC), a</w:t>
      </w:r>
      <w:r>
        <w:rPr>
          <w:rFonts w:cs="Times New Roman"/>
          <w:sz w:val="24"/>
          <w:szCs w:val="24"/>
        </w:rPr>
        <w:t xml:space="preserve"> </w:t>
      </w:r>
      <w:r w:rsidRPr="003E6007">
        <w:rPr>
          <w:rFonts w:cs="Times New Roman"/>
          <w:sz w:val="24"/>
          <w:szCs w:val="24"/>
        </w:rPr>
        <w:t>federal advisory committee that provides vaccine and</w:t>
      </w:r>
      <w:r>
        <w:rPr>
          <w:rFonts w:cs="Times New Roman"/>
          <w:sz w:val="24"/>
          <w:szCs w:val="24"/>
        </w:rPr>
        <w:t xml:space="preserve"> </w:t>
      </w:r>
      <w:r w:rsidRPr="003E6007">
        <w:rPr>
          <w:rFonts w:cs="Times New Roman"/>
          <w:sz w:val="24"/>
          <w:szCs w:val="24"/>
        </w:rPr>
        <w:t>immunization policy recommendations to the US Department</w:t>
      </w:r>
      <w:r>
        <w:rPr>
          <w:rFonts w:cs="Times New Roman"/>
          <w:sz w:val="24"/>
          <w:szCs w:val="24"/>
        </w:rPr>
        <w:t xml:space="preserve"> </w:t>
      </w:r>
      <w:r w:rsidRPr="003E6007">
        <w:rPr>
          <w:rFonts w:cs="Times New Roman"/>
          <w:sz w:val="24"/>
          <w:szCs w:val="24"/>
        </w:rPr>
        <w:t>of Health and Human Services, studied the</w:t>
      </w:r>
      <w:r>
        <w:rPr>
          <w:rFonts w:cs="Times New Roman"/>
          <w:sz w:val="24"/>
          <w:szCs w:val="24"/>
        </w:rPr>
        <w:t xml:space="preserve"> </w:t>
      </w:r>
      <w:r w:rsidRPr="003E6007">
        <w:rPr>
          <w:rFonts w:cs="Times New Roman"/>
          <w:sz w:val="24"/>
          <w:szCs w:val="24"/>
        </w:rPr>
        <w:t>financing of child and adolescent vaccinations in the</w:t>
      </w:r>
      <w:r>
        <w:rPr>
          <w:rFonts w:cs="Times New Roman"/>
          <w:sz w:val="24"/>
          <w:szCs w:val="24"/>
        </w:rPr>
        <w:t xml:space="preserve"> </w:t>
      </w:r>
      <w:r w:rsidR="001B0F2F">
        <w:rPr>
          <w:rFonts w:cs="Times New Roman"/>
          <w:sz w:val="24"/>
          <w:szCs w:val="24"/>
        </w:rPr>
        <w:t xml:space="preserve">United States. </w:t>
      </w:r>
      <w:r w:rsidRPr="003E6007">
        <w:rPr>
          <w:rFonts w:cs="Times New Roman"/>
          <w:sz w:val="24"/>
          <w:szCs w:val="24"/>
        </w:rPr>
        <w:t>Following its investigation, the NVAC</w:t>
      </w:r>
      <w:r>
        <w:rPr>
          <w:rFonts w:cs="Times New Roman"/>
          <w:sz w:val="24"/>
          <w:szCs w:val="24"/>
        </w:rPr>
        <w:t xml:space="preserve"> </w:t>
      </w:r>
      <w:r w:rsidRPr="003E6007">
        <w:rPr>
          <w:rFonts w:cs="Times New Roman"/>
          <w:sz w:val="24"/>
          <w:szCs w:val="24"/>
        </w:rPr>
        <w:t>recommended in 2008 that “states and localities develop</w:t>
      </w:r>
      <w:r>
        <w:rPr>
          <w:rFonts w:cs="Times New Roman"/>
          <w:sz w:val="24"/>
          <w:szCs w:val="24"/>
        </w:rPr>
        <w:t xml:space="preserve"> </w:t>
      </w:r>
      <w:r w:rsidRPr="003E6007">
        <w:rPr>
          <w:rFonts w:cs="Times New Roman"/>
          <w:sz w:val="24"/>
          <w:szCs w:val="24"/>
        </w:rPr>
        <w:t>mechanisms for billing insured children and</w:t>
      </w:r>
      <w:r>
        <w:rPr>
          <w:rFonts w:cs="Times New Roman"/>
          <w:sz w:val="24"/>
          <w:szCs w:val="24"/>
        </w:rPr>
        <w:t xml:space="preserve"> </w:t>
      </w:r>
      <w:r w:rsidRPr="003E6007">
        <w:rPr>
          <w:rFonts w:cs="Times New Roman"/>
          <w:sz w:val="24"/>
          <w:szCs w:val="24"/>
        </w:rPr>
        <w:t>adolescents served in the public sector.”</w:t>
      </w:r>
      <w:r w:rsidR="00DD378F">
        <w:rPr>
          <w:rFonts w:cs="Times New Roman"/>
          <w:sz w:val="24"/>
          <w:szCs w:val="24"/>
        </w:rPr>
        <w:t xml:space="preserve"> </w:t>
      </w:r>
      <w:r w:rsidRPr="003E6007">
        <w:rPr>
          <w:rFonts w:cs="Times New Roman"/>
          <w:sz w:val="24"/>
          <w:szCs w:val="24"/>
        </w:rPr>
        <w:t>The NVAC</w:t>
      </w:r>
      <w:r>
        <w:rPr>
          <w:rFonts w:cs="Times New Roman"/>
          <w:sz w:val="24"/>
          <w:szCs w:val="24"/>
        </w:rPr>
        <w:t xml:space="preserve"> </w:t>
      </w:r>
      <w:r w:rsidRPr="003E6007">
        <w:rPr>
          <w:rFonts w:cs="Times New Roman"/>
          <w:sz w:val="24"/>
          <w:szCs w:val="24"/>
        </w:rPr>
        <w:t>also recommended that the CDC “provide support to</w:t>
      </w:r>
      <w:r>
        <w:rPr>
          <w:rFonts w:cs="Times New Roman"/>
          <w:sz w:val="24"/>
          <w:szCs w:val="24"/>
        </w:rPr>
        <w:t xml:space="preserve"> </w:t>
      </w:r>
      <w:r w:rsidRPr="003E6007">
        <w:rPr>
          <w:rFonts w:cs="Times New Roman"/>
          <w:sz w:val="24"/>
          <w:szCs w:val="24"/>
        </w:rPr>
        <w:t>states and localities by disseminating best practices and</w:t>
      </w:r>
      <w:r>
        <w:rPr>
          <w:rFonts w:cs="Times New Roman"/>
          <w:sz w:val="24"/>
          <w:szCs w:val="24"/>
        </w:rPr>
        <w:t xml:space="preserve"> </w:t>
      </w:r>
      <w:r w:rsidRPr="003E6007">
        <w:rPr>
          <w:rFonts w:cs="Times New Roman"/>
          <w:sz w:val="24"/>
          <w:szCs w:val="24"/>
        </w:rPr>
        <w:t>providing technical assistance to develop these billing</w:t>
      </w:r>
      <w:r>
        <w:rPr>
          <w:rFonts w:cs="Times New Roman"/>
          <w:sz w:val="24"/>
          <w:szCs w:val="24"/>
        </w:rPr>
        <w:t xml:space="preserve"> </w:t>
      </w:r>
      <w:r w:rsidRPr="003E6007">
        <w:rPr>
          <w:rFonts w:cs="Times New Roman"/>
          <w:sz w:val="24"/>
          <w:szCs w:val="24"/>
        </w:rPr>
        <w:t>mechanisms.” It urged states and localities to “reinvest</w:t>
      </w:r>
      <w:r>
        <w:rPr>
          <w:rFonts w:cs="Times New Roman"/>
          <w:sz w:val="24"/>
          <w:szCs w:val="24"/>
        </w:rPr>
        <w:t xml:space="preserve"> </w:t>
      </w:r>
      <w:r w:rsidRPr="003E6007">
        <w:rPr>
          <w:rFonts w:cs="Times New Roman"/>
          <w:sz w:val="24"/>
          <w:szCs w:val="24"/>
        </w:rPr>
        <w:t>reimbursements from public and private payers back</w:t>
      </w:r>
      <w:r>
        <w:rPr>
          <w:rFonts w:cs="Times New Roman"/>
          <w:sz w:val="24"/>
          <w:szCs w:val="24"/>
        </w:rPr>
        <w:t xml:space="preserve"> </w:t>
      </w:r>
      <w:r w:rsidRPr="003E6007">
        <w:rPr>
          <w:rFonts w:cs="Times New Roman"/>
          <w:sz w:val="24"/>
          <w:szCs w:val="24"/>
        </w:rPr>
        <w:t>into immunization programs.”</w:t>
      </w:r>
      <w:r w:rsidR="00DD378F">
        <w:rPr>
          <w:rFonts w:cs="Times New Roman"/>
          <w:sz w:val="24"/>
          <w:szCs w:val="24"/>
        </w:rPr>
        <w:t xml:space="preserve"> </w:t>
      </w:r>
      <w:r w:rsidR="00CF2605">
        <w:rPr>
          <w:rFonts w:cs="Times New Roman"/>
          <w:b/>
          <w:sz w:val="24"/>
          <w:szCs w:val="24"/>
        </w:rPr>
        <w:t>(</w:t>
      </w:r>
      <w:proofErr w:type="gramStart"/>
      <w:r w:rsidR="00A12DDB">
        <w:rPr>
          <w:rFonts w:cs="Times New Roman"/>
          <w:b/>
          <w:sz w:val="24"/>
          <w:szCs w:val="24"/>
        </w:rPr>
        <w:t>see</w:t>
      </w:r>
      <w:proofErr w:type="gramEnd"/>
      <w:r w:rsidR="00A12DDB">
        <w:rPr>
          <w:rFonts w:cs="Times New Roman"/>
          <w:b/>
          <w:sz w:val="24"/>
          <w:szCs w:val="24"/>
        </w:rPr>
        <w:t xml:space="preserve"> </w:t>
      </w:r>
      <w:r w:rsidR="00DD378F">
        <w:rPr>
          <w:rFonts w:cs="Times New Roman"/>
          <w:b/>
          <w:sz w:val="24"/>
          <w:szCs w:val="24"/>
        </w:rPr>
        <w:t xml:space="preserve">Attachment </w:t>
      </w:r>
      <w:r w:rsidR="00314C0F">
        <w:rPr>
          <w:rFonts w:cs="Times New Roman"/>
          <w:b/>
          <w:sz w:val="24"/>
          <w:szCs w:val="24"/>
        </w:rPr>
        <w:t>A</w:t>
      </w:r>
      <w:r w:rsidR="00DD378F">
        <w:rPr>
          <w:rFonts w:cs="Times New Roman"/>
          <w:b/>
          <w:sz w:val="24"/>
          <w:szCs w:val="24"/>
        </w:rPr>
        <w:t>)</w:t>
      </w:r>
    </w:p>
    <w:p w:rsidR="003E6007" w:rsidRDefault="003E6007" w:rsidP="000C67DD">
      <w:pPr>
        <w:spacing w:after="0"/>
        <w:ind w:left="360"/>
        <w:rPr>
          <w:rFonts w:cs="Times New Roman"/>
          <w:sz w:val="24"/>
          <w:szCs w:val="24"/>
        </w:rPr>
      </w:pPr>
    </w:p>
    <w:p w:rsidR="00954412" w:rsidRPr="0052109E" w:rsidRDefault="00954412" w:rsidP="00FC7C54">
      <w:pPr>
        <w:spacing w:after="0"/>
        <w:ind w:left="360"/>
        <w:rPr>
          <w:rFonts w:cs="Times New Roman"/>
          <w:sz w:val="24"/>
          <w:szCs w:val="24"/>
        </w:rPr>
      </w:pPr>
      <w:r w:rsidRPr="00954412">
        <w:rPr>
          <w:rFonts w:cs="Times New Roman"/>
          <w:sz w:val="24"/>
          <w:szCs w:val="24"/>
        </w:rPr>
        <w:t>As a result of the</w:t>
      </w:r>
      <w:r>
        <w:rPr>
          <w:rFonts w:cs="Times New Roman"/>
          <w:sz w:val="24"/>
          <w:szCs w:val="24"/>
        </w:rPr>
        <w:t xml:space="preserve"> </w:t>
      </w:r>
      <w:r w:rsidRPr="00954412">
        <w:rPr>
          <w:rFonts w:cs="Times New Roman"/>
          <w:sz w:val="24"/>
          <w:szCs w:val="24"/>
        </w:rPr>
        <w:t>NVAC</w:t>
      </w:r>
      <w:r>
        <w:rPr>
          <w:rFonts w:cs="Times New Roman"/>
          <w:sz w:val="24"/>
          <w:szCs w:val="24"/>
        </w:rPr>
        <w:t xml:space="preserve"> </w:t>
      </w:r>
      <w:r w:rsidRPr="00954412">
        <w:rPr>
          <w:rFonts w:cs="Times New Roman"/>
          <w:sz w:val="24"/>
          <w:szCs w:val="24"/>
        </w:rPr>
        <w:t>recommendations, the</w:t>
      </w:r>
      <w:r>
        <w:rPr>
          <w:rFonts w:cs="Times New Roman"/>
          <w:sz w:val="24"/>
          <w:szCs w:val="24"/>
        </w:rPr>
        <w:t xml:space="preserve"> </w:t>
      </w:r>
      <w:r w:rsidRPr="00954412">
        <w:rPr>
          <w:rFonts w:cs="Times New Roman"/>
          <w:sz w:val="24"/>
          <w:szCs w:val="24"/>
        </w:rPr>
        <w:t>CDC</w:t>
      </w:r>
      <w:r>
        <w:rPr>
          <w:rFonts w:cs="Times New Roman"/>
          <w:sz w:val="24"/>
          <w:szCs w:val="24"/>
        </w:rPr>
        <w:t xml:space="preserve"> </w:t>
      </w:r>
      <w:r w:rsidRPr="00954412">
        <w:rPr>
          <w:rFonts w:cs="Times New Roman"/>
          <w:sz w:val="24"/>
          <w:szCs w:val="24"/>
        </w:rPr>
        <w:t>began</w:t>
      </w:r>
      <w:r>
        <w:rPr>
          <w:rFonts w:cs="Times New Roman"/>
          <w:sz w:val="24"/>
          <w:szCs w:val="24"/>
        </w:rPr>
        <w:t xml:space="preserve"> </w:t>
      </w:r>
      <w:r w:rsidRPr="00954412">
        <w:rPr>
          <w:rFonts w:cs="Times New Roman"/>
          <w:sz w:val="24"/>
          <w:szCs w:val="24"/>
        </w:rPr>
        <w:t xml:space="preserve">the </w:t>
      </w:r>
      <w:proofErr w:type="spellStart"/>
      <w:r w:rsidRPr="00954412">
        <w:rPr>
          <w:rFonts w:cs="Times New Roman"/>
          <w:sz w:val="24"/>
          <w:szCs w:val="24"/>
        </w:rPr>
        <w:t>Billables</w:t>
      </w:r>
      <w:proofErr w:type="spellEnd"/>
      <w:r w:rsidRPr="00954412">
        <w:rPr>
          <w:rFonts w:cs="Times New Roman"/>
          <w:sz w:val="24"/>
          <w:szCs w:val="24"/>
        </w:rPr>
        <w:t xml:space="preserve"> Project, and since 2009, the agency has</w:t>
      </w:r>
      <w:r>
        <w:rPr>
          <w:rFonts w:cs="Times New Roman"/>
          <w:sz w:val="24"/>
          <w:szCs w:val="24"/>
        </w:rPr>
        <w:t xml:space="preserve"> </w:t>
      </w:r>
      <w:r w:rsidR="001D3A3C">
        <w:rPr>
          <w:rFonts w:cs="Times New Roman"/>
          <w:sz w:val="24"/>
          <w:szCs w:val="24"/>
        </w:rPr>
        <w:t xml:space="preserve">provided funding to </w:t>
      </w:r>
      <w:r w:rsidRPr="00954412">
        <w:rPr>
          <w:rFonts w:cs="Times New Roman"/>
          <w:sz w:val="24"/>
          <w:szCs w:val="24"/>
        </w:rPr>
        <w:t>state and local immunization</w:t>
      </w:r>
      <w:r>
        <w:rPr>
          <w:rFonts w:cs="Times New Roman"/>
          <w:sz w:val="24"/>
          <w:szCs w:val="24"/>
        </w:rPr>
        <w:t xml:space="preserve"> </w:t>
      </w:r>
      <w:r w:rsidRPr="00954412">
        <w:rPr>
          <w:rFonts w:cs="Times New Roman"/>
          <w:sz w:val="24"/>
          <w:szCs w:val="24"/>
        </w:rPr>
        <w:t>programs to assist them in developing and implementing</w:t>
      </w:r>
      <w:r>
        <w:rPr>
          <w:rFonts w:cs="Times New Roman"/>
          <w:sz w:val="24"/>
          <w:szCs w:val="24"/>
        </w:rPr>
        <w:t xml:space="preserve"> </w:t>
      </w:r>
      <w:r w:rsidRPr="00954412">
        <w:rPr>
          <w:rFonts w:cs="Times New Roman"/>
          <w:sz w:val="24"/>
          <w:szCs w:val="24"/>
        </w:rPr>
        <w:t>billing plans</w:t>
      </w:r>
      <w:r>
        <w:rPr>
          <w:rFonts w:cs="Times New Roman"/>
          <w:sz w:val="24"/>
          <w:szCs w:val="24"/>
        </w:rPr>
        <w:t xml:space="preserve"> </w:t>
      </w:r>
      <w:r w:rsidR="00A75ADB">
        <w:rPr>
          <w:rFonts w:cs="Times New Roman"/>
          <w:b/>
          <w:sz w:val="24"/>
          <w:szCs w:val="24"/>
        </w:rPr>
        <w:t>(see Attachment B</w:t>
      </w:r>
      <w:r w:rsidR="00FC7C54">
        <w:rPr>
          <w:rFonts w:cs="Times New Roman"/>
          <w:b/>
          <w:sz w:val="24"/>
          <w:szCs w:val="24"/>
        </w:rPr>
        <w:t xml:space="preserve">). </w:t>
      </w:r>
      <w:r w:rsidR="00FC7C54" w:rsidRPr="00FC7C54">
        <w:rPr>
          <w:rFonts w:cs="Times New Roman"/>
          <w:sz w:val="24"/>
          <w:szCs w:val="24"/>
        </w:rPr>
        <w:t xml:space="preserve">The </w:t>
      </w:r>
      <w:proofErr w:type="spellStart"/>
      <w:r w:rsidR="00FC7C54" w:rsidRPr="00FC7C54">
        <w:rPr>
          <w:rFonts w:cs="Times New Roman"/>
          <w:sz w:val="24"/>
          <w:szCs w:val="24"/>
        </w:rPr>
        <w:t>Billables</w:t>
      </w:r>
      <w:proofErr w:type="spellEnd"/>
      <w:r w:rsidR="00FC7C54" w:rsidRPr="00FC7C54">
        <w:rPr>
          <w:rFonts w:cs="Times New Roman"/>
          <w:sz w:val="24"/>
          <w:szCs w:val="24"/>
        </w:rPr>
        <w:t xml:space="preserve"> Project is a CDC-funded effort to enable state and local health departments to bill insurance companies for immunization servic</w:t>
      </w:r>
      <w:r w:rsidR="00FC7C54">
        <w:rPr>
          <w:rFonts w:cs="Times New Roman"/>
          <w:sz w:val="24"/>
          <w:szCs w:val="24"/>
        </w:rPr>
        <w:t xml:space="preserve">es provided to insured patients. </w:t>
      </w:r>
      <w:r w:rsidRPr="00954412">
        <w:rPr>
          <w:rFonts w:cs="Times New Roman"/>
          <w:sz w:val="24"/>
          <w:szCs w:val="24"/>
        </w:rPr>
        <w:t>In the planning process of the project, grant</w:t>
      </w:r>
      <w:r>
        <w:rPr>
          <w:rFonts w:cs="Times New Roman"/>
          <w:sz w:val="24"/>
          <w:szCs w:val="24"/>
        </w:rPr>
        <w:t xml:space="preserve"> </w:t>
      </w:r>
      <w:r w:rsidRPr="00954412">
        <w:rPr>
          <w:rFonts w:cs="Times New Roman"/>
          <w:sz w:val="24"/>
          <w:szCs w:val="24"/>
        </w:rPr>
        <w:t>awardees are funded to develop a public health action</w:t>
      </w:r>
      <w:r>
        <w:rPr>
          <w:rFonts w:cs="Times New Roman"/>
          <w:sz w:val="24"/>
          <w:szCs w:val="24"/>
        </w:rPr>
        <w:t xml:space="preserve"> </w:t>
      </w:r>
      <w:r w:rsidRPr="00954412">
        <w:rPr>
          <w:rFonts w:cs="Times New Roman"/>
          <w:sz w:val="24"/>
          <w:szCs w:val="24"/>
        </w:rPr>
        <w:t>plan that describes activities, protocols, and procedures</w:t>
      </w:r>
      <w:r>
        <w:rPr>
          <w:rFonts w:cs="Times New Roman"/>
          <w:sz w:val="24"/>
          <w:szCs w:val="24"/>
        </w:rPr>
        <w:t xml:space="preserve"> </w:t>
      </w:r>
      <w:r w:rsidRPr="00954412">
        <w:rPr>
          <w:rFonts w:cs="Times New Roman"/>
          <w:sz w:val="24"/>
          <w:szCs w:val="24"/>
        </w:rPr>
        <w:t>needed to pilot, initiate, and sustain a successful billing</w:t>
      </w:r>
      <w:r>
        <w:rPr>
          <w:rFonts w:cs="Times New Roman"/>
          <w:sz w:val="24"/>
          <w:szCs w:val="24"/>
        </w:rPr>
        <w:t xml:space="preserve"> </w:t>
      </w:r>
      <w:r w:rsidRPr="00954412">
        <w:rPr>
          <w:rFonts w:cs="Times New Roman"/>
          <w:sz w:val="24"/>
          <w:szCs w:val="24"/>
        </w:rPr>
        <w:t>effort within their immunization programs</w:t>
      </w:r>
      <w:r w:rsidR="00A75ADB">
        <w:rPr>
          <w:rFonts w:cs="Times New Roman"/>
          <w:sz w:val="24"/>
          <w:szCs w:val="24"/>
        </w:rPr>
        <w:t xml:space="preserve"> </w:t>
      </w:r>
      <w:r w:rsidR="00A75ADB">
        <w:rPr>
          <w:rFonts w:cs="Times New Roman"/>
          <w:b/>
          <w:sz w:val="24"/>
          <w:szCs w:val="24"/>
        </w:rPr>
        <w:t>(see Attachment C</w:t>
      </w:r>
      <w:r w:rsidR="003B182F">
        <w:rPr>
          <w:rFonts w:cs="Times New Roman"/>
          <w:b/>
          <w:sz w:val="24"/>
          <w:szCs w:val="24"/>
        </w:rPr>
        <w:t>)</w:t>
      </w:r>
      <w:r w:rsidR="0080168F">
        <w:rPr>
          <w:rFonts w:cs="Times New Roman"/>
          <w:b/>
          <w:sz w:val="24"/>
          <w:szCs w:val="24"/>
        </w:rPr>
        <w:t xml:space="preserve"> </w:t>
      </w:r>
      <w:r w:rsidR="0080168F" w:rsidRPr="003B182F">
        <w:rPr>
          <w:rFonts w:cs="Times New Roman"/>
          <w:sz w:val="24"/>
          <w:szCs w:val="24"/>
        </w:rPr>
        <w:t>for a project outline</w:t>
      </w:r>
      <w:r w:rsidRPr="003B182F">
        <w:rPr>
          <w:rFonts w:cs="Times New Roman"/>
          <w:sz w:val="24"/>
          <w:szCs w:val="24"/>
        </w:rPr>
        <w:t>.</w:t>
      </w:r>
      <w:r>
        <w:rPr>
          <w:rFonts w:cs="Times New Roman"/>
          <w:sz w:val="24"/>
          <w:szCs w:val="24"/>
        </w:rPr>
        <w:t xml:space="preserve"> </w:t>
      </w:r>
      <w:r w:rsidRPr="00954412">
        <w:rPr>
          <w:rFonts w:cs="Times New Roman"/>
          <w:sz w:val="24"/>
          <w:szCs w:val="24"/>
        </w:rPr>
        <w:t>As of April 2013, there were 21 awardees in the planning</w:t>
      </w:r>
      <w:r>
        <w:rPr>
          <w:rFonts w:cs="Times New Roman"/>
          <w:sz w:val="24"/>
          <w:szCs w:val="24"/>
        </w:rPr>
        <w:t xml:space="preserve"> </w:t>
      </w:r>
      <w:r w:rsidRPr="00954412">
        <w:rPr>
          <w:rFonts w:cs="Times New Roman"/>
          <w:sz w:val="24"/>
          <w:szCs w:val="24"/>
        </w:rPr>
        <w:t>proc</w:t>
      </w:r>
      <w:r>
        <w:rPr>
          <w:rFonts w:cs="Times New Roman"/>
          <w:sz w:val="24"/>
          <w:szCs w:val="24"/>
        </w:rPr>
        <w:t xml:space="preserve">ess and </w:t>
      </w:r>
      <w:r w:rsidRPr="00954412">
        <w:rPr>
          <w:rFonts w:cs="Times New Roman"/>
          <w:sz w:val="24"/>
          <w:szCs w:val="24"/>
        </w:rPr>
        <w:t>14 awardees had competed successfully</w:t>
      </w:r>
      <w:r>
        <w:rPr>
          <w:rFonts w:cs="Times New Roman"/>
          <w:sz w:val="24"/>
          <w:szCs w:val="24"/>
        </w:rPr>
        <w:t xml:space="preserve"> </w:t>
      </w:r>
      <w:r w:rsidRPr="00954412">
        <w:rPr>
          <w:rFonts w:cs="Times New Roman"/>
          <w:sz w:val="24"/>
          <w:szCs w:val="24"/>
        </w:rPr>
        <w:t>for funds to move into the second phase, the implementation</w:t>
      </w:r>
      <w:r>
        <w:rPr>
          <w:rFonts w:cs="Times New Roman"/>
          <w:sz w:val="24"/>
          <w:szCs w:val="24"/>
        </w:rPr>
        <w:t xml:space="preserve"> </w:t>
      </w:r>
      <w:r w:rsidRPr="00954412">
        <w:rPr>
          <w:rFonts w:cs="Times New Roman"/>
          <w:sz w:val="24"/>
          <w:szCs w:val="24"/>
        </w:rPr>
        <w:t>process, during which they launch their</w:t>
      </w:r>
      <w:r>
        <w:rPr>
          <w:rFonts w:cs="Times New Roman"/>
          <w:sz w:val="24"/>
          <w:szCs w:val="24"/>
        </w:rPr>
        <w:t xml:space="preserve"> </w:t>
      </w:r>
      <w:r w:rsidRPr="00954412">
        <w:rPr>
          <w:rFonts w:cs="Times New Roman"/>
          <w:sz w:val="24"/>
          <w:szCs w:val="24"/>
        </w:rPr>
        <w:t>programs and</w:t>
      </w:r>
      <w:r>
        <w:rPr>
          <w:rFonts w:cs="Times New Roman"/>
          <w:sz w:val="24"/>
          <w:szCs w:val="24"/>
        </w:rPr>
        <w:t xml:space="preserve"> </w:t>
      </w:r>
      <w:r w:rsidRPr="00954412">
        <w:rPr>
          <w:rFonts w:cs="Times New Roman"/>
          <w:sz w:val="24"/>
          <w:szCs w:val="24"/>
        </w:rPr>
        <w:t>work to move them as close to full operation</w:t>
      </w:r>
      <w:r>
        <w:rPr>
          <w:rFonts w:cs="Times New Roman"/>
          <w:sz w:val="24"/>
          <w:szCs w:val="24"/>
        </w:rPr>
        <w:t xml:space="preserve"> </w:t>
      </w:r>
      <w:r w:rsidRPr="00954412">
        <w:rPr>
          <w:rFonts w:cs="Times New Roman"/>
          <w:sz w:val="24"/>
          <w:szCs w:val="24"/>
        </w:rPr>
        <w:t>statewide as possible (billing Medicaid, Medicare,</w:t>
      </w:r>
      <w:r>
        <w:rPr>
          <w:rFonts w:cs="Times New Roman"/>
          <w:sz w:val="24"/>
          <w:szCs w:val="24"/>
        </w:rPr>
        <w:t xml:space="preserve"> </w:t>
      </w:r>
      <w:r w:rsidRPr="00954412">
        <w:rPr>
          <w:rFonts w:cs="Times New Roman"/>
          <w:sz w:val="24"/>
          <w:szCs w:val="24"/>
        </w:rPr>
        <w:t>and private insurance for vaccine administration fees</w:t>
      </w:r>
      <w:r>
        <w:rPr>
          <w:rFonts w:cs="Times New Roman"/>
          <w:sz w:val="24"/>
          <w:szCs w:val="24"/>
        </w:rPr>
        <w:t xml:space="preserve"> </w:t>
      </w:r>
      <w:r w:rsidRPr="00954412">
        <w:rPr>
          <w:rFonts w:cs="Times New Roman"/>
          <w:sz w:val="24"/>
          <w:szCs w:val="24"/>
        </w:rPr>
        <w:t>and r</w:t>
      </w:r>
      <w:r w:rsidR="00A75ADB">
        <w:rPr>
          <w:rFonts w:cs="Times New Roman"/>
          <w:sz w:val="24"/>
          <w:szCs w:val="24"/>
        </w:rPr>
        <w:t>e</w:t>
      </w:r>
      <w:r w:rsidR="00530C53">
        <w:rPr>
          <w:rFonts w:cs="Times New Roman"/>
          <w:sz w:val="24"/>
          <w:szCs w:val="24"/>
        </w:rPr>
        <w:t>imbursement for vaccine costs)</w:t>
      </w:r>
      <w:r w:rsidR="0028797D">
        <w:rPr>
          <w:rFonts w:cs="Times New Roman"/>
          <w:sz w:val="24"/>
          <w:szCs w:val="24"/>
        </w:rPr>
        <w:t>.</w:t>
      </w:r>
    </w:p>
    <w:p w:rsidR="00A75ADB" w:rsidRDefault="00A75ADB" w:rsidP="000C67DD">
      <w:pPr>
        <w:spacing w:after="0"/>
        <w:ind w:left="360"/>
        <w:rPr>
          <w:rFonts w:cs="Times New Roman"/>
          <w:sz w:val="24"/>
          <w:szCs w:val="24"/>
        </w:rPr>
      </w:pPr>
    </w:p>
    <w:p w:rsidR="00D01134" w:rsidRPr="0043064A" w:rsidRDefault="00D01134" w:rsidP="000C67DD">
      <w:pPr>
        <w:spacing w:after="0"/>
        <w:ind w:left="360"/>
        <w:rPr>
          <w:sz w:val="24"/>
          <w:szCs w:val="24"/>
        </w:rPr>
      </w:pPr>
      <w:r w:rsidRPr="00D30709">
        <w:rPr>
          <w:sz w:val="24"/>
          <w:szCs w:val="24"/>
        </w:rPr>
        <w:t xml:space="preserve">According </w:t>
      </w:r>
      <w:r>
        <w:rPr>
          <w:sz w:val="24"/>
          <w:szCs w:val="24"/>
        </w:rPr>
        <w:t xml:space="preserve">to a 2012 study by the National </w:t>
      </w:r>
      <w:r w:rsidRPr="00D30709">
        <w:rPr>
          <w:sz w:val="24"/>
          <w:szCs w:val="24"/>
        </w:rPr>
        <w:t>Association of County &amp; City</w:t>
      </w:r>
      <w:r>
        <w:rPr>
          <w:sz w:val="24"/>
          <w:szCs w:val="24"/>
        </w:rPr>
        <w:t xml:space="preserve"> Health Officials, in 2011 </w:t>
      </w:r>
      <w:r w:rsidRPr="00D30709">
        <w:rPr>
          <w:sz w:val="24"/>
          <w:szCs w:val="24"/>
        </w:rPr>
        <w:t>57% of all US local health departments were</w:t>
      </w:r>
      <w:r>
        <w:rPr>
          <w:sz w:val="24"/>
          <w:szCs w:val="24"/>
        </w:rPr>
        <w:t xml:space="preserve"> </w:t>
      </w:r>
      <w:r w:rsidRPr="00D30709">
        <w:rPr>
          <w:sz w:val="24"/>
          <w:szCs w:val="24"/>
        </w:rPr>
        <w:t>forced to reduce or eliminate</w:t>
      </w:r>
      <w:r>
        <w:rPr>
          <w:sz w:val="24"/>
          <w:szCs w:val="24"/>
        </w:rPr>
        <w:t xml:space="preserve"> services in at least one program area and 19% </w:t>
      </w:r>
      <w:r w:rsidRPr="00D30709">
        <w:rPr>
          <w:sz w:val="24"/>
          <w:szCs w:val="24"/>
        </w:rPr>
        <w:t xml:space="preserve">made </w:t>
      </w:r>
      <w:r>
        <w:rPr>
          <w:sz w:val="24"/>
          <w:szCs w:val="24"/>
        </w:rPr>
        <w:t xml:space="preserve">cuts to immunization services </w:t>
      </w:r>
      <w:r w:rsidRPr="00F5696A">
        <w:rPr>
          <w:b/>
          <w:sz w:val="24"/>
          <w:szCs w:val="24"/>
        </w:rPr>
        <w:t>(see</w:t>
      </w:r>
      <w:r>
        <w:rPr>
          <w:sz w:val="24"/>
          <w:szCs w:val="24"/>
        </w:rPr>
        <w:t xml:space="preserve"> </w:t>
      </w:r>
      <w:r w:rsidR="004921AC">
        <w:rPr>
          <w:b/>
          <w:sz w:val="24"/>
          <w:szCs w:val="24"/>
        </w:rPr>
        <w:t xml:space="preserve">Attachment </w:t>
      </w:r>
      <w:r w:rsidR="0028797D">
        <w:rPr>
          <w:b/>
          <w:sz w:val="24"/>
          <w:szCs w:val="24"/>
        </w:rPr>
        <w:t>D</w:t>
      </w:r>
      <w:r>
        <w:rPr>
          <w:b/>
          <w:sz w:val="24"/>
          <w:szCs w:val="24"/>
        </w:rPr>
        <w:t>)</w:t>
      </w:r>
      <w:r w:rsidR="003C400C">
        <w:rPr>
          <w:sz w:val="24"/>
          <w:szCs w:val="24"/>
        </w:rPr>
        <w:t xml:space="preserve">. </w:t>
      </w:r>
      <w:r w:rsidRPr="00D30709">
        <w:rPr>
          <w:sz w:val="24"/>
          <w:szCs w:val="24"/>
        </w:rPr>
        <w:t>Meanwhile, the cost of vaccin</w:t>
      </w:r>
      <w:r>
        <w:rPr>
          <w:sz w:val="24"/>
          <w:szCs w:val="24"/>
        </w:rPr>
        <w:t xml:space="preserve">ating children and adolescents, </w:t>
      </w:r>
      <w:r w:rsidRPr="00D30709">
        <w:rPr>
          <w:sz w:val="24"/>
          <w:szCs w:val="24"/>
        </w:rPr>
        <w:t>a service fre</w:t>
      </w:r>
      <w:r>
        <w:rPr>
          <w:sz w:val="24"/>
          <w:szCs w:val="24"/>
        </w:rPr>
        <w:t xml:space="preserve">quently </w:t>
      </w:r>
      <w:r>
        <w:rPr>
          <w:sz w:val="24"/>
          <w:szCs w:val="24"/>
        </w:rPr>
        <w:lastRenderedPageBreak/>
        <w:t xml:space="preserve">provided free of charge by public </w:t>
      </w:r>
      <w:r w:rsidRPr="00D30709">
        <w:rPr>
          <w:sz w:val="24"/>
          <w:szCs w:val="24"/>
        </w:rPr>
        <w:t>health depart</w:t>
      </w:r>
      <w:r>
        <w:rPr>
          <w:sz w:val="24"/>
          <w:szCs w:val="24"/>
        </w:rPr>
        <w:t xml:space="preserve">ments, continues to increase as </w:t>
      </w:r>
      <w:r w:rsidRPr="00D30709">
        <w:rPr>
          <w:sz w:val="24"/>
          <w:szCs w:val="24"/>
        </w:rPr>
        <w:t>new, more expensive vaccines are ad</w:t>
      </w:r>
      <w:r>
        <w:rPr>
          <w:sz w:val="24"/>
          <w:szCs w:val="24"/>
        </w:rPr>
        <w:t xml:space="preserve">ded to the recommended </w:t>
      </w:r>
      <w:r w:rsidRPr="00D30709">
        <w:rPr>
          <w:sz w:val="24"/>
          <w:szCs w:val="24"/>
        </w:rPr>
        <w:t>immunization s</w:t>
      </w:r>
      <w:r>
        <w:rPr>
          <w:sz w:val="24"/>
          <w:szCs w:val="24"/>
        </w:rPr>
        <w:t xml:space="preserve">chedule. The cost of immunizing one </w:t>
      </w:r>
      <w:r w:rsidRPr="00D30709">
        <w:rPr>
          <w:sz w:val="24"/>
          <w:szCs w:val="24"/>
        </w:rPr>
        <w:t>child from birth th</w:t>
      </w:r>
      <w:r>
        <w:rPr>
          <w:sz w:val="24"/>
          <w:szCs w:val="24"/>
        </w:rPr>
        <w:t xml:space="preserve">rough adolescence in the public </w:t>
      </w:r>
      <w:r w:rsidRPr="00D30709">
        <w:rPr>
          <w:sz w:val="24"/>
          <w:szCs w:val="24"/>
        </w:rPr>
        <w:t>sector—not including the co</w:t>
      </w:r>
      <w:r>
        <w:rPr>
          <w:sz w:val="24"/>
          <w:szCs w:val="24"/>
        </w:rPr>
        <w:t xml:space="preserve">sts of storing or administering </w:t>
      </w:r>
      <w:r w:rsidRPr="00D30709">
        <w:rPr>
          <w:sz w:val="24"/>
          <w:szCs w:val="24"/>
        </w:rPr>
        <w:t>vaccine—rose ne</w:t>
      </w:r>
      <w:r>
        <w:rPr>
          <w:sz w:val="24"/>
          <w:szCs w:val="24"/>
        </w:rPr>
        <w:t xml:space="preserve">arly 500% between 2000 and 2011 to $1620.15.2 </w:t>
      </w:r>
      <w:r w:rsidRPr="00F5696A">
        <w:rPr>
          <w:b/>
          <w:sz w:val="24"/>
          <w:szCs w:val="24"/>
        </w:rPr>
        <w:t>(see</w:t>
      </w:r>
      <w:r>
        <w:rPr>
          <w:sz w:val="24"/>
          <w:szCs w:val="24"/>
        </w:rPr>
        <w:t xml:space="preserve"> </w:t>
      </w:r>
      <w:r w:rsidR="003C400C">
        <w:rPr>
          <w:b/>
          <w:sz w:val="24"/>
          <w:szCs w:val="24"/>
        </w:rPr>
        <w:t>Attachm</w:t>
      </w:r>
      <w:r w:rsidR="004921AC">
        <w:rPr>
          <w:b/>
          <w:sz w:val="24"/>
          <w:szCs w:val="24"/>
        </w:rPr>
        <w:t xml:space="preserve">ent </w:t>
      </w:r>
      <w:r w:rsidR="0028797D">
        <w:rPr>
          <w:b/>
          <w:sz w:val="24"/>
          <w:szCs w:val="24"/>
        </w:rPr>
        <w:t>E</w:t>
      </w:r>
      <w:r>
        <w:rPr>
          <w:b/>
          <w:sz w:val="24"/>
          <w:szCs w:val="24"/>
        </w:rPr>
        <w:t>)</w:t>
      </w:r>
      <w:r>
        <w:rPr>
          <w:sz w:val="24"/>
          <w:szCs w:val="24"/>
        </w:rPr>
        <w:t>.</w:t>
      </w:r>
    </w:p>
    <w:p w:rsidR="00D01134" w:rsidRDefault="00D01134" w:rsidP="000C67DD">
      <w:pPr>
        <w:spacing w:after="0"/>
        <w:ind w:left="360" w:firstLine="360"/>
        <w:rPr>
          <w:b/>
          <w:sz w:val="24"/>
          <w:szCs w:val="24"/>
        </w:rPr>
      </w:pPr>
    </w:p>
    <w:p w:rsidR="00D01134" w:rsidRPr="00F438C9" w:rsidRDefault="00D01134" w:rsidP="000C67DD">
      <w:pPr>
        <w:spacing w:after="0"/>
        <w:ind w:left="360"/>
        <w:rPr>
          <w:sz w:val="24"/>
          <w:szCs w:val="24"/>
        </w:rPr>
      </w:pPr>
      <w:r w:rsidRPr="00D30709">
        <w:rPr>
          <w:sz w:val="24"/>
          <w:szCs w:val="24"/>
        </w:rPr>
        <w:t>To help state an</w:t>
      </w:r>
      <w:r>
        <w:rPr>
          <w:sz w:val="24"/>
          <w:szCs w:val="24"/>
        </w:rPr>
        <w:t xml:space="preserve">d local health departments keep </w:t>
      </w:r>
      <w:r w:rsidRPr="00D30709">
        <w:rPr>
          <w:sz w:val="24"/>
          <w:szCs w:val="24"/>
        </w:rPr>
        <w:t>pace with these costs, the Centers for Disease Control</w:t>
      </w:r>
      <w:r>
        <w:rPr>
          <w:sz w:val="24"/>
          <w:szCs w:val="24"/>
        </w:rPr>
        <w:t xml:space="preserve"> and Prevention (CDC), through the </w:t>
      </w:r>
      <w:proofErr w:type="spellStart"/>
      <w:r>
        <w:rPr>
          <w:sz w:val="24"/>
          <w:szCs w:val="24"/>
        </w:rPr>
        <w:t>Billables</w:t>
      </w:r>
      <w:proofErr w:type="spellEnd"/>
      <w:r>
        <w:rPr>
          <w:sz w:val="24"/>
          <w:szCs w:val="24"/>
        </w:rPr>
        <w:t xml:space="preserve"> Project, </w:t>
      </w:r>
      <w:r w:rsidR="005C4D34">
        <w:rPr>
          <w:sz w:val="24"/>
          <w:szCs w:val="24"/>
        </w:rPr>
        <w:t xml:space="preserve">is </w:t>
      </w:r>
      <w:r w:rsidRPr="00F5696A">
        <w:rPr>
          <w:sz w:val="24"/>
          <w:szCs w:val="24"/>
        </w:rPr>
        <w:t>assisting them with implementing programs</w:t>
      </w:r>
      <w:r>
        <w:rPr>
          <w:b/>
          <w:sz w:val="24"/>
          <w:szCs w:val="24"/>
        </w:rPr>
        <w:t xml:space="preserve"> </w:t>
      </w:r>
      <w:r w:rsidRPr="00F5696A">
        <w:rPr>
          <w:sz w:val="24"/>
          <w:szCs w:val="24"/>
        </w:rPr>
        <w:t>to bill Medicaid, Medicare, and private insurance</w:t>
      </w:r>
      <w:r>
        <w:rPr>
          <w:b/>
          <w:sz w:val="24"/>
          <w:szCs w:val="24"/>
        </w:rPr>
        <w:t xml:space="preserve"> </w:t>
      </w:r>
      <w:r w:rsidRPr="00F5696A">
        <w:rPr>
          <w:sz w:val="24"/>
          <w:szCs w:val="24"/>
        </w:rPr>
        <w:t>when immunization services are requested by or</w:t>
      </w:r>
      <w:r>
        <w:rPr>
          <w:b/>
          <w:sz w:val="24"/>
          <w:szCs w:val="24"/>
        </w:rPr>
        <w:t xml:space="preserve"> </w:t>
      </w:r>
      <w:r w:rsidRPr="00F5696A">
        <w:rPr>
          <w:sz w:val="24"/>
          <w:szCs w:val="24"/>
        </w:rPr>
        <w:t>recommended for an insured clie</w:t>
      </w:r>
      <w:r>
        <w:rPr>
          <w:sz w:val="24"/>
          <w:szCs w:val="24"/>
        </w:rPr>
        <w:t xml:space="preserve">nt. </w:t>
      </w:r>
      <w:r w:rsidRPr="00F5696A">
        <w:rPr>
          <w:sz w:val="24"/>
          <w:szCs w:val="24"/>
        </w:rPr>
        <w:t>Although the number</w:t>
      </w:r>
      <w:r>
        <w:rPr>
          <w:b/>
          <w:sz w:val="24"/>
          <w:szCs w:val="24"/>
        </w:rPr>
        <w:t xml:space="preserve"> </w:t>
      </w:r>
      <w:r w:rsidRPr="00F5696A">
        <w:rPr>
          <w:sz w:val="24"/>
          <w:szCs w:val="24"/>
        </w:rPr>
        <w:t>varies widely by geographic area, some health departments</w:t>
      </w:r>
      <w:r>
        <w:rPr>
          <w:b/>
          <w:sz w:val="24"/>
          <w:szCs w:val="24"/>
        </w:rPr>
        <w:t xml:space="preserve"> </w:t>
      </w:r>
      <w:r w:rsidRPr="00F5696A">
        <w:rPr>
          <w:sz w:val="24"/>
          <w:szCs w:val="24"/>
        </w:rPr>
        <w:t>report that more than half of patients are</w:t>
      </w:r>
      <w:r>
        <w:rPr>
          <w:b/>
          <w:sz w:val="24"/>
          <w:szCs w:val="24"/>
        </w:rPr>
        <w:t xml:space="preserve"> </w:t>
      </w:r>
      <w:r w:rsidR="003C400C">
        <w:rPr>
          <w:sz w:val="24"/>
          <w:szCs w:val="24"/>
        </w:rPr>
        <w:t xml:space="preserve">fully insured. However, a </w:t>
      </w:r>
      <w:r w:rsidRPr="00F5696A">
        <w:rPr>
          <w:sz w:val="24"/>
          <w:szCs w:val="24"/>
        </w:rPr>
        <w:t>national survey published</w:t>
      </w:r>
      <w:r>
        <w:rPr>
          <w:b/>
          <w:sz w:val="24"/>
          <w:szCs w:val="24"/>
        </w:rPr>
        <w:t xml:space="preserve"> </w:t>
      </w:r>
      <w:r w:rsidRPr="00F5696A">
        <w:rPr>
          <w:sz w:val="24"/>
          <w:szCs w:val="24"/>
        </w:rPr>
        <w:t xml:space="preserve">in the </w:t>
      </w:r>
      <w:r w:rsidRPr="00F5696A">
        <w:rPr>
          <w:i/>
          <w:iCs/>
          <w:sz w:val="24"/>
          <w:szCs w:val="24"/>
        </w:rPr>
        <w:t>American Journal of Preventive Medicine</w:t>
      </w:r>
      <w:r>
        <w:rPr>
          <w:b/>
          <w:sz w:val="24"/>
          <w:szCs w:val="24"/>
        </w:rPr>
        <w:t xml:space="preserve"> </w:t>
      </w:r>
      <w:r w:rsidRPr="00F5696A">
        <w:rPr>
          <w:sz w:val="24"/>
          <w:szCs w:val="24"/>
        </w:rPr>
        <w:t>found that only 31% of US health departments were</w:t>
      </w:r>
      <w:r>
        <w:rPr>
          <w:b/>
          <w:sz w:val="24"/>
          <w:szCs w:val="24"/>
        </w:rPr>
        <w:t xml:space="preserve"> </w:t>
      </w:r>
      <w:r w:rsidRPr="00F5696A">
        <w:rPr>
          <w:sz w:val="24"/>
          <w:szCs w:val="24"/>
        </w:rPr>
        <w:t>billing managed care organizations for the immunization</w:t>
      </w:r>
      <w:r>
        <w:rPr>
          <w:b/>
          <w:sz w:val="24"/>
          <w:szCs w:val="24"/>
        </w:rPr>
        <w:t xml:space="preserve"> </w:t>
      </w:r>
      <w:r w:rsidRPr="00F5696A">
        <w:rPr>
          <w:sz w:val="24"/>
          <w:szCs w:val="24"/>
        </w:rPr>
        <w:t>servic</w:t>
      </w:r>
      <w:r>
        <w:rPr>
          <w:sz w:val="24"/>
          <w:szCs w:val="24"/>
        </w:rPr>
        <w:t xml:space="preserve">es provided to insured patients </w:t>
      </w:r>
      <w:r w:rsidRPr="00F5696A">
        <w:rPr>
          <w:b/>
          <w:sz w:val="24"/>
          <w:szCs w:val="24"/>
        </w:rPr>
        <w:t>(see</w:t>
      </w:r>
      <w:r>
        <w:rPr>
          <w:sz w:val="24"/>
          <w:szCs w:val="24"/>
        </w:rPr>
        <w:t xml:space="preserve"> </w:t>
      </w:r>
      <w:r w:rsidR="00F6000E">
        <w:rPr>
          <w:b/>
          <w:sz w:val="24"/>
          <w:szCs w:val="24"/>
        </w:rPr>
        <w:t xml:space="preserve">Attachment </w:t>
      </w:r>
      <w:r w:rsidR="0028797D">
        <w:rPr>
          <w:b/>
          <w:sz w:val="24"/>
          <w:szCs w:val="24"/>
        </w:rPr>
        <w:t>F</w:t>
      </w:r>
      <w:r>
        <w:rPr>
          <w:b/>
          <w:sz w:val="24"/>
          <w:szCs w:val="24"/>
        </w:rPr>
        <w:t>)</w:t>
      </w:r>
      <w:r>
        <w:rPr>
          <w:sz w:val="24"/>
          <w:szCs w:val="24"/>
        </w:rPr>
        <w:t xml:space="preserve">. </w:t>
      </w:r>
      <w:r w:rsidRPr="00F5696A">
        <w:rPr>
          <w:sz w:val="24"/>
          <w:szCs w:val="24"/>
        </w:rPr>
        <w:t>Through the</w:t>
      </w:r>
      <w:r>
        <w:rPr>
          <w:b/>
          <w:sz w:val="24"/>
          <w:szCs w:val="24"/>
        </w:rPr>
        <w:t xml:space="preserve"> </w:t>
      </w:r>
      <w:proofErr w:type="spellStart"/>
      <w:r w:rsidRPr="00F5696A">
        <w:rPr>
          <w:sz w:val="24"/>
          <w:szCs w:val="24"/>
        </w:rPr>
        <w:t>Billables</w:t>
      </w:r>
      <w:proofErr w:type="spellEnd"/>
      <w:r w:rsidRPr="00F5696A">
        <w:rPr>
          <w:sz w:val="24"/>
          <w:szCs w:val="24"/>
        </w:rPr>
        <w:t xml:space="preserve"> Project, the CDC aims to encourage more responsible</w:t>
      </w:r>
      <w:r>
        <w:rPr>
          <w:b/>
          <w:sz w:val="24"/>
          <w:szCs w:val="24"/>
        </w:rPr>
        <w:t xml:space="preserve"> </w:t>
      </w:r>
      <w:r w:rsidRPr="00F5696A">
        <w:rPr>
          <w:sz w:val="24"/>
          <w:szCs w:val="24"/>
        </w:rPr>
        <w:t>stewardship of tax dollars going into vaccine</w:t>
      </w:r>
      <w:r>
        <w:rPr>
          <w:b/>
          <w:sz w:val="24"/>
          <w:szCs w:val="24"/>
        </w:rPr>
        <w:t xml:space="preserve"> </w:t>
      </w:r>
      <w:r w:rsidRPr="00F5696A">
        <w:rPr>
          <w:sz w:val="24"/>
          <w:szCs w:val="24"/>
        </w:rPr>
        <w:t>funding. Agency officials reasoned that since the cost</w:t>
      </w:r>
      <w:r>
        <w:rPr>
          <w:b/>
          <w:sz w:val="24"/>
          <w:szCs w:val="24"/>
        </w:rPr>
        <w:t xml:space="preserve"> </w:t>
      </w:r>
      <w:r w:rsidRPr="00F5696A">
        <w:rPr>
          <w:sz w:val="24"/>
          <w:szCs w:val="24"/>
        </w:rPr>
        <w:t>of vaccinating fully insured individuals was already</w:t>
      </w:r>
      <w:r>
        <w:rPr>
          <w:b/>
          <w:sz w:val="24"/>
          <w:szCs w:val="24"/>
        </w:rPr>
        <w:t xml:space="preserve"> </w:t>
      </w:r>
      <w:r w:rsidRPr="00F5696A">
        <w:rPr>
          <w:sz w:val="24"/>
          <w:szCs w:val="24"/>
        </w:rPr>
        <w:t>being paid through insurance premiums, government</w:t>
      </w:r>
      <w:r>
        <w:rPr>
          <w:b/>
          <w:sz w:val="24"/>
          <w:szCs w:val="24"/>
        </w:rPr>
        <w:t xml:space="preserve"> </w:t>
      </w:r>
      <w:r w:rsidRPr="00F5696A">
        <w:rPr>
          <w:sz w:val="24"/>
          <w:szCs w:val="24"/>
        </w:rPr>
        <w:t>funds should no longer be used to provide vaccinations</w:t>
      </w:r>
      <w:r>
        <w:rPr>
          <w:b/>
          <w:sz w:val="24"/>
          <w:szCs w:val="24"/>
        </w:rPr>
        <w:t xml:space="preserve"> </w:t>
      </w:r>
      <w:r w:rsidRPr="00F5696A">
        <w:rPr>
          <w:sz w:val="24"/>
          <w:szCs w:val="24"/>
        </w:rPr>
        <w:t>to individuals covered under a health insurance plan.</w:t>
      </w:r>
    </w:p>
    <w:p w:rsidR="00954412" w:rsidRDefault="00954412" w:rsidP="000C67DD">
      <w:pPr>
        <w:spacing w:after="0"/>
        <w:ind w:left="360"/>
        <w:rPr>
          <w:rFonts w:cs="Times New Roman"/>
          <w:sz w:val="24"/>
          <w:szCs w:val="24"/>
        </w:rPr>
      </w:pPr>
    </w:p>
    <w:p w:rsidR="00D01134" w:rsidRDefault="007F1E18" w:rsidP="000C67DD">
      <w:pPr>
        <w:spacing w:after="0"/>
        <w:ind w:left="360"/>
        <w:rPr>
          <w:sz w:val="24"/>
          <w:szCs w:val="24"/>
        </w:rPr>
      </w:pPr>
      <w:r w:rsidRPr="007F1E18">
        <w:rPr>
          <w:sz w:val="24"/>
          <w:szCs w:val="24"/>
        </w:rPr>
        <w:t xml:space="preserve">The CDC has provided </w:t>
      </w:r>
      <w:r w:rsidR="00D91C34">
        <w:rPr>
          <w:sz w:val="24"/>
          <w:szCs w:val="24"/>
        </w:rPr>
        <w:t>financial</w:t>
      </w:r>
      <w:r>
        <w:rPr>
          <w:sz w:val="24"/>
          <w:szCs w:val="24"/>
        </w:rPr>
        <w:t xml:space="preserve"> </w:t>
      </w:r>
      <w:r w:rsidRPr="007F1E18">
        <w:rPr>
          <w:sz w:val="24"/>
          <w:szCs w:val="24"/>
        </w:rPr>
        <w:t xml:space="preserve">support </w:t>
      </w:r>
      <w:r w:rsidR="00D91C34">
        <w:rPr>
          <w:sz w:val="24"/>
          <w:szCs w:val="24"/>
        </w:rPr>
        <w:t xml:space="preserve">in </w:t>
      </w:r>
      <w:r w:rsidRPr="007F1E18">
        <w:rPr>
          <w:sz w:val="24"/>
          <w:szCs w:val="24"/>
        </w:rPr>
        <w:t>the development and expansion of billing</w:t>
      </w:r>
      <w:r>
        <w:rPr>
          <w:sz w:val="24"/>
          <w:szCs w:val="24"/>
        </w:rPr>
        <w:t xml:space="preserve"> </w:t>
      </w:r>
      <w:r w:rsidRPr="007F1E18">
        <w:rPr>
          <w:sz w:val="24"/>
          <w:szCs w:val="24"/>
        </w:rPr>
        <w:t>programs nationwide, and by December 2011, health</w:t>
      </w:r>
      <w:r>
        <w:rPr>
          <w:sz w:val="24"/>
          <w:szCs w:val="24"/>
        </w:rPr>
        <w:t xml:space="preserve"> </w:t>
      </w:r>
      <w:r w:rsidRPr="007F1E18">
        <w:rPr>
          <w:sz w:val="24"/>
          <w:szCs w:val="24"/>
        </w:rPr>
        <w:t>departments had begun to see the income potential</w:t>
      </w:r>
      <w:r>
        <w:rPr>
          <w:sz w:val="24"/>
          <w:szCs w:val="24"/>
        </w:rPr>
        <w:t xml:space="preserve"> </w:t>
      </w:r>
      <w:r w:rsidRPr="007F1E18">
        <w:rPr>
          <w:sz w:val="24"/>
          <w:szCs w:val="24"/>
        </w:rPr>
        <w:t>from this investment. Pilot billing programs in just 4</w:t>
      </w:r>
      <w:r>
        <w:rPr>
          <w:sz w:val="24"/>
          <w:szCs w:val="24"/>
        </w:rPr>
        <w:t xml:space="preserve"> </w:t>
      </w:r>
      <w:r w:rsidRPr="007F1E18">
        <w:rPr>
          <w:sz w:val="24"/>
          <w:szCs w:val="24"/>
        </w:rPr>
        <w:t>states (Arizona, Arkansas, Georgia, and Montana) had</w:t>
      </w:r>
      <w:r>
        <w:rPr>
          <w:sz w:val="24"/>
          <w:szCs w:val="24"/>
        </w:rPr>
        <w:t xml:space="preserve"> </w:t>
      </w:r>
      <w:r w:rsidRPr="007F1E18">
        <w:rPr>
          <w:sz w:val="24"/>
          <w:szCs w:val="24"/>
        </w:rPr>
        <w:t>already recovered a total of nearly $5million in administration</w:t>
      </w:r>
      <w:r>
        <w:rPr>
          <w:sz w:val="24"/>
          <w:szCs w:val="24"/>
        </w:rPr>
        <w:t xml:space="preserve"> </w:t>
      </w:r>
      <w:r w:rsidRPr="007F1E18">
        <w:rPr>
          <w:sz w:val="24"/>
          <w:szCs w:val="24"/>
        </w:rPr>
        <w:t>fees and vaccine costs. As billing programs</w:t>
      </w:r>
      <w:r>
        <w:rPr>
          <w:sz w:val="24"/>
          <w:szCs w:val="24"/>
        </w:rPr>
        <w:t xml:space="preserve"> </w:t>
      </w:r>
      <w:r w:rsidRPr="007F1E18">
        <w:rPr>
          <w:sz w:val="24"/>
          <w:szCs w:val="24"/>
        </w:rPr>
        <w:t>grow, the income will help offset cuts to public health</w:t>
      </w:r>
      <w:r>
        <w:rPr>
          <w:sz w:val="24"/>
          <w:szCs w:val="24"/>
        </w:rPr>
        <w:t xml:space="preserve"> </w:t>
      </w:r>
      <w:r w:rsidRPr="007F1E18">
        <w:rPr>
          <w:sz w:val="24"/>
          <w:szCs w:val="24"/>
        </w:rPr>
        <w:t>programs and servic</w:t>
      </w:r>
      <w:r>
        <w:rPr>
          <w:sz w:val="24"/>
          <w:szCs w:val="24"/>
        </w:rPr>
        <w:t xml:space="preserve">es resulting from the recession. </w:t>
      </w:r>
      <w:r w:rsidRPr="007F1E18">
        <w:rPr>
          <w:sz w:val="24"/>
          <w:szCs w:val="24"/>
        </w:rPr>
        <w:t>Revenue generated through billing programs may</w:t>
      </w:r>
      <w:r>
        <w:rPr>
          <w:sz w:val="24"/>
          <w:szCs w:val="24"/>
        </w:rPr>
        <w:t xml:space="preserve"> </w:t>
      </w:r>
      <w:r w:rsidRPr="007F1E18">
        <w:rPr>
          <w:sz w:val="24"/>
          <w:szCs w:val="24"/>
        </w:rPr>
        <w:t>enable health departments to expand and enhance</w:t>
      </w:r>
      <w:r>
        <w:rPr>
          <w:sz w:val="24"/>
          <w:szCs w:val="24"/>
        </w:rPr>
        <w:t xml:space="preserve"> </w:t>
      </w:r>
      <w:r w:rsidRPr="007F1E18">
        <w:rPr>
          <w:sz w:val="24"/>
          <w:szCs w:val="24"/>
        </w:rPr>
        <w:t>immunization services they provide to children,</w:t>
      </w:r>
      <w:r>
        <w:rPr>
          <w:sz w:val="24"/>
          <w:szCs w:val="24"/>
        </w:rPr>
        <w:t xml:space="preserve"> </w:t>
      </w:r>
      <w:r w:rsidRPr="007F1E18">
        <w:rPr>
          <w:sz w:val="24"/>
          <w:szCs w:val="24"/>
        </w:rPr>
        <w:t xml:space="preserve">adolescents, and adults. </w:t>
      </w:r>
    </w:p>
    <w:p w:rsidR="00C42FA4" w:rsidRDefault="00C42FA4" w:rsidP="000C67DD">
      <w:pPr>
        <w:spacing w:after="0"/>
        <w:ind w:left="360"/>
        <w:rPr>
          <w:sz w:val="24"/>
          <w:szCs w:val="24"/>
        </w:rPr>
      </w:pPr>
    </w:p>
    <w:p w:rsidR="009E6A03" w:rsidRDefault="00A54DC9" w:rsidP="00FA0B7A">
      <w:pPr>
        <w:ind w:left="360"/>
        <w:rPr>
          <w:sz w:val="24"/>
          <w:szCs w:val="24"/>
        </w:rPr>
      </w:pPr>
      <w:r w:rsidRPr="00457884">
        <w:rPr>
          <w:sz w:val="24"/>
          <w:szCs w:val="24"/>
        </w:rPr>
        <w:t>The current assessment will gather information</w:t>
      </w:r>
      <w:r w:rsidR="00614DF4">
        <w:rPr>
          <w:sz w:val="24"/>
          <w:szCs w:val="24"/>
        </w:rPr>
        <w:t xml:space="preserve"> specific to planning, adoption </w:t>
      </w:r>
      <w:r w:rsidRPr="00457884">
        <w:rPr>
          <w:sz w:val="24"/>
          <w:szCs w:val="24"/>
        </w:rPr>
        <w:t>and implementation of public health</w:t>
      </w:r>
      <w:r w:rsidR="004201F5">
        <w:rPr>
          <w:sz w:val="24"/>
          <w:szCs w:val="24"/>
        </w:rPr>
        <w:t xml:space="preserve"> immunization billing programs. </w:t>
      </w:r>
      <w:r w:rsidRPr="00457884">
        <w:rPr>
          <w:sz w:val="24"/>
          <w:szCs w:val="24"/>
        </w:rPr>
        <w:t xml:space="preserve">Data will be collected through </w:t>
      </w:r>
      <w:r w:rsidR="003945D4" w:rsidRPr="00457884">
        <w:rPr>
          <w:sz w:val="24"/>
          <w:szCs w:val="24"/>
        </w:rPr>
        <w:t>a</w:t>
      </w:r>
      <w:r w:rsidRPr="00457884">
        <w:rPr>
          <w:sz w:val="24"/>
          <w:szCs w:val="24"/>
        </w:rPr>
        <w:t xml:space="preserve"> web-based </w:t>
      </w:r>
      <w:r w:rsidR="009E6A03">
        <w:rPr>
          <w:sz w:val="24"/>
          <w:szCs w:val="24"/>
        </w:rPr>
        <w:t xml:space="preserve">data collection </w:t>
      </w:r>
      <w:r w:rsidR="001C5DB1">
        <w:rPr>
          <w:sz w:val="24"/>
          <w:szCs w:val="24"/>
        </w:rPr>
        <w:t xml:space="preserve">instrument </w:t>
      </w:r>
      <w:r w:rsidRPr="00457884">
        <w:rPr>
          <w:sz w:val="24"/>
          <w:szCs w:val="24"/>
        </w:rPr>
        <w:t xml:space="preserve">with the target population of state </w:t>
      </w:r>
      <w:r w:rsidR="003625EC" w:rsidRPr="00457884">
        <w:rPr>
          <w:sz w:val="24"/>
          <w:szCs w:val="24"/>
        </w:rPr>
        <w:t>immunization billing</w:t>
      </w:r>
      <w:r w:rsidRPr="00457884">
        <w:rPr>
          <w:sz w:val="24"/>
          <w:szCs w:val="24"/>
        </w:rPr>
        <w:t xml:space="preserve"> program managers and coordinators</w:t>
      </w:r>
      <w:r w:rsidRPr="000C67DD">
        <w:rPr>
          <w:sz w:val="24"/>
          <w:szCs w:val="24"/>
        </w:rPr>
        <w:t>.  Participation i</w:t>
      </w:r>
      <w:r w:rsidR="00F5696A" w:rsidRPr="000C67DD">
        <w:rPr>
          <w:sz w:val="24"/>
          <w:szCs w:val="24"/>
        </w:rPr>
        <w:t xml:space="preserve">n the </w:t>
      </w:r>
      <w:r w:rsidR="005A6922" w:rsidRPr="000C67DD">
        <w:rPr>
          <w:sz w:val="24"/>
          <w:szCs w:val="24"/>
        </w:rPr>
        <w:t xml:space="preserve">assessment </w:t>
      </w:r>
      <w:r w:rsidR="00F5696A" w:rsidRPr="000C67DD">
        <w:rPr>
          <w:sz w:val="24"/>
          <w:szCs w:val="24"/>
        </w:rPr>
        <w:t xml:space="preserve">will be voluntary. </w:t>
      </w:r>
      <w:r w:rsidR="000C67DD" w:rsidRPr="009E6A03">
        <w:rPr>
          <w:sz w:val="24"/>
          <w:szCs w:val="24"/>
        </w:rPr>
        <w:t xml:space="preserve">By asking </w:t>
      </w:r>
      <w:r w:rsidR="000C67DD">
        <w:rPr>
          <w:sz w:val="24"/>
          <w:szCs w:val="24"/>
        </w:rPr>
        <w:t xml:space="preserve">grant </w:t>
      </w:r>
      <w:r w:rsidR="000C67DD" w:rsidRPr="009E6A03">
        <w:rPr>
          <w:sz w:val="24"/>
          <w:szCs w:val="24"/>
        </w:rPr>
        <w:t xml:space="preserve">awardees to identify their current processes, to describe how billing activities address these needs, and to identify new activities that they would find helpful, CDC will be better able to improve existing activities as well as prioritize areas for additional or expanded </w:t>
      </w:r>
      <w:r w:rsidR="000C67DD">
        <w:rPr>
          <w:sz w:val="24"/>
          <w:szCs w:val="24"/>
        </w:rPr>
        <w:t xml:space="preserve">services. </w:t>
      </w:r>
      <w:r w:rsidRPr="000C67DD">
        <w:rPr>
          <w:sz w:val="24"/>
          <w:szCs w:val="24"/>
        </w:rPr>
        <w:t xml:space="preserve">The data and information collected will also be used to assess </w:t>
      </w:r>
      <w:r w:rsidR="00614DF4" w:rsidRPr="000C67DD">
        <w:rPr>
          <w:sz w:val="24"/>
          <w:szCs w:val="24"/>
        </w:rPr>
        <w:t>the value of the CDC-</w:t>
      </w:r>
      <w:r w:rsidRPr="000C67DD">
        <w:rPr>
          <w:sz w:val="24"/>
          <w:szCs w:val="24"/>
        </w:rPr>
        <w:t xml:space="preserve">funded grant program and gather information to inform </w:t>
      </w:r>
      <w:r w:rsidRPr="000C67DD">
        <w:rPr>
          <w:sz w:val="24"/>
          <w:szCs w:val="24"/>
        </w:rPr>
        <w:lastRenderedPageBreak/>
        <w:t xml:space="preserve">improvements to </w:t>
      </w:r>
      <w:r w:rsidR="00614DF4" w:rsidRPr="000C67DD">
        <w:rPr>
          <w:sz w:val="24"/>
          <w:szCs w:val="24"/>
        </w:rPr>
        <w:t xml:space="preserve">future </w:t>
      </w:r>
      <w:r w:rsidR="00BE6DC2" w:rsidRPr="000C67DD">
        <w:rPr>
          <w:sz w:val="24"/>
          <w:szCs w:val="24"/>
        </w:rPr>
        <w:t xml:space="preserve">CDC grants. In addition, the </w:t>
      </w:r>
      <w:r w:rsidR="00F05C20">
        <w:rPr>
          <w:sz w:val="24"/>
          <w:szCs w:val="24"/>
        </w:rPr>
        <w:t xml:space="preserve">data collected </w:t>
      </w:r>
      <w:r w:rsidR="00BE6DC2" w:rsidRPr="000C67DD">
        <w:rPr>
          <w:sz w:val="24"/>
          <w:szCs w:val="24"/>
        </w:rPr>
        <w:t>from this assessment are intended to advance evidence-based public health practices around immunization</w:t>
      </w:r>
      <w:r w:rsidR="00FA0B7A">
        <w:rPr>
          <w:sz w:val="24"/>
          <w:szCs w:val="24"/>
        </w:rPr>
        <w:t xml:space="preserve"> billing program implementation. </w:t>
      </w:r>
      <w:r w:rsidR="007F6B0F" w:rsidRPr="00457884">
        <w:rPr>
          <w:sz w:val="24"/>
          <w:szCs w:val="24"/>
        </w:rPr>
        <w:t>This information is important for decision-making about the potential future development of immunization billing programs and services designed to support public health agencies. The public health agencies will be assessed on patient intake procedures, health insurance verification practices, billing infrastructure, and claim</w:t>
      </w:r>
      <w:r w:rsidR="00F05C20">
        <w:rPr>
          <w:sz w:val="24"/>
          <w:szCs w:val="24"/>
        </w:rPr>
        <w:t>s</w:t>
      </w:r>
      <w:r w:rsidR="007F6B0F" w:rsidRPr="00457884">
        <w:rPr>
          <w:sz w:val="24"/>
          <w:szCs w:val="24"/>
        </w:rPr>
        <w:t xml:space="preserve"> reimbursement data. </w:t>
      </w:r>
    </w:p>
    <w:p w:rsidR="00A54DC9" w:rsidRDefault="00A54DC9" w:rsidP="000A389A">
      <w:pPr>
        <w:spacing w:after="0"/>
        <w:ind w:firstLine="360"/>
        <w:rPr>
          <w:b/>
          <w:sz w:val="24"/>
          <w:szCs w:val="24"/>
        </w:rPr>
      </w:pPr>
      <w:r w:rsidRPr="00457884">
        <w:rPr>
          <w:b/>
          <w:sz w:val="24"/>
          <w:szCs w:val="24"/>
        </w:rPr>
        <w:t>Privacy Impact Assessment</w:t>
      </w:r>
    </w:p>
    <w:p w:rsidR="00A54DC9" w:rsidRPr="00457884" w:rsidRDefault="00A54DC9" w:rsidP="000A389A">
      <w:pPr>
        <w:spacing w:after="0"/>
        <w:ind w:firstLine="360"/>
        <w:rPr>
          <w:sz w:val="24"/>
          <w:szCs w:val="24"/>
        </w:rPr>
      </w:pPr>
      <w:r w:rsidRPr="00457884">
        <w:rPr>
          <w:sz w:val="24"/>
          <w:szCs w:val="24"/>
          <w:u w:val="single"/>
        </w:rPr>
        <w:t>Overview of the Data Collection System</w:t>
      </w:r>
      <w:r w:rsidRPr="00457884">
        <w:rPr>
          <w:sz w:val="24"/>
          <w:szCs w:val="24"/>
        </w:rPr>
        <w:t xml:space="preserve"> </w:t>
      </w:r>
    </w:p>
    <w:p w:rsidR="001B0646" w:rsidRPr="00F500AD" w:rsidRDefault="00A54DC9" w:rsidP="00C26013">
      <w:pPr>
        <w:spacing w:after="0"/>
        <w:ind w:left="360"/>
        <w:rPr>
          <w:sz w:val="24"/>
          <w:szCs w:val="24"/>
        </w:rPr>
      </w:pPr>
      <w:r w:rsidRPr="00457884">
        <w:rPr>
          <w:sz w:val="24"/>
          <w:szCs w:val="24"/>
        </w:rPr>
        <w:t xml:space="preserve">The data collection </w:t>
      </w:r>
      <w:r w:rsidR="001C5DB1">
        <w:rPr>
          <w:sz w:val="24"/>
          <w:szCs w:val="24"/>
        </w:rPr>
        <w:t>instrument</w:t>
      </w:r>
      <w:r w:rsidRPr="00457884">
        <w:rPr>
          <w:sz w:val="24"/>
          <w:szCs w:val="24"/>
        </w:rPr>
        <w:t xml:space="preserve"> consists of a web-based </w:t>
      </w:r>
      <w:r w:rsidR="0057128C">
        <w:rPr>
          <w:sz w:val="24"/>
          <w:szCs w:val="24"/>
        </w:rPr>
        <w:t>assessment</w:t>
      </w:r>
      <w:r w:rsidRPr="00457884">
        <w:rPr>
          <w:sz w:val="24"/>
          <w:szCs w:val="24"/>
        </w:rPr>
        <w:t xml:space="preserve"> </w:t>
      </w:r>
      <w:r w:rsidRPr="00D975D4">
        <w:rPr>
          <w:b/>
          <w:sz w:val="24"/>
          <w:szCs w:val="24"/>
        </w:rPr>
        <w:t>(see</w:t>
      </w:r>
      <w:r w:rsidRPr="00457884">
        <w:rPr>
          <w:sz w:val="24"/>
          <w:szCs w:val="24"/>
        </w:rPr>
        <w:t xml:space="preserve"> </w:t>
      </w:r>
      <w:r w:rsidR="00892E94">
        <w:rPr>
          <w:b/>
          <w:sz w:val="24"/>
          <w:szCs w:val="24"/>
        </w:rPr>
        <w:t xml:space="preserve">Attachment </w:t>
      </w:r>
      <w:r w:rsidR="0028797D">
        <w:rPr>
          <w:b/>
          <w:sz w:val="24"/>
          <w:szCs w:val="24"/>
        </w:rPr>
        <w:t>G</w:t>
      </w:r>
      <w:r w:rsidR="0057128C">
        <w:rPr>
          <w:b/>
          <w:sz w:val="24"/>
          <w:szCs w:val="24"/>
        </w:rPr>
        <w:t xml:space="preserve"> – Data Collection </w:t>
      </w:r>
      <w:r w:rsidRPr="00457884">
        <w:rPr>
          <w:b/>
          <w:sz w:val="24"/>
          <w:szCs w:val="24"/>
        </w:rPr>
        <w:t xml:space="preserve">Instrument: </w:t>
      </w:r>
      <w:r w:rsidR="00892E94">
        <w:rPr>
          <w:b/>
          <w:sz w:val="24"/>
          <w:szCs w:val="24"/>
        </w:rPr>
        <w:t xml:space="preserve">Web version and Attachment </w:t>
      </w:r>
      <w:r w:rsidR="0028797D">
        <w:rPr>
          <w:b/>
          <w:sz w:val="24"/>
          <w:szCs w:val="24"/>
        </w:rPr>
        <w:t>H</w:t>
      </w:r>
      <w:r w:rsidRPr="00457884">
        <w:rPr>
          <w:b/>
          <w:sz w:val="24"/>
          <w:szCs w:val="24"/>
        </w:rPr>
        <w:t xml:space="preserve"> – </w:t>
      </w:r>
      <w:r w:rsidR="0057128C">
        <w:rPr>
          <w:b/>
          <w:sz w:val="24"/>
          <w:szCs w:val="24"/>
        </w:rPr>
        <w:t>Data Collection</w:t>
      </w:r>
      <w:r w:rsidR="00DA4EBD">
        <w:rPr>
          <w:b/>
          <w:sz w:val="24"/>
          <w:szCs w:val="24"/>
        </w:rPr>
        <w:t xml:space="preserve"> Instrument: MS Word version</w:t>
      </w:r>
      <w:r w:rsidR="0057128C" w:rsidRPr="00D975D4">
        <w:rPr>
          <w:b/>
          <w:sz w:val="24"/>
          <w:szCs w:val="24"/>
        </w:rPr>
        <w:t>)</w:t>
      </w:r>
      <w:r w:rsidR="0057128C">
        <w:rPr>
          <w:sz w:val="24"/>
          <w:szCs w:val="24"/>
        </w:rPr>
        <w:t xml:space="preserve"> designed to assess</w:t>
      </w:r>
      <w:r w:rsidRPr="00457884">
        <w:rPr>
          <w:sz w:val="24"/>
          <w:szCs w:val="24"/>
        </w:rPr>
        <w:t xml:space="preserve"> local and state public health professionals in lead roles in immunization billing programs regarding</w:t>
      </w:r>
      <w:r w:rsidRPr="00457884">
        <w:rPr>
          <w:rStyle w:val="CommentReference"/>
          <w:sz w:val="24"/>
          <w:szCs w:val="24"/>
        </w:rPr>
        <w:t xml:space="preserve"> knowledge, use, and </w:t>
      </w:r>
      <w:r w:rsidR="003945D4" w:rsidRPr="00457884">
        <w:rPr>
          <w:rStyle w:val="CommentReference"/>
          <w:sz w:val="24"/>
          <w:szCs w:val="24"/>
        </w:rPr>
        <w:t>implementation of</w:t>
      </w:r>
      <w:r w:rsidRPr="00457884">
        <w:rPr>
          <w:rStyle w:val="CommentReference"/>
          <w:sz w:val="24"/>
          <w:szCs w:val="24"/>
        </w:rPr>
        <w:t xml:space="preserve"> their billing program. </w:t>
      </w:r>
      <w:r w:rsidRPr="00457884">
        <w:rPr>
          <w:sz w:val="24"/>
          <w:szCs w:val="24"/>
        </w:rPr>
        <w:t>The data collection instrument will be administered as a web-based</w:t>
      </w:r>
      <w:r w:rsidR="003945D4" w:rsidRPr="00457884">
        <w:rPr>
          <w:sz w:val="24"/>
          <w:szCs w:val="24"/>
        </w:rPr>
        <w:t xml:space="preserve"> </w:t>
      </w:r>
      <w:r w:rsidR="0057128C">
        <w:rPr>
          <w:sz w:val="24"/>
          <w:szCs w:val="24"/>
        </w:rPr>
        <w:t>assessment</w:t>
      </w:r>
      <w:r w:rsidR="003945D4" w:rsidRPr="00457884">
        <w:rPr>
          <w:sz w:val="24"/>
          <w:szCs w:val="24"/>
        </w:rPr>
        <w:t xml:space="preserve">. </w:t>
      </w:r>
      <w:r w:rsidR="00814130" w:rsidRPr="00457884">
        <w:rPr>
          <w:sz w:val="24"/>
          <w:szCs w:val="24"/>
        </w:rPr>
        <w:t>The</w:t>
      </w:r>
      <w:r w:rsidR="00AE0CBB" w:rsidRPr="00457884">
        <w:rPr>
          <w:sz w:val="24"/>
          <w:szCs w:val="24"/>
        </w:rPr>
        <w:t xml:space="preserve"> </w:t>
      </w:r>
      <w:r w:rsidR="0057128C">
        <w:rPr>
          <w:sz w:val="24"/>
          <w:szCs w:val="24"/>
        </w:rPr>
        <w:t>data collection</w:t>
      </w:r>
      <w:r w:rsidR="00F05C20">
        <w:rPr>
          <w:sz w:val="24"/>
          <w:szCs w:val="24"/>
        </w:rPr>
        <w:t xml:space="preserve"> instrument</w:t>
      </w:r>
      <w:r w:rsidR="00AE0CBB" w:rsidRPr="00457884">
        <w:rPr>
          <w:sz w:val="24"/>
          <w:szCs w:val="24"/>
        </w:rPr>
        <w:t xml:space="preserve"> was pilot tested by </w:t>
      </w:r>
      <w:r w:rsidR="00D43AA8" w:rsidRPr="00457884">
        <w:rPr>
          <w:sz w:val="24"/>
          <w:szCs w:val="24"/>
        </w:rPr>
        <w:t xml:space="preserve">five </w:t>
      </w:r>
      <w:r w:rsidR="002D10A4" w:rsidRPr="00457884">
        <w:rPr>
          <w:sz w:val="24"/>
          <w:szCs w:val="24"/>
        </w:rPr>
        <w:t xml:space="preserve">public health professionals. </w:t>
      </w:r>
      <w:r w:rsidR="002D10A4" w:rsidRPr="00F510CB">
        <w:rPr>
          <w:sz w:val="24"/>
          <w:szCs w:val="24"/>
        </w:rPr>
        <w:t>Feedback from this group was used</w:t>
      </w:r>
      <w:r w:rsidR="00B161A9" w:rsidRPr="00F510CB">
        <w:rPr>
          <w:sz w:val="24"/>
          <w:szCs w:val="24"/>
        </w:rPr>
        <w:t xml:space="preserve"> to refine questions as needed </w:t>
      </w:r>
      <w:r w:rsidR="002D10A4" w:rsidRPr="00F510CB">
        <w:rPr>
          <w:sz w:val="24"/>
          <w:szCs w:val="24"/>
        </w:rPr>
        <w:t xml:space="preserve">and establish the estimated </w:t>
      </w:r>
      <w:r w:rsidR="0057128C" w:rsidRPr="00F510CB">
        <w:rPr>
          <w:sz w:val="24"/>
          <w:szCs w:val="24"/>
        </w:rPr>
        <w:t>completion</w:t>
      </w:r>
      <w:r w:rsidR="002D10A4" w:rsidRPr="00F510CB">
        <w:rPr>
          <w:sz w:val="24"/>
          <w:szCs w:val="24"/>
        </w:rPr>
        <w:t xml:space="preserve"> </w:t>
      </w:r>
      <w:r w:rsidR="0057128C" w:rsidRPr="00F510CB">
        <w:rPr>
          <w:sz w:val="24"/>
          <w:szCs w:val="24"/>
        </w:rPr>
        <w:t>time</w:t>
      </w:r>
      <w:r w:rsidR="00DA4EBD" w:rsidRPr="00F510CB">
        <w:rPr>
          <w:sz w:val="24"/>
          <w:szCs w:val="24"/>
        </w:rPr>
        <w:t xml:space="preserve"> of 35 minutes</w:t>
      </w:r>
      <w:r w:rsidR="00C26013">
        <w:rPr>
          <w:sz w:val="24"/>
          <w:szCs w:val="24"/>
        </w:rPr>
        <w:t xml:space="preserve">. </w:t>
      </w:r>
      <w:r w:rsidR="001B0646" w:rsidRPr="00F500AD">
        <w:rPr>
          <w:sz w:val="24"/>
          <w:szCs w:val="24"/>
        </w:rPr>
        <w:t>In the pilot test, the average time to complete the</w:t>
      </w:r>
      <w:r w:rsidR="001B0646">
        <w:rPr>
          <w:color w:val="000000"/>
          <w:sz w:val="24"/>
          <w:szCs w:val="24"/>
        </w:rPr>
        <w:t xml:space="preserve"> assessment</w:t>
      </w:r>
      <w:r w:rsidR="001B0646" w:rsidRPr="00F500AD">
        <w:rPr>
          <w:sz w:val="24"/>
          <w:szCs w:val="24"/>
        </w:rPr>
        <w:t xml:space="preserve">, including time for reviewing instructions, gathering needed information, and completing the </w:t>
      </w:r>
      <w:r w:rsidR="001B0646">
        <w:rPr>
          <w:color w:val="000000"/>
          <w:sz w:val="24"/>
          <w:szCs w:val="24"/>
        </w:rPr>
        <w:t>assessment</w:t>
      </w:r>
      <w:r w:rsidR="001B0646" w:rsidRPr="00F500AD">
        <w:rPr>
          <w:sz w:val="24"/>
          <w:szCs w:val="24"/>
        </w:rPr>
        <w:t xml:space="preserve">, was approximately 30 minutes. Based on these results, the estimated time range for actual respondents to complete the </w:t>
      </w:r>
      <w:r w:rsidR="001B0646">
        <w:rPr>
          <w:sz w:val="24"/>
          <w:szCs w:val="24"/>
        </w:rPr>
        <w:t>assessment</w:t>
      </w:r>
      <w:r w:rsidR="001B0646" w:rsidRPr="00F500AD">
        <w:rPr>
          <w:sz w:val="24"/>
          <w:szCs w:val="24"/>
        </w:rPr>
        <w:t xml:space="preserve"> is 30-35 minutes. For the purposes of estimating burden hours, the upper limit of this range (i.e., 35 minutes) is use</w:t>
      </w:r>
      <w:r w:rsidR="001B0646">
        <w:rPr>
          <w:sz w:val="24"/>
          <w:szCs w:val="24"/>
        </w:rPr>
        <w:t>d for completion of the entire assessment</w:t>
      </w:r>
      <w:r w:rsidR="001B0646" w:rsidRPr="00F500AD">
        <w:rPr>
          <w:sz w:val="24"/>
          <w:szCs w:val="24"/>
        </w:rPr>
        <w:t>.</w:t>
      </w:r>
    </w:p>
    <w:p w:rsidR="002D10A4" w:rsidRPr="00457884" w:rsidRDefault="002D10A4" w:rsidP="00C26013">
      <w:pPr>
        <w:spacing w:after="0"/>
        <w:rPr>
          <w:sz w:val="24"/>
          <w:szCs w:val="24"/>
        </w:rPr>
      </w:pPr>
    </w:p>
    <w:p w:rsidR="00CE2D98" w:rsidRPr="00457884" w:rsidRDefault="002D10A4" w:rsidP="00CE2D98">
      <w:pPr>
        <w:spacing w:after="0"/>
        <w:ind w:left="360"/>
        <w:rPr>
          <w:sz w:val="24"/>
          <w:szCs w:val="24"/>
        </w:rPr>
      </w:pPr>
      <w:r w:rsidRPr="00457884">
        <w:rPr>
          <w:sz w:val="24"/>
          <w:szCs w:val="24"/>
        </w:rPr>
        <w:t>No sensitive information is being collected. No individually identifiable i</w:t>
      </w:r>
      <w:r w:rsidR="007F6B0F">
        <w:rPr>
          <w:sz w:val="24"/>
          <w:szCs w:val="24"/>
        </w:rPr>
        <w:t xml:space="preserve">nformation is being collected. </w:t>
      </w:r>
      <w:r w:rsidRPr="00457884">
        <w:rPr>
          <w:sz w:val="24"/>
          <w:szCs w:val="24"/>
        </w:rPr>
        <w:t>Respondents are participating in their official capacity as health officials in state</w:t>
      </w:r>
      <w:r w:rsidR="00F05C20">
        <w:rPr>
          <w:sz w:val="24"/>
          <w:szCs w:val="24"/>
        </w:rPr>
        <w:t xml:space="preserve"> or local</w:t>
      </w:r>
      <w:r w:rsidRPr="00457884">
        <w:rPr>
          <w:sz w:val="24"/>
          <w:szCs w:val="24"/>
        </w:rPr>
        <w:t xml:space="preserve"> departments of health. </w:t>
      </w:r>
    </w:p>
    <w:p w:rsidR="00A54DC9" w:rsidRPr="00457884" w:rsidRDefault="00A54DC9" w:rsidP="007F6B0F">
      <w:pPr>
        <w:spacing w:after="0"/>
        <w:ind w:left="360"/>
        <w:rPr>
          <w:sz w:val="24"/>
          <w:szCs w:val="24"/>
          <w:u w:val="single"/>
        </w:rPr>
      </w:pPr>
    </w:p>
    <w:p w:rsidR="002D10A4" w:rsidRPr="00457884" w:rsidRDefault="002D10A4" w:rsidP="002D10A4">
      <w:pPr>
        <w:spacing w:after="0"/>
        <w:ind w:firstLine="360"/>
        <w:rPr>
          <w:sz w:val="24"/>
          <w:szCs w:val="24"/>
        </w:rPr>
      </w:pPr>
      <w:r w:rsidRPr="00457884">
        <w:rPr>
          <w:sz w:val="24"/>
          <w:szCs w:val="24"/>
          <w:u w:val="single"/>
        </w:rPr>
        <w:t xml:space="preserve">Items of Information to be </w:t>
      </w:r>
      <w:proofErr w:type="gramStart"/>
      <w:r w:rsidRPr="00457884">
        <w:rPr>
          <w:sz w:val="24"/>
          <w:szCs w:val="24"/>
          <w:u w:val="single"/>
        </w:rPr>
        <w:t>Collected</w:t>
      </w:r>
      <w:proofErr w:type="gramEnd"/>
      <w:r w:rsidRPr="00457884">
        <w:rPr>
          <w:sz w:val="24"/>
          <w:szCs w:val="24"/>
          <w:u w:val="single"/>
        </w:rPr>
        <w:t xml:space="preserve"> </w:t>
      </w:r>
    </w:p>
    <w:p w:rsidR="00781C7B" w:rsidRDefault="00E54A49" w:rsidP="002D10A4">
      <w:pPr>
        <w:spacing w:after="80"/>
        <w:ind w:left="360"/>
        <w:rPr>
          <w:sz w:val="24"/>
          <w:szCs w:val="24"/>
        </w:rPr>
      </w:pPr>
      <w:r w:rsidRPr="00457884">
        <w:rPr>
          <w:sz w:val="24"/>
          <w:szCs w:val="24"/>
        </w:rPr>
        <w:t xml:space="preserve">The </w:t>
      </w:r>
      <w:r w:rsidR="00E315EC">
        <w:rPr>
          <w:sz w:val="24"/>
          <w:szCs w:val="24"/>
        </w:rPr>
        <w:t xml:space="preserve">data collection </w:t>
      </w:r>
      <w:r w:rsidR="00F05C20">
        <w:rPr>
          <w:sz w:val="24"/>
          <w:szCs w:val="24"/>
        </w:rPr>
        <w:t xml:space="preserve">instrument </w:t>
      </w:r>
      <w:r w:rsidRPr="00457884">
        <w:rPr>
          <w:sz w:val="24"/>
          <w:szCs w:val="24"/>
        </w:rPr>
        <w:t xml:space="preserve">consists of </w:t>
      </w:r>
      <w:r w:rsidR="00975A6F">
        <w:rPr>
          <w:sz w:val="24"/>
          <w:szCs w:val="24"/>
        </w:rPr>
        <w:t>4</w:t>
      </w:r>
      <w:r w:rsidRPr="00457884">
        <w:rPr>
          <w:sz w:val="24"/>
          <w:szCs w:val="24"/>
        </w:rPr>
        <w:t>4</w:t>
      </w:r>
      <w:r w:rsidR="00E315EC">
        <w:rPr>
          <w:sz w:val="24"/>
          <w:szCs w:val="24"/>
        </w:rPr>
        <w:t xml:space="preserve"> questions </w:t>
      </w:r>
      <w:r w:rsidR="002D10A4" w:rsidRPr="00457884">
        <w:rPr>
          <w:sz w:val="24"/>
          <w:szCs w:val="24"/>
        </w:rPr>
        <w:t>of various types</w:t>
      </w:r>
      <w:r w:rsidR="006B4A9C">
        <w:rPr>
          <w:sz w:val="24"/>
          <w:szCs w:val="24"/>
        </w:rPr>
        <w:t>,</w:t>
      </w:r>
      <w:r w:rsidR="002D10A4" w:rsidRPr="00457884">
        <w:rPr>
          <w:sz w:val="24"/>
          <w:szCs w:val="24"/>
        </w:rPr>
        <w:t xml:space="preserve"> including </w:t>
      </w:r>
      <w:r w:rsidR="002D10A4" w:rsidRPr="00C909CD">
        <w:rPr>
          <w:sz w:val="24"/>
          <w:szCs w:val="24"/>
        </w:rPr>
        <w:t>dichotomo</w:t>
      </w:r>
      <w:r w:rsidR="006B4A9C" w:rsidRPr="00C909CD">
        <w:rPr>
          <w:sz w:val="24"/>
          <w:szCs w:val="24"/>
        </w:rPr>
        <w:t>us</w:t>
      </w:r>
      <w:r w:rsidR="006B4A9C">
        <w:rPr>
          <w:sz w:val="24"/>
          <w:szCs w:val="24"/>
        </w:rPr>
        <w:t>, multiple response, and open-</w:t>
      </w:r>
      <w:r w:rsidR="00F05C20">
        <w:rPr>
          <w:sz w:val="24"/>
          <w:szCs w:val="24"/>
        </w:rPr>
        <w:t xml:space="preserve">ended. </w:t>
      </w:r>
      <w:r w:rsidR="00C909CD">
        <w:rPr>
          <w:sz w:val="24"/>
          <w:szCs w:val="24"/>
        </w:rPr>
        <w:t>A</w:t>
      </w:r>
      <w:r w:rsidR="00781C7B" w:rsidRPr="00457884">
        <w:rPr>
          <w:sz w:val="24"/>
          <w:szCs w:val="24"/>
        </w:rPr>
        <w:t xml:space="preserve"> </w:t>
      </w:r>
      <w:r w:rsidR="00C909CD">
        <w:rPr>
          <w:sz w:val="24"/>
          <w:szCs w:val="24"/>
        </w:rPr>
        <w:t xml:space="preserve">significant </w:t>
      </w:r>
      <w:r w:rsidR="00781C7B" w:rsidRPr="00457884">
        <w:rPr>
          <w:sz w:val="24"/>
          <w:szCs w:val="24"/>
        </w:rPr>
        <w:t xml:space="preserve">effort was made to limit questions requiring </w:t>
      </w:r>
      <w:r w:rsidR="006B4A9C">
        <w:rPr>
          <w:sz w:val="24"/>
          <w:szCs w:val="24"/>
        </w:rPr>
        <w:t xml:space="preserve">narrative responses and </w:t>
      </w:r>
      <w:r w:rsidR="00F05C20">
        <w:rPr>
          <w:sz w:val="24"/>
          <w:szCs w:val="24"/>
        </w:rPr>
        <w:t xml:space="preserve">to </w:t>
      </w:r>
      <w:r w:rsidR="006B4A9C">
        <w:rPr>
          <w:sz w:val="24"/>
          <w:szCs w:val="24"/>
        </w:rPr>
        <w:t>include</w:t>
      </w:r>
      <w:r w:rsidR="00781C7B" w:rsidRPr="00457884">
        <w:rPr>
          <w:sz w:val="24"/>
          <w:szCs w:val="24"/>
        </w:rPr>
        <w:t xml:space="preserve"> narrative optional questions for respondents to elaborate on their feedback if they choo</w:t>
      </w:r>
      <w:r w:rsidR="007D7798" w:rsidRPr="00457884">
        <w:rPr>
          <w:sz w:val="24"/>
          <w:szCs w:val="24"/>
        </w:rPr>
        <w:t xml:space="preserve">se to do so. </w:t>
      </w:r>
      <w:r w:rsidR="00781C7B" w:rsidRPr="00457884">
        <w:rPr>
          <w:sz w:val="24"/>
          <w:szCs w:val="24"/>
        </w:rPr>
        <w:t>The</w:t>
      </w:r>
      <w:r w:rsidR="00E82676">
        <w:rPr>
          <w:sz w:val="24"/>
          <w:szCs w:val="24"/>
        </w:rPr>
        <w:t xml:space="preserve"> assessment</w:t>
      </w:r>
      <w:r w:rsidR="00781C7B" w:rsidRPr="00457884">
        <w:rPr>
          <w:sz w:val="24"/>
          <w:szCs w:val="24"/>
        </w:rPr>
        <w:t xml:space="preserve"> will collect information on the following:</w:t>
      </w:r>
    </w:p>
    <w:p w:rsidR="007666A2" w:rsidRPr="00457884" w:rsidRDefault="007666A2" w:rsidP="002D10A4">
      <w:pPr>
        <w:spacing w:after="80"/>
        <w:ind w:left="360"/>
        <w:rPr>
          <w:sz w:val="24"/>
          <w:szCs w:val="24"/>
        </w:rPr>
      </w:pPr>
    </w:p>
    <w:p w:rsidR="000974E1" w:rsidRDefault="000974E1" w:rsidP="007F6B0F">
      <w:pPr>
        <w:spacing w:after="0"/>
        <w:ind w:left="330"/>
        <w:rPr>
          <w:b/>
          <w:color w:val="FF0000"/>
          <w:sz w:val="24"/>
          <w:szCs w:val="24"/>
        </w:rPr>
      </w:pPr>
    </w:p>
    <w:p w:rsidR="00E315EC" w:rsidRPr="00E315EC" w:rsidRDefault="00F113C8" w:rsidP="00E315EC">
      <w:pPr>
        <w:pStyle w:val="ListParagraph"/>
        <w:numPr>
          <w:ilvl w:val="0"/>
          <w:numId w:val="10"/>
        </w:numPr>
        <w:spacing w:after="0"/>
        <w:rPr>
          <w:sz w:val="24"/>
          <w:szCs w:val="24"/>
        </w:rPr>
      </w:pPr>
      <w:r>
        <w:rPr>
          <w:rFonts w:cs="Times New Roman"/>
          <w:sz w:val="24"/>
          <w:szCs w:val="24"/>
        </w:rPr>
        <w:t>patient h</w:t>
      </w:r>
      <w:r w:rsidR="001D20BE">
        <w:rPr>
          <w:rFonts w:cs="Times New Roman"/>
          <w:sz w:val="24"/>
          <w:szCs w:val="24"/>
        </w:rPr>
        <w:t xml:space="preserve">ealth </w:t>
      </w:r>
      <w:r>
        <w:rPr>
          <w:rFonts w:cs="Times New Roman"/>
          <w:sz w:val="24"/>
          <w:szCs w:val="24"/>
        </w:rPr>
        <w:t>i</w:t>
      </w:r>
      <w:r w:rsidR="001D20BE">
        <w:rPr>
          <w:rFonts w:cs="Times New Roman"/>
          <w:sz w:val="24"/>
          <w:szCs w:val="24"/>
        </w:rPr>
        <w:t xml:space="preserve">nsurance verification </w:t>
      </w:r>
      <w:r w:rsidR="00E315EC" w:rsidRPr="00E315EC">
        <w:rPr>
          <w:rFonts w:cs="Times New Roman"/>
          <w:sz w:val="24"/>
          <w:szCs w:val="24"/>
        </w:rPr>
        <w:t xml:space="preserve">and </w:t>
      </w:r>
      <w:r w:rsidR="001D20BE">
        <w:rPr>
          <w:rFonts w:cs="Times New Roman"/>
          <w:sz w:val="24"/>
          <w:szCs w:val="24"/>
        </w:rPr>
        <w:t xml:space="preserve">immunization billing processing </w:t>
      </w:r>
      <w:r w:rsidR="00E315EC" w:rsidRPr="00E315EC">
        <w:rPr>
          <w:rFonts w:cs="Times New Roman"/>
          <w:sz w:val="24"/>
          <w:szCs w:val="24"/>
        </w:rPr>
        <w:t>i</w:t>
      </w:r>
      <w:r>
        <w:rPr>
          <w:rFonts w:cs="Times New Roman"/>
          <w:sz w:val="24"/>
          <w:szCs w:val="24"/>
        </w:rPr>
        <w:t>nformation (</w:t>
      </w:r>
      <w:r w:rsidR="001D20BE">
        <w:rPr>
          <w:rFonts w:cs="Times New Roman"/>
          <w:sz w:val="24"/>
          <w:szCs w:val="24"/>
        </w:rPr>
        <w:t>questions 1-5</w:t>
      </w:r>
      <w:r w:rsidR="00E315EC" w:rsidRPr="00E315EC">
        <w:rPr>
          <w:rFonts w:cs="Times New Roman"/>
          <w:sz w:val="24"/>
          <w:szCs w:val="24"/>
        </w:rPr>
        <w:t>)</w:t>
      </w:r>
      <w:r w:rsidR="00E315EC" w:rsidRPr="00E315EC">
        <w:rPr>
          <w:sz w:val="24"/>
          <w:szCs w:val="24"/>
        </w:rPr>
        <w:t>;</w:t>
      </w:r>
    </w:p>
    <w:p w:rsidR="00E315EC" w:rsidRPr="00E315EC" w:rsidRDefault="00F113C8" w:rsidP="00E315EC">
      <w:pPr>
        <w:pStyle w:val="ListParagraph"/>
        <w:numPr>
          <w:ilvl w:val="0"/>
          <w:numId w:val="10"/>
        </w:numPr>
        <w:spacing w:after="0"/>
        <w:rPr>
          <w:sz w:val="24"/>
          <w:szCs w:val="24"/>
        </w:rPr>
      </w:pPr>
      <w:r>
        <w:rPr>
          <w:rFonts w:cs="Times New Roman"/>
          <w:sz w:val="24"/>
          <w:szCs w:val="24"/>
        </w:rPr>
        <w:lastRenderedPageBreak/>
        <w:t>c</w:t>
      </w:r>
      <w:r w:rsidR="001D20BE">
        <w:rPr>
          <w:rFonts w:cs="Times New Roman"/>
          <w:sz w:val="24"/>
          <w:szCs w:val="24"/>
        </w:rPr>
        <w:t xml:space="preserve">laim processing </w:t>
      </w:r>
      <w:r>
        <w:rPr>
          <w:rFonts w:cs="Times New Roman"/>
          <w:sz w:val="24"/>
          <w:szCs w:val="24"/>
        </w:rPr>
        <w:t xml:space="preserve">and reimbursement </w:t>
      </w:r>
      <w:r w:rsidR="001D20BE">
        <w:rPr>
          <w:rFonts w:cs="Times New Roman"/>
          <w:sz w:val="24"/>
          <w:szCs w:val="24"/>
        </w:rPr>
        <w:t>data</w:t>
      </w:r>
      <w:r>
        <w:rPr>
          <w:rFonts w:cs="Times New Roman"/>
          <w:sz w:val="24"/>
          <w:szCs w:val="24"/>
        </w:rPr>
        <w:t xml:space="preserve"> sources (</w:t>
      </w:r>
      <w:r w:rsidR="001D20BE">
        <w:rPr>
          <w:rFonts w:cs="Times New Roman"/>
          <w:sz w:val="24"/>
          <w:szCs w:val="24"/>
        </w:rPr>
        <w:t>questions 6-17</w:t>
      </w:r>
      <w:r w:rsidR="00E315EC" w:rsidRPr="00E315EC">
        <w:rPr>
          <w:sz w:val="24"/>
          <w:szCs w:val="24"/>
        </w:rPr>
        <w:t>);</w:t>
      </w:r>
    </w:p>
    <w:p w:rsidR="00E315EC" w:rsidRPr="00E315EC" w:rsidRDefault="00F113C8" w:rsidP="00E315EC">
      <w:pPr>
        <w:pStyle w:val="ListParagraph"/>
        <w:numPr>
          <w:ilvl w:val="0"/>
          <w:numId w:val="10"/>
        </w:numPr>
        <w:spacing w:after="0"/>
        <w:rPr>
          <w:sz w:val="24"/>
          <w:szCs w:val="24"/>
        </w:rPr>
      </w:pPr>
      <w:r>
        <w:rPr>
          <w:sz w:val="24"/>
          <w:szCs w:val="24"/>
        </w:rPr>
        <w:t xml:space="preserve">claim rejection and denial data </w:t>
      </w:r>
      <w:r>
        <w:rPr>
          <w:rFonts w:cs="Times New Roman"/>
          <w:sz w:val="24"/>
          <w:szCs w:val="24"/>
        </w:rPr>
        <w:t>(questions 18-21</w:t>
      </w:r>
      <w:r w:rsidR="00E315EC" w:rsidRPr="00E315EC">
        <w:rPr>
          <w:rFonts w:cs="Times New Roman"/>
          <w:sz w:val="24"/>
          <w:szCs w:val="24"/>
        </w:rPr>
        <w:t>);</w:t>
      </w:r>
    </w:p>
    <w:p w:rsidR="00E315EC" w:rsidRPr="00E315EC" w:rsidRDefault="00F113C8" w:rsidP="00E315EC">
      <w:pPr>
        <w:pStyle w:val="ListParagraph"/>
        <w:numPr>
          <w:ilvl w:val="0"/>
          <w:numId w:val="10"/>
        </w:numPr>
        <w:spacing w:after="0"/>
        <w:ind w:right="-270"/>
        <w:rPr>
          <w:rFonts w:cs="Times New Roman"/>
          <w:sz w:val="24"/>
          <w:szCs w:val="24"/>
        </w:rPr>
      </w:pPr>
      <w:r>
        <w:rPr>
          <w:rFonts w:cs="Times New Roman"/>
          <w:sz w:val="24"/>
          <w:szCs w:val="24"/>
        </w:rPr>
        <w:t>clinic</w:t>
      </w:r>
      <w:r w:rsidR="00E315EC" w:rsidRPr="00E315EC">
        <w:rPr>
          <w:rFonts w:cs="Times New Roman"/>
          <w:sz w:val="24"/>
          <w:szCs w:val="24"/>
        </w:rPr>
        <w:t xml:space="preserve"> </w:t>
      </w:r>
      <w:r>
        <w:rPr>
          <w:rFonts w:cs="Times New Roman"/>
          <w:sz w:val="24"/>
          <w:szCs w:val="24"/>
        </w:rPr>
        <w:t>VFC eligibility and hardship policy information  (questions 22-30</w:t>
      </w:r>
      <w:r w:rsidR="00E315EC" w:rsidRPr="00E315EC">
        <w:rPr>
          <w:rFonts w:cs="Times New Roman"/>
          <w:sz w:val="24"/>
          <w:szCs w:val="24"/>
        </w:rPr>
        <w:t>);</w:t>
      </w:r>
    </w:p>
    <w:p w:rsidR="00E315EC" w:rsidRPr="00E315EC" w:rsidRDefault="00F113C8" w:rsidP="00E315EC">
      <w:pPr>
        <w:pStyle w:val="ListParagraph"/>
        <w:numPr>
          <w:ilvl w:val="0"/>
          <w:numId w:val="10"/>
        </w:numPr>
        <w:spacing w:after="0"/>
        <w:ind w:right="-270"/>
        <w:rPr>
          <w:rFonts w:cs="Times New Roman"/>
          <w:sz w:val="24"/>
          <w:szCs w:val="24"/>
        </w:rPr>
      </w:pPr>
      <w:r>
        <w:rPr>
          <w:rFonts w:cs="Times New Roman"/>
          <w:sz w:val="24"/>
          <w:szCs w:val="24"/>
        </w:rPr>
        <w:t xml:space="preserve">private stock information  (questions 31-33); </w:t>
      </w:r>
    </w:p>
    <w:p w:rsidR="000974E1" w:rsidRPr="00F113C8" w:rsidRDefault="00F113C8" w:rsidP="00C909CD">
      <w:pPr>
        <w:pStyle w:val="ListParagraph"/>
        <w:numPr>
          <w:ilvl w:val="0"/>
          <w:numId w:val="10"/>
        </w:numPr>
        <w:spacing w:after="0"/>
        <w:ind w:right="-270"/>
        <w:rPr>
          <w:sz w:val="24"/>
          <w:szCs w:val="24"/>
        </w:rPr>
      </w:pPr>
      <w:r>
        <w:rPr>
          <w:rFonts w:cs="Times New Roman"/>
          <w:sz w:val="24"/>
          <w:szCs w:val="24"/>
        </w:rPr>
        <w:t>claim reimbursement (questions 34-36</w:t>
      </w:r>
      <w:r w:rsidR="00E315EC" w:rsidRPr="00E315EC">
        <w:rPr>
          <w:rFonts w:cs="Times New Roman"/>
          <w:sz w:val="24"/>
          <w:szCs w:val="24"/>
        </w:rPr>
        <w:t>)</w:t>
      </w:r>
      <w:r>
        <w:rPr>
          <w:rFonts w:cs="Times New Roman"/>
          <w:sz w:val="24"/>
          <w:szCs w:val="24"/>
        </w:rPr>
        <w:t>;</w:t>
      </w:r>
    </w:p>
    <w:p w:rsidR="00F113C8" w:rsidRPr="00F113C8" w:rsidRDefault="00F113C8" w:rsidP="00C909CD">
      <w:pPr>
        <w:pStyle w:val="ListParagraph"/>
        <w:numPr>
          <w:ilvl w:val="0"/>
          <w:numId w:val="10"/>
        </w:numPr>
        <w:spacing w:after="0"/>
        <w:ind w:right="-270"/>
        <w:rPr>
          <w:sz w:val="24"/>
          <w:szCs w:val="24"/>
        </w:rPr>
      </w:pPr>
      <w:r>
        <w:rPr>
          <w:rFonts w:cs="Times New Roman"/>
          <w:sz w:val="24"/>
          <w:szCs w:val="24"/>
        </w:rPr>
        <w:t>other ser</w:t>
      </w:r>
      <w:r w:rsidR="00F05C20">
        <w:rPr>
          <w:rFonts w:cs="Times New Roman"/>
          <w:sz w:val="24"/>
          <w:szCs w:val="24"/>
        </w:rPr>
        <w:t>vices billed for and legislative</w:t>
      </w:r>
      <w:r>
        <w:rPr>
          <w:rFonts w:cs="Times New Roman"/>
          <w:sz w:val="24"/>
          <w:szCs w:val="24"/>
        </w:rPr>
        <w:t xml:space="preserve"> barriers (questions 37-39);</w:t>
      </w:r>
      <w:r w:rsidR="00045F16">
        <w:rPr>
          <w:rFonts w:cs="Times New Roman"/>
          <w:sz w:val="24"/>
          <w:szCs w:val="24"/>
        </w:rPr>
        <w:t xml:space="preserve"> </w:t>
      </w:r>
    </w:p>
    <w:p w:rsidR="00F113C8" w:rsidRPr="00045F16" w:rsidRDefault="00F113C8" w:rsidP="00F113C8">
      <w:pPr>
        <w:pStyle w:val="ListParagraph"/>
        <w:numPr>
          <w:ilvl w:val="0"/>
          <w:numId w:val="10"/>
        </w:numPr>
        <w:spacing w:after="0"/>
        <w:ind w:right="-270"/>
        <w:rPr>
          <w:sz w:val="24"/>
          <w:szCs w:val="24"/>
        </w:rPr>
      </w:pPr>
      <w:r>
        <w:rPr>
          <w:rFonts w:cs="Times New Roman"/>
          <w:sz w:val="24"/>
          <w:szCs w:val="24"/>
        </w:rPr>
        <w:t xml:space="preserve">self-insured plans and </w:t>
      </w:r>
      <w:r w:rsidR="00045F16">
        <w:rPr>
          <w:rFonts w:cs="Times New Roman"/>
          <w:sz w:val="24"/>
          <w:szCs w:val="24"/>
        </w:rPr>
        <w:t>credentialing (questions 40-42</w:t>
      </w:r>
      <w:r>
        <w:rPr>
          <w:rFonts w:cs="Times New Roman"/>
          <w:sz w:val="24"/>
          <w:szCs w:val="24"/>
        </w:rPr>
        <w:t>)</w:t>
      </w:r>
      <w:r w:rsidR="00045F16">
        <w:rPr>
          <w:rFonts w:cs="Times New Roman"/>
          <w:sz w:val="24"/>
          <w:szCs w:val="24"/>
        </w:rPr>
        <w:t>; and</w:t>
      </w:r>
    </w:p>
    <w:p w:rsidR="00045F16" w:rsidRPr="00F113C8" w:rsidRDefault="00045F16" w:rsidP="00F113C8">
      <w:pPr>
        <w:pStyle w:val="ListParagraph"/>
        <w:numPr>
          <w:ilvl w:val="0"/>
          <w:numId w:val="10"/>
        </w:numPr>
        <w:spacing w:after="0"/>
        <w:ind w:right="-270"/>
        <w:rPr>
          <w:sz w:val="24"/>
          <w:szCs w:val="24"/>
        </w:rPr>
      </w:pPr>
      <w:r>
        <w:rPr>
          <w:sz w:val="24"/>
          <w:szCs w:val="24"/>
        </w:rPr>
        <w:t>health insurance plan contracts and survey wrap-up</w:t>
      </w:r>
      <w:r w:rsidR="0057128C">
        <w:rPr>
          <w:sz w:val="24"/>
          <w:szCs w:val="24"/>
        </w:rPr>
        <w:t>+</w:t>
      </w:r>
      <w:r>
        <w:rPr>
          <w:sz w:val="24"/>
          <w:szCs w:val="24"/>
        </w:rPr>
        <w:t xml:space="preserve"> (questions 43-44)</w:t>
      </w:r>
    </w:p>
    <w:p w:rsidR="007F6B0F" w:rsidRPr="007F6B0F" w:rsidRDefault="007F6B0F" w:rsidP="00F113C8">
      <w:pPr>
        <w:spacing w:after="0"/>
        <w:rPr>
          <w:b/>
          <w:color w:val="FF0000"/>
          <w:sz w:val="24"/>
          <w:szCs w:val="24"/>
        </w:rPr>
      </w:pPr>
    </w:p>
    <w:p w:rsidR="00CE2D98" w:rsidRDefault="002D10A4" w:rsidP="00CE2D98">
      <w:pPr>
        <w:spacing w:after="0"/>
        <w:ind w:left="330"/>
        <w:rPr>
          <w:color w:val="FF0000"/>
          <w:sz w:val="24"/>
          <w:szCs w:val="24"/>
        </w:rPr>
      </w:pPr>
      <w:r w:rsidRPr="00457884">
        <w:rPr>
          <w:sz w:val="24"/>
          <w:szCs w:val="24"/>
        </w:rPr>
        <w:t xml:space="preserve">No individually identifiable </w:t>
      </w:r>
      <w:r w:rsidR="00B54630" w:rsidRPr="00457884">
        <w:rPr>
          <w:sz w:val="24"/>
          <w:szCs w:val="24"/>
        </w:rPr>
        <w:t xml:space="preserve">information is being collected. </w:t>
      </w:r>
      <w:r w:rsidRPr="00457884">
        <w:rPr>
          <w:sz w:val="24"/>
          <w:szCs w:val="24"/>
        </w:rPr>
        <w:t xml:space="preserve">Respondents will be sent a link to access the web-based </w:t>
      </w:r>
      <w:r w:rsidR="0057128C">
        <w:rPr>
          <w:sz w:val="24"/>
          <w:szCs w:val="24"/>
        </w:rPr>
        <w:t xml:space="preserve">data collection </w:t>
      </w:r>
      <w:r w:rsidR="00234FC4">
        <w:rPr>
          <w:sz w:val="24"/>
          <w:szCs w:val="24"/>
        </w:rPr>
        <w:t>instrument</w:t>
      </w:r>
      <w:r w:rsidR="007666A2">
        <w:rPr>
          <w:sz w:val="24"/>
          <w:szCs w:val="24"/>
        </w:rPr>
        <w:t xml:space="preserve"> </w:t>
      </w:r>
      <w:r w:rsidR="00837287" w:rsidRPr="00457884">
        <w:rPr>
          <w:sz w:val="24"/>
          <w:szCs w:val="24"/>
        </w:rPr>
        <w:t>(Survey Monkey ®)</w:t>
      </w:r>
      <w:r w:rsidR="007D7798" w:rsidRPr="00457884">
        <w:rPr>
          <w:sz w:val="24"/>
          <w:szCs w:val="24"/>
        </w:rPr>
        <w:t xml:space="preserve">, </w:t>
      </w:r>
      <w:r w:rsidR="00234FC4">
        <w:rPr>
          <w:sz w:val="24"/>
          <w:szCs w:val="24"/>
        </w:rPr>
        <w:t>including</w:t>
      </w:r>
      <w:r w:rsidRPr="00457884">
        <w:rPr>
          <w:sz w:val="24"/>
          <w:szCs w:val="24"/>
        </w:rPr>
        <w:t xml:space="preserve"> instructions and an estimate</w:t>
      </w:r>
      <w:r w:rsidR="00CE2D98">
        <w:rPr>
          <w:sz w:val="24"/>
          <w:szCs w:val="24"/>
        </w:rPr>
        <w:t xml:space="preserve">d amount of time for completion. Survey Monkey ® </w:t>
      </w:r>
      <w:r w:rsidR="00CE2D98" w:rsidRPr="00457884">
        <w:rPr>
          <w:sz w:val="24"/>
          <w:szCs w:val="24"/>
        </w:rPr>
        <w:t>servers are kept in a locked cage, with digital surveillance equipment monitoring at the data center.  Secure Sockets Layer (SSL) technology protects user information using both server authentication and data e</w:t>
      </w:r>
      <w:r w:rsidR="00CE2D98">
        <w:rPr>
          <w:sz w:val="24"/>
          <w:szCs w:val="24"/>
        </w:rPr>
        <w:t>ncryption, ensuring that data are</w:t>
      </w:r>
      <w:r w:rsidR="00CE2D98" w:rsidRPr="00457884">
        <w:rPr>
          <w:sz w:val="24"/>
          <w:szCs w:val="24"/>
        </w:rPr>
        <w:t xml:space="preserve"> safe, secure, and available only to a</w:t>
      </w:r>
      <w:r w:rsidR="00CE2D98">
        <w:rPr>
          <w:sz w:val="24"/>
          <w:szCs w:val="24"/>
        </w:rPr>
        <w:t>uthorized persons in a password-</w:t>
      </w:r>
      <w:r w:rsidR="00CE2D98" w:rsidRPr="00457884">
        <w:rPr>
          <w:sz w:val="24"/>
          <w:szCs w:val="24"/>
        </w:rPr>
        <w:t>protected system.</w:t>
      </w:r>
    </w:p>
    <w:p w:rsidR="00CE2D98" w:rsidRPr="00457884" w:rsidRDefault="00CE2D98" w:rsidP="002D10A4">
      <w:pPr>
        <w:spacing w:after="0"/>
        <w:rPr>
          <w:color w:val="FF0000"/>
          <w:sz w:val="24"/>
          <w:szCs w:val="24"/>
        </w:rPr>
      </w:pPr>
    </w:p>
    <w:p w:rsidR="002D10A4" w:rsidRPr="00457884" w:rsidRDefault="002D10A4" w:rsidP="008319F7">
      <w:pPr>
        <w:spacing w:after="0"/>
        <w:ind w:firstLine="330"/>
        <w:rPr>
          <w:sz w:val="24"/>
          <w:szCs w:val="24"/>
          <w:u w:val="single"/>
        </w:rPr>
      </w:pPr>
      <w:r w:rsidRPr="00457884">
        <w:rPr>
          <w:sz w:val="24"/>
          <w:szCs w:val="24"/>
          <w:u w:val="single"/>
        </w:rPr>
        <w:t>Identification of Website(s) and Website Content Directed at Children Under 13 Years of Age</w:t>
      </w:r>
    </w:p>
    <w:p w:rsidR="00C12AB5" w:rsidRDefault="002D10A4" w:rsidP="00457884">
      <w:pPr>
        <w:spacing w:after="0"/>
        <w:ind w:left="330"/>
        <w:rPr>
          <w:sz w:val="24"/>
          <w:szCs w:val="24"/>
        </w:rPr>
      </w:pPr>
      <w:r w:rsidRPr="00457884">
        <w:rPr>
          <w:sz w:val="24"/>
          <w:szCs w:val="24"/>
        </w:rPr>
        <w:t xml:space="preserve">The data collection system involves using a web-based </w:t>
      </w:r>
      <w:r w:rsidR="00234FC4">
        <w:rPr>
          <w:sz w:val="24"/>
          <w:szCs w:val="24"/>
        </w:rPr>
        <w:t>data collection instrument</w:t>
      </w:r>
      <w:r w:rsidRPr="00457884">
        <w:rPr>
          <w:sz w:val="24"/>
          <w:szCs w:val="24"/>
        </w:rPr>
        <w:t xml:space="preserve">. Respondents will be sent a link directing them to the online </w:t>
      </w:r>
      <w:r w:rsidR="0057128C">
        <w:rPr>
          <w:sz w:val="24"/>
          <w:szCs w:val="24"/>
        </w:rPr>
        <w:t>assessment</w:t>
      </w:r>
      <w:r w:rsidRPr="00457884">
        <w:rPr>
          <w:sz w:val="24"/>
          <w:szCs w:val="24"/>
        </w:rPr>
        <w:t xml:space="preserve"> only (i.e., not a website). No website content will be directed at children.</w:t>
      </w:r>
    </w:p>
    <w:p w:rsidR="00457884" w:rsidRPr="00457884" w:rsidRDefault="00457884" w:rsidP="00457884">
      <w:pPr>
        <w:spacing w:after="0"/>
        <w:ind w:left="330"/>
        <w:rPr>
          <w:sz w:val="24"/>
          <w:szCs w:val="24"/>
        </w:rPr>
      </w:pPr>
    </w:p>
    <w:p w:rsidR="007B65CD" w:rsidRPr="001A192B" w:rsidRDefault="002D10A4" w:rsidP="007B65CD">
      <w:pPr>
        <w:pStyle w:val="ListParagraph"/>
        <w:numPr>
          <w:ilvl w:val="0"/>
          <w:numId w:val="1"/>
        </w:numPr>
        <w:spacing w:after="0"/>
        <w:rPr>
          <w:b/>
          <w:sz w:val="24"/>
          <w:szCs w:val="24"/>
        </w:rPr>
      </w:pPr>
      <w:r w:rsidRPr="00457884">
        <w:rPr>
          <w:b/>
          <w:sz w:val="24"/>
          <w:szCs w:val="24"/>
        </w:rPr>
        <w:t>Purpose and Use of the Information Collection</w:t>
      </w:r>
    </w:p>
    <w:p w:rsidR="007A290A" w:rsidRPr="007A290A" w:rsidRDefault="008603E3" w:rsidP="00736D83">
      <w:pPr>
        <w:ind w:left="360"/>
        <w:rPr>
          <w:sz w:val="24"/>
          <w:szCs w:val="24"/>
        </w:rPr>
      </w:pPr>
      <w:r>
        <w:rPr>
          <w:sz w:val="24"/>
          <w:szCs w:val="24"/>
        </w:rPr>
        <w:t xml:space="preserve">The purpose of this information collection is to </w:t>
      </w:r>
      <w:r w:rsidR="00840E8E">
        <w:rPr>
          <w:sz w:val="24"/>
          <w:szCs w:val="24"/>
        </w:rPr>
        <w:t xml:space="preserve">develop a better </w:t>
      </w:r>
      <w:r>
        <w:rPr>
          <w:sz w:val="24"/>
          <w:szCs w:val="24"/>
        </w:rPr>
        <w:t>understand</w:t>
      </w:r>
      <w:r w:rsidR="00840E8E">
        <w:rPr>
          <w:sz w:val="24"/>
          <w:szCs w:val="24"/>
        </w:rPr>
        <w:t xml:space="preserve">ing of information specific to planning, adoption </w:t>
      </w:r>
      <w:r w:rsidR="00840E8E" w:rsidRPr="00457884">
        <w:rPr>
          <w:sz w:val="24"/>
          <w:szCs w:val="24"/>
        </w:rPr>
        <w:t>and implementation of public health</w:t>
      </w:r>
      <w:r w:rsidR="00840E8E">
        <w:rPr>
          <w:sz w:val="24"/>
          <w:szCs w:val="24"/>
        </w:rPr>
        <w:t xml:space="preserve"> immunization billing programs. Information derived from this assessment will </w:t>
      </w:r>
      <w:r w:rsidR="00234FC4">
        <w:rPr>
          <w:sz w:val="24"/>
          <w:szCs w:val="24"/>
        </w:rPr>
        <w:t xml:space="preserve">help inform both </w:t>
      </w:r>
      <w:r w:rsidR="00840E8E">
        <w:rPr>
          <w:sz w:val="24"/>
          <w:szCs w:val="24"/>
        </w:rPr>
        <w:t xml:space="preserve">CDC and the states. Importantly, it will be </w:t>
      </w:r>
      <w:r w:rsidR="007A290A">
        <w:rPr>
          <w:sz w:val="24"/>
          <w:szCs w:val="24"/>
        </w:rPr>
        <w:t xml:space="preserve">used </w:t>
      </w:r>
      <w:r w:rsidR="007A290A" w:rsidRPr="00457884">
        <w:rPr>
          <w:sz w:val="24"/>
          <w:szCs w:val="24"/>
        </w:rPr>
        <w:t xml:space="preserve">to determine the processes and outcomes of an immunization billing project. Results of the </w:t>
      </w:r>
      <w:r w:rsidR="007A290A">
        <w:rPr>
          <w:sz w:val="24"/>
          <w:szCs w:val="24"/>
        </w:rPr>
        <w:t xml:space="preserve">assessment </w:t>
      </w:r>
      <w:r w:rsidR="007A290A" w:rsidRPr="00457884">
        <w:rPr>
          <w:sz w:val="24"/>
          <w:szCs w:val="24"/>
        </w:rPr>
        <w:t>will be used to strengthen relationships between the public health departments and its state billing partners, enhance the impact and effectiveness of the immunization billing programs, strengthen the support for state billing programs</w:t>
      </w:r>
      <w:r w:rsidR="007A290A">
        <w:rPr>
          <w:sz w:val="24"/>
          <w:szCs w:val="24"/>
        </w:rPr>
        <w:t>, and, ultimately, enhance the</w:t>
      </w:r>
      <w:r w:rsidR="007A290A" w:rsidRPr="00457884">
        <w:rPr>
          <w:sz w:val="24"/>
          <w:szCs w:val="24"/>
        </w:rPr>
        <w:t xml:space="preserve"> ability to </w:t>
      </w:r>
      <w:r w:rsidR="007A290A">
        <w:rPr>
          <w:sz w:val="24"/>
          <w:szCs w:val="24"/>
        </w:rPr>
        <w:t>effectively bill third-</w:t>
      </w:r>
      <w:r w:rsidR="007A290A" w:rsidRPr="00457884">
        <w:rPr>
          <w:sz w:val="24"/>
          <w:szCs w:val="24"/>
        </w:rPr>
        <w:t>party payers and get reimbursed for immunizations so that public health departments can increase access to care for the communities they serve.</w:t>
      </w:r>
    </w:p>
    <w:p w:rsidR="00750E2C" w:rsidRDefault="00750E2C" w:rsidP="00926E07">
      <w:pPr>
        <w:ind w:left="360"/>
        <w:rPr>
          <w:sz w:val="24"/>
          <w:szCs w:val="24"/>
        </w:rPr>
      </w:pPr>
    </w:p>
    <w:p w:rsidR="008319F7" w:rsidRPr="00926E07" w:rsidRDefault="008603E3" w:rsidP="00926E07">
      <w:pPr>
        <w:ind w:left="360"/>
        <w:rPr>
          <w:sz w:val="24"/>
          <w:szCs w:val="24"/>
        </w:rPr>
      </w:pPr>
      <w:r w:rsidRPr="00457884">
        <w:rPr>
          <w:sz w:val="24"/>
          <w:szCs w:val="24"/>
        </w:rPr>
        <w:t xml:space="preserve">Furthermore, </w:t>
      </w:r>
      <w:r w:rsidR="007A290A">
        <w:rPr>
          <w:sz w:val="24"/>
          <w:szCs w:val="24"/>
        </w:rPr>
        <w:t xml:space="preserve">the results from </w:t>
      </w:r>
      <w:r w:rsidRPr="00457884">
        <w:rPr>
          <w:sz w:val="24"/>
          <w:szCs w:val="24"/>
        </w:rPr>
        <w:t xml:space="preserve">this assessment will </w:t>
      </w:r>
      <w:r w:rsidR="007A290A" w:rsidRPr="000C67DD">
        <w:rPr>
          <w:sz w:val="24"/>
          <w:szCs w:val="24"/>
        </w:rPr>
        <w:t>also be used to assess the value of the CDC-funded grant program and gather information to inform improvements to future CDC grants</w:t>
      </w:r>
      <w:r w:rsidR="00CA44CA">
        <w:rPr>
          <w:sz w:val="24"/>
          <w:szCs w:val="24"/>
        </w:rPr>
        <w:t xml:space="preserve">. </w:t>
      </w:r>
      <w:r w:rsidRPr="007A290A">
        <w:rPr>
          <w:sz w:val="24"/>
          <w:szCs w:val="24"/>
        </w:rPr>
        <w:t xml:space="preserve">The proposed data collection activities will result in stronger local and state </w:t>
      </w:r>
      <w:r w:rsidRPr="007A290A">
        <w:rPr>
          <w:sz w:val="24"/>
          <w:szCs w:val="24"/>
        </w:rPr>
        <w:lastRenderedPageBreak/>
        <w:t xml:space="preserve">immunization billing programs and a stronger CDC that is better equipped to meet the needs of its </w:t>
      </w:r>
      <w:r w:rsidR="007A290A" w:rsidRPr="007A290A">
        <w:rPr>
          <w:sz w:val="24"/>
          <w:szCs w:val="24"/>
        </w:rPr>
        <w:t xml:space="preserve">grantee </w:t>
      </w:r>
      <w:r w:rsidRPr="007A290A">
        <w:rPr>
          <w:sz w:val="24"/>
          <w:szCs w:val="24"/>
        </w:rPr>
        <w:t>awardees and, subsequently, demonstrate the impact of its activities on public health. In addition, these findings will be used as input for future immuniza</w:t>
      </w:r>
      <w:r w:rsidR="007A290A" w:rsidRPr="007A290A">
        <w:rPr>
          <w:sz w:val="24"/>
          <w:szCs w:val="24"/>
        </w:rPr>
        <w:t xml:space="preserve">tion billing program management. </w:t>
      </w:r>
      <w:r w:rsidR="007A290A" w:rsidRPr="007A290A">
        <w:rPr>
          <w:rFonts w:cs="Times New Roman"/>
          <w:sz w:val="24"/>
          <w:szCs w:val="24"/>
        </w:rPr>
        <w:t xml:space="preserve">Without collecting this information, it would be difficult to judge the value of </w:t>
      </w:r>
      <w:r w:rsidR="0068440B">
        <w:rPr>
          <w:rFonts w:cs="Times New Roman"/>
          <w:sz w:val="24"/>
          <w:szCs w:val="24"/>
        </w:rPr>
        <w:t xml:space="preserve">the </w:t>
      </w:r>
      <w:proofErr w:type="spellStart"/>
      <w:r w:rsidR="007A290A" w:rsidRPr="007A290A">
        <w:rPr>
          <w:rFonts w:cs="Times New Roman"/>
          <w:sz w:val="24"/>
          <w:szCs w:val="24"/>
        </w:rPr>
        <w:t>Billables</w:t>
      </w:r>
      <w:proofErr w:type="spellEnd"/>
      <w:r w:rsidR="007A290A" w:rsidRPr="007A290A">
        <w:rPr>
          <w:rFonts w:cs="Times New Roman"/>
          <w:sz w:val="24"/>
          <w:szCs w:val="24"/>
        </w:rPr>
        <w:t xml:space="preserve"> project and determine whether or not future investment is warranted.</w:t>
      </w:r>
    </w:p>
    <w:p w:rsidR="000D22FE" w:rsidRPr="00457884" w:rsidRDefault="000D22FE" w:rsidP="00B971E1">
      <w:pPr>
        <w:pStyle w:val="ListParagraph"/>
        <w:numPr>
          <w:ilvl w:val="0"/>
          <w:numId w:val="1"/>
        </w:numPr>
        <w:rPr>
          <w:b/>
          <w:sz w:val="24"/>
          <w:szCs w:val="24"/>
        </w:rPr>
      </w:pPr>
      <w:r w:rsidRPr="00457884">
        <w:rPr>
          <w:b/>
          <w:sz w:val="24"/>
          <w:szCs w:val="24"/>
        </w:rPr>
        <w:t xml:space="preserve">Use of Improved Information </w:t>
      </w:r>
      <w:r w:rsidR="00B971E1" w:rsidRPr="00457884">
        <w:rPr>
          <w:b/>
          <w:sz w:val="24"/>
          <w:szCs w:val="24"/>
        </w:rPr>
        <w:t>Technology and Burden Reduction</w:t>
      </w:r>
    </w:p>
    <w:p w:rsidR="00D91C34" w:rsidRDefault="000D22FE" w:rsidP="009B4A88">
      <w:pPr>
        <w:ind w:left="360"/>
        <w:rPr>
          <w:sz w:val="24"/>
          <w:szCs w:val="24"/>
        </w:rPr>
      </w:pPr>
      <w:r w:rsidRPr="00457884">
        <w:rPr>
          <w:sz w:val="24"/>
          <w:szCs w:val="24"/>
        </w:rPr>
        <w:t>Data will be collected via</w:t>
      </w:r>
      <w:r w:rsidR="00D91C34">
        <w:rPr>
          <w:sz w:val="24"/>
          <w:szCs w:val="24"/>
        </w:rPr>
        <w:t xml:space="preserve"> Survey Monkey,</w:t>
      </w:r>
      <w:r w:rsidRPr="00457884">
        <w:rPr>
          <w:sz w:val="24"/>
          <w:szCs w:val="24"/>
        </w:rPr>
        <w:t xml:space="preserve"> a web-based </w:t>
      </w:r>
      <w:r w:rsidR="0057128C">
        <w:rPr>
          <w:sz w:val="24"/>
          <w:szCs w:val="24"/>
        </w:rPr>
        <w:t xml:space="preserve">data collection </w:t>
      </w:r>
      <w:r w:rsidR="00234FC4">
        <w:rPr>
          <w:sz w:val="24"/>
          <w:szCs w:val="24"/>
        </w:rPr>
        <w:t>instrument</w:t>
      </w:r>
      <w:r w:rsidR="00D91C34">
        <w:rPr>
          <w:sz w:val="24"/>
          <w:szCs w:val="24"/>
        </w:rPr>
        <w:t>,</w:t>
      </w:r>
      <w:r w:rsidRPr="00457884">
        <w:rPr>
          <w:sz w:val="24"/>
          <w:szCs w:val="24"/>
        </w:rPr>
        <w:t xml:space="preserve"> allowing respondents to complete and submit their responses electronically. This method was chosen to reduce the overall burden on respondents. </w:t>
      </w:r>
      <w:r w:rsidR="00D91C34" w:rsidRPr="00457884">
        <w:rPr>
          <w:sz w:val="24"/>
          <w:szCs w:val="24"/>
        </w:rPr>
        <w:t xml:space="preserve">Web </w:t>
      </w:r>
      <w:r w:rsidR="00D91C34">
        <w:rPr>
          <w:sz w:val="24"/>
          <w:szCs w:val="24"/>
        </w:rPr>
        <w:t xml:space="preserve">data collection instruments </w:t>
      </w:r>
      <w:r w:rsidR="00D91C34" w:rsidRPr="00457884">
        <w:rPr>
          <w:sz w:val="24"/>
          <w:szCs w:val="24"/>
        </w:rPr>
        <w:t xml:space="preserve">reduce respondent burden by enabling them </w:t>
      </w:r>
      <w:r w:rsidR="00D91C34">
        <w:rPr>
          <w:sz w:val="24"/>
          <w:szCs w:val="24"/>
        </w:rPr>
        <w:t>easy</w:t>
      </w:r>
      <w:r w:rsidR="00D91C34" w:rsidRPr="00457884">
        <w:rPr>
          <w:sz w:val="24"/>
          <w:szCs w:val="24"/>
        </w:rPr>
        <w:t xml:space="preserve"> access and </w:t>
      </w:r>
      <w:r w:rsidR="00D91C34">
        <w:rPr>
          <w:sz w:val="24"/>
          <w:szCs w:val="24"/>
        </w:rPr>
        <w:t xml:space="preserve">the ability to </w:t>
      </w:r>
      <w:r w:rsidR="00D91C34" w:rsidRPr="00457884">
        <w:rPr>
          <w:sz w:val="24"/>
          <w:szCs w:val="24"/>
        </w:rPr>
        <w:t>complete it at a</w:t>
      </w:r>
      <w:r w:rsidR="00D91C34">
        <w:rPr>
          <w:sz w:val="24"/>
          <w:szCs w:val="24"/>
        </w:rPr>
        <w:t xml:space="preserve"> convenient time and location</w:t>
      </w:r>
      <w:r w:rsidR="00D91C34" w:rsidRPr="00457884">
        <w:rPr>
          <w:sz w:val="24"/>
          <w:szCs w:val="24"/>
        </w:rPr>
        <w:t xml:space="preserve">. </w:t>
      </w:r>
    </w:p>
    <w:p w:rsidR="009B4A88" w:rsidRDefault="009B4A88" w:rsidP="009B4A88">
      <w:pPr>
        <w:ind w:left="360"/>
        <w:rPr>
          <w:sz w:val="24"/>
          <w:szCs w:val="24"/>
        </w:rPr>
      </w:pPr>
      <w:r>
        <w:rPr>
          <w:sz w:val="24"/>
          <w:szCs w:val="24"/>
        </w:rPr>
        <w:t>A</w:t>
      </w:r>
      <w:r w:rsidRPr="00457884">
        <w:rPr>
          <w:sz w:val="24"/>
          <w:szCs w:val="24"/>
        </w:rPr>
        <w:t xml:space="preserve"> </w:t>
      </w:r>
      <w:r>
        <w:rPr>
          <w:sz w:val="24"/>
          <w:szCs w:val="24"/>
        </w:rPr>
        <w:t xml:space="preserve">significant </w:t>
      </w:r>
      <w:r w:rsidRPr="00457884">
        <w:rPr>
          <w:sz w:val="24"/>
          <w:szCs w:val="24"/>
        </w:rPr>
        <w:t xml:space="preserve">effort was made to limit questions requiring </w:t>
      </w:r>
      <w:r>
        <w:rPr>
          <w:sz w:val="24"/>
          <w:szCs w:val="24"/>
        </w:rPr>
        <w:t>narrative responses and include</w:t>
      </w:r>
      <w:r w:rsidRPr="00457884">
        <w:rPr>
          <w:sz w:val="24"/>
          <w:szCs w:val="24"/>
        </w:rPr>
        <w:t xml:space="preserve"> narrative optional questions for respondents to elaborate on their feedback if they choose to do so.</w:t>
      </w:r>
      <w:r w:rsidR="00277B4C" w:rsidRPr="00277B4C">
        <w:rPr>
          <w:sz w:val="24"/>
          <w:szCs w:val="24"/>
        </w:rPr>
        <w:t xml:space="preserve"> </w:t>
      </w:r>
      <w:r w:rsidR="00277B4C" w:rsidRPr="00457884">
        <w:rPr>
          <w:sz w:val="24"/>
          <w:szCs w:val="24"/>
        </w:rPr>
        <w:t xml:space="preserve">The </w:t>
      </w:r>
      <w:r w:rsidR="00353D1D">
        <w:rPr>
          <w:sz w:val="24"/>
          <w:szCs w:val="24"/>
        </w:rPr>
        <w:t>instrument</w:t>
      </w:r>
      <w:r w:rsidR="00277B4C">
        <w:rPr>
          <w:sz w:val="24"/>
          <w:szCs w:val="24"/>
        </w:rPr>
        <w:t xml:space="preserve"> </w:t>
      </w:r>
      <w:r w:rsidR="00277B4C" w:rsidRPr="00457884">
        <w:rPr>
          <w:sz w:val="24"/>
          <w:szCs w:val="24"/>
        </w:rPr>
        <w:t xml:space="preserve">was designed to collect the minimum information necessary for the purposes of this project (i.e., limited to </w:t>
      </w:r>
      <w:r w:rsidR="00277B4C">
        <w:rPr>
          <w:sz w:val="24"/>
          <w:szCs w:val="24"/>
        </w:rPr>
        <w:t>44</w:t>
      </w:r>
      <w:r w:rsidR="00277B4C" w:rsidRPr="00457884">
        <w:rPr>
          <w:sz w:val="24"/>
          <w:szCs w:val="24"/>
        </w:rPr>
        <w:t xml:space="preserve"> questions).</w:t>
      </w:r>
    </w:p>
    <w:p w:rsidR="009B4A88" w:rsidRPr="00457884" w:rsidRDefault="009B4A88" w:rsidP="007B65CD">
      <w:pPr>
        <w:ind w:left="360"/>
        <w:rPr>
          <w:sz w:val="24"/>
          <w:szCs w:val="24"/>
        </w:rPr>
      </w:pPr>
    </w:p>
    <w:p w:rsidR="00B972EE" w:rsidRPr="00457884" w:rsidRDefault="00B972EE" w:rsidP="00B972EE">
      <w:pPr>
        <w:pStyle w:val="ListParagraph"/>
        <w:numPr>
          <w:ilvl w:val="0"/>
          <w:numId w:val="1"/>
        </w:numPr>
        <w:rPr>
          <w:b/>
          <w:sz w:val="24"/>
          <w:szCs w:val="24"/>
        </w:rPr>
      </w:pPr>
      <w:r w:rsidRPr="00457884">
        <w:rPr>
          <w:b/>
          <w:sz w:val="24"/>
          <w:szCs w:val="24"/>
        </w:rPr>
        <w:t xml:space="preserve">Efforts to Identify Duplication and Use of Similar Information </w:t>
      </w:r>
    </w:p>
    <w:p w:rsidR="00926E07" w:rsidRDefault="006F16D9" w:rsidP="004F40D7">
      <w:pPr>
        <w:ind w:left="360"/>
        <w:rPr>
          <w:sz w:val="24"/>
          <w:szCs w:val="24"/>
        </w:rPr>
      </w:pPr>
      <w:r w:rsidRPr="00457884">
        <w:rPr>
          <w:sz w:val="24"/>
          <w:szCs w:val="24"/>
        </w:rPr>
        <w:t xml:space="preserve">There have been no previous efforts to assess </w:t>
      </w:r>
      <w:r w:rsidR="00D43AA8" w:rsidRPr="00457884">
        <w:rPr>
          <w:sz w:val="24"/>
          <w:szCs w:val="24"/>
        </w:rPr>
        <w:t>processes or outcomes</w:t>
      </w:r>
      <w:r w:rsidRPr="00457884">
        <w:rPr>
          <w:sz w:val="24"/>
          <w:szCs w:val="24"/>
        </w:rPr>
        <w:t xml:space="preserve"> of immunization billing</w:t>
      </w:r>
      <w:r w:rsidR="00D43AA8" w:rsidRPr="00457884">
        <w:rPr>
          <w:sz w:val="24"/>
          <w:szCs w:val="24"/>
        </w:rPr>
        <w:t xml:space="preserve"> programs</w:t>
      </w:r>
      <w:r w:rsidRPr="00457884">
        <w:rPr>
          <w:sz w:val="24"/>
          <w:szCs w:val="24"/>
        </w:rPr>
        <w:t>. This undertaking is unique in that it will allow CDC, for the first time, to query state immunization</w:t>
      </w:r>
      <w:r w:rsidR="00353D1D">
        <w:rPr>
          <w:sz w:val="24"/>
          <w:szCs w:val="24"/>
        </w:rPr>
        <w:t xml:space="preserve"> billing program officials </w:t>
      </w:r>
      <w:r w:rsidRPr="00457884">
        <w:rPr>
          <w:sz w:val="24"/>
          <w:szCs w:val="24"/>
        </w:rPr>
        <w:t xml:space="preserve">about the impact of billing on </w:t>
      </w:r>
      <w:r w:rsidR="00D43AA8" w:rsidRPr="00457884">
        <w:rPr>
          <w:sz w:val="24"/>
          <w:szCs w:val="24"/>
        </w:rPr>
        <w:t>public health departments</w:t>
      </w:r>
      <w:r w:rsidRPr="00457884">
        <w:rPr>
          <w:sz w:val="24"/>
          <w:szCs w:val="24"/>
        </w:rPr>
        <w:t xml:space="preserve">.  </w:t>
      </w:r>
    </w:p>
    <w:p w:rsidR="001303D5" w:rsidRPr="00457884" w:rsidRDefault="006F16D9" w:rsidP="00CC0EFD">
      <w:pPr>
        <w:ind w:left="360"/>
        <w:rPr>
          <w:sz w:val="24"/>
          <w:szCs w:val="24"/>
        </w:rPr>
      </w:pPr>
      <w:r w:rsidRPr="00457884">
        <w:rPr>
          <w:sz w:val="24"/>
          <w:szCs w:val="24"/>
        </w:rPr>
        <w:t xml:space="preserve">The information being collected is specific to immunization billing programs and has never before been previously </w:t>
      </w:r>
      <w:r w:rsidR="00926E07">
        <w:rPr>
          <w:sz w:val="24"/>
          <w:szCs w:val="24"/>
        </w:rPr>
        <w:t>assessed; to date no articles have been published</w:t>
      </w:r>
      <w:r w:rsidRPr="00457884">
        <w:rPr>
          <w:sz w:val="24"/>
          <w:szCs w:val="24"/>
        </w:rPr>
        <w:t>. There is currently no information available via web or existing literature that can substi</w:t>
      </w:r>
      <w:r w:rsidR="006F1EF0">
        <w:rPr>
          <w:sz w:val="24"/>
          <w:szCs w:val="24"/>
        </w:rPr>
        <w:t>tute for the desired responses. Thus,</w:t>
      </w:r>
      <w:r w:rsidR="00E834A5">
        <w:rPr>
          <w:sz w:val="24"/>
          <w:szCs w:val="24"/>
        </w:rPr>
        <w:t xml:space="preserve"> this new information collected</w:t>
      </w:r>
      <w:r w:rsidR="006F1EF0">
        <w:rPr>
          <w:sz w:val="24"/>
          <w:szCs w:val="24"/>
        </w:rPr>
        <w:t xml:space="preserve"> will fill a gap in allowing CDC to assess its </w:t>
      </w:r>
      <w:r w:rsidR="00E834A5">
        <w:rPr>
          <w:sz w:val="24"/>
          <w:szCs w:val="24"/>
        </w:rPr>
        <w:t xml:space="preserve">immunization billing </w:t>
      </w:r>
      <w:r w:rsidR="006F1EF0">
        <w:rPr>
          <w:sz w:val="24"/>
          <w:szCs w:val="24"/>
        </w:rPr>
        <w:t xml:space="preserve">grant program and services intended to assist state </w:t>
      </w:r>
      <w:r w:rsidR="008D2277">
        <w:rPr>
          <w:sz w:val="24"/>
          <w:szCs w:val="24"/>
        </w:rPr>
        <w:t xml:space="preserve">and local </w:t>
      </w:r>
      <w:r w:rsidR="006F1EF0">
        <w:rPr>
          <w:sz w:val="24"/>
          <w:szCs w:val="24"/>
        </w:rPr>
        <w:t>health department</w:t>
      </w:r>
      <w:r w:rsidR="007F5E61">
        <w:rPr>
          <w:sz w:val="24"/>
          <w:szCs w:val="24"/>
        </w:rPr>
        <w:t>s</w:t>
      </w:r>
      <w:r w:rsidR="006F1EF0">
        <w:rPr>
          <w:sz w:val="24"/>
          <w:szCs w:val="24"/>
        </w:rPr>
        <w:t xml:space="preserve"> billing</w:t>
      </w:r>
      <w:r w:rsidR="00E834A5">
        <w:rPr>
          <w:sz w:val="24"/>
          <w:szCs w:val="24"/>
        </w:rPr>
        <w:t xml:space="preserve"> for immunizations</w:t>
      </w:r>
      <w:r w:rsidR="006F1EF0">
        <w:rPr>
          <w:sz w:val="24"/>
          <w:szCs w:val="24"/>
        </w:rPr>
        <w:t xml:space="preserve">. </w:t>
      </w:r>
      <w:r w:rsidRPr="00457884">
        <w:rPr>
          <w:sz w:val="24"/>
          <w:szCs w:val="24"/>
        </w:rPr>
        <w:t xml:space="preserve"> </w:t>
      </w:r>
    </w:p>
    <w:p w:rsidR="00035238" w:rsidRPr="00457884" w:rsidRDefault="00035238" w:rsidP="00035238">
      <w:pPr>
        <w:pStyle w:val="ListParagraph"/>
        <w:numPr>
          <w:ilvl w:val="0"/>
          <w:numId w:val="1"/>
        </w:numPr>
        <w:rPr>
          <w:b/>
          <w:sz w:val="24"/>
          <w:szCs w:val="24"/>
        </w:rPr>
      </w:pPr>
      <w:r w:rsidRPr="00457884">
        <w:rPr>
          <w:b/>
          <w:sz w:val="24"/>
          <w:szCs w:val="24"/>
        </w:rPr>
        <w:t>Impact on Small Businesses or Other Small Entities</w:t>
      </w:r>
    </w:p>
    <w:p w:rsidR="00035238" w:rsidRPr="00457884" w:rsidRDefault="00035238" w:rsidP="004F40D7">
      <w:pPr>
        <w:ind w:firstLine="360"/>
        <w:rPr>
          <w:sz w:val="24"/>
          <w:szCs w:val="24"/>
        </w:rPr>
      </w:pPr>
      <w:r w:rsidRPr="00457884">
        <w:rPr>
          <w:sz w:val="24"/>
          <w:szCs w:val="24"/>
        </w:rPr>
        <w:t>No small businesses will be involved in this data collection</w:t>
      </w:r>
      <w:r w:rsidR="006B4A9C">
        <w:rPr>
          <w:sz w:val="24"/>
          <w:szCs w:val="24"/>
        </w:rPr>
        <w:t>.</w:t>
      </w:r>
    </w:p>
    <w:p w:rsidR="00035238" w:rsidRPr="00457884" w:rsidRDefault="00035238" w:rsidP="00035238">
      <w:pPr>
        <w:pStyle w:val="ListParagraph"/>
        <w:numPr>
          <w:ilvl w:val="0"/>
          <w:numId w:val="1"/>
        </w:numPr>
        <w:rPr>
          <w:b/>
          <w:sz w:val="24"/>
          <w:szCs w:val="24"/>
        </w:rPr>
      </w:pPr>
      <w:r w:rsidRPr="00457884">
        <w:rPr>
          <w:b/>
          <w:sz w:val="24"/>
          <w:szCs w:val="24"/>
        </w:rPr>
        <w:t xml:space="preserve">Consequences of Collecting the Information Less Frequently </w:t>
      </w:r>
    </w:p>
    <w:p w:rsidR="00035238" w:rsidRPr="00457884" w:rsidRDefault="006B4A9C" w:rsidP="00457884">
      <w:pPr>
        <w:ind w:left="360"/>
        <w:rPr>
          <w:sz w:val="24"/>
          <w:szCs w:val="24"/>
        </w:rPr>
      </w:pPr>
      <w:r>
        <w:rPr>
          <w:sz w:val="24"/>
          <w:szCs w:val="24"/>
        </w:rPr>
        <w:lastRenderedPageBreak/>
        <w:t>This request is for a one-</w:t>
      </w:r>
      <w:r w:rsidR="00035238" w:rsidRPr="00457884">
        <w:rPr>
          <w:sz w:val="24"/>
          <w:szCs w:val="24"/>
        </w:rPr>
        <w:t>time data collection. There are no legal obstacles to reduce the burden.</w:t>
      </w:r>
    </w:p>
    <w:p w:rsidR="00035238" w:rsidRPr="00457884" w:rsidRDefault="00035238" w:rsidP="00457884">
      <w:pPr>
        <w:ind w:firstLine="720"/>
        <w:rPr>
          <w:sz w:val="24"/>
          <w:szCs w:val="24"/>
        </w:rPr>
      </w:pPr>
      <w:r w:rsidRPr="00457884">
        <w:rPr>
          <w:sz w:val="24"/>
          <w:szCs w:val="24"/>
        </w:rPr>
        <w:t xml:space="preserve">Specifically, without this data there would be: </w:t>
      </w:r>
    </w:p>
    <w:p w:rsidR="00035238" w:rsidRPr="00457884" w:rsidRDefault="00035238" w:rsidP="00BF5835">
      <w:pPr>
        <w:pStyle w:val="ListParagraph"/>
        <w:rPr>
          <w:sz w:val="24"/>
          <w:szCs w:val="24"/>
        </w:rPr>
      </w:pPr>
      <w:r w:rsidRPr="00457884">
        <w:rPr>
          <w:sz w:val="24"/>
          <w:szCs w:val="24"/>
        </w:rPr>
        <w:t>•</w:t>
      </w:r>
      <w:r w:rsidRPr="00457884">
        <w:rPr>
          <w:sz w:val="24"/>
          <w:szCs w:val="24"/>
        </w:rPr>
        <w:tab/>
        <w:t xml:space="preserve">No timely feedback regarding effectiveness of </w:t>
      </w:r>
      <w:r w:rsidR="00BF5835" w:rsidRPr="00457884">
        <w:rPr>
          <w:sz w:val="24"/>
          <w:szCs w:val="24"/>
        </w:rPr>
        <w:t>CDC</w:t>
      </w:r>
      <w:r w:rsidRPr="00457884">
        <w:rPr>
          <w:sz w:val="24"/>
          <w:szCs w:val="24"/>
        </w:rPr>
        <w:t xml:space="preserve">’s support and technical assistance to </w:t>
      </w:r>
      <w:r w:rsidR="00BF5835" w:rsidRPr="00457884">
        <w:rPr>
          <w:sz w:val="24"/>
          <w:szCs w:val="24"/>
        </w:rPr>
        <w:t xml:space="preserve">immunization billing public health agencies. </w:t>
      </w:r>
    </w:p>
    <w:p w:rsidR="00035238" w:rsidRPr="00457884" w:rsidRDefault="00035238" w:rsidP="00035238">
      <w:pPr>
        <w:pStyle w:val="ListParagraph"/>
        <w:rPr>
          <w:sz w:val="24"/>
          <w:szCs w:val="24"/>
        </w:rPr>
      </w:pPr>
      <w:r w:rsidRPr="00457884">
        <w:rPr>
          <w:sz w:val="24"/>
          <w:szCs w:val="24"/>
        </w:rPr>
        <w:t>•</w:t>
      </w:r>
      <w:r w:rsidRPr="00457884">
        <w:rPr>
          <w:sz w:val="24"/>
          <w:szCs w:val="24"/>
        </w:rPr>
        <w:tab/>
        <w:t xml:space="preserve">Less effective interventions and data-driven decisions </w:t>
      </w:r>
      <w:r w:rsidR="006B4A9C">
        <w:rPr>
          <w:sz w:val="24"/>
          <w:szCs w:val="24"/>
        </w:rPr>
        <w:t xml:space="preserve">that </w:t>
      </w:r>
      <w:r w:rsidRPr="00457884">
        <w:rPr>
          <w:sz w:val="24"/>
          <w:szCs w:val="24"/>
        </w:rPr>
        <w:t xml:space="preserve">often </w:t>
      </w:r>
      <w:r w:rsidR="006B4A9C">
        <w:rPr>
          <w:sz w:val="24"/>
          <w:szCs w:val="24"/>
        </w:rPr>
        <w:t xml:space="preserve">need to be </w:t>
      </w:r>
      <w:r w:rsidRPr="00457884">
        <w:rPr>
          <w:sz w:val="24"/>
          <w:szCs w:val="24"/>
        </w:rPr>
        <w:t>made between CDC and state</w:t>
      </w:r>
      <w:r w:rsidR="001C5DB1">
        <w:rPr>
          <w:sz w:val="24"/>
          <w:szCs w:val="24"/>
        </w:rPr>
        <w:t xml:space="preserve"> and local</w:t>
      </w:r>
      <w:r w:rsidRPr="00457884">
        <w:rPr>
          <w:sz w:val="24"/>
          <w:szCs w:val="24"/>
        </w:rPr>
        <w:t xml:space="preserve"> governmental </w:t>
      </w:r>
      <w:r w:rsidR="00BF5835" w:rsidRPr="00457884">
        <w:rPr>
          <w:sz w:val="24"/>
          <w:szCs w:val="24"/>
        </w:rPr>
        <w:t xml:space="preserve">public </w:t>
      </w:r>
      <w:r w:rsidRPr="00457884">
        <w:rPr>
          <w:sz w:val="24"/>
          <w:szCs w:val="24"/>
        </w:rPr>
        <w:t>health agencies.</w:t>
      </w:r>
    </w:p>
    <w:p w:rsidR="00035238" w:rsidRPr="00457884" w:rsidRDefault="00035238" w:rsidP="00035238">
      <w:pPr>
        <w:pStyle w:val="ListParagraph"/>
        <w:rPr>
          <w:sz w:val="24"/>
          <w:szCs w:val="24"/>
        </w:rPr>
      </w:pPr>
      <w:r w:rsidRPr="00457884">
        <w:rPr>
          <w:sz w:val="24"/>
          <w:szCs w:val="24"/>
        </w:rPr>
        <w:t>•</w:t>
      </w:r>
      <w:r w:rsidRPr="00457884">
        <w:rPr>
          <w:sz w:val="24"/>
          <w:szCs w:val="24"/>
        </w:rPr>
        <w:tab/>
        <w:t>Limitations to effective and timely assessment of capacities of governmental agencies to fulf</w:t>
      </w:r>
      <w:r w:rsidR="00BF5835" w:rsidRPr="00457884">
        <w:rPr>
          <w:sz w:val="24"/>
          <w:szCs w:val="24"/>
        </w:rPr>
        <w:t xml:space="preserve">ill their public health mission via immunization billing reimbursement mechanisms. </w:t>
      </w:r>
    </w:p>
    <w:p w:rsidR="00BF5835" w:rsidRPr="00457884" w:rsidRDefault="00BF5835" w:rsidP="00035238">
      <w:pPr>
        <w:pStyle w:val="ListParagraph"/>
        <w:rPr>
          <w:sz w:val="24"/>
          <w:szCs w:val="24"/>
        </w:rPr>
      </w:pPr>
    </w:p>
    <w:p w:rsidR="00BF5835" w:rsidRPr="00457884" w:rsidRDefault="00BF5835" w:rsidP="00BF5835">
      <w:pPr>
        <w:pStyle w:val="ListParagraph"/>
        <w:numPr>
          <w:ilvl w:val="0"/>
          <w:numId w:val="1"/>
        </w:numPr>
        <w:rPr>
          <w:b/>
          <w:sz w:val="24"/>
          <w:szCs w:val="24"/>
        </w:rPr>
      </w:pPr>
      <w:r w:rsidRPr="00457884">
        <w:rPr>
          <w:b/>
          <w:sz w:val="24"/>
          <w:szCs w:val="24"/>
        </w:rPr>
        <w:t>Special Circumstances Relating to the Guidelines of 5 CFR 1320.5</w:t>
      </w:r>
    </w:p>
    <w:p w:rsidR="00BF5835" w:rsidRPr="000A389A" w:rsidRDefault="00BF5835" w:rsidP="000A389A">
      <w:pPr>
        <w:ind w:left="360"/>
        <w:rPr>
          <w:sz w:val="24"/>
          <w:szCs w:val="24"/>
        </w:rPr>
      </w:pPr>
      <w:r w:rsidRPr="00457884">
        <w:rPr>
          <w:sz w:val="24"/>
          <w:szCs w:val="24"/>
        </w:rPr>
        <w:t>There are no special circumstances with this information collection package. This request fully complies with the regulation 5 CFR 1320.5 and will be voluntary.</w:t>
      </w:r>
    </w:p>
    <w:p w:rsidR="00BF5835" w:rsidRPr="00457884" w:rsidRDefault="00BF5835" w:rsidP="00BF5835">
      <w:pPr>
        <w:pStyle w:val="ListParagraph"/>
        <w:numPr>
          <w:ilvl w:val="0"/>
          <w:numId w:val="1"/>
        </w:numPr>
        <w:rPr>
          <w:b/>
          <w:sz w:val="24"/>
          <w:szCs w:val="24"/>
        </w:rPr>
      </w:pPr>
      <w:r w:rsidRPr="00457884">
        <w:rPr>
          <w:b/>
          <w:sz w:val="24"/>
          <w:szCs w:val="24"/>
        </w:rPr>
        <w:t>Comments in Response to the Federal Register Notice and Efforts to Consult Outside the Agency</w:t>
      </w:r>
    </w:p>
    <w:p w:rsidR="00BF5835" w:rsidRPr="00A62634" w:rsidRDefault="00BF5835" w:rsidP="00A62634">
      <w:pPr>
        <w:ind w:left="360"/>
        <w:rPr>
          <w:sz w:val="24"/>
          <w:szCs w:val="24"/>
        </w:rPr>
      </w:pPr>
      <w:r w:rsidRPr="00457884">
        <w:rPr>
          <w:sz w:val="24"/>
          <w:szCs w:val="24"/>
        </w:rPr>
        <w:t xml:space="preserve">This data collection is being conducted using the Generic Information Collection mechanism of the OSTLTS Survey Center (OSC) – OMB No. 0920-0879. A 60-day Federal Register Notice was published in the Federal Register on October 22, 2010, Vol. 75, No. 204; pp. 65353-54.  </w:t>
      </w:r>
    </w:p>
    <w:p w:rsidR="00A62634" w:rsidRPr="006534C0" w:rsidRDefault="00BF5835" w:rsidP="0014132E">
      <w:pPr>
        <w:ind w:left="360"/>
        <w:rPr>
          <w:sz w:val="24"/>
          <w:szCs w:val="24"/>
        </w:rPr>
      </w:pPr>
      <w:r w:rsidRPr="007E793F">
        <w:rPr>
          <w:sz w:val="24"/>
          <w:szCs w:val="24"/>
        </w:rPr>
        <w:t>CDC partners with professional STLT organizations</w:t>
      </w:r>
      <w:r w:rsidRPr="00471E8D">
        <w:rPr>
          <w:sz w:val="24"/>
          <w:szCs w:val="24"/>
        </w:rPr>
        <w:t xml:space="preserve"> to ensure</w:t>
      </w:r>
      <w:r w:rsidRPr="00457884">
        <w:rPr>
          <w:sz w:val="24"/>
          <w:szCs w:val="24"/>
        </w:rPr>
        <w:t xml:space="preserve"> that the collection requests under individual ICs are not in conflict with collections they have or will have in the </w:t>
      </w:r>
      <w:r w:rsidR="006534C0">
        <w:rPr>
          <w:sz w:val="24"/>
          <w:szCs w:val="24"/>
        </w:rPr>
        <w:t>field within the same timeframe.</w:t>
      </w:r>
      <w:r w:rsidR="00471E8D" w:rsidRPr="00471E8D">
        <w:rPr>
          <w:sz w:val="24"/>
          <w:szCs w:val="24"/>
        </w:rPr>
        <w:t xml:space="preserve"> </w:t>
      </w:r>
      <w:r w:rsidR="00471E8D">
        <w:rPr>
          <w:sz w:val="24"/>
          <w:szCs w:val="24"/>
        </w:rPr>
        <w:t xml:space="preserve">Such professional STLTS organizations include </w:t>
      </w:r>
      <w:r w:rsidR="00471E8D" w:rsidRPr="00457884">
        <w:rPr>
          <w:sz w:val="24"/>
          <w:szCs w:val="24"/>
        </w:rPr>
        <w:t>the Association of State and Territorial Health Officials (ASTHO), the National Association of County and Cit</w:t>
      </w:r>
      <w:r w:rsidR="00471E8D">
        <w:rPr>
          <w:sz w:val="24"/>
          <w:szCs w:val="24"/>
        </w:rPr>
        <w:t>y Health Officials (NACCHO),</w:t>
      </w:r>
      <w:r w:rsidR="00471E8D" w:rsidRPr="00457884">
        <w:rPr>
          <w:sz w:val="24"/>
          <w:szCs w:val="24"/>
        </w:rPr>
        <w:t xml:space="preserve"> the National Association of Local Boar</w:t>
      </w:r>
      <w:r w:rsidR="00471E8D">
        <w:rPr>
          <w:sz w:val="24"/>
          <w:szCs w:val="24"/>
        </w:rPr>
        <w:t>ds of Health (NALBOH), and</w:t>
      </w:r>
      <w:r w:rsidR="00471E8D" w:rsidRPr="00457884">
        <w:rPr>
          <w:sz w:val="24"/>
          <w:szCs w:val="24"/>
        </w:rPr>
        <w:t xml:space="preserve"> the National Center for Health Statistics (NCHS)</w:t>
      </w:r>
    </w:p>
    <w:p w:rsidR="00BF5835" w:rsidRPr="007159F6" w:rsidRDefault="00BF5835" w:rsidP="007159F6">
      <w:pPr>
        <w:pStyle w:val="ListParagraph"/>
        <w:numPr>
          <w:ilvl w:val="0"/>
          <w:numId w:val="1"/>
        </w:numPr>
        <w:rPr>
          <w:b/>
          <w:sz w:val="24"/>
          <w:szCs w:val="24"/>
        </w:rPr>
      </w:pPr>
      <w:r w:rsidRPr="007159F6">
        <w:rPr>
          <w:b/>
          <w:sz w:val="24"/>
          <w:szCs w:val="24"/>
        </w:rPr>
        <w:t>Explanation of Any Payment or Gift to Respondents</w:t>
      </w:r>
    </w:p>
    <w:p w:rsidR="00BF5835" w:rsidRPr="00457884" w:rsidRDefault="00BF5835" w:rsidP="008319F7">
      <w:pPr>
        <w:ind w:firstLine="360"/>
        <w:rPr>
          <w:sz w:val="24"/>
          <w:szCs w:val="24"/>
        </w:rPr>
      </w:pPr>
      <w:r w:rsidRPr="00457884">
        <w:rPr>
          <w:sz w:val="24"/>
          <w:szCs w:val="24"/>
        </w:rPr>
        <w:t>CDC will not provide payments or gifts to respondents.</w:t>
      </w:r>
    </w:p>
    <w:p w:rsidR="00BF5835" w:rsidRPr="007159F6" w:rsidRDefault="00B05795" w:rsidP="007159F6">
      <w:pPr>
        <w:pStyle w:val="ListParagraph"/>
        <w:numPr>
          <w:ilvl w:val="0"/>
          <w:numId w:val="1"/>
        </w:numPr>
        <w:rPr>
          <w:b/>
          <w:sz w:val="24"/>
          <w:szCs w:val="24"/>
        </w:rPr>
      </w:pPr>
      <w:r w:rsidRPr="007159F6">
        <w:rPr>
          <w:b/>
          <w:sz w:val="24"/>
          <w:szCs w:val="24"/>
        </w:rPr>
        <w:t xml:space="preserve">Assurance of </w:t>
      </w:r>
      <w:r w:rsidR="00BF5835" w:rsidRPr="007159F6">
        <w:rPr>
          <w:b/>
          <w:sz w:val="24"/>
          <w:szCs w:val="24"/>
        </w:rPr>
        <w:t>Confidentiality</w:t>
      </w:r>
      <w:r w:rsidRPr="007159F6">
        <w:rPr>
          <w:b/>
          <w:sz w:val="24"/>
          <w:szCs w:val="24"/>
        </w:rPr>
        <w:t xml:space="preserve"> Provided to Respondents</w:t>
      </w:r>
      <w:r w:rsidR="00BF5835" w:rsidRPr="007159F6">
        <w:rPr>
          <w:b/>
          <w:sz w:val="24"/>
          <w:szCs w:val="24"/>
        </w:rPr>
        <w:t xml:space="preserve"> </w:t>
      </w:r>
    </w:p>
    <w:p w:rsidR="00BF5835" w:rsidRPr="00457884" w:rsidRDefault="00471E8D" w:rsidP="004F40D7">
      <w:pPr>
        <w:ind w:left="360"/>
        <w:rPr>
          <w:sz w:val="24"/>
          <w:szCs w:val="24"/>
        </w:rPr>
      </w:pPr>
      <w:r>
        <w:rPr>
          <w:sz w:val="24"/>
          <w:szCs w:val="24"/>
        </w:rPr>
        <w:t xml:space="preserve">There is no assurance of confidentiality provided to the respondents.  </w:t>
      </w:r>
      <w:r w:rsidR="001303D5">
        <w:rPr>
          <w:sz w:val="24"/>
          <w:szCs w:val="24"/>
        </w:rPr>
        <w:t>E</w:t>
      </w:r>
      <w:r w:rsidR="00BF5835" w:rsidRPr="00457884">
        <w:rPr>
          <w:sz w:val="24"/>
          <w:szCs w:val="24"/>
        </w:rPr>
        <w:t>mployees of state and local public health agencies will be speaking from their official roles and will not be asked, nor will they provide</w:t>
      </w:r>
      <w:r w:rsidR="006B4A9C">
        <w:rPr>
          <w:sz w:val="24"/>
          <w:szCs w:val="24"/>
        </w:rPr>
        <w:t>,</w:t>
      </w:r>
      <w:r w:rsidR="00BF5835" w:rsidRPr="00457884">
        <w:rPr>
          <w:sz w:val="24"/>
          <w:szCs w:val="24"/>
        </w:rPr>
        <w:t xml:space="preserve"> individua</w:t>
      </w:r>
      <w:r w:rsidR="00B05795" w:rsidRPr="00457884">
        <w:rPr>
          <w:sz w:val="24"/>
          <w:szCs w:val="24"/>
        </w:rPr>
        <w:t xml:space="preserve">lly identifiable information.  </w:t>
      </w:r>
    </w:p>
    <w:p w:rsidR="00BF5835" w:rsidRPr="007159F6" w:rsidRDefault="00B05795" w:rsidP="007159F6">
      <w:pPr>
        <w:pStyle w:val="ListParagraph"/>
        <w:numPr>
          <w:ilvl w:val="0"/>
          <w:numId w:val="1"/>
        </w:numPr>
        <w:rPr>
          <w:b/>
          <w:sz w:val="24"/>
          <w:szCs w:val="24"/>
        </w:rPr>
      </w:pPr>
      <w:r w:rsidRPr="007159F6">
        <w:rPr>
          <w:b/>
          <w:sz w:val="24"/>
          <w:szCs w:val="24"/>
        </w:rPr>
        <w:t xml:space="preserve">Justification for </w:t>
      </w:r>
      <w:r w:rsidR="00BF5835" w:rsidRPr="007159F6">
        <w:rPr>
          <w:b/>
          <w:sz w:val="24"/>
          <w:szCs w:val="24"/>
        </w:rPr>
        <w:t xml:space="preserve">Sensitive </w:t>
      </w:r>
      <w:r w:rsidRPr="007159F6">
        <w:rPr>
          <w:b/>
          <w:sz w:val="24"/>
          <w:szCs w:val="24"/>
        </w:rPr>
        <w:t>Questions</w:t>
      </w:r>
    </w:p>
    <w:p w:rsidR="00BF5835" w:rsidRPr="00457884" w:rsidRDefault="00471E8D" w:rsidP="00471E8D">
      <w:pPr>
        <w:ind w:left="360"/>
        <w:rPr>
          <w:sz w:val="24"/>
          <w:szCs w:val="24"/>
        </w:rPr>
      </w:pPr>
      <w:r>
        <w:rPr>
          <w:sz w:val="24"/>
          <w:szCs w:val="24"/>
        </w:rPr>
        <w:lastRenderedPageBreak/>
        <w:t>The data collection instrument responses will be anonymous. N</w:t>
      </w:r>
      <w:r w:rsidR="00BF5835" w:rsidRPr="00457884">
        <w:rPr>
          <w:sz w:val="24"/>
          <w:szCs w:val="24"/>
        </w:rPr>
        <w:t>o info</w:t>
      </w:r>
      <w:r w:rsidR="0088597C">
        <w:rPr>
          <w:sz w:val="24"/>
          <w:szCs w:val="24"/>
        </w:rPr>
        <w:t>rmation will be collected that is</w:t>
      </w:r>
      <w:r w:rsidR="00BF5835" w:rsidRPr="00457884">
        <w:rPr>
          <w:sz w:val="24"/>
          <w:szCs w:val="24"/>
        </w:rPr>
        <w:t xml:space="preserve"> of </w:t>
      </w:r>
      <w:r w:rsidR="0088597C">
        <w:rPr>
          <w:sz w:val="24"/>
          <w:szCs w:val="24"/>
        </w:rPr>
        <w:t xml:space="preserve">a </w:t>
      </w:r>
      <w:r w:rsidR="00BF5835" w:rsidRPr="00457884">
        <w:rPr>
          <w:sz w:val="24"/>
          <w:szCs w:val="24"/>
        </w:rPr>
        <w:t>personal or sensitive nature.</w:t>
      </w:r>
    </w:p>
    <w:p w:rsidR="00BF5835" w:rsidRPr="007159F6" w:rsidRDefault="00B05795" w:rsidP="007159F6">
      <w:pPr>
        <w:pStyle w:val="ListParagraph"/>
        <w:numPr>
          <w:ilvl w:val="0"/>
          <w:numId w:val="1"/>
        </w:numPr>
        <w:rPr>
          <w:b/>
          <w:sz w:val="24"/>
          <w:szCs w:val="24"/>
        </w:rPr>
      </w:pPr>
      <w:r w:rsidRPr="007159F6">
        <w:rPr>
          <w:b/>
          <w:sz w:val="24"/>
          <w:szCs w:val="24"/>
        </w:rPr>
        <w:t>Estimates of Annualized Burden Hours and Costs</w:t>
      </w:r>
    </w:p>
    <w:p w:rsidR="008D2277" w:rsidRDefault="00BF5835" w:rsidP="00146B85">
      <w:pPr>
        <w:ind w:left="360"/>
        <w:rPr>
          <w:sz w:val="24"/>
          <w:szCs w:val="24"/>
        </w:rPr>
      </w:pPr>
      <w:r w:rsidRPr="00457884">
        <w:rPr>
          <w:sz w:val="24"/>
          <w:szCs w:val="24"/>
        </w:rPr>
        <w:t xml:space="preserve">The estimate for burden hours is based on a pilot test of the </w:t>
      </w:r>
      <w:r w:rsidR="00444FF8">
        <w:rPr>
          <w:sz w:val="24"/>
          <w:szCs w:val="24"/>
        </w:rPr>
        <w:t>data collection</w:t>
      </w:r>
      <w:r w:rsidRPr="00457884">
        <w:rPr>
          <w:sz w:val="24"/>
          <w:szCs w:val="24"/>
        </w:rPr>
        <w:t xml:space="preserve"> instrument by </w:t>
      </w:r>
      <w:r w:rsidR="00D43AA8" w:rsidRPr="00457884">
        <w:rPr>
          <w:sz w:val="24"/>
          <w:szCs w:val="24"/>
        </w:rPr>
        <w:t>five</w:t>
      </w:r>
      <w:r w:rsidRPr="00457884">
        <w:rPr>
          <w:sz w:val="24"/>
          <w:szCs w:val="24"/>
        </w:rPr>
        <w:t xml:space="preserve"> public health professionals. In the pilot test, th</w:t>
      </w:r>
      <w:r w:rsidR="00444FF8">
        <w:rPr>
          <w:sz w:val="24"/>
          <w:szCs w:val="24"/>
        </w:rPr>
        <w:t xml:space="preserve">e average time </w:t>
      </w:r>
      <w:r w:rsidR="0014132E">
        <w:rPr>
          <w:sz w:val="24"/>
          <w:szCs w:val="24"/>
        </w:rPr>
        <w:t>for completion</w:t>
      </w:r>
      <w:r w:rsidR="0088597C">
        <w:rPr>
          <w:sz w:val="24"/>
          <w:szCs w:val="24"/>
        </w:rPr>
        <w:t>,</w:t>
      </w:r>
      <w:r w:rsidRPr="00457884">
        <w:rPr>
          <w:sz w:val="24"/>
          <w:szCs w:val="24"/>
        </w:rPr>
        <w:t xml:space="preserve"> including time for reviewing instructions and completing the </w:t>
      </w:r>
      <w:r w:rsidR="0014132E">
        <w:rPr>
          <w:sz w:val="24"/>
          <w:szCs w:val="24"/>
        </w:rPr>
        <w:t>assessment</w:t>
      </w:r>
      <w:r w:rsidR="0088597C">
        <w:rPr>
          <w:sz w:val="24"/>
          <w:szCs w:val="24"/>
        </w:rPr>
        <w:t>,</w:t>
      </w:r>
      <w:r w:rsidRPr="00457884">
        <w:rPr>
          <w:sz w:val="24"/>
          <w:szCs w:val="24"/>
        </w:rPr>
        <w:t xml:space="preserve"> was approximately </w:t>
      </w:r>
      <w:r w:rsidR="00D43AA8" w:rsidRPr="00457884">
        <w:rPr>
          <w:sz w:val="24"/>
          <w:szCs w:val="24"/>
        </w:rPr>
        <w:t>35</w:t>
      </w:r>
      <w:r w:rsidR="00B05795" w:rsidRPr="00457884">
        <w:rPr>
          <w:sz w:val="24"/>
          <w:szCs w:val="24"/>
        </w:rPr>
        <w:t xml:space="preserve"> minutes. </w:t>
      </w:r>
      <w:r w:rsidRPr="00457884">
        <w:rPr>
          <w:sz w:val="24"/>
          <w:szCs w:val="24"/>
        </w:rPr>
        <w:t xml:space="preserve">Based on these results, the estimated time range for actual respondents to complete the </w:t>
      </w:r>
      <w:r w:rsidR="0014132E">
        <w:rPr>
          <w:sz w:val="24"/>
          <w:szCs w:val="24"/>
        </w:rPr>
        <w:t>assessment</w:t>
      </w:r>
      <w:r w:rsidRPr="00457884">
        <w:rPr>
          <w:sz w:val="24"/>
          <w:szCs w:val="24"/>
        </w:rPr>
        <w:t xml:space="preserve"> is </w:t>
      </w:r>
      <w:r w:rsidR="00F317C9">
        <w:rPr>
          <w:sz w:val="24"/>
          <w:szCs w:val="24"/>
        </w:rPr>
        <w:t>30</w:t>
      </w:r>
      <w:r w:rsidR="00D43AA8" w:rsidRPr="00457884">
        <w:rPr>
          <w:sz w:val="24"/>
          <w:szCs w:val="24"/>
        </w:rPr>
        <w:t>-</w:t>
      </w:r>
      <w:r w:rsidR="00D60C46">
        <w:rPr>
          <w:sz w:val="24"/>
          <w:szCs w:val="24"/>
        </w:rPr>
        <w:t>3</w:t>
      </w:r>
      <w:r w:rsidR="00D43AA8" w:rsidRPr="00457884">
        <w:rPr>
          <w:sz w:val="24"/>
          <w:szCs w:val="24"/>
        </w:rPr>
        <w:t>5</w:t>
      </w:r>
      <w:r w:rsidRPr="00457884">
        <w:rPr>
          <w:sz w:val="24"/>
          <w:szCs w:val="24"/>
        </w:rPr>
        <w:t xml:space="preserve"> minutes. For the purposes of estimating burden hours, the upper limit of this range </w:t>
      </w:r>
      <w:r w:rsidR="00D43AA8" w:rsidRPr="00457884">
        <w:rPr>
          <w:sz w:val="24"/>
          <w:szCs w:val="24"/>
        </w:rPr>
        <w:t xml:space="preserve">(i.e., </w:t>
      </w:r>
      <w:r w:rsidR="00D60C46">
        <w:rPr>
          <w:sz w:val="24"/>
          <w:szCs w:val="24"/>
        </w:rPr>
        <w:t>3</w:t>
      </w:r>
      <w:r w:rsidR="00D43AA8" w:rsidRPr="00457884">
        <w:rPr>
          <w:sz w:val="24"/>
          <w:szCs w:val="24"/>
        </w:rPr>
        <w:t>5</w:t>
      </w:r>
      <w:r w:rsidRPr="00457884">
        <w:rPr>
          <w:sz w:val="24"/>
          <w:szCs w:val="24"/>
        </w:rPr>
        <w:t xml:space="preserve"> minutes) is used. Estimates for the average hourly wage for respondents are based on the Department of Labor (DOL) National Compensation Survey estimate for management occupations – medical and health services managers in state government (http://www.bls.gov/ncs/ocs/sp/nctb1349.pdf). Based on DOL data, an average hourly wage of $33.74 is estimated for all </w:t>
      </w:r>
      <w:r w:rsidR="004961AA">
        <w:rPr>
          <w:sz w:val="24"/>
          <w:szCs w:val="24"/>
        </w:rPr>
        <w:t>35</w:t>
      </w:r>
      <w:r w:rsidRPr="00457884">
        <w:rPr>
          <w:sz w:val="24"/>
          <w:szCs w:val="24"/>
        </w:rPr>
        <w:t xml:space="preserve"> respondents. </w:t>
      </w:r>
    </w:p>
    <w:p w:rsidR="00132D84" w:rsidRPr="000A389A" w:rsidRDefault="005F0829" w:rsidP="000A389A">
      <w:pPr>
        <w:ind w:left="360"/>
        <w:rPr>
          <w:sz w:val="24"/>
          <w:szCs w:val="24"/>
        </w:rPr>
      </w:pPr>
      <w:r>
        <w:rPr>
          <w:rFonts w:eastAsia="Times New Roman" w:cs="Times New Roman"/>
          <w:b/>
          <w:sz w:val="24"/>
          <w:szCs w:val="24"/>
          <w:u w:val="single"/>
        </w:rPr>
        <w:t>Table A-1</w:t>
      </w:r>
      <w:r w:rsidR="002042C3">
        <w:rPr>
          <w:rFonts w:eastAsia="Times New Roman" w:cs="Times New Roman"/>
          <w:b/>
          <w:sz w:val="24"/>
          <w:szCs w:val="24"/>
          <w:u w:val="single"/>
        </w:rPr>
        <w:t>2</w:t>
      </w:r>
      <w:r w:rsidR="00132D84" w:rsidRPr="00457884">
        <w:rPr>
          <w:rFonts w:eastAsia="Times New Roman" w:cs="Times New Roman"/>
          <w:b/>
          <w:sz w:val="24"/>
          <w:szCs w:val="24"/>
        </w:rPr>
        <w:t>:</w:t>
      </w:r>
      <w:r w:rsidR="00132D84" w:rsidRPr="00457884">
        <w:rPr>
          <w:rFonts w:eastAsia="Times New Roman" w:cs="Times New Roman"/>
          <w:sz w:val="24"/>
          <w:szCs w:val="24"/>
        </w:rPr>
        <w:t xml:space="preserve"> Estimated Annualized Burden Hours and Costs to Respondents–Immunization Billing Assessment</w:t>
      </w:r>
    </w:p>
    <w:tbl>
      <w:tblPr>
        <w:tblW w:w="963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0"/>
        <w:gridCol w:w="1530"/>
        <w:gridCol w:w="1440"/>
        <w:gridCol w:w="1260"/>
        <w:gridCol w:w="990"/>
        <w:gridCol w:w="900"/>
        <w:gridCol w:w="1440"/>
      </w:tblGrid>
      <w:tr w:rsidR="00132D84" w:rsidRPr="00457884" w:rsidTr="00952FBC">
        <w:trPr>
          <w:trHeight w:val="1493"/>
        </w:trPr>
        <w:tc>
          <w:tcPr>
            <w:tcW w:w="2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32D84" w:rsidRPr="00457884" w:rsidRDefault="00132D84" w:rsidP="00132D84">
            <w:pPr>
              <w:jc w:val="center"/>
              <w:rPr>
                <w:rFonts w:eastAsia="Times New Roman" w:cs="Times New Roman"/>
                <w:b/>
                <w:sz w:val="24"/>
                <w:szCs w:val="24"/>
              </w:rPr>
            </w:pPr>
            <w:r w:rsidRPr="00457884">
              <w:rPr>
                <w:rFonts w:eastAsia="Times New Roman" w:cs="Times New Roman"/>
                <w:b/>
                <w:sz w:val="24"/>
                <w:szCs w:val="24"/>
              </w:rPr>
              <w:t>Type of Respondent</w:t>
            </w:r>
          </w:p>
        </w:tc>
        <w:tc>
          <w:tcPr>
            <w:tcW w:w="1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32D84" w:rsidRPr="00457884" w:rsidRDefault="00952FBC" w:rsidP="00132D84">
            <w:pPr>
              <w:jc w:val="center"/>
              <w:rPr>
                <w:rFonts w:eastAsia="Times New Roman" w:cs="Times New Roman"/>
                <w:b/>
                <w:sz w:val="24"/>
                <w:szCs w:val="24"/>
              </w:rPr>
            </w:pPr>
            <w:r>
              <w:rPr>
                <w:rFonts w:eastAsia="Times New Roman" w:cs="Times New Roman"/>
                <w:b/>
                <w:sz w:val="24"/>
                <w:szCs w:val="24"/>
              </w:rPr>
              <w:t>No. of Respondent</w:t>
            </w:r>
            <w:r w:rsidR="00132D84" w:rsidRPr="00457884">
              <w:rPr>
                <w:rFonts w:eastAsia="Times New Roman" w:cs="Times New Roman"/>
                <w:b/>
                <w:sz w:val="24"/>
                <w:szCs w:val="24"/>
              </w:rPr>
              <w:t>s</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32D84" w:rsidRPr="00457884" w:rsidRDefault="00952FBC" w:rsidP="00132D84">
            <w:pPr>
              <w:jc w:val="center"/>
              <w:rPr>
                <w:rFonts w:eastAsia="Times New Roman" w:cs="Times New Roman"/>
                <w:b/>
                <w:sz w:val="24"/>
                <w:szCs w:val="24"/>
              </w:rPr>
            </w:pPr>
            <w:r>
              <w:rPr>
                <w:rFonts w:eastAsia="Times New Roman" w:cs="Times New Roman"/>
                <w:b/>
                <w:sz w:val="24"/>
                <w:szCs w:val="24"/>
              </w:rPr>
              <w:t>No. of Responses per Responden</w:t>
            </w:r>
            <w:r w:rsidR="00132D84" w:rsidRPr="00457884">
              <w:rPr>
                <w:rFonts w:eastAsia="Times New Roman" w:cs="Times New Roman"/>
                <w:b/>
                <w:sz w:val="24"/>
                <w:szCs w:val="24"/>
              </w:rPr>
              <w:t>t</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32D84" w:rsidRPr="00457884" w:rsidRDefault="00132D84" w:rsidP="00132D84">
            <w:pPr>
              <w:jc w:val="center"/>
              <w:rPr>
                <w:rFonts w:eastAsia="Times New Roman" w:cs="Times New Roman"/>
                <w:b/>
                <w:sz w:val="24"/>
                <w:szCs w:val="24"/>
              </w:rPr>
            </w:pPr>
            <w:r w:rsidRPr="00457884">
              <w:rPr>
                <w:rFonts w:eastAsia="Times New Roman" w:cs="Times New Roman"/>
                <w:b/>
                <w:sz w:val="24"/>
                <w:szCs w:val="24"/>
              </w:rPr>
              <w:t>Average Burden per Response (in hours)</w:t>
            </w:r>
          </w:p>
        </w:tc>
        <w:tc>
          <w:tcPr>
            <w:tcW w:w="9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32D84" w:rsidRPr="00457884" w:rsidRDefault="00132D84" w:rsidP="00132D84">
            <w:pPr>
              <w:jc w:val="center"/>
              <w:rPr>
                <w:rFonts w:eastAsia="Times New Roman" w:cs="Times New Roman"/>
                <w:b/>
                <w:sz w:val="24"/>
                <w:szCs w:val="24"/>
              </w:rPr>
            </w:pPr>
            <w:r w:rsidRPr="00457884">
              <w:rPr>
                <w:rFonts w:eastAsia="Times New Roman" w:cs="Times New Roman"/>
                <w:b/>
                <w:sz w:val="24"/>
                <w:szCs w:val="24"/>
              </w:rPr>
              <w:t>Total Burden Hours</w:t>
            </w:r>
          </w:p>
        </w:tc>
        <w:tc>
          <w:tcPr>
            <w:tcW w:w="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32D84" w:rsidRPr="00457884" w:rsidRDefault="00132D84" w:rsidP="00132D84">
            <w:pPr>
              <w:jc w:val="center"/>
              <w:rPr>
                <w:rFonts w:eastAsia="Times New Roman" w:cs="Times New Roman"/>
                <w:b/>
                <w:sz w:val="24"/>
                <w:szCs w:val="24"/>
              </w:rPr>
            </w:pPr>
            <w:r w:rsidRPr="00457884">
              <w:rPr>
                <w:rFonts w:eastAsia="Times New Roman" w:cs="Times New Roman"/>
                <w:b/>
                <w:sz w:val="24"/>
                <w:szCs w:val="24"/>
              </w:rPr>
              <w:t>Hourly Wage Rate</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132D84" w:rsidRPr="00457884" w:rsidRDefault="00132D84" w:rsidP="00132D84">
            <w:pPr>
              <w:jc w:val="center"/>
              <w:rPr>
                <w:rFonts w:eastAsia="Times New Roman" w:cs="Times New Roman"/>
                <w:b/>
                <w:sz w:val="24"/>
                <w:szCs w:val="24"/>
              </w:rPr>
            </w:pPr>
            <w:r w:rsidRPr="00457884">
              <w:rPr>
                <w:rFonts w:eastAsia="Times New Roman" w:cs="Times New Roman"/>
                <w:b/>
                <w:sz w:val="24"/>
                <w:szCs w:val="24"/>
              </w:rPr>
              <w:t>Total Respondent Costs</w:t>
            </w:r>
          </w:p>
        </w:tc>
      </w:tr>
      <w:tr w:rsidR="00132D84" w:rsidRPr="00457884" w:rsidTr="00AA1680">
        <w:tc>
          <w:tcPr>
            <w:tcW w:w="2070" w:type="dxa"/>
            <w:tcBorders>
              <w:top w:val="single" w:sz="4" w:space="0" w:color="000000"/>
              <w:left w:val="single" w:sz="4" w:space="0" w:color="000000"/>
              <w:bottom w:val="single" w:sz="4" w:space="0" w:color="000000"/>
              <w:right w:val="single" w:sz="4" w:space="0" w:color="000000"/>
            </w:tcBorders>
            <w:vAlign w:val="center"/>
            <w:hideMark/>
          </w:tcPr>
          <w:p w:rsidR="00132D84" w:rsidRPr="00457884" w:rsidRDefault="00132D84" w:rsidP="00D43AA8">
            <w:pPr>
              <w:spacing w:after="0"/>
              <w:rPr>
                <w:rFonts w:eastAsia="Times New Roman" w:cs="Times New Roman"/>
                <w:sz w:val="24"/>
                <w:szCs w:val="24"/>
              </w:rPr>
            </w:pPr>
            <w:r w:rsidRPr="00457884">
              <w:rPr>
                <w:rFonts w:eastAsia="Times New Roman" w:cs="Times New Roman"/>
                <w:sz w:val="24"/>
                <w:szCs w:val="24"/>
              </w:rPr>
              <w:t xml:space="preserve">State </w:t>
            </w:r>
            <w:r w:rsidR="00D43AA8" w:rsidRPr="00457884">
              <w:rPr>
                <w:rFonts w:eastAsia="Times New Roman" w:cs="Times New Roman"/>
                <w:sz w:val="24"/>
                <w:szCs w:val="24"/>
              </w:rPr>
              <w:t xml:space="preserve">Immunization Billing </w:t>
            </w:r>
            <w:r w:rsidRPr="00457884">
              <w:rPr>
                <w:rFonts w:eastAsia="Times New Roman" w:cs="Times New Roman"/>
                <w:sz w:val="24"/>
                <w:szCs w:val="24"/>
              </w:rPr>
              <w:t>Program Manager</w:t>
            </w:r>
            <w:r w:rsidR="002042C3">
              <w:rPr>
                <w:rFonts w:eastAsia="Times New Roman" w:cs="Times New Roman"/>
                <w:sz w:val="24"/>
                <w:szCs w:val="24"/>
              </w:rPr>
              <w:t>s or Coordinators</w:t>
            </w:r>
          </w:p>
        </w:tc>
        <w:tc>
          <w:tcPr>
            <w:tcW w:w="1530" w:type="dxa"/>
            <w:tcBorders>
              <w:top w:val="single" w:sz="4" w:space="0" w:color="000000"/>
              <w:left w:val="single" w:sz="4" w:space="0" w:color="000000"/>
              <w:bottom w:val="single" w:sz="4" w:space="0" w:color="000000"/>
              <w:right w:val="single" w:sz="4" w:space="0" w:color="000000"/>
            </w:tcBorders>
            <w:vAlign w:val="center"/>
            <w:hideMark/>
          </w:tcPr>
          <w:p w:rsidR="00132D84" w:rsidRPr="00457884" w:rsidRDefault="004961AA" w:rsidP="00132D84">
            <w:pPr>
              <w:spacing w:after="0"/>
              <w:jc w:val="center"/>
              <w:rPr>
                <w:rFonts w:eastAsia="Times New Roman" w:cs="Times New Roman"/>
                <w:sz w:val="24"/>
                <w:szCs w:val="24"/>
              </w:rPr>
            </w:pPr>
            <w:r>
              <w:rPr>
                <w:rFonts w:eastAsia="Times New Roman" w:cs="Times New Roman"/>
                <w:sz w:val="24"/>
                <w:szCs w:val="24"/>
              </w:rPr>
              <w:t>35</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132D84" w:rsidRPr="00457884" w:rsidRDefault="00132D84" w:rsidP="00132D84">
            <w:pPr>
              <w:spacing w:after="0"/>
              <w:jc w:val="center"/>
              <w:rPr>
                <w:rFonts w:eastAsia="Times New Roman" w:cs="Times New Roman"/>
                <w:sz w:val="24"/>
                <w:szCs w:val="24"/>
              </w:rPr>
            </w:pPr>
            <w:r w:rsidRPr="00457884">
              <w:rPr>
                <w:rFonts w:eastAsia="Times New Roman" w:cs="Times New Roman"/>
                <w:sz w:val="24"/>
                <w:szCs w:val="24"/>
              </w:rPr>
              <w:t>1</w:t>
            </w: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132D84" w:rsidRPr="00457884" w:rsidRDefault="00160563" w:rsidP="00132D84">
            <w:pPr>
              <w:spacing w:after="0"/>
              <w:jc w:val="center"/>
              <w:rPr>
                <w:rFonts w:eastAsia="Times New Roman" w:cs="Times New Roman"/>
                <w:sz w:val="24"/>
                <w:szCs w:val="24"/>
              </w:rPr>
            </w:pPr>
            <w:r>
              <w:rPr>
                <w:rFonts w:eastAsia="Times New Roman" w:cs="Times New Roman"/>
                <w:sz w:val="24"/>
                <w:szCs w:val="24"/>
              </w:rPr>
              <w:t>3</w:t>
            </w:r>
            <w:r w:rsidR="00D43AA8" w:rsidRPr="00457884">
              <w:rPr>
                <w:rFonts w:eastAsia="Times New Roman" w:cs="Times New Roman"/>
                <w:sz w:val="24"/>
                <w:szCs w:val="24"/>
              </w:rPr>
              <w:t>5</w:t>
            </w:r>
            <w:r w:rsidR="00132D84" w:rsidRPr="00457884">
              <w:rPr>
                <w:rFonts w:eastAsia="Times New Roman" w:cs="Times New Roman"/>
                <w:sz w:val="24"/>
                <w:szCs w:val="24"/>
              </w:rPr>
              <w:t>/60</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132D84" w:rsidRPr="00457884" w:rsidRDefault="00F317C9" w:rsidP="00132D84">
            <w:pPr>
              <w:spacing w:after="0"/>
              <w:jc w:val="center"/>
              <w:rPr>
                <w:rFonts w:eastAsia="Times New Roman" w:cs="Times New Roman"/>
                <w:sz w:val="24"/>
                <w:szCs w:val="24"/>
              </w:rPr>
            </w:pPr>
            <w:r>
              <w:rPr>
                <w:rFonts w:eastAsia="Times New Roman" w:cs="Times New Roman"/>
                <w:sz w:val="24"/>
                <w:szCs w:val="24"/>
              </w:rPr>
              <w:t>2</w:t>
            </w:r>
            <w:r w:rsidR="004961AA">
              <w:rPr>
                <w:rFonts w:eastAsia="Times New Roman" w:cs="Times New Roman"/>
                <w:sz w:val="24"/>
                <w:szCs w:val="24"/>
              </w:rPr>
              <w:t>0</w:t>
            </w:r>
          </w:p>
        </w:tc>
        <w:tc>
          <w:tcPr>
            <w:tcW w:w="900" w:type="dxa"/>
            <w:tcBorders>
              <w:top w:val="single" w:sz="4" w:space="0" w:color="000000"/>
              <w:left w:val="single" w:sz="4" w:space="0" w:color="000000"/>
              <w:bottom w:val="single" w:sz="4" w:space="0" w:color="000000"/>
              <w:right w:val="single" w:sz="4" w:space="0" w:color="000000"/>
            </w:tcBorders>
            <w:vAlign w:val="center"/>
            <w:hideMark/>
          </w:tcPr>
          <w:p w:rsidR="00132D84" w:rsidRPr="00457884" w:rsidRDefault="00132D84" w:rsidP="00132D84">
            <w:pPr>
              <w:spacing w:after="0"/>
              <w:jc w:val="center"/>
              <w:rPr>
                <w:rFonts w:eastAsia="Times New Roman" w:cs="Times New Roman"/>
                <w:sz w:val="24"/>
                <w:szCs w:val="24"/>
              </w:rPr>
            </w:pPr>
            <w:r w:rsidRPr="00457884">
              <w:rPr>
                <w:rFonts w:eastAsia="Times New Roman" w:cs="Times New Roman"/>
                <w:sz w:val="24"/>
                <w:szCs w:val="24"/>
              </w:rPr>
              <w:t>$33.74</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132D84" w:rsidRPr="00457884" w:rsidRDefault="004961AA" w:rsidP="00132D84">
            <w:pPr>
              <w:spacing w:after="0"/>
              <w:jc w:val="right"/>
              <w:rPr>
                <w:rFonts w:eastAsia="Times New Roman" w:cs="Times New Roman"/>
                <w:sz w:val="24"/>
                <w:szCs w:val="24"/>
              </w:rPr>
            </w:pPr>
            <w:r>
              <w:rPr>
                <w:rFonts w:eastAsia="Times New Roman" w:cs="Times New Roman"/>
                <w:sz w:val="24"/>
                <w:szCs w:val="24"/>
              </w:rPr>
              <w:t>$674</w:t>
            </w:r>
            <w:r w:rsidR="00F317C9">
              <w:rPr>
                <w:rFonts w:eastAsia="Times New Roman" w:cs="Times New Roman"/>
                <w:sz w:val="24"/>
                <w:szCs w:val="24"/>
              </w:rPr>
              <w:t>.</w:t>
            </w:r>
            <w:r w:rsidR="00160563">
              <w:rPr>
                <w:rFonts w:eastAsia="Times New Roman" w:cs="Times New Roman"/>
                <w:sz w:val="24"/>
                <w:szCs w:val="24"/>
              </w:rPr>
              <w:t>8</w:t>
            </w:r>
            <w:r>
              <w:rPr>
                <w:rFonts w:eastAsia="Times New Roman" w:cs="Times New Roman"/>
                <w:sz w:val="24"/>
                <w:szCs w:val="24"/>
              </w:rPr>
              <w:t>0</w:t>
            </w:r>
          </w:p>
        </w:tc>
      </w:tr>
      <w:tr w:rsidR="00132D84" w:rsidRPr="00457884" w:rsidTr="00AA1680">
        <w:trPr>
          <w:trHeight w:hRule="exact" w:val="432"/>
        </w:trPr>
        <w:tc>
          <w:tcPr>
            <w:tcW w:w="2070" w:type="dxa"/>
            <w:tcBorders>
              <w:top w:val="single" w:sz="12" w:space="0" w:color="000000"/>
              <w:left w:val="single" w:sz="8" w:space="0" w:color="000000"/>
              <w:bottom w:val="single" w:sz="12" w:space="0" w:color="000000"/>
              <w:right w:val="single" w:sz="8" w:space="0" w:color="000000"/>
            </w:tcBorders>
            <w:vAlign w:val="center"/>
            <w:hideMark/>
          </w:tcPr>
          <w:p w:rsidR="00132D84" w:rsidRPr="00457884" w:rsidRDefault="00132D84" w:rsidP="00132D84">
            <w:pPr>
              <w:spacing w:after="0"/>
              <w:jc w:val="right"/>
              <w:rPr>
                <w:rFonts w:eastAsia="Times New Roman" w:cs="Times New Roman"/>
                <w:b/>
                <w:sz w:val="24"/>
                <w:szCs w:val="24"/>
              </w:rPr>
            </w:pPr>
            <w:r w:rsidRPr="00457884">
              <w:rPr>
                <w:rFonts w:eastAsia="Times New Roman" w:cs="Times New Roman"/>
                <w:b/>
                <w:sz w:val="24"/>
                <w:szCs w:val="24"/>
              </w:rPr>
              <w:t>TOTALS</w:t>
            </w:r>
          </w:p>
        </w:tc>
        <w:tc>
          <w:tcPr>
            <w:tcW w:w="1530" w:type="dxa"/>
            <w:tcBorders>
              <w:top w:val="single" w:sz="12" w:space="0" w:color="000000"/>
              <w:left w:val="single" w:sz="8" w:space="0" w:color="000000"/>
              <w:bottom w:val="single" w:sz="12" w:space="0" w:color="000000"/>
              <w:right w:val="single" w:sz="8" w:space="0" w:color="000000"/>
            </w:tcBorders>
            <w:vAlign w:val="center"/>
            <w:hideMark/>
          </w:tcPr>
          <w:p w:rsidR="00132D84" w:rsidRPr="00457884" w:rsidRDefault="004961AA" w:rsidP="00132D84">
            <w:pPr>
              <w:spacing w:after="0"/>
              <w:jc w:val="center"/>
              <w:rPr>
                <w:rFonts w:eastAsia="Times New Roman" w:cs="Times New Roman"/>
                <w:b/>
                <w:sz w:val="24"/>
                <w:szCs w:val="24"/>
              </w:rPr>
            </w:pPr>
            <w:r>
              <w:rPr>
                <w:rFonts w:eastAsia="Times New Roman" w:cs="Times New Roman"/>
                <w:b/>
                <w:sz w:val="24"/>
                <w:szCs w:val="24"/>
              </w:rPr>
              <w:t>35</w:t>
            </w:r>
          </w:p>
        </w:tc>
        <w:tc>
          <w:tcPr>
            <w:tcW w:w="1440" w:type="dxa"/>
            <w:tcBorders>
              <w:top w:val="single" w:sz="12" w:space="0" w:color="000000"/>
              <w:left w:val="single" w:sz="8" w:space="0" w:color="000000"/>
              <w:bottom w:val="single" w:sz="12" w:space="0" w:color="000000"/>
              <w:right w:val="single" w:sz="8" w:space="0" w:color="000000"/>
            </w:tcBorders>
            <w:vAlign w:val="center"/>
            <w:hideMark/>
          </w:tcPr>
          <w:p w:rsidR="00132D84" w:rsidRPr="00457884" w:rsidRDefault="00132D84" w:rsidP="00132D84">
            <w:pPr>
              <w:spacing w:after="0"/>
              <w:jc w:val="center"/>
              <w:rPr>
                <w:rFonts w:eastAsia="Times New Roman" w:cs="Times New Roman"/>
                <w:b/>
                <w:sz w:val="24"/>
                <w:szCs w:val="24"/>
              </w:rPr>
            </w:pPr>
            <w:r w:rsidRPr="00457884">
              <w:rPr>
                <w:rFonts w:eastAsia="Times New Roman" w:cs="Times New Roman"/>
                <w:b/>
                <w:sz w:val="24"/>
                <w:szCs w:val="24"/>
              </w:rPr>
              <w:t>1</w:t>
            </w:r>
          </w:p>
        </w:tc>
        <w:tc>
          <w:tcPr>
            <w:tcW w:w="1260" w:type="dxa"/>
            <w:tcBorders>
              <w:top w:val="single" w:sz="12" w:space="0" w:color="000000"/>
              <w:left w:val="single" w:sz="8" w:space="0" w:color="000000"/>
              <w:bottom w:val="single" w:sz="12" w:space="0" w:color="000000"/>
              <w:right w:val="single" w:sz="8" w:space="0" w:color="000000"/>
            </w:tcBorders>
            <w:shd w:val="clear" w:color="auto" w:fill="D9D9D9" w:themeFill="background1" w:themeFillShade="D9"/>
            <w:vAlign w:val="center"/>
          </w:tcPr>
          <w:p w:rsidR="00132D84" w:rsidRPr="00457884" w:rsidRDefault="00132D84" w:rsidP="00132D84">
            <w:pPr>
              <w:spacing w:after="0"/>
              <w:jc w:val="center"/>
              <w:rPr>
                <w:rFonts w:eastAsia="Times New Roman" w:cs="Times New Roman"/>
                <w:b/>
                <w:sz w:val="24"/>
                <w:szCs w:val="24"/>
              </w:rPr>
            </w:pPr>
          </w:p>
        </w:tc>
        <w:tc>
          <w:tcPr>
            <w:tcW w:w="990" w:type="dxa"/>
            <w:tcBorders>
              <w:top w:val="single" w:sz="12" w:space="0" w:color="000000"/>
              <w:left w:val="single" w:sz="8" w:space="0" w:color="000000"/>
              <w:bottom w:val="single" w:sz="12" w:space="0" w:color="000000"/>
              <w:right w:val="single" w:sz="8" w:space="0" w:color="000000"/>
            </w:tcBorders>
            <w:vAlign w:val="center"/>
            <w:hideMark/>
          </w:tcPr>
          <w:p w:rsidR="00132D84" w:rsidRPr="00457884" w:rsidRDefault="00F317C9" w:rsidP="00132D84">
            <w:pPr>
              <w:spacing w:after="0"/>
              <w:jc w:val="center"/>
              <w:rPr>
                <w:rFonts w:eastAsia="Times New Roman" w:cs="Times New Roman"/>
                <w:b/>
                <w:sz w:val="24"/>
                <w:szCs w:val="24"/>
              </w:rPr>
            </w:pPr>
            <w:r>
              <w:rPr>
                <w:rFonts w:eastAsia="Times New Roman" w:cs="Times New Roman"/>
                <w:b/>
                <w:sz w:val="24"/>
                <w:szCs w:val="24"/>
              </w:rPr>
              <w:t>2</w:t>
            </w:r>
            <w:r w:rsidR="004961AA">
              <w:rPr>
                <w:rFonts w:eastAsia="Times New Roman" w:cs="Times New Roman"/>
                <w:b/>
                <w:sz w:val="24"/>
                <w:szCs w:val="24"/>
              </w:rPr>
              <w:t>0</w:t>
            </w:r>
          </w:p>
        </w:tc>
        <w:tc>
          <w:tcPr>
            <w:tcW w:w="900" w:type="dxa"/>
            <w:tcBorders>
              <w:top w:val="single" w:sz="12" w:space="0" w:color="000000"/>
              <w:left w:val="single" w:sz="8" w:space="0" w:color="000000"/>
              <w:bottom w:val="single" w:sz="12" w:space="0" w:color="000000"/>
              <w:right w:val="single" w:sz="8" w:space="0" w:color="000000"/>
            </w:tcBorders>
            <w:shd w:val="clear" w:color="auto" w:fill="D9D9D9" w:themeFill="background1" w:themeFillShade="D9"/>
            <w:vAlign w:val="center"/>
          </w:tcPr>
          <w:p w:rsidR="00132D84" w:rsidRPr="00457884" w:rsidRDefault="00132D84" w:rsidP="00132D84">
            <w:pPr>
              <w:spacing w:after="0"/>
              <w:jc w:val="center"/>
              <w:rPr>
                <w:rFonts w:eastAsia="Times New Roman" w:cs="Times New Roman"/>
                <w:b/>
                <w:sz w:val="24"/>
                <w:szCs w:val="24"/>
              </w:rPr>
            </w:pPr>
          </w:p>
        </w:tc>
        <w:tc>
          <w:tcPr>
            <w:tcW w:w="1440" w:type="dxa"/>
            <w:tcBorders>
              <w:top w:val="single" w:sz="12" w:space="0" w:color="000000"/>
              <w:left w:val="single" w:sz="8" w:space="0" w:color="000000"/>
              <w:bottom w:val="single" w:sz="12" w:space="0" w:color="000000"/>
              <w:right w:val="single" w:sz="8" w:space="0" w:color="000000"/>
            </w:tcBorders>
            <w:vAlign w:val="center"/>
            <w:hideMark/>
          </w:tcPr>
          <w:p w:rsidR="00132D84" w:rsidRPr="00457884" w:rsidRDefault="004961AA" w:rsidP="00132D84">
            <w:pPr>
              <w:spacing w:after="0"/>
              <w:jc w:val="right"/>
              <w:rPr>
                <w:rFonts w:eastAsia="Times New Roman" w:cs="Times New Roman"/>
                <w:b/>
                <w:sz w:val="24"/>
                <w:szCs w:val="24"/>
              </w:rPr>
            </w:pPr>
            <w:r>
              <w:rPr>
                <w:rFonts w:eastAsia="Times New Roman" w:cs="Times New Roman"/>
                <w:b/>
                <w:sz w:val="24"/>
                <w:szCs w:val="24"/>
              </w:rPr>
              <w:t>$674</w:t>
            </w:r>
            <w:r w:rsidR="00F317C9">
              <w:rPr>
                <w:rFonts w:eastAsia="Times New Roman" w:cs="Times New Roman"/>
                <w:b/>
                <w:sz w:val="24"/>
                <w:szCs w:val="24"/>
              </w:rPr>
              <w:t>.</w:t>
            </w:r>
            <w:r>
              <w:rPr>
                <w:rFonts w:eastAsia="Times New Roman" w:cs="Times New Roman"/>
                <w:b/>
                <w:sz w:val="24"/>
                <w:szCs w:val="24"/>
              </w:rPr>
              <w:t>80</w:t>
            </w:r>
          </w:p>
        </w:tc>
      </w:tr>
    </w:tbl>
    <w:p w:rsidR="009D43C7" w:rsidRDefault="009D43C7" w:rsidP="00BF5835">
      <w:pPr>
        <w:rPr>
          <w:b/>
          <w:sz w:val="24"/>
          <w:szCs w:val="24"/>
        </w:rPr>
      </w:pPr>
    </w:p>
    <w:p w:rsidR="00BF5835" w:rsidRPr="00457884" w:rsidRDefault="00132D84" w:rsidP="00BF5835">
      <w:pPr>
        <w:rPr>
          <w:b/>
          <w:sz w:val="24"/>
          <w:szCs w:val="24"/>
        </w:rPr>
      </w:pPr>
      <w:r w:rsidRPr="00457884">
        <w:rPr>
          <w:b/>
          <w:sz w:val="24"/>
          <w:szCs w:val="24"/>
        </w:rPr>
        <w:t xml:space="preserve">13. Estimates of Other Total Annual Cost Burden to Respondents or Record Keepers </w:t>
      </w:r>
    </w:p>
    <w:p w:rsidR="00BF5835" w:rsidRPr="00457884" w:rsidRDefault="00132D84" w:rsidP="00BF5835">
      <w:pPr>
        <w:rPr>
          <w:sz w:val="24"/>
          <w:szCs w:val="24"/>
        </w:rPr>
      </w:pPr>
      <w:r w:rsidRPr="00457884">
        <w:rPr>
          <w:sz w:val="24"/>
          <w:szCs w:val="24"/>
        </w:rPr>
        <w:t>There will be no direct costs to the respondents other than their time to participate in each survey.</w:t>
      </w:r>
    </w:p>
    <w:p w:rsidR="00132D84" w:rsidRPr="00457884" w:rsidRDefault="00132D84" w:rsidP="00BF5835">
      <w:pPr>
        <w:rPr>
          <w:b/>
          <w:sz w:val="24"/>
          <w:szCs w:val="24"/>
        </w:rPr>
      </w:pPr>
      <w:r w:rsidRPr="00457884">
        <w:rPr>
          <w:b/>
          <w:sz w:val="24"/>
          <w:szCs w:val="24"/>
        </w:rPr>
        <w:t>14. Annualized Cost to the Government</w:t>
      </w:r>
    </w:p>
    <w:p w:rsidR="00132D84" w:rsidRPr="00457884" w:rsidRDefault="00132D84" w:rsidP="00132D84">
      <w:pPr>
        <w:rPr>
          <w:sz w:val="24"/>
          <w:szCs w:val="24"/>
        </w:rPr>
      </w:pPr>
      <w:r w:rsidRPr="00457884">
        <w:rPr>
          <w:sz w:val="24"/>
          <w:szCs w:val="24"/>
        </w:rPr>
        <w:lastRenderedPageBreak/>
        <w:t>There are n</w:t>
      </w:r>
      <w:r w:rsidR="006A0723" w:rsidRPr="00457884">
        <w:rPr>
          <w:sz w:val="24"/>
          <w:szCs w:val="24"/>
        </w:rPr>
        <w:t xml:space="preserve">o equipment or overhead costs. </w:t>
      </w:r>
      <w:r w:rsidRPr="00457884">
        <w:rPr>
          <w:sz w:val="24"/>
          <w:szCs w:val="24"/>
        </w:rPr>
        <w:t xml:space="preserve">The only cost to the federal government would be the salary of CDC staff supporting the data collection activities and associated tasks. </w:t>
      </w:r>
    </w:p>
    <w:p w:rsidR="007159F6" w:rsidRPr="00457884" w:rsidRDefault="00444FF8" w:rsidP="00132D84">
      <w:pPr>
        <w:rPr>
          <w:sz w:val="24"/>
          <w:szCs w:val="24"/>
        </w:rPr>
      </w:pPr>
      <w:r>
        <w:rPr>
          <w:sz w:val="24"/>
          <w:szCs w:val="24"/>
        </w:rPr>
        <w:t xml:space="preserve">The questionnaire </w:t>
      </w:r>
      <w:r w:rsidR="001B00BA" w:rsidRPr="00457884">
        <w:rPr>
          <w:sz w:val="24"/>
          <w:szCs w:val="24"/>
        </w:rPr>
        <w:t>will be prepared by CDC staff (Contractors and FTE</w:t>
      </w:r>
      <w:r w:rsidR="00132D84" w:rsidRPr="00457884">
        <w:rPr>
          <w:sz w:val="24"/>
          <w:szCs w:val="24"/>
        </w:rPr>
        <w:t>).  An FTE manager will revi</w:t>
      </w:r>
      <w:r w:rsidR="006A0723" w:rsidRPr="00457884">
        <w:rPr>
          <w:sz w:val="24"/>
          <w:szCs w:val="24"/>
        </w:rPr>
        <w:t xml:space="preserve">ew and approve the activities. </w:t>
      </w:r>
      <w:r w:rsidR="00132D84" w:rsidRPr="00457884">
        <w:rPr>
          <w:sz w:val="24"/>
          <w:szCs w:val="24"/>
        </w:rPr>
        <w:t xml:space="preserve">The estimated </w:t>
      </w:r>
      <w:r w:rsidR="004961AA">
        <w:rPr>
          <w:sz w:val="24"/>
          <w:szCs w:val="24"/>
        </w:rPr>
        <w:t xml:space="preserve">total </w:t>
      </w:r>
      <w:r w:rsidR="00132D84" w:rsidRPr="00457884">
        <w:rPr>
          <w:sz w:val="24"/>
          <w:szCs w:val="24"/>
        </w:rPr>
        <w:t>cost to the federal government is $</w:t>
      </w:r>
      <w:r w:rsidR="008D2277">
        <w:rPr>
          <w:sz w:val="24"/>
          <w:szCs w:val="24"/>
        </w:rPr>
        <w:t>11,978.10</w:t>
      </w:r>
      <w:r w:rsidR="006A0723" w:rsidRPr="00457884">
        <w:rPr>
          <w:sz w:val="24"/>
          <w:szCs w:val="24"/>
        </w:rPr>
        <w:t xml:space="preserve">. </w:t>
      </w:r>
      <w:r w:rsidR="001B0646">
        <w:rPr>
          <w:sz w:val="24"/>
          <w:szCs w:val="24"/>
        </w:rPr>
        <w:t>Table A-14</w:t>
      </w:r>
      <w:r w:rsidR="00132D84" w:rsidRPr="00457884">
        <w:rPr>
          <w:sz w:val="24"/>
          <w:szCs w:val="24"/>
        </w:rPr>
        <w:t xml:space="preserve"> describes how this cost estimate was calculated.</w:t>
      </w:r>
    </w:p>
    <w:p w:rsidR="001B00BA" w:rsidRPr="00457884" w:rsidRDefault="005F0829" w:rsidP="001B00BA">
      <w:pPr>
        <w:spacing w:after="0"/>
        <w:rPr>
          <w:sz w:val="24"/>
          <w:szCs w:val="24"/>
        </w:rPr>
      </w:pPr>
      <w:r>
        <w:rPr>
          <w:b/>
          <w:sz w:val="24"/>
          <w:szCs w:val="24"/>
          <w:u w:val="single"/>
        </w:rPr>
        <w:t>Table</w:t>
      </w:r>
      <w:r w:rsidR="00A24529">
        <w:rPr>
          <w:b/>
          <w:sz w:val="24"/>
          <w:szCs w:val="24"/>
          <w:u w:val="single"/>
        </w:rPr>
        <w:t xml:space="preserve"> A-14</w:t>
      </w:r>
      <w:r w:rsidR="001B00BA" w:rsidRPr="00457884">
        <w:rPr>
          <w:b/>
          <w:sz w:val="24"/>
          <w:szCs w:val="24"/>
        </w:rPr>
        <w:t>:</w:t>
      </w:r>
      <w:r w:rsidR="001B00BA" w:rsidRPr="00457884">
        <w:rPr>
          <w:sz w:val="24"/>
          <w:szCs w:val="24"/>
        </w:rPr>
        <w:t xml:space="preserve"> Estimated Annualized Cost to the Federal Government</w:t>
      </w:r>
    </w:p>
    <w:tbl>
      <w:tblPr>
        <w:tblStyle w:val="TableGrid"/>
        <w:tblW w:w="0" w:type="auto"/>
        <w:tblLook w:val="04A0" w:firstRow="1" w:lastRow="0" w:firstColumn="1" w:lastColumn="0" w:noHBand="0" w:noVBand="1"/>
      </w:tblPr>
      <w:tblGrid>
        <w:gridCol w:w="4518"/>
        <w:gridCol w:w="1980"/>
        <w:gridCol w:w="1620"/>
        <w:gridCol w:w="1458"/>
      </w:tblGrid>
      <w:tr w:rsidR="001B00BA" w:rsidRPr="00457884" w:rsidTr="001B00BA">
        <w:trPr>
          <w:trHeight w:val="593"/>
        </w:trPr>
        <w:tc>
          <w:tcPr>
            <w:tcW w:w="4518"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1B00BA" w:rsidRPr="00457884" w:rsidRDefault="001B00BA">
            <w:pPr>
              <w:jc w:val="center"/>
              <w:rPr>
                <w:b/>
                <w:sz w:val="24"/>
                <w:szCs w:val="24"/>
              </w:rPr>
            </w:pPr>
            <w:r w:rsidRPr="00457884">
              <w:rPr>
                <w:b/>
                <w:sz w:val="24"/>
                <w:szCs w:val="24"/>
              </w:rPr>
              <w:t>Staff (FTE or Contractor)</w:t>
            </w:r>
          </w:p>
        </w:tc>
        <w:tc>
          <w:tcPr>
            <w:tcW w:w="198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1B00BA" w:rsidRPr="00457884" w:rsidRDefault="001B00BA">
            <w:pPr>
              <w:jc w:val="center"/>
              <w:rPr>
                <w:b/>
                <w:sz w:val="24"/>
                <w:szCs w:val="24"/>
              </w:rPr>
            </w:pPr>
            <w:r w:rsidRPr="00457884">
              <w:rPr>
                <w:b/>
                <w:sz w:val="24"/>
                <w:szCs w:val="24"/>
              </w:rPr>
              <w:t>Average Hours per Collection</w:t>
            </w:r>
          </w:p>
        </w:tc>
        <w:tc>
          <w:tcPr>
            <w:tcW w:w="162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1B00BA" w:rsidRPr="00457884" w:rsidRDefault="001B00BA">
            <w:pPr>
              <w:jc w:val="center"/>
              <w:rPr>
                <w:b/>
                <w:sz w:val="24"/>
                <w:szCs w:val="24"/>
              </w:rPr>
            </w:pPr>
            <w:r w:rsidRPr="00457884">
              <w:rPr>
                <w:b/>
                <w:sz w:val="24"/>
                <w:szCs w:val="24"/>
              </w:rPr>
              <w:t>Average Hourly Rate</w:t>
            </w:r>
          </w:p>
        </w:tc>
        <w:tc>
          <w:tcPr>
            <w:tcW w:w="1458"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1B00BA" w:rsidRPr="00457884" w:rsidRDefault="001B00BA">
            <w:pPr>
              <w:jc w:val="center"/>
              <w:rPr>
                <w:b/>
                <w:sz w:val="24"/>
                <w:szCs w:val="24"/>
              </w:rPr>
            </w:pPr>
            <w:r w:rsidRPr="00457884">
              <w:rPr>
                <w:b/>
                <w:sz w:val="24"/>
                <w:szCs w:val="24"/>
              </w:rPr>
              <w:t>Average Cost</w:t>
            </w:r>
          </w:p>
        </w:tc>
      </w:tr>
      <w:tr w:rsidR="001B00BA" w:rsidRPr="00457884" w:rsidTr="001B00BA">
        <w:tc>
          <w:tcPr>
            <w:tcW w:w="4518" w:type="dxa"/>
            <w:tcBorders>
              <w:top w:val="single" w:sz="12" w:space="0" w:color="auto"/>
              <w:left w:val="single" w:sz="4" w:space="0" w:color="auto"/>
              <w:bottom w:val="single" w:sz="4" w:space="0" w:color="auto"/>
              <w:right w:val="single" w:sz="4" w:space="0" w:color="auto"/>
            </w:tcBorders>
            <w:hideMark/>
          </w:tcPr>
          <w:p w:rsidR="001B00BA" w:rsidRPr="00457884" w:rsidRDefault="001B00BA">
            <w:pPr>
              <w:rPr>
                <w:b/>
                <w:sz w:val="24"/>
                <w:szCs w:val="24"/>
              </w:rPr>
            </w:pPr>
            <w:r w:rsidRPr="00457884">
              <w:rPr>
                <w:b/>
                <w:sz w:val="24"/>
                <w:szCs w:val="24"/>
              </w:rPr>
              <w:t xml:space="preserve">CDC </w:t>
            </w:r>
            <w:r w:rsidR="006A0723" w:rsidRPr="00457884">
              <w:rPr>
                <w:b/>
                <w:sz w:val="24"/>
                <w:szCs w:val="24"/>
              </w:rPr>
              <w:t>Health Education Specialist(CC-06</w:t>
            </w:r>
            <w:r w:rsidRPr="00457884">
              <w:rPr>
                <w:b/>
                <w:sz w:val="24"/>
                <w:szCs w:val="24"/>
              </w:rPr>
              <w:t>)</w:t>
            </w:r>
          </w:p>
          <w:p w:rsidR="001B00BA" w:rsidRPr="00457884" w:rsidRDefault="001B00BA" w:rsidP="00457884">
            <w:pPr>
              <w:rPr>
                <w:sz w:val="24"/>
                <w:szCs w:val="24"/>
              </w:rPr>
            </w:pPr>
            <w:r w:rsidRPr="00457884">
              <w:rPr>
                <w:sz w:val="24"/>
                <w:szCs w:val="24"/>
              </w:rPr>
              <w:t>Consultation with OMB package preparation, instrument development, data analysis, quality control and report preparation consultation.</w:t>
            </w:r>
          </w:p>
        </w:tc>
        <w:tc>
          <w:tcPr>
            <w:tcW w:w="1980" w:type="dxa"/>
            <w:tcBorders>
              <w:top w:val="single" w:sz="12" w:space="0" w:color="auto"/>
              <w:left w:val="single" w:sz="4" w:space="0" w:color="auto"/>
              <w:bottom w:val="single" w:sz="4" w:space="0" w:color="auto"/>
              <w:right w:val="single" w:sz="4" w:space="0" w:color="auto"/>
            </w:tcBorders>
            <w:hideMark/>
          </w:tcPr>
          <w:p w:rsidR="001B00BA" w:rsidRPr="00457884" w:rsidRDefault="001B00BA">
            <w:pPr>
              <w:jc w:val="center"/>
              <w:rPr>
                <w:sz w:val="24"/>
                <w:szCs w:val="24"/>
              </w:rPr>
            </w:pPr>
            <w:r w:rsidRPr="00457884">
              <w:rPr>
                <w:sz w:val="24"/>
                <w:szCs w:val="24"/>
              </w:rPr>
              <w:t>30 hours</w:t>
            </w:r>
          </w:p>
        </w:tc>
        <w:tc>
          <w:tcPr>
            <w:tcW w:w="1620" w:type="dxa"/>
            <w:tcBorders>
              <w:top w:val="single" w:sz="12" w:space="0" w:color="auto"/>
              <w:left w:val="single" w:sz="4" w:space="0" w:color="auto"/>
              <w:bottom w:val="single" w:sz="4" w:space="0" w:color="auto"/>
              <w:right w:val="single" w:sz="4" w:space="0" w:color="auto"/>
            </w:tcBorders>
            <w:hideMark/>
          </w:tcPr>
          <w:p w:rsidR="001B00BA" w:rsidRPr="00457884" w:rsidRDefault="001B00BA">
            <w:pPr>
              <w:jc w:val="center"/>
              <w:rPr>
                <w:sz w:val="24"/>
                <w:szCs w:val="24"/>
              </w:rPr>
            </w:pPr>
            <w:r w:rsidRPr="00457884">
              <w:rPr>
                <w:sz w:val="24"/>
                <w:szCs w:val="24"/>
              </w:rPr>
              <w:t>$54.87</w:t>
            </w:r>
          </w:p>
        </w:tc>
        <w:tc>
          <w:tcPr>
            <w:tcW w:w="1458" w:type="dxa"/>
            <w:tcBorders>
              <w:top w:val="single" w:sz="12" w:space="0" w:color="auto"/>
              <w:left w:val="single" w:sz="4" w:space="0" w:color="auto"/>
              <w:bottom w:val="single" w:sz="4" w:space="0" w:color="auto"/>
              <w:right w:val="single" w:sz="4" w:space="0" w:color="auto"/>
            </w:tcBorders>
            <w:hideMark/>
          </w:tcPr>
          <w:p w:rsidR="001B00BA" w:rsidRPr="00457884" w:rsidRDefault="001B00BA">
            <w:pPr>
              <w:jc w:val="center"/>
              <w:rPr>
                <w:sz w:val="24"/>
                <w:szCs w:val="24"/>
              </w:rPr>
            </w:pPr>
            <w:r w:rsidRPr="00457884">
              <w:rPr>
                <w:sz w:val="24"/>
                <w:szCs w:val="24"/>
              </w:rPr>
              <w:t>$1,646.10</w:t>
            </w:r>
          </w:p>
        </w:tc>
      </w:tr>
      <w:tr w:rsidR="001B00BA" w:rsidRPr="00457884" w:rsidTr="001B00BA">
        <w:tc>
          <w:tcPr>
            <w:tcW w:w="4518" w:type="dxa"/>
            <w:tcBorders>
              <w:top w:val="single" w:sz="4" w:space="0" w:color="auto"/>
              <w:left w:val="single" w:sz="4" w:space="0" w:color="auto"/>
              <w:bottom w:val="single" w:sz="4" w:space="0" w:color="auto"/>
              <w:right w:val="single" w:sz="4" w:space="0" w:color="auto"/>
            </w:tcBorders>
            <w:hideMark/>
          </w:tcPr>
          <w:p w:rsidR="001B00BA" w:rsidRPr="00457884" w:rsidRDefault="006A0723">
            <w:pPr>
              <w:rPr>
                <w:b/>
                <w:sz w:val="24"/>
                <w:szCs w:val="24"/>
              </w:rPr>
            </w:pPr>
            <w:r w:rsidRPr="00457884">
              <w:rPr>
                <w:b/>
                <w:sz w:val="24"/>
                <w:szCs w:val="24"/>
              </w:rPr>
              <w:t>Fellow</w:t>
            </w:r>
          </w:p>
          <w:p w:rsidR="001B00BA" w:rsidRPr="00457884" w:rsidRDefault="001B00BA" w:rsidP="00444FF8">
            <w:pPr>
              <w:rPr>
                <w:sz w:val="24"/>
                <w:szCs w:val="24"/>
              </w:rPr>
            </w:pPr>
            <w:r w:rsidRPr="00457884">
              <w:rPr>
                <w:sz w:val="24"/>
                <w:szCs w:val="24"/>
              </w:rPr>
              <w:t>Instrument development, pilot te</w:t>
            </w:r>
            <w:r w:rsidR="00457884" w:rsidRPr="00457884">
              <w:rPr>
                <w:sz w:val="24"/>
                <w:szCs w:val="24"/>
              </w:rPr>
              <w:t>sting, OMB package preparation, w</w:t>
            </w:r>
            <w:r w:rsidRPr="00457884">
              <w:rPr>
                <w:sz w:val="24"/>
                <w:szCs w:val="24"/>
              </w:rPr>
              <w:t xml:space="preserve">eb-based </w:t>
            </w:r>
            <w:r w:rsidR="00444FF8">
              <w:rPr>
                <w:sz w:val="24"/>
                <w:szCs w:val="24"/>
              </w:rPr>
              <w:t xml:space="preserve">data collection </w:t>
            </w:r>
            <w:r w:rsidRPr="00457884">
              <w:rPr>
                <w:sz w:val="24"/>
                <w:szCs w:val="24"/>
              </w:rPr>
              <w:t xml:space="preserve">programming, data collection, data coding and entry, quality control, data analysis, </w:t>
            </w:r>
            <w:r w:rsidR="00457884" w:rsidRPr="00457884">
              <w:rPr>
                <w:sz w:val="24"/>
                <w:szCs w:val="24"/>
              </w:rPr>
              <w:t xml:space="preserve">and </w:t>
            </w:r>
            <w:r w:rsidRPr="00457884">
              <w:rPr>
                <w:sz w:val="24"/>
                <w:szCs w:val="24"/>
              </w:rPr>
              <w:t>report preparation</w:t>
            </w:r>
            <w:r w:rsidR="00457884" w:rsidRPr="00457884">
              <w:rPr>
                <w:sz w:val="24"/>
                <w:szCs w:val="24"/>
              </w:rPr>
              <w:t>.</w:t>
            </w:r>
          </w:p>
        </w:tc>
        <w:tc>
          <w:tcPr>
            <w:tcW w:w="1980" w:type="dxa"/>
            <w:tcBorders>
              <w:top w:val="single" w:sz="4" w:space="0" w:color="auto"/>
              <w:left w:val="single" w:sz="4" w:space="0" w:color="auto"/>
              <w:bottom w:val="single" w:sz="4" w:space="0" w:color="auto"/>
              <w:right w:val="single" w:sz="4" w:space="0" w:color="auto"/>
            </w:tcBorders>
            <w:hideMark/>
          </w:tcPr>
          <w:p w:rsidR="001B00BA" w:rsidRPr="00457884" w:rsidRDefault="00C45B88">
            <w:pPr>
              <w:jc w:val="center"/>
              <w:rPr>
                <w:sz w:val="24"/>
                <w:szCs w:val="24"/>
              </w:rPr>
            </w:pPr>
            <w:r w:rsidRPr="00457884">
              <w:rPr>
                <w:sz w:val="24"/>
                <w:szCs w:val="24"/>
              </w:rPr>
              <w:t>400</w:t>
            </w:r>
            <w:r w:rsidR="001B00BA" w:rsidRPr="00457884">
              <w:rPr>
                <w:sz w:val="24"/>
                <w:szCs w:val="24"/>
              </w:rPr>
              <w:t xml:space="preserve"> hours</w:t>
            </w:r>
          </w:p>
        </w:tc>
        <w:tc>
          <w:tcPr>
            <w:tcW w:w="1620" w:type="dxa"/>
            <w:tcBorders>
              <w:top w:val="single" w:sz="4" w:space="0" w:color="auto"/>
              <w:left w:val="single" w:sz="4" w:space="0" w:color="auto"/>
              <w:bottom w:val="single" w:sz="4" w:space="0" w:color="auto"/>
              <w:right w:val="single" w:sz="4" w:space="0" w:color="auto"/>
            </w:tcBorders>
            <w:hideMark/>
          </w:tcPr>
          <w:p w:rsidR="001B00BA" w:rsidRPr="00457884" w:rsidRDefault="008D2277">
            <w:pPr>
              <w:jc w:val="center"/>
              <w:rPr>
                <w:sz w:val="24"/>
                <w:szCs w:val="24"/>
              </w:rPr>
            </w:pPr>
            <w:r>
              <w:rPr>
                <w:sz w:val="24"/>
                <w:szCs w:val="24"/>
              </w:rPr>
              <w:t>$</w:t>
            </w:r>
            <w:r w:rsidR="006A0723" w:rsidRPr="00457884">
              <w:rPr>
                <w:sz w:val="24"/>
                <w:szCs w:val="24"/>
              </w:rPr>
              <w:t>25.83</w:t>
            </w:r>
          </w:p>
        </w:tc>
        <w:tc>
          <w:tcPr>
            <w:tcW w:w="1458" w:type="dxa"/>
            <w:tcBorders>
              <w:top w:val="single" w:sz="4" w:space="0" w:color="auto"/>
              <w:left w:val="single" w:sz="4" w:space="0" w:color="auto"/>
              <w:bottom w:val="single" w:sz="4" w:space="0" w:color="auto"/>
              <w:right w:val="single" w:sz="4" w:space="0" w:color="auto"/>
            </w:tcBorders>
            <w:hideMark/>
          </w:tcPr>
          <w:p w:rsidR="001B00BA" w:rsidRPr="00457884" w:rsidRDefault="00905A02">
            <w:pPr>
              <w:jc w:val="center"/>
              <w:rPr>
                <w:sz w:val="24"/>
                <w:szCs w:val="24"/>
              </w:rPr>
            </w:pPr>
            <w:r w:rsidRPr="00457884">
              <w:rPr>
                <w:sz w:val="24"/>
                <w:szCs w:val="24"/>
              </w:rPr>
              <w:t>$10,332</w:t>
            </w:r>
            <w:r w:rsidR="001B00BA" w:rsidRPr="00457884">
              <w:rPr>
                <w:sz w:val="24"/>
                <w:szCs w:val="24"/>
              </w:rPr>
              <w:t>.00</w:t>
            </w:r>
          </w:p>
        </w:tc>
      </w:tr>
      <w:tr w:rsidR="001B00BA" w:rsidRPr="00457884" w:rsidTr="001B00BA">
        <w:trPr>
          <w:trHeight w:val="332"/>
        </w:trPr>
        <w:tc>
          <w:tcPr>
            <w:tcW w:w="8118" w:type="dxa"/>
            <w:gridSpan w:val="3"/>
            <w:tcBorders>
              <w:top w:val="single" w:sz="4" w:space="0" w:color="auto"/>
              <w:left w:val="single" w:sz="4" w:space="0" w:color="auto"/>
              <w:bottom w:val="single" w:sz="4" w:space="0" w:color="auto"/>
              <w:right w:val="single" w:sz="4" w:space="0" w:color="auto"/>
            </w:tcBorders>
            <w:vAlign w:val="center"/>
            <w:hideMark/>
          </w:tcPr>
          <w:p w:rsidR="001B00BA" w:rsidRPr="00457884" w:rsidRDefault="004961AA" w:rsidP="004961AA">
            <w:pPr>
              <w:jc w:val="right"/>
              <w:rPr>
                <w:b/>
                <w:sz w:val="24"/>
                <w:szCs w:val="24"/>
              </w:rPr>
            </w:pPr>
            <w:r>
              <w:rPr>
                <w:b/>
                <w:sz w:val="24"/>
                <w:szCs w:val="24"/>
              </w:rPr>
              <w:t xml:space="preserve">Estimated </w:t>
            </w:r>
            <w:r w:rsidR="001B00BA" w:rsidRPr="00457884">
              <w:rPr>
                <w:b/>
                <w:sz w:val="24"/>
                <w:szCs w:val="24"/>
              </w:rPr>
              <w:t>Cost of Information Collection</w:t>
            </w:r>
          </w:p>
        </w:tc>
        <w:tc>
          <w:tcPr>
            <w:tcW w:w="1458" w:type="dxa"/>
            <w:tcBorders>
              <w:top w:val="single" w:sz="4" w:space="0" w:color="auto"/>
              <w:left w:val="single" w:sz="4" w:space="0" w:color="auto"/>
              <w:bottom w:val="single" w:sz="4" w:space="0" w:color="auto"/>
              <w:right w:val="single" w:sz="4" w:space="0" w:color="auto"/>
            </w:tcBorders>
            <w:vAlign w:val="center"/>
            <w:hideMark/>
          </w:tcPr>
          <w:p w:rsidR="001B00BA" w:rsidRPr="00457884" w:rsidRDefault="00905A02">
            <w:pPr>
              <w:jc w:val="center"/>
              <w:rPr>
                <w:b/>
                <w:sz w:val="24"/>
                <w:szCs w:val="24"/>
              </w:rPr>
            </w:pPr>
            <w:r w:rsidRPr="00457884">
              <w:rPr>
                <w:b/>
                <w:sz w:val="24"/>
                <w:szCs w:val="24"/>
              </w:rPr>
              <w:t>$11,978.10</w:t>
            </w:r>
          </w:p>
        </w:tc>
      </w:tr>
    </w:tbl>
    <w:p w:rsidR="001B00BA" w:rsidRPr="00457884" w:rsidRDefault="001B00BA" w:rsidP="00BF5835">
      <w:pPr>
        <w:rPr>
          <w:b/>
          <w:sz w:val="24"/>
          <w:szCs w:val="24"/>
        </w:rPr>
      </w:pPr>
    </w:p>
    <w:p w:rsidR="001B00BA" w:rsidRPr="00457884" w:rsidRDefault="001B00BA" w:rsidP="00BF5835">
      <w:pPr>
        <w:rPr>
          <w:b/>
          <w:sz w:val="24"/>
          <w:szCs w:val="24"/>
        </w:rPr>
      </w:pPr>
      <w:r w:rsidRPr="00457884">
        <w:rPr>
          <w:b/>
          <w:sz w:val="24"/>
          <w:szCs w:val="24"/>
        </w:rPr>
        <w:t xml:space="preserve">15. Explanation for Program Changes or Adjustments </w:t>
      </w:r>
    </w:p>
    <w:p w:rsidR="001B00BA" w:rsidRPr="00457884" w:rsidRDefault="001B00BA" w:rsidP="00BF5835">
      <w:pPr>
        <w:rPr>
          <w:sz w:val="24"/>
          <w:szCs w:val="24"/>
        </w:rPr>
      </w:pPr>
      <w:r w:rsidRPr="00457884">
        <w:rPr>
          <w:sz w:val="24"/>
          <w:szCs w:val="24"/>
        </w:rPr>
        <w:t>This is a new data collection</w:t>
      </w:r>
      <w:r w:rsidR="008D2277">
        <w:rPr>
          <w:sz w:val="24"/>
          <w:szCs w:val="24"/>
        </w:rPr>
        <w:t>.</w:t>
      </w:r>
    </w:p>
    <w:p w:rsidR="001B00BA" w:rsidRPr="00457884" w:rsidRDefault="001B00BA" w:rsidP="00BF5835">
      <w:pPr>
        <w:rPr>
          <w:b/>
          <w:sz w:val="24"/>
          <w:szCs w:val="24"/>
        </w:rPr>
      </w:pPr>
      <w:r w:rsidRPr="00457884">
        <w:rPr>
          <w:b/>
          <w:sz w:val="24"/>
          <w:szCs w:val="24"/>
        </w:rPr>
        <w:t>16. Plans for Tabulation and Publication and Project Time Schedule</w:t>
      </w:r>
    </w:p>
    <w:p w:rsidR="001B00BA" w:rsidRPr="00457884" w:rsidRDefault="0014132E" w:rsidP="007159F6">
      <w:pPr>
        <w:spacing w:after="0"/>
        <w:rPr>
          <w:rFonts w:cs="Times New Roman"/>
          <w:sz w:val="24"/>
          <w:szCs w:val="24"/>
        </w:rPr>
      </w:pPr>
      <w:r>
        <w:rPr>
          <w:sz w:val="24"/>
          <w:szCs w:val="24"/>
        </w:rPr>
        <w:t xml:space="preserve">Results of this assessment </w:t>
      </w:r>
      <w:r w:rsidR="001B00BA" w:rsidRPr="00457884">
        <w:rPr>
          <w:sz w:val="24"/>
          <w:szCs w:val="24"/>
        </w:rPr>
        <w:t xml:space="preserve">will be used internally to improve </w:t>
      </w:r>
      <w:r w:rsidR="00B328F9" w:rsidRPr="00457884">
        <w:rPr>
          <w:sz w:val="24"/>
          <w:szCs w:val="24"/>
        </w:rPr>
        <w:t xml:space="preserve">immunization billing materials </w:t>
      </w:r>
      <w:r w:rsidR="001B00BA" w:rsidRPr="00457884">
        <w:rPr>
          <w:sz w:val="24"/>
          <w:szCs w:val="24"/>
        </w:rPr>
        <w:t>an</w:t>
      </w:r>
      <w:r w:rsidR="00B328F9" w:rsidRPr="00457884">
        <w:rPr>
          <w:sz w:val="24"/>
          <w:szCs w:val="24"/>
        </w:rPr>
        <w:t>d provide accountability to CDC</w:t>
      </w:r>
      <w:r w:rsidR="001B00BA" w:rsidRPr="00457884">
        <w:rPr>
          <w:sz w:val="24"/>
          <w:szCs w:val="24"/>
        </w:rPr>
        <w:t xml:space="preserve">. </w:t>
      </w:r>
      <w:r w:rsidR="001B00BA" w:rsidRPr="00457884">
        <w:rPr>
          <w:rFonts w:cs="Times New Roman"/>
          <w:sz w:val="24"/>
          <w:szCs w:val="24"/>
        </w:rPr>
        <w:t xml:space="preserve">It is anticipated that the findings may be published in a peer-reviewed public health journal. </w:t>
      </w:r>
      <w:r w:rsidR="00B328F9" w:rsidRPr="00457884">
        <w:rPr>
          <w:rFonts w:cs="Times New Roman"/>
          <w:sz w:val="24"/>
          <w:szCs w:val="24"/>
        </w:rPr>
        <w:t>CDC</w:t>
      </w:r>
      <w:r w:rsidR="001B00BA" w:rsidRPr="00457884">
        <w:rPr>
          <w:rFonts w:cs="Times New Roman"/>
          <w:sz w:val="24"/>
          <w:szCs w:val="24"/>
        </w:rPr>
        <w:t xml:space="preserve"> </w:t>
      </w:r>
      <w:r w:rsidR="0088597C">
        <w:rPr>
          <w:rFonts w:cs="Times New Roman"/>
          <w:sz w:val="24"/>
          <w:szCs w:val="24"/>
        </w:rPr>
        <w:t xml:space="preserve">staff </w:t>
      </w:r>
      <w:r w:rsidR="001B00BA" w:rsidRPr="00457884">
        <w:rPr>
          <w:rFonts w:cs="Times New Roman"/>
          <w:sz w:val="24"/>
          <w:szCs w:val="24"/>
        </w:rPr>
        <w:t xml:space="preserve">would be the primary author of any such publications, </w:t>
      </w:r>
      <w:r w:rsidR="0088597C">
        <w:rPr>
          <w:rFonts w:cs="Times New Roman"/>
          <w:sz w:val="24"/>
          <w:szCs w:val="24"/>
        </w:rPr>
        <w:t xml:space="preserve">with </w:t>
      </w:r>
      <w:r w:rsidR="001B00BA" w:rsidRPr="00457884">
        <w:rPr>
          <w:rFonts w:cs="Times New Roman"/>
          <w:sz w:val="24"/>
          <w:szCs w:val="24"/>
        </w:rPr>
        <w:t xml:space="preserve">CDC project lead offering assistance as appropriate. </w:t>
      </w:r>
    </w:p>
    <w:p w:rsidR="001B00BA" w:rsidRPr="00457884" w:rsidRDefault="001B00BA" w:rsidP="001B00BA">
      <w:pPr>
        <w:spacing w:after="0"/>
        <w:ind w:left="720"/>
        <w:rPr>
          <w:rFonts w:cs="Times New Roman"/>
          <w:sz w:val="24"/>
          <w:szCs w:val="24"/>
        </w:rPr>
      </w:pPr>
    </w:p>
    <w:p w:rsidR="000301E4" w:rsidRDefault="000301E4" w:rsidP="001B00BA">
      <w:pPr>
        <w:spacing w:after="0"/>
        <w:ind w:firstLine="360"/>
        <w:rPr>
          <w:sz w:val="24"/>
          <w:szCs w:val="24"/>
          <w:u w:val="single"/>
        </w:rPr>
      </w:pPr>
    </w:p>
    <w:p w:rsidR="001B00BA" w:rsidRPr="00457884" w:rsidRDefault="001B00BA" w:rsidP="001B00BA">
      <w:pPr>
        <w:spacing w:after="0"/>
        <w:ind w:firstLine="360"/>
        <w:rPr>
          <w:sz w:val="24"/>
          <w:szCs w:val="24"/>
          <w:u w:val="single"/>
        </w:rPr>
      </w:pPr>
      <w:r w:rsidRPr="00457884">
        <w:rPr>
          <w:sz w:val="24"/>
          <w:szCs w:val="24"/>
          <w:u w:val="single"/>
        </w:rPr>
        <w:t>Project Time Schedule</w:t>
      </w:r>
    </w:p>
    <w:p w:rsidR="001B00BA" w:rsidRPr="00457884" w:rsidRDefault="00444FF8" w:rsidP="001B00BA">
      <w:pPr>
        <w:pStyle w:val="ListParagraph"/>
        <w:numPr>
          <w:ilvl w:val="0"/>
          <w:numId w:val="4"/>
        </w:numPr>
        <w:tabs>
          <w:tab w:val="right" w:leader="dot" w:pos="9360"/>
        </w:tabs>
        <w:spacing w:after="0"/>
        <w:ind w:left="1440"/>
        <w:rPr>
          <w:sz w:val="24"/>
          <w:szCs w:val="24"/>
        </w:rPr>
      </w:pPr>
      <w:r>
        <w:rPr>
          <w:sz w:val="24"/>
          <w:szCs w:val="24"/>
        </w:rPr>
        <w:t xml:space="preserve">Design </w:t>
      </w:r>
      <w:r w:rsidR="00D51196">
        <w:rPr>
          <w:sz w:val="24"/>
          <w:szCs w:val="24"/>
        </w:rPr>
        <w:t>data collection tool</w:t>
      </w:r>
      <w:r w:rsidR="001B00BA" w:rsidRPr="00457884">
        <w:rPr>
          <w:sz w:val="24"/>
          <w:szCs w:val="24"/>
        </w:rPr>
        <w:tab/>
        <w:t>(COMPLETE)</w:t>
      </w:r>
    </w:p>
    <w:p w:rsidR="001B00BA" w:rsidRPr="00457884" w:rsidRDefault="00444FF8" w:rsidP="001B00BA">
      <w:pPr>
        <w:pStyle w:val="ListParagraph"/>
        <w:numPr>
          <w:ilvl w:val="0"/>
          <w:numId w:val="5"/>
        </w:numPr>
        <w:tabs>
          <w:tab w:val="right" w:leader="dot" w:pos="9360"/>
        </w:tabs>
        <w:spacing w:after="0"/>
        <w:ind w:left="1440"/>
        <w:rPr>
          <w:sz w:val="24"/>
          <w:szCs w:val="24"/>
        </w:rPr>
      </w:pPr>
      <w:r>
        <w:rPr>
          <w:sz w:val="24"/>
          <w:szCs w:val="24"/>
        </w:rPr>
        <w:t>Develop data collection</w:t>
      </w:r>
      <w:r w:rsidR="001B00BA" w:rsidRPr="00457884">
        <w:rPr>
          <w:sz w:val="24"/>
          <w:szCs w:val="24"/>
        </w:rPr>
        <w:t xml:space="preserve"> protocol, instructions, and analysis plan</w:t>
      </w:r>
      <w:r w:rsidR="001B00BA" w:rsidRPr="00457884">
        <w:rPr>
          <w:sz w:val="24"/>
          <w:szCs w:val="24"/>
        </w:rPr>
        <w:tab/>
        <w:t>(COMPLETE)</w:t>
      </w:r>
    </w:p>
    <w:p w:rsidR="001B00BA" w:rsidRPr="00457884" w:rsidRDefault="00444FF8" w:rsidP="001B00BA">
      <w:pPr>
        <w:pStyle w:val="ListParagraph"/>
        <w:numPr>
          <w:ilvl w:val="0"/>
          <w:numId w:val="6"/>
        </w:numPr>
        <w:tabs>
          <w:tab w:val="right" w:leader="dot" w:pos="9360"/>
        </w:tabs>
        <w:spacing w:after="0"/>
        <w:ind w:left="1440"/>
        <w:rPr>
          <w:sz w:val="24"/>
          <w:szCs w:val="24"/>
        </w:rPr>
      </w:pPr>
      <w:r>
        <w:rPr>
          <w:sz w:val="24"/>
          <w:szCs w:val="24"/>
        </w:rPr>
        <w:t xml:space="preserve">Pilot test </w:t>
      </w:r>
      <w:r w:rsidR="00D51196">
        <w:rPr>
          <w:sz w:val="24"/>
          <w:szCs w:val="24"/>
        </w:rPr>
        <w:t>data collection tool</w:t>
      </w:r>
      <w:r w:rsidR="001B00BA" w:rsidRPr="00457884">
        <w:rPr>
          <w:sz w:val="24"/>
          <w:szCs w:val="24"/>
        </w:rPr>
        <w:tab/>
        <w:t>(COMPLETE)</w:t>
      </w:r>
    </w:p>
    <w:p w:rsidR="001B00BA" w:rsidRPr="00457884" w:rsidRDefault="001B00BA" w:rsidP="001B00BA">
      <w:pPr>
        <w:pStyle w:val="ListParagraph"/>
        <w:numPr>
          <w:ilvl w:val="0"/>
          <w:numId w:val="6"/>
        </w:numPr>
        <w:tabs>
          <w:tab w:val="right" w:leader="dot" w:pos="9360"/>
        </w:tabs>
        <w:spacing w:after="0"/>
        <w:ind w:left="1440"/>
        <w:rPr>
          <w:sz w:val="24"/>
          <w:szCs w:val="24"/>
        </w:rPr>
      </w:pPr>
      <w:r w:rsidRPr="00457884">
        <w:rPr>
          <w:sz w:val="24"/>
          <w:szCs w:val="24"/>
        </w:rPr>
        <w:t>Prepare OMB package</w:t>
      </w:r>
      <w:r w:rsidRPr="00457884">
        <w:rPr>
          <w:sz w:val="24"/>
          <w:szCs w:val="24"/>
        </w:rPr>
        <w:tab/>
        <w:t>(COMPLETE)</w:t>
      </w:r>
    </w:p>
    <w:p w:rsidR="001B00BA" w:rsidRPr="00457884" w:rsidRDefault="001B00BA" w:rsidP="001B00BA">
      <w:pPr>
        <w:pStyle w:val="ListParagraph"/>
        <w:numPr>
          <w:ilvl w:val="0"/>
          <w:numId w:val="6"/>
        </w:numPr>
        <w:tabs>
          <w:tab w:val="right" w:leader="dot" w:pos="9360"/>
        </w:tabs>
        <w:spacing w:after="0"/>
        <w:ind w:left="1440"/>
        <w:rPr>
          <w:sz w:val="24"/>
          <w:szCs w:val="24"/>
        </w:rPr>
      </w:pPr>
      <w:r w:rsidRPr="00457884">
        <w:rPr>
          <w:sz w:val="24"/>
          <w:szCs w:val="24"/>
        </w:rPr>
        <w:t>Submit OMB package</w:t>
      </w:r>
      <w:r w:rsidRPr="00457884">
        <w:rPr>
          <w:sz w:val="24"/>
          <w:szCs w:val="24"/>
        </w:rPr>
        <w:tab/>
        <w:t>(COMPLETE)</w:t>
      </w:r>
    </w:p>
    <w:p w:rsidR="001B00BA" w:rsidRPr="00457884" w:rsidRDefault="001B00BA" w:rsidP="001B00BA">
      <w:pPr>
        <w:pStyle w:val="ListParagraph"/>
        <w:numPr>
          <w:ilvl w:val="0"/>
          <w:numId w:val="7"/>
        </w:numPr>
        <w:tabs>
          <w:tab w:val="right" w:leader="dot" w:pos="9360"/>
        </w:tabs>
        <w:spacing w:after="0"/>
        <w:ind w:left="1440"/>
        <w:rPr>
          <w:sz w:val="24"/>
          <w:szCs w:val="24"/>
        </w:rPr>
      </w:pPr>
      <w:r w:rsidRPr="00457884">
        <w:rPr>
          <w:sz w:val="24"/>
          <w:szCs w:val="24"/>
        </w:rPr>
        <w:lastRenderedPageBreak/>
        <w:t>OMB approval</w:t>
      </w:r>
      <w:r w:rsidRPr="00457884">
        <w:rPr>
          <w:sz w:val="24"/>
          <w:szCs w:val="24"/>
        </w:rPr>
        <w:tab/>
        <w:t>(TBD)</w:t>
      </w:r>
    </w:p>
    <w:p w:rsidR="001B00BA" w:rsidRPr="00457884" w:rsidRDefault="00444FF8" w:rsidP="001B00BA">
      <w:pPr>
        <w:pStyle w:val="ListParagraph"/>
        <w:numPr>
          <w:ilvl w:val="0"/>
          <w:numId w:val="7"/>
        </w:numPr>
        <w:tabs>
          <w:tab w:val="right" w:leader="dot" w:pos="9360"/>
        </w:tabs>
        <w:spacing w:after="0"/>
        <w:ind w:left="1440"/>
        <w:rPr>
          <w:sz w:val="24"/>
          <w:szCs w:val="24"/>
        </w:rPr>
      </w:pPr>
      <w:r>
        <w:rPr>
          <w:sz w:val="24"/>
          <w:szCs w:val="24"/>
        </w:rPr>
        <w:t>Conduct data collection</w:t>
      </w:r>
      <w:r>
        <w:rPr>
          <w:sz w:val="24"/>
          <w:szCs w:val="24"/>
        </w:rPr>
        <w:tab/>
        <w:t>(O</w:t>
      </w:r>
      <w:r w:rsidR="00F317C9">
        <w:rPr>
          <w:sz w:val="24"/>
          <w:szCs w:val="24"/>
        </w:rPr>
        <w:t>pen 4</w:t>
      </w:r>
      <w:r w:rsidR="001B00BA" w:rsidRPr="00457884">
        <w:rPr>
          <w:sz w:val="24"/>
          <w:szCs w:val="24"/>
        </w:rPr>
        <w:t xml:space="preserve"> weeks)</w:t>
      </w:r>
    </w:p>
    <w:p w:rsidR="001B00BA" w:rsidRPr="00457884" w:rsidRDefault="00905A02" w:rsidP="001B00BA">
      <w:pPr>
        <w:pStyle w:val="ListParagraph"/>
        <w:numPr>
          <w:ilvl w:val="0"/>
          <w:numId w:val="7"/>
        </w:numPr>
        <w:tabs>
          <w:tab w:val="right" w:leader="dot" w:pos="9360"/>
        </w:tabs>
        <w:spacing w:after="0"/>
        <w:ind w:left="1440"/>
        <w:rPr>
          <w:sz w:val="24"/>
          <w:szCs w:val="24"/>
        </w:rPr>
      </w:pPr>
      <w:r w:rsidRPr="00457884">
        <w:rPr>
          <w:sz w:val="24"/>
          <w:szCs w:val="24"/>
        </w:rPr>
        <w:t>Collect,</w:t>
      </w:r>
      <w:r w:rsidR="00F317C9">
        <w:rPr>
          <w:sz w:val="24"/>
          <w:szCs w:val="24"/>
        </w:rPr>
        <w:t xml:space="preserve"> enter, and analyze data</w:t>
      </w:r>
      <w:r w:rsidR="00F317C9">
        <w:rPr>
          <w:sz w:val="24"/>
          <w:szCs w:val="24"/>
        </w:rPr>
        <w:tab/>
        <w:t>(4</w:t>
      </w:r>
      <w:r w:rsidR="001B00BA" w:rsidRPr="00457884">
        <w:rPr>
          <w:sz w:val="24"/>
          <w:szCs w:val="24"/>
        </w:rPr>
        <w:t xml:space="preserve"> weeks)</w:t>
      </w:r>
    </w:p>
    <w:p w:rsidR="001B00BA" w:rsidRPr="00457884" w:rsidRDefault="00F317C9" w:rsidP="001B00BA">
      <w:pPr>
        <w:pStyle w:val="ListParagraph"/>
        <w:numPr>
          <w:ilvl w:val="0"/>
          <w:numId w:val="7"/>
        </w:numPr>
        <w:tabs>
          <w:tab w:val="right" w:leader="dot" w:pos="9360"/>
        </w:tabs>
        <w:spacing w:after="0"/>
        <w:ind w:left="1440"/>
        <w:rPr>
          <w:sz w:val="24"/>
          <w:szCs w:val="24"/>
        </w:rPr>
      </w:pPr>
      <w:r>
        <w:rPr>
          <w:sz w:val="24"/>
          <w:szCs w:val="24"/>
        </w:rPr>
        <w:t>Prepare report</w:t>
      </w:r>
      <w:r>
        <w:rPr>
          <w:sz w:val="24"/>
          <w:szCs w:val="24"/>
        </w:rPr>
        <w:tab/>
        <w:t>(4</w:t>
      </w:r>
      <w:r w:rsidR="001B00BA" w:rsidRPr="00457884">
        <w:rPr>
          <w:sz w:val="24"/>
          <w:szCs w:val="24"/>
        </w:rPr>
        <w:t xml:space="preserve"> weeks)</w:t>
      </w:r>
    </w:p>
    <w:p w:rsidR="001B00BA" w:rsidRPr="009D43C7" w:rsidRDefault="001B00BA" w:rsidP="001B00BA">
      <w:pPr>
        <w:pStyle w:val="ListParagraph"/>
        <w:numPr>
          <w:ilvl w:val="0"/>
          <w:numId w:val="7"/>
        </w:numPr>
        <w:tabs>
          <w:tab w:val="right" w:leader="dot" w:pos="9360"/>
        </w:tabs>
        <w:spacing w:after="0"/>
        <w:ind w:left="1440"/>
        <w:rPr>
          <w:sz w:val="24"/>
          <w:szCs w:val="24"/>
        </w:rPr>
      </w:pPr>
      <w:r w:rsidRPr="00457884">
        <w:rPr>
          <w:sz w:val="24"/>
          <w:szCs w:val="24"/>
        </w:rPr>
        <w:t>Disseminate results/publication of findings</w:t>
      </w:r>
      <w:r w:rsidRPr="00457884">
        <w:rPr>
          <w:sz w:val="24"/>
          <w:szCs w:val="24"/>
        </w:rPr>
        <w:tab/>
        <w:t>(</w:t>
      </w:r>
      <w:r w:rsidR="009D43C7">
        <w:rPr>
          <w:sz w:val="24"/>
          <w:szCs w:val="24"/>
        </w:rPr>
        <w:t>8 weeks</w:t>
      </w:r>
      <w:r w:rsidRPr="00457884">
        <w:rPr>
          <w:sz w:val="24"/>
          <w:szCs w:val="24"/>
        </w:rPr>
        <w:t>)</w:t>
      </w:r>
    </w:p>
    <w:p w:rsidR="00B328F9" w:rsidRPr="00457884" w:rsidRDefault="00B328F9" w:rsidP="001B00BA">
      <w:pPr>
        <w:spacing w:after="0"/>
        <w:rPr>
          <w:sz w:val="24"/>
          <w:szCs w:val="24"/>
        </w:rPr>
      </w:pPr>
    </w:p>
    <w:p w:rsidR="00B328F9" w:rsidRPr="00457884" w:rsidRDefault="00B328F9" w:rsidP="001B00BA">
      <w:pPr>
        <w:spacing w:after="0"/>
        <w:rPr>
          <w:b/>
          <w:sz w:val="24"/>
          <w:szCs w:val="24"/>
        </w:rPr>
      </w:pPr>
      <w:r w:rsidRPr="00457884">
        <w:rPr>
          <w:b/>
          <w:sz w:val="24"/>
          <w:szCs w:val="24"/>
        </w:rPr>
        <w:t>17. Reason(s) Display of OMB Expiration Date is Inappropriate</w:t>
      </w:r>
    </w:p>
    <w:p w:rsidR="007159F6" w:rsidRDefault="007159F6" w:rsidP="001B00BA">
      <w:pPr>
        <w:spacing w:after="0"/>
        <w:rPr>
          <w:sz w:val="24"/>
          <w:szCs w:val="24"/>
        </w:rPr>
      </w:pPr>
    </w:p>
    <w:p w:rsidR="00B328F9" w:rsidRDefault="00B328F9" w:rsidP="001B00BA">
      <w:pPr>
        <w:spacing w:after="0"/>
        <w:rPr>
          <w:sz w:val="24"/>
          <w:szCs w:val="24"/>
        </w:rPr>
      </w:pPr>
      <w:r w:rsidRPr="00457884">
        <w:rPr>
          <w:sz w:val="24"/>
          <w:szCs w:val="24"/>
        </w:rPr>
        <w:t xml:space="preserve">We are requesting no exemption. </w:t>
      </w:r>
    </w:p>
    <w:p w:rsidR="007159F6" w:rsidRPr="00457884" w:rsidRDefault="007159F6" w:rsidP="001B00BA">
      <w:pPr>
        <w:spacing w:after="0"/>
        <w:rPr>
          <w:sz w:val="24"/>
          <w:szCs w:val="24"/>
        </w:rPr>
      </w:pPr>
    </w:p>
    <w:p w:rsidR="00B328F9" w:rsidRPr="00457884" w:rsidRDefault="00B328F9" w:rsidP="001B00BA">
      <w:pPr>
        <w:spacing w:after="0"/>
        <w:rPr>
          <w:b/>
          <w:sz w:val="24"/>
          <w:szCs w:val="24"/>
        </w:rPr>
      </w:pPr>
      <w:r w:rsidRPr="00457884">
        <w:rPr>
          <w:b/>
          <w:sz w:val="24"/>
          <w:szCs w:val="24"/>
        </w:rPr>
        <w:t>18. Exceptions to Certification for Paperwork Reduction Act Submissions</w:t>
      </w:r>
    </w:p>
    <w:p w:rsidR="007159F6" w:rsidRDefault="007159F6" w:rsidP="001B00BA">
      <w:pPr>
        <w:spacing w:after="0"/>
        <w:rPr>
          <w:sz w:val="24"/>
          <w:szCs w:val="24"/>
        </w:rPr>
      </w:pPr>
    </w:p>
    <w:p w:rsidR="00B328F9" w:rsidRDefault="00B328F9" w:rsidP="00B328F9">
      <w:pPr>
        <w:spacing w:after="0"/>
        <w:rPr>
          <w:sz w:val="24"/>
          <w:szCs w:val="24"/>
        </w:rPr>
      </w:pPr>
      <w:r w:rsidRPr="00457884">
        <w:rPr>
          <w:sz w:val="24"/>
          <w:szCs w:val="24"/>
        </w:rPr>
        <w:t>There are no exceptions to the certification. These activities comply with the requirements in 5 CFR 1320.9.</w:t>
      </w:r>
    </w:p>
    <w:p w:rsidR="00303B00" w:rsidRPr="00303B00" w:rsidRDefault="00303B00" w:rsidP="00B328F9">
      <w:pPr>
        <w:spacing w:after="0"/>
        <w:rPr>
          <w:sz w:val="24"/>
          <w:szCs w:val="24"/>
        </w:rPr>
      </w:pPr>
    </w:p>
    <w:p w:rsidR="00EA714D" w:rsidRDefault="00EA714D" w:rsidP="00B328F9">
      <w:pPr>
        <w:spacing w:after="0"/>
        <w:rPr>
          <w:b/>
          <w:sz w:val="24"/>
          <w:szCs w:val="24"/>
        </w:rPr>
      </w:pPr>
    </w:p>
    <w:p w:rsidR="00E72600" w:rsidRDefault="00E72600" w:rsidP="00B328F9">
      <w:pPr>
        <w:spacing w:after="0"/>
        <w:rPr>
          <w:b/>
          <w:sz w:val="24"/>
          <w:szCs w:val="24"/>
        </w:rPr>
      </w:pPr>
    </w:p>
    <w:p w:rsidR="00B328F9" w:rsidRPr="00457884" w:rsidRDefault="00B328F9" w:rsidP="00B328F9">
      <w:pPr>
        <w:spacing w:after="0"/>
        <w:rPr>
          <w:b/>
          <w:sz w:val="24"/>
          <w:szCs w:val="24"/>
        </w:rPr>
      </w:pPr>
      <w:r w:rsidRPr="00457884">
        <w:rPr>
          <w:b/>
          <w:sz w:val="24"/>
          <w:szCs w:val="24"/>
        </w:rPr>
        <w:t>LIST OF ATTACHMENTS – Section A</w:t>
      </w:r>
    </w:p>
    <w:p w:rsidR="00B328F9" w:rsidRPr="00457884" w:rsidRDefault="00B328F9" w:rsidP="00B328F9">
      <w:pPr>
        <w:spacing w:after="160"/>
        <w:rPr>
          <w:sz w:val="24"/>
          <w:szCs w:val="24"/>
        </w:rPr>
      </w:pPr>
      <w:r w:rsidRPr="00457884">
        <w:rPr>
          <w:sz w:val="24"/>
          <w:szCs w:val="24"/>
        </w:rPr>
        <w:t>Note: Attachments are included as separate files as instructed.</w:t>
      </w:r>
    </w:p>
    <w:p w:rsidR="00B328F9" w:rsidRPr="00A27A2A" w:rsidRDefault="0080561F" w:rsidP="00B328F9">
      <w:pPr>
        <w:pStyle w:val="ListParagraph"/>
        <w:numPr>
          <w:ilvl w:val="0"/>
          <w:numId w:val="8"/>
        </w:numPr>
        <w:spacing w:after="120" w:line="360" w:lineRule="auto"/>
        <w:rPr>
          <w:b/>
          <w:sz w:val="24"/>
          <w:szCs w:val="24"/>
        </w:rPr>
      </w:pPr>
      <w:r>
        <w:rPr>
          <w:b/>
          <w:sz w:val="24"/>
          <w:szCs w:val="24"/>
        </w:rPr>
        <w:t>NVAC a</w:t>
      </w:r>
      <w:r w:rsidR="00B328F9" w:rsidRPr="00A27A2A">
        <w:rPr>
          <w:b/>
          <w:sz w:val="24"/>
          <w:szCs w:val="24"/>
        </w:rPr>
        <w:t>rticle</w:t>
      </w:r>
    </w:p>
    <w:p w:rsidR="00B328F9" w:rsidRDefault="0088597C" w:rsidP="00B328F9">
      <w:pPr>
        <w:pStyle w:val="ListParagraph"/>
        <w:numPr>
          <w:ilvl w:val="0"/>
          <w:numId w:val="8"/>
        </w:numPr>
        <w:spacing w:after="120" w:line="360" w:lineRule="auto"/>
        <w:rPr>
          <w:b/>
          <w:sz w:val="24"/>
          <w:szCs w:val="24"/>
        </w:rPr>
      </w:pPr>
      <w:r w:rsidRPr="00A27A2A">
        <w:rPr>
          <w:b/>
          <w:sz w:val="24"/>
          <w:szCs w:val="24"/>
        </w:rPr>
        <w:t>CDC-</w:t>
      </w:r>
      <w:r w:rsidR="00B328F9" w:rsidRPr="00A27A2A">
        <w:rPr>
          <w:b/>
          <w:sz w:val="24"/>
          <w:szCs w:val="24"/>
        </w:rPr>
        <w:t xml:space="preserve">funded </w:t>
      </w:r>
      <w:r w:rsidR="0080561F">
        <w:rPr>
          <w:b/>
          <w:sz w:val="24"/>
          <w:szCs w:val="24"/>
        </w:rPr>
        <w:t xml:space="preserve">grantee </w:t>
      </w:r>
      <w:r w:rsidR="00B328F9" w:rsidRPr="00A27A2A">
        <w:rPr>
          <w:b/>
          <w:sz w:val="24"/>
          <w:szCs w:val="24"/>
        </w:rPr>
        <w:t>awardees map</w:t>
      </w:r>
    </w:p>
    <w:p w:rsidR="0080561F" w:rsidRDefault="0080561F" w:rsidP="00B328F9">
      <w:pPr>
        <w:pStyle w:val="ListParagraph"/>
        <w:numPr>
          <w:ilvl w:val="0"/>
          <w:numId w:val="8"/>
        </w:numPr>
        <w:spacing w:after="120" w:line="360" w:lineRule="auto"/>
        <w:rPr>
          <w:b/>
          <w:sz w:val="24"/>
          <w:szCs w:val="24"/>
        </w:rPr>
      </w:pPr>
      <w:proofErr w:type="spellStart"/>
      <w:r>
        <w:rPr>
          <w:b/>
          <w:sz w:val="24"/>
          <w:szCs w:val="24"/>
        </w:rPr>
        <w:t>Billables</w:t>
      </w:r>
      <w:proofErr w:type="spellEnd"/>
      <w:r>
        <w:rPr>
          <w:b/>
          <w:sz w:val="24"/>
          <w:szCs w:val="24"/>
        </w:rPr>
        <w:t xml:space="preserve"> project outline</w:t>
      </w:r>
    </w:p>
    <w:p w:rsidR="0080561F" w:rsidRDefault="00B260FA" w:rsidP="00B328F9">
      <w:pPr>
        <w:pStyle w:val="ListParagraph"/>
        <w:numPr>
          <w:ilvl w:val="0"/>
          <w:numId w:val="8"/>
        </w:numPr>
        <w:spacing w:after="120" w:line="360" w:lineRule="auto"/>
        <w:rPr>
          <w:b/>
          <w:sz w:val="24"/>
          <w:szCs w:val="24"/>
        </w:rPr>
      </w:pPr>
      <w:bookmarkStart w:id="0" w:name="_GoBack"/>
      <w:bookmarkEnd w:id="0"/>
      <w:r>
        <w:rPr>
          <w:b/>
          <w:sz w:val="24"/>
          <w:szCs w:val="24"/>
        </w:rPr>
        <w:t xml:space="preserve">NACCHO report </w:t>
      </w:r>
    </w:p>
    <w:p w:rsidR="0080561F" w:rsidRDefault="00B260FA" w:rsidP="00677D06">
      <w:pPr>
        <w:pStyle w:val="ListParagraph"/>
        <w:numPr>
          <w:ilvl w:val="0"/>
          <w:numId w:val="8"/>
        </w:numPr>
        <w:spacing w:after="120" w:line="360" w:lineRule="auto"/>
        <w:rPr>
          <w:b/>
          <w:sz w:val="24"/>
          <w:szCs w:val="24"/>
        </w:rPr>
      </w:pPr>
      <w:r>
        <w:rPr>
          <w:b/>
          <w:sz w:val="24"/>
          <w:szCs w:val="24"/>
        </w:rPr>
        <w:t xml:space="preserve">ASTHO article </w:t>
      </w:r>
    </w:p>
    <w:p w:rsidR="0080561F" w:rsidRPr="00A27A2A" w:rsidRDefault="0080561F" w:rsidP="00677D06">
      <w:pPr>
        <w:pStyle w:val="ListParagraph"/>
        <w:numPr>
          <w:ilvl w:val="0"/>
          <w:numId w:val="8"/>
        </w:numPr>
        <w:spacing w:after="120" w:line="360" w:lineRule="auto"/>
        <w:rPr>
          <w:b/>
          <w:sz w:val="24"/>
          <w:szCs w:val="24"/>
        </w:rPr>
      </w:pPr>
      <w:r>
        <w:rPr>
          <w:b/>
          <w:sz w:val="24"/>
          <w:szCs w:val="24"/>
        </w:rPr>
        <w:t>American Journal of</w:t>
      </w:r>
      <w:r w:rsidR="00B260FA">
        <w:rPr>
          <w:b/>
          <w:sz w:val="24"/>
          <w:szCs w:val="24"/>
        </w:rPr>
        <w:t xml:space="preserve"> Preventive Medicine article </w:t>
      </w:r>
    </w:p>
    <w:p w:rsidR="00677D06" w:rsidRPr="00677D06" w:rsidRDefault="00444FF8" w:rsidP="00677D06">
      <w:pPr>
        <w:pStyle w:val="ListParagraph"/>
        <w:numPr>
          <w:ilvl w:val="0"/>
          <w:numId w:val="8"/>
        </w:numPr>
        <w:spacing w:after="120" w:line="360" w:lineRule="auto"/>
        <w:rPr>
          <w:b/>
          <w:sz w:val="24"/>
          <w:szCs w:val="24"/>
        </w:rPr>
      </w:pPr>
      <w:r w:rsidRPr="00A27A2A">
        <w:rPr>
          <w:b/>
          <w:sz w:val="24"/>
          <w:szCs w:val="24"/>
        </w:rPr>
        <w:t xml:space="preserve">Data Collection </w:t>
      </w:r>
      <w:r w:rsidR="00C45B88" w:rsidRPr="00A27A2A">
        <w:rPr>
          <w:b/>
          <w:sz w:val="24"/>
          <w:szCs w:val="24"/>
        </w:rPr>
        <w:t>Instrument: Web version</w:t>
      </w:r>
    </w:p>
    <w:p w:rsidR="00330DE2" w:rsidRDefault="00677D06" w:rsidP="00330DE2">
      <w:pPr>
        <w:pStyle w:val="ListParagraph"/>
        <w:numPr>
          <w:ilvl w:val="0"/>
          <w:numId w:val="8"/>
        </w:numPr>
        <w:spacing w:after="120" w:line="360" w:lineRule="auto"/>
        <w:rPr>
          <w:b/>
          <w:sz w:val="24"/>
          <w:szCs w:val="24"/>
        </w:rPr>
      </w:pPr>
      <w:r w:rsidRPr="00A27A2A">
        <w:rPr>
          <w:b/>
          <w:sz w:val="24"/>
          <w:szCs w:val="24"/>
        </w:rPr>
        <w:t xml:space="preserve">Data Collection </w:t>
      </w:r>
      <w:r w:rsidR="00330DE2">
        <w:rPr>
          <w:b/>
          <w:sz w:val="24"/>
          <w:szCs w:val="24"/>
        </w:rPr>
        <w:t>Instrument: MS Word version</w:t>
      </w:r>
    </w:p>
    <w:p w:rsidR="00330DE2" w:rsidRPr="00330DE2" w:rsidRDefault="00330DE2" w:rsidP="00330DE2">
      <w:pPr>
        <w:pStyle w:val="ListParagraph"/>
        <w:spacing w:after="120" w:line="360" w:lineRule="auto"/>
        <w:rPr>
          <w:b/>
          <w:sz w:val="24"/>
          <w:szCs w:val="24"/>
        </w:rPr>
      </w:pPr>
    </w:p>
    <w:p w:rsidR="00677D06" w:rsidRPr="00A27A2A" w:rsidRDefault="00677D06" w:rsidP="00677D06">
      <w:pPr>
        <w:pStyle w:val="ListParagraph"/>
        <w:spacing w:after="0"/>
        <w:rPr>
          <w:b/>
          <w:sz w:val="24"/>
          <w:szCs w:val="24"/>
        </w:rPr>
      </w:pPr>
    </w:p>
    <w:sectPr w:rsidR="00677D06" w:rsidRPr="00A27A2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A95" w:rsidRDefault="00477A95" w:rsidP="00A54DC9">
      <w:pPr>
        <w:spacing w:after="0" w:line="240" w:lineRule="auto"/>
      </w:pPr>
      <w:r>
        <w:separator/>
      </w:r>
    </w:p>
  </w:endnote>
  <w:endnote w:type="continuationSeparator" w:id="0">
    <w:p w:rsidR="00477A95" w:rsidRDefault="00477A95" w:rsidP="00A54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013156"/>
      <w:docPartObj>
        <w:docPartGallery w:val="Page Numbers (Bottom of Page)"/>
        <w:docPartUnique/>
      </w:docPartObj>
    </w:sdtPr>
    <w:sdtEndPr/>
    <w:sdtContent>
      <w:sdt>
        <w:sdtPr>
          <w:id w:val="860082579"/>
          <w:docPartObj>
            <w:docPartGallery w:val="Page Numbers (Top of Page)"/>
            <w:docPartUnique/>
          </w:docPartObj>
        </w:sdtPr>
        <w:sdtEndPr/>
        <w:sdtContent>
          <w:p w:rsidR="00146B85" w:rsidRDefault="00146B8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8797D">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8797D">
              <w:rPr>
                <w:b/>
                <w:bCs/>
                <w:noProof/>
              </w:rPr>
              <w:t>10</w:t>
            </w:r>
            <w:r>
              <w:rPr>
                <w:b/>
                <w:bCs/>
                <w:sz w:val="24"/>
                <w:szCs w:val="24"/>
              </w:rPr>
              <w:fldChar w:fldCharType="end"/>
            </w:r>
          </w:p>
        </w:sdtContent>
      </w:sdt>
    </w:sdtContent>
  </w:sdt>
  <w:p w:rsidR="00146B85" w:rsidRDefault="00146B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A95" w:rsidRDefault="00477A95" w:rsidP="00A54DC9">
      <w:pPr>
        <w:spacing w:after="0" w:line="240" w:lineRule="auto"/>
      </w:pPr>
      <w:r>
        <w:separator/>
      </w:r>
    </w:p>
  </w:footnote>
  <w:footnote w:type="continuationSeparator" w:id="0">
    <w:p w:rsidR="00477A95" w:rsidRDefault="00477A95" w:rsidP="00A54D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BE2B28"/>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
    <w:nsid w:val="643348AA"/>
    <w:multiLevelType w:val="hybridMultilevel"/>
    <w:tmpl w:val="D8583F9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7"/>
  </w:num>
  <w:num w:numId="5">
    <w:abstractNumId w:val="1"/>
  </w:num>
  <w:num w:numId="6">
    <w:abstractNumId w:val="4"/>
  </w:num>
  <w:num w:numId="7">
    <w:abstractNumId w:val="6"/>
  </w:num>
  <w:num w:numId="8">
    <w:abstractNumId w:val="5"/>
  </w:num>
  <w:num w:numId="9">
    <w:abstractNumId w:val="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965"/>
    <w:rsid w:val="00010A37"/>
    <w:rsid w:val="000301E4"/>
    <w:rsid w:val="00035238"/>
    <w:rsid w:val="0004539B"/>
    <w:rsid w:val="00045F16"/>
    <w:rsid w:val="000974E1"/>
    <w:rsid w:val="000A389A"/>
    <w:rsid w:val="000B39C1"/>
    <w:rsid w:val="000C67DD"/>
    <w:rsid w:val="000D22FE"/>
    <w:rsid w:val="000D69BB"/>
    <w:rsid w:val="000E18A8"/>
    <w:rsid w:val="001303D5"/>
    <w:rsid w:val="00132D84"/>
    <w:rsid w:val="0014132E"/>
    <w:rsid w:val="00146B85"/>
    <w:rsid w:val="00160563"/>
    <w:rsid w:val="00187A87"/>
    <w:rsid w:val="001A192B"/>
    <w:rsid w:val="001A25EB"/>
    <w:rsid w:val="001B00BA"/>
    <w:rsid w:val="001B0646"/>
    <w:rsid w:val="001B0F2F"/>
    <w:rsid w:val="001C5DB1"/>
    <w:rsid w:val="001D20BE"/>
    <w:rsid w:val="001D3A3C"/>
    <w:rsid w:val="001E7142"/>
    <w:rsid w:val="002042C3"/>
    <w:rsid w:val="002204E9"/>
    <w:rsid w:val="00234FC4"/>
    <w:rsid w:val="00260D28"/>
    <w:rsid w:val="00277B4C"/>
    <w:rsid w:val="0028797D"/>
    <w:rsid w:val="002A4979"/>
    <w:rsid w:val="002B4AAE"/>
    <w:rsid w:val="002D10A4"/>
    <w:rsid w:val="002F61B1"/>
    <w:rsid w:val="00303B00"/>
    <w:rsid w:val="00314C0F"/>
    <w:rsid w:val="00320AAC"/>
    <w:rsid w:val="00323610"/>
    <w:rsid w:val="00330DE2"/>
    <w:rsid w:val="00337416"/>
    <w:rsid w:val="00353D1D"/>
    <w:rsid w:val="003625EC"/>
    <w:rsid w:val="00370506"/>
    <w:rsid w:val="003945D4"/>
    <w:rsid w:val="003B182F"/>
    <w:rsid w:val="003B7407"/>
    <w:rsid w:val="003C400C"/>
    <w:rsid w:val="003E6007"/>
    <w:rsid w:val="003F1DD1"/>
    <w:rsid w:val="004201F5"/>
    <w:rsid w:val="004233C0"/>
    <w:rsid w:val="0043064A"/>
    <w:rsid w:val="00444FF8"/>
    <w:rsid w:val="00457884"/>
    <w:rsid w:val="00471E8D"/>
    <w:rsid w:val="00477A95"/>
    <w:rsid w:val="004921AC"/>
    <w:rsid w:val="004961AA"/>
    <w:rsid w:val="004D2C6E"/>
    <w:rsid w:val="004F1447"/>
    <w:rsid w:val="004F40D7"/>
    <w:rsid w:val="0052109E"/>
    <w:rsid w:val="00530C53"/>
    <w:rsid w:val="0057128C"/>
    <w:rsid w:val="005814CC"/>
    <w:rsid w:val="005A55DA"/>
    <w:rsid w:val="005A592D"/>
    <w:rsid w:val="005A6922"/>
    <w:rsid w:val="005B35E1"/>
    <w:rsid w:val="005C4D34"/>
    <w:rsid w:val="005E4571"/>
    <w:rsid w:val="005F0829"/>
    <w:rsid w:val="00613E70"/>
    <w:rsid w:val="00614DF4"/>
    <w:rsid w:val="006279EE"/>
    <w:rsid w:val="006534C0"/>
    <w:rsid w:val="00677D06"/>
    <w:rsid w:val="0068440B"/>
    <w:rsid w:val="006A0723"/>
    <w:rsid w:val="006B4A9C"/>
    <w:rsid w:val="006D4054"/>
    <w:rsid w:val="006F16D9"/>
    <w:rsid w:val="006F1EF0"/>
    <w:rsid w:val="006F4410"/>
    <w:rsid w:val="007159F6"/>
    <w:rsid w:val="00736D83"/>
    <w:rsid w:val="00750E2C"/>
    <w:rsid w:val="007666A2"/>
    <w:rsid w:val="00781C7B"/>
    <w:rsid w:val="007963F0"/>
    <w:rsid w:val="007A290A"/>
    <w:rsid w:val="007B65CD"/>
    <w:rsid w:val="007C0017"/>
    <w:rsid w:val="007D7798"/>
    <w:rsid w:val="007E793F"/>
    <w:rsid w:val="007F1E18"/>
    <w:rsid w:val="007F5E61"/>
    <w:rsid w:val="007F6B0F"/>
    <w:rsid w:val="00800D1F"/>
    <w:rsid w:val="0080168F"/>
    <w:rsid w:val="0080561F"/>
    <w:rsid w:val="00814130"/>
    <w:rsid w:val="00830943"/>
    <w:rsid w:val="008319F7"/>
    <w:rsid w:val="00837287"/>
    <w:rsid w:val="00840E8E"/>
    <w:rsid w:val="008603E3"/>
    <w:rsid w:val="00866F48"/>
    <w:rsid w:val="00873E86"/>
    <w:rsid w:val="00884529"/>
    <w:rsid w:val="0088597C"/>
    <w:rsid w:val="00892988"/>
    <w:rsid w:val="00892E94"/>
    <w:rsid w:val="008D2277"/>
    <w:rsid w:val="00905A02"/>
    <w:rsid w:val="00926E07"/>
    <w:rsid w:val="0094606F"/>
    <w:rsid w:val="00951F26"/>
    <w:rsid w:val="00952FBC"/>
    <w:rsid w:val="00954412"/>
    <w:rsid w:val="00956488"/>
    <w:rsid w:val="00975A6F"/>
    <w:rsid w:val="009B3534"/>
    <w:rsid w:val="009B4A88"/>
    <w:rsid w:val="009D43C7"/>
    <w:rsid w:val="009E6A03"/>
    <w:rsid w:val="009F7B67"/>
    <w:rsid w:val="00A12DDB"/>
    <w:rsid w:val="00A20965"/>
    <w:rsid w:val="00A22D0E"/>
    <w:rsid w:val="00A24529"/>
    <w:rsid w:val="00A27A2A"/>
    <w:rsid w:val="00A31CA6"/>
    <w:rsid w:val="00A34124"/>
    <w:rsid w:val="00A40EDD"/>
    <w:rsid w:val="00A54DC9"/>
    <w:rsid w:val="00A5586B"/>
    <w:rsid w:val="00A62634"/>
    <w:rsid w:val="00A75ADB"/>
    <w:rsid w:val="00A84097"/>
    <w:rsid w:val="00A915E7"/>
    <w:rsid w:val="00AA1680"/>
    <w:rsid w:val="00AB760D"/>
    <w:rsid w:val="00AD2C84"/>
    <w:rsid w:val="00AE0CBB"/>
    <w:rsid w:val="00AE5634"/>
    <w:rsid w:val="00AE68D3"/>
    <w:rsid w:val="00B05795"/>
    <w:rsid w:val="00B161A9"/>
    <w:rsid w:val="00B260FA"/>
    <w:rsid w:val="00B328F9"/>
    <w:rsid w:val="00B54630"/>
    <w:rsid w:val="00B7279A"/>
    <w:rsid w:val="00B75133"/>
    <w:rsid w:val="00B812EC"/>
    <w:rsid w:val="00B86319"/>
    <w:rsid w:val="00B971E1"/>
    <w:rsid w:val="00B972EE"/>
    <w:rsid w:val="00BE5253"/>
    <w:rsid w:val="00BE6DC2"/>
    <w:rsid w:val="00BF5835"/>
    <w:rsid w:val="00C0774C"/>
    <w:rsid w:val="00C12AB5"/>
    <w:rsid w:val="00C22575"/>
    <w:rsid w:val="00C26013"/>
    <w:rsid w:val="00C408C2"/>
    <w:rsid w:val="00C42FA4"/>
    <w:rsid w:val="00C45B88"/>
    <w:rsid w:val="00C67DD5"/>
    <w:rsid w:val="00C909CD"/>
    <w:rsid w:val="00C959F4"/>
    <w:rsid w:val="00CA44CA"/>
    <w:rsid w:val="00CA5B1E"/>
    <w:rsid w:val="00CC0EFD"/>
    <w:rsid w:val="00CC57B8"/>
    <w:rsid w:val="00CD4585"/>
    <w:rsid w:val="00CE25F9"/>
    <w:rsid w:val="00CE2D98"/>
    <w:rsid w:val="00CF2605"/>
    <w:rsid w:val="00D01134"/>
    <w:rsid w:val="00D238E8"/>
    <w:rsid w:val="00D30709"/>
    <w:rsid w:val="00D43AA8"/>
    <w:rsid w:val="00D51196"/>
    <w:rsid w:val="00D60C46"/>
    <w:rsid w:val="00D80F1B"/>
    <w:rsid w:val="00D82BDC"/>
    <w:rsid w:val="00D91C34"/>
    <w:rsid w:val="00D975D4"/>
    <w:rsid w:val="00DA4EBD"/>
    <w:rsid w:val="00DC2B4D"/>
    <w:rsid w:val="00DC7BC7"/>
    <w:rsid w:val="00DD378F"/>
    <w:rsid w:val="00DE7EA9"/>
    <w:rsid w:val="00E17F66"/>
    <w:rsid w:val="00E315EC"/>
    <w:rsid w:val="00E41384"/>
    <w:rsid w:val="00E54A49"/>
    <w:rsid w:val="00E72600"/>
    <w:rsid w:val="00E7670D"/>
    <w:rsid w:val="00E8199F"/>
    <w:rsid w:val="00E82676"/>
    <w:rsid w:val="00E834A5"/>
    <w:rsid w:val="00EA714D"/>
    <w:rsid w:val="00EC2ABD"/>
    <w:rsid w:val="00EC7F72"/>
    <w:rsid w:val="00F05C20"/>
    <w:rsid w:val="00F113C8"/>
    <w:rsid w:val="00F317C9"/>
    <w:rsid w:val="00F438C9"/>
    <w:rsid w:val="00F44D67"/>
    <w:rsid w:val="00F510CB"/>
    <w:rsid w:val="00F51B93"/>
    <w:rsid w:val="00F54105"/>
    <w:rsid w:val="00F5696A"/>
    <w:rsid w:val="00F6000E"/>
    <w:rsid w:val="00FA0B7A"/>
    <w:rsid w:val="00FC2B73"/>
    <w:rsid w:val="00FC7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DC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D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DC9"/>
    <w:rPr>
      <w:rFonts w:eastAsiaTheme="minorEastAsia"/>
    </w:rPr>
  </w:style>
  <w:style w:type="character" w:styleId="Hyperlink">
    <w:name w:val="Hyperlink"/>
    <w:basedOn w:val="DefaultParagraphFont"/>
    <w:uiPriority w:val="99"/>
    <w:unhideWhenUsed/>
    <w:rsid w:val="00A54DC9"/>
    <w:rPr>
      <w:color w:val="0000FF" w:themeColor="hyperlink"/>
      <w:u w:val="single"/>
    </w:rPr>
  </w:style>
  <w:style w:type="paragraph" w:styleId="ListParagraph">
    <w:name w:val="List Paragraph"/>
    <w:basedOn w:val="Normal"/>
    <w:uiPriority w:val="34"/>
    <w:qFormat/>
    <w:rsid w:val="00A54DC9"/>
    <w:pPr>
      <w:ind w:left="720"/>
      <w:contextualSpacing/>
    </w:pPr>
  </w:style>
  <w:style w:type="paragraph" w:styleId="Footer">
    <w:name w:val="footer"/>
    <w:basedOn w:val="Normal"/>
    <w:link w:val="FooterChar"/>
    <w:uiPriority w:val="99"/>
    <w:unhideWhenUsed/>
    <w:rsid w:val="00A54D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DC9"/>
    <w:rPr>
      <w:rFonts w:eastAsiaTheme="minorEastAsia"/>
    </w:rPr>
  </w:style>
  <w:style w:type="character" w:styleId="CommentReference">
    <w:name w:val="annotation reference"/>
    <w:basedOn w:val="DefaultParagraphFont"/>
    <w:uiPriority w:val="99"/>
    <w:semiHidden/>
    <w:unhideWhenUsed/>
    <w:rsid w:val="00A54DC9"/>
    <w:rPr>
      <w:sz w:val="16"/>
      <w:szCs w:val="16"/>
    </w:rPr>
  </w:style>
  <w:style w:type="table" w:styleId="TableGrid">
    <w:name w:val="Table Grid"/>
    <w:basedOn w:val="TableNormal"/>
    <w:uiPriority w:val="59"/>
    <w:rsid w:val="001B00BA"/>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6F1EF0"/>
    <w:pPr>
      <w:spacing w:line="240" w:lineRule="auto"/>
    </w:pPr>
    <w:rPr>
      <w:sz w:val="20"/>
      <w:szCs w:val="20"/>
    </w:rPr>
  </w:style>
  <w:style w:type="character" w:customStyle="1" w:styleId="CommentTextChar">
    <w:name w:val="Comment Text Char"/>
    <w:basedOn w:val="DefaultParagraphFont"/>
    <w:link w:val="CommentText"/>
    <w:uiPriority w:val="99"/>
    <w:semiHidden/>
    <w:rsid w:val="006F1EF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E4571"/>
    <w:rPr>
      <w:b/>
      <w:bCs/>
    </w:rPr>
  </w:style>
  <w:style w:type="character" w:customStyle="1" w:styleId="CommentSubjectChar">
    <w:name w:val="Comment Subject Char"/>
    <w:basedOn w:val="CommentTextChar"/>
    <w:link w:val="CommentSubject"/>
    <w:uiPriority w:val="99"/>
    <w:semiHidden/>
    <w:rsid w:val="005E4571"/>
    <w:rPr>
      <w:rFonts w:eastAsiaTheme="minorEastAsia"/>
      <w:b/>
      <w:bCs/>
      <w:sz w:val="20"/>
      <w:szCs w:val="20"/>
    </w:rPr>
  </w:style>
  <w:style w:type="paragraph" w:styleId="BalloonText">
    <w:name w:val="Balloon Text"/>
    <w:basedOn w:val="Normal"/>
    <w:link w:val="BalloonTextChar"/>
    <w:uiPriority w:val="99"/>
    <w:semiHidden/>
    <w:unhideWhenUsed/>
    <w:rsid w:val="005E45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571"/>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DC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D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DC9"/>
    <w:rPr>
      <w:rFonts w:eastAsiaTheme="minorEastAsia"/>
    </w:rPr>
  </w:style>
  <w:style w:type="character" w:styleId="Hyperlink">
    <w:name w:val="Hyperlink"/>
    <w:basedOn w:val="DefaultParagraphFont"/>
    <w:uiPriority w:val="99"/>
    <w:unhideWhenUsed/>
    <w:rsid w:val="00A54DC9"/>
    <w:rPr>
      <w:color w:val="0000FF" w:themeColor="hyperlink"/>
      <w:u w:val="single"/>
    </w:rPr>
  </w:style>
  <w:style w:type="paragraph" w:styleId="ListParagraph">
    <w:name w:val="List Paragraph"/>
    <w:basedOn w:val="Normal"/>
    <w:uiPriority w:val="34"/>
    <w:qFormat/>
    <w:rsid w:val="00A54DC9"/>
    <w:pPr>
      <w:ind w:left="720"/>
      <w:contextualSpacing/>
    </w:pPr>
  </w:style>
  <w:style w:type="paragraph" w:styleId="Footer">
    <w:name w:val="footer"/>
    <w:basedOn w:val="Normal"/>
    <w:link w:val="FooterChar"/>
    <w:uiPriority w:val="99"/>
    <w:unhideWhenUsed/>
    <w:rsid w:val="00A54D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DC9"/>
    <w:rPr>
      <w:rFonts w:eastAsiaTheme="minorEastAsia"/>
    </w:rPr>
  </w:style>
  <w:style w:type="character" w:styleId="CommentReference">
    <w:name w:val="annotation reference"/>
    <w:basedOn w:val="DefaultParagraphFont"/>
    <w:uiPriority w:val="99"/>
    <w:semiHidden/>
    <w:unhideWhenUsed/>
    <w:rsid w:val="00A54DC9"/>
    <w:rPr>
      <w:sz w:val="16"/>
      <w:szCs w:val="16"/>
    </w:rPr>
  </w:style>
  <w:style w:type="table" w:styleId="TableGrid">
    <w:name w:val="Table Grid"/>
    <w:basedOn w:val="TableNormal"/>
    <w:uiPriority w:val="59"/>
    <w:rsid w:val="001B00BA"/>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6F1EF0"/>
    <w:pPr>
      <w:spacing w:line="240" w:lineRule="auto"/>
    </w:pPr>
    <w:rPr>
      <w:sz w:val="20"/>
      <w:szCs w:val="20"/>
    </w:rPr>
  </w:style>
  <w:style w:type="character" w:customStyle="1" w:styleId="CommentTextChar">
    <w:name w:val="Comment Text Char"/>
    <w:basedOn w:val="DefaultParagraphFont"/>
    <w:link w:val="CommentText"/>
    <w:uiPriority w:val="99"/>
    <w:semiHidden/>
    <w:rsid w:val="006F1EF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E4571"/>
    <w:rPr>
      <w:b/>
      <w:bCs/>
    </w:rPr>
  </w:style>
  <w:style w:type="character" w:customStyle="1" w:styleId="CommentSubjectChar">
    <w:name w:val="Comment Subject Char"/>
    <w:basedOn w:val="CommentTextChar"/>
    <w:link w:val="CommentSubject"/>
    <w:uiPriority w:val="99"/>
    <w:semiHidden/>
    <w:rsid w:val="005E4571"/>
    <w:rPr>
      <w:rFonts w:eastAsiaTheme="minorEastAsia"/>
      <w:b/>
      <w:bCs/>
      <w:sz w:val="20"/>
      <w:szCs w:val="20"/>
    </w:rPr>
  </w:style>
  <w:style w:type="paragraph" w:styleId="BalloonText">
    <w:name w:val="Balloon Text"/>
    <w:basedOn w:val="Normal"/>
    <w:link w:val="BalloonTextChar"/>
    <w:uiPriority w:val="99"/>
    <w:semiHidden/>
    <w:unhideWhenUsed/>
    <w:rsid w:val="005E45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571"/>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02398">
      <w:bodyDiv w:val="1"/>
      <w:marLeft w:val="0"/>
      <w:marRight w:val="0"/>
      <w:marTop w:val="0"/>
      <w:marBottom w:val="0"/>
      <w:divBdr>
        <w:top w:val="none" w:sz="0" w:space="0" w:color="auto"/>
        <w:left w:val="none" w:sz="0" w:space="0" w:color="auto"/>
        <w:bottom w:val="none" w:sz="0" w:space="0" w:color="auto"/>
        <w:right w:val="none" w:sz="0" w:space="0" w:color="auto"/>
      </w:divBdr>
    </w:div>
    <w:div w:id="225730332">
      <w:bodyDiv w:val="1"/>
      <w:marLeft w:val="0"/>
      <w:marRight w:val="0"/>
      <w:marTop w:val="0"/>
      <w:marBottom w:val="0"/>
      <w:divBdr>
        <w:top w:val="none" w:sz="0" w:space="0" w:color="auto"/>
        <w:left w:val="none" w:sz="0" w:space="0" w:color="auto"/>
        <w:bottom w:val="none" w:sz="0" w:space="0" w:color="auto"/>
        <w:right w:val="none" w:sz="0" w:space="0" w:color="auto"/>
      </w:divBdr>
    </w:div>
    <w:div w:id="696852446">
      <w:bodyDiv w:val="1"/>
      <w:marLeft w:val="0"/>
      <w:marRight w:val="0"/>
      <w:marTop w:val="0"/>
      <w:marBottom w:val="0"/>
      <w:divBdr>
        <w:top w:val="none" w:sz="0" w:space="0" w:color="auto"/>
        <w:left w:val="none" w:sz="0" w:space="0" w:color="auto"/>
        <w:bottom w:val="none" w:sz="0" w:space="0" w:color="auto"/>
        <w:right w:val="none" w:sz="0" w:space="0" w:color="auto"/>
      </w:divBdr>
    </w:div>
    <w:div w:id="930895271">
      <w:bodyDiv w:val="1"/>
      <w:marLeft w:val="0"/>
      <w:marRight w:val="0"/>
      <w:marTop w:val="0"/>
      <w:marBottom w:val="0"/>
      <w:divBdr>
        <w:top w:val="none" w:sz="0" w:space="0" w:color="auto"/>
        <w:left w:val="none" w:sz="0" w:space="0" w:color="auto"/>
        <w:bottom w:val="none" w:sz="0" w:space="0" w:color="auto"/>
        <w:right w:val="none" w:sz="0" w:space="0" w:color="auto"/>
      </w:divBdr>
    </w:div>
    <w:div w:id="1522553400">
      <w:bodyDiv w:val="1"/>
      <w:marLeft w:val="0"/>
      <w:marRight w:val="0"/>
      <w:marTop w:val="0"/>
      <w:marBottom w:val="0"/>
      <w:divBdr>
        <w:top w:val="none" w:sz="0" w:space="0" w:color="auto"/>
        <w:left w:val="none" w:sz="0" w:space="0" w:color="auto"/>
        <w:bottom w:val="none" w:sz="0" w:space="0" w:color="auto"/>
        <w:right w:val="none" w:sz="0" w:space="0" w:color="auto"/>
      </w:divBdr>
    </w:div>
    <w:div w:id="1849098404">
      <w:bodyDiv w:val="1"/>
      <w:marLeft w:val="0"/>
      <w:marRight w:val="0"/>
      <w:marTop w:val="0"/>
      <w:marBottom w:val="0"/>
      <w:divBdr>
        <w:top w:val="none" w:sz="0" w:space="0" w:color="auto"/>
        <w:left w:val="none" w:sz="0" w:space="0" w:color="auto"/>
        <w:bottom w:val="none" w:sz="0" w:space="0" w:color="auto"/>
        <w:right w:val="none" w:sz="0" w:space="0" w:color="auto"/>
      </w:divBdr>
    </w:div>
    <w:div w:id="199382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gk9@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D054E-576A-4877-9F43-4119DFBD8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2996</Words>
  <Characters>17083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Ashlynn (CDC/OID/NCIRD) (CTR)</dc:creator>
  <cp:lastModifiedBy>CDC User</cp:lastModifiedBy>
  <cp:revision>2</cp:revision>
  <cp:lastPrinted>2013-11-04T15:52:00Z</cp:lastPrinted>
  <dcterms:created xsi:type="dcterms:W3CDTF">2013-11-14T18:02:00Z</dcterms:created>
  <dcterms:modified xsi:type="dcterms:W3CDTF">2013-11-14T18:02:00Z</dcterms:modified>
</cp:coreProperties>
</file>