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A3192" w:rsidRDefault="00F82F69" w:rsidP="00484011">
      <w:pPr>
        <w:spacing w:after="0"/>
        <w:jc w:val="center"/>
        <w:rPr>
          <w:rFonts w:asciiTheme="majorHAnsi" w:hAnsiTheme="majorHAnsi"/>
          <w:b/>
          <w:sz w:val="40"/>
        </w:rPr>
      </w:pPr>
      <w:r w:rsidRPr="00F82F69">
        <w:rPr>
          <w:rFonts w:asciiTheme="majorHAnsi" w:hAnsiTheme="majorHAnsi"/>
          <w:b/>
          <w:sz w:val="40"/>
        </w:rPr>
        <w:t>Utility and Value of Flexible Epidemiologists for Enhancing Health Department Infectious Disease Epidemiology and Laboratory Capacity</w:t>
      </w:r>
    </w:p>
    <w:p w:rsidR="00F82F69" w:rsidRDefault="00F82F69"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47584E">
        <w:rPr>
          <w:rFonts w:asciiTheme="majorHAnsi" w:hAnsiTheme="majorHAnsi"/>
        </w:rPr>
        <w:t>December 2</w:t>
      </w:r>
      <w:r w:rsidR="00647F64">
        <w:rPr>
          <w:rFonts w:asciiTheme="majorHAnsi" w:hAnsiTheme="majorHAnsi"/>
        </w:rPr>
        <w:t>, 2013</w:t>
      </w: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614185" w:rsidRPr="00273C91" w:rsidRDefault="00614185" w:rsidP="00614185">
      <w:pPr>
        <w:spacing w:after="0" w:line="240" w:lineRule="auto"/>
        <w:rPr>
          <w:rFonts w:ascii="Times New Roman" w:hAnsi="Times New Roman" w:cs="Times New Roman"/>
          <w:bCs/>
        </w:rPr>
      </w:pPr>
      <w:r w:rsidRPr="00273C91">
        <w:rPr>
          <w:rFonts w:ascii="Times New Roman" w:hAnsi="Times New Roman" w:cs="Times New Roman"/>
          <w:bCs/>
        </w:rPr>
        <w:t>Christina Chung</w:t>
      </w:r>
      <w:r>
        <w:rPr>
          <w:rFonts w:ascii="Times New Roman" w:hAnsi="Times New Roman" w:cs="Times New Roman"/>
          <w:bCs/>
        </w:rPr>
        <w:t xml:space="preserve">, </w:t>
      </w:r>
      <w:r w:rsidR="00A92500">
        <w:rPr>
          <w:rFonts w:ascii="Times New Roman" w:hAnsi="Times New Roman" w:cs="Times New Roman"/>
          <w:bCs/>
        </w:rPr>
        <w:t>Associate Service Fellow</w:t>
      </w:r>
    </w:p>
    <w:p w:rsidR="00614185" w:rsidRPr="00273C91" w:rsidRDefault="00614185" w:rsidP="00614185">
      <w:pPr>
        <w:spacing w:after="0" w:line="240" w:lineRule="auto"/>
        <w:rPr>
          <w:rFonts w:ascii="Times New Roman" w:hAnsi="Times New Roman" w:cs="Times New Roman"/>
        </w:rPr>
      </w:pPr>
      <w:r w:rsidRPr="00273C91">
        <w:rPr>
          <w:rFonts w:ascii="Times New Roman" w:hAnsi="Times New Roman" w:cs="Times New Roman"/>
        </w:rPr>
        <w:t xml:space="preserve">Scientific and Program Services Branch </w:t>
      </w:r>
    </w:p>
    <w:p w:rsidR="00614185" w:rsidRPr="00273C91" w:rsidRDefault="00614185" w:rsidP="00614185">
      <w:pPr>
        <w:spacing w:after="0" w:line="240" w:lineRule="auto"/>
        <w:rPr>
          <w:rFonts w:ascii="Times New Roman" w:hAnsi="Times New Roman" w:cs="Times New Roman"/>
        </w:rPr>
      </w:pPr>
      <w:r w:rsidRPr="00273C91">
        <w:rPr>
          <w:rFonts w:ascii="Times New Roman" w:hAnsi="Times New Roman" w:cs="Times New Roman"/>
        </w:rPr>
        <w:t>Division of Preparedness and Emerging Infections</w:t>
      </w:r>
    </w:p>
    <w:p w:rsidR="00614185" w:rsidRPr="00273C91" w:rsidRDefault="00614185" w:rsidP="00614185">
      <w:pPr>
        <w:spacing w:after="0" w:line="240" w:lineRule="auto"/>
        <w:rPr>
          <w:rFonts w:ascii="Times New Roman" w:hAnsi="Times New Roman" w:cs="Times New Roman"/>
        </w:rPr>
      </w:pPr>
      <w:r>
        <w:rPr>
          <w:rFonts w:ascii="Times New Roman" w:hAnsi="Times New Roman" w:cs="Times New Roman"/>
        </w:rPr>
        <w:t>National Center</w:t>
      </w:r>
      <w:r w:rsidRPr="00273C91">
        <w:rPr>
          <w:rFonts w:ascii="Times New Roman" w:hAnsi="Times New Roman" w:cs="Times New Roman"/>
        </w:rPr>
        <w:t xml:space="preserve"> for Emerging &amp; Zoonotic Infectious Disease</w:t>
      </w:r>
      <w:r>
        <w:rPr>
          <w:rFonts w:ascii="Times New Roman" w:hAnsi="Times New Roman" w:cs="Times New Roman"/>
        </w:rPr>
        <w:t>s</w:t>
      </w:r>
    </w:p>
    <w:p w:rsidR="00614185" w:rsidRDefault="00614185" w:rsidP="00614185">
      <w:pPr>
        <w:spacing w:after="0" w:line="240" w:lineRule="auto"/>
        <w:rPr>
          <w:rFonts w:ascii="Times New Roman" w:hAnsi="Times New Roman" w:cs="Times New Roman"/>
        </w:rPr>
      </w:pPr>
      <w:r w:rsidRPr="00273C91">
        <w:rPr>
          <w:rFonts w:ascii="Times New Roman" w:hAnsi="Times New Roman" w:cs="Times New Roman"/>
        </w:rPr>
        <w:t xml:space="preserve">Centers for </w:t>
      </w:r>
      <w:r>
        <w:rPr>
          <w:rFonts w:ascii="Times New Roman" w:hAnsi="Times New Roman" w:cs="Times New Roman"/>
        </w:rPr>
        <w:t>Disease Control and Prevention</w:t>
      </w:r>
    </w:p>
    <w:p w:rsidR="00614185" w:rsidRDefault="00614185" w:rsidP="00614185">
      <w:pPr>
        <w:spacing w:after="0" w:line="240" w:lineRule="auto"/>
        <w:rPr>
          <w:rFonts w:ascii="Times New Roman" w:hAnsi="Times New Roman" w:cs="Times New Roman"/>
        </w:rPr>
      </w:pPr>
      <w:r>
        <w:rPr>
          <w:rFonts w:ascii="Times New Roman" w:hAnsi="Times New Roman" w:cs="Times New Roman"/>
        </w:rPr>
        <w:t>1600 Clifton Rd., Atlanta, GA 30333</w:t>
      </w:r>
    </w:p>
    <w:p w:rsidR="00614185" w:rsidRDefault="00614185" w:rsidP="00614185">
      <w:pPr>
        <w:spacing w:after="0" w:line="240" w:lineRule="auto"/>
        <w:rPr>
          <w:rFonts w:ascii="Times New Roman" w:hAnsi="Times New Roman" w:cs="Times New Roman"/>
        </w:rPr>
      </w:pPr>
      <w:r>
        <w:rPr>
          <w:rFonts w:ascii="Times New Roman" w:hAnsi="Times New Roman" w:cs="Times New Roman"/>
        </w:rPr>
        <w:t xml:space="preserve">Phone: </w:t>
      </w:r>
      <w:r w:rsidRPr="00273C91">
        <w:rPr>
          <w:rFonts w:ascii="Times New Roman" w:hAnsi="Times New Roman" w:cs="Times New Roman"/>
        </w:rPr>
        <w:t>404-639-3988</w:t>
      </w:r>
    </w:p>
    <w:p w:rsidR="00614185" w:rsidRDefault="00614185" w:rsidP="00614185">
      <w:pPr>
        <w:spacing w:after="0" w:line="240" w:lineRule="auto"/>
        <w:rPr>
          <w:rFonts w:ascii="Times New Roman" w:hAnsi="Times New Roman" w:cs="Times New Roman"/>
        </w:rPr>
      </w:pPr>
      <w:r>
        <w:rPr>
          <w:rFonts w:ascii="Times New Roman" w:hAnsi="Times New Roman" w:cs="Times New Roman"/>
        </w:rPr>
        <w:t xml:space="preserve">Fax: </w:t>
      </w:r>
      <w:r w:rsidRPr="00273C91">
        <w:rPr>
          <w:rFonts w:ascii="Times New Roman" w:hAnsi="Times New Roman" w:cs="Times New Roman"/>
        </w:rPr>
        <w:t>404-639-3106</w:t>
      </w:r>
    </w:p>
    <w:p w:rsidR="00614185" w:rsidRDefault="00614185" w:rsidP="00614185">
      <w:pPr>
        <w:spacing w:after="0" w:line="240" w:lineRule="auto"/>
        <w:rPr>
          <w:rFonts w:ascii="Times New Roman" w:hAnsi="Times New Roman" w:cs="Times New Roman"/>
        </w:rPr>
      </w:pPr>
      <w:r>
        <w:rPr>
          <w:rFonts w:ascii="Times New Roman" w:hAnsi="Times New Roman" w:cs="Times New Roman"/>
        </w:rPr>
        <w:t xml:space="preserve">Email: </w:t>
      </w:r>
      <w:hyperlink r:id="rId9" w:history="1">
        <w:r w:rsidRPr="003C64E0">
          <w:rPr>
            <w:rStyle w:val="Hyperlink"/>
            <w:rFonts w:ascii="Times New Roman" w:hAnsi="Times New Roman" w:cs="Times New Roman"/>
          </w:rPr>
          <w:t>cchung@cdc.gov</w:t>
        </w:r>
      </w:hyperlink>
      <w:r>
        <w:rPr>
          <w:rFonts w:ascii="Times New Roman" w:hAnsi="Times New Roman" w:cs="Times New Roman"/>
        </w:rPr>
        <w:t xml:space="preserve"> </w:t>
      </w:r>
    </w:p>
    <w:p w:rsidR="00DB1FFC" w:rsidRDefault="00DB1FFC" w:rsidP="00614185">
      <w:pPr>
        <w:spacing w:after="0" w:line="240" w:lineRule="auto"/>
        <w:rPr>
          <w:rFonts w:ascii="Times New Roman" w:hAnsi="Times New Roman" w:cs="Times New Roman"/>
        </w:rPr>
      </w:pPr>
    </w:p>
    <w:p w:rsidR="00DB1FFC" w:rsidRDefault="00DB1FFC" w:rsidP="00614185">
      <w:pPr>
        <w:spacing w:after="0" w:line="240" w:lineRule="auto"/>
        <w:rPr>
          <w:rFonts w:ascii="Times New Roman" w:hAnsi="Times New Roman" w:cs="Times New Roman"/>
        </w:rPr>
      </w:pPr>
    </w:p>
    <w:p w:rsidR="00B12F51" w:rsidRPr="00614185" w:rsidRDefault="00B12F51" w:rsidP="00614185">
      <w:pPr>
        <w:spacing w:after="0" w:line="240" w:lineRule="auto"/>
        <w:rPr>
          <w:rFonts w:ascii="Times New Roman" w:hAnsi="Times New Roman" w:cs="Times New Roman"/>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1927E7" w:rsidRDefault="009759F3" w:rsidP="00DB1FFC">
      <w:pPr>
        <w:pStyle w:val="ListParagraph"/>
        <w:numPr>
          <w:ilvl w:val="0"/>
          <w:numId w:val="3"/>
        </w:numPr>
        <w:spacing w:after="0"/>
        <w:ind w:left="360"/>
        <w:rPr>
          <w:rFonts w:asciiTheme="majorHAnsi" w:hAnsiTheme="majorHAnsi"/>
          <w:b/>
          <w:sz w:val="24"/>
          <w:szCs w:val="24"/>
        </w:rPr>
      </w:pPr>
      <w:r w:rsidRPr="001927E7">
        <w:rPr>
          <w:rFonts w:asciiTheme="majorHAnsi" w:hAnsiTheme="majorHAnsi"/>
          <w:b/>
          <w:bCs/>
          <w:sz w:val="24"/>
          <w:szCs w:val="24"/>
        </w:rPr>
        <w:t>Respondent Universe and Sampling Methods</w:t>
      </w:r>
      <w:r w:rsidR="00A305CE" w:rsidRPr="001927E7">
        <w:rPr>
          <w:rFonts w:asciiTheme="majorHAnsi" w:hAnsiTheme="majorHAnsi"/>
          <w:sz w:val="24"/>
          <w:szCs w:val="24"/>
        </w:rPr>
        <w:t xml:space="preserve"> </w:t>
      </w:r>
    </w:p>
    <w:p w:rsidR="00A75D1C" w:rsidRPr="001927E7" w:rsidRDefault="00FC1468" w:rsidP="00DB1FFC">
      <w:pPr>
        <w:pStyle w:val="ListParagraph"/>
        <w:spacing w:after="0"/>
        <w:ind w:left="360"/>
        <w:rPr>
          <w:rFonts w:asciiTheme="majorHAnsi" w:hAnsiTheme="majorHAnsi"/>
          <w:sz w:val="24"/>
          <w:szCs w:val="24"/>
        </w:rPr>
      </w:pPr>
      <w:r w:rsidRPr="001927E7">
        <w:rPr>
          <w:rFonts w:asciiTheme="majorHAnsi" w:hAnsiTheme="majorHAnsi"/>
          <w:sz w:val="24"/>
          <w:szCs w:val="24"/>
        </w:rPr>
        <w:t xml:space="preserve">The respondent universe </w:t>
      </w:r>
      <w:r w:rsidR="00505CBE" w:rsidRPr="001927E7">
        <w:rPr>
          <w:rFonts w:asciiTheme="majorHAnsi" w:hAnsiTheme="majorHAnsi"/>
          <w:sz w:val="24"/>
          <w:szCs w:val="24"/>
        </w:rPr>
        <w:t xml:space="preserve">consists of </w:t>
      </w:r>
      <w:r w:rsidR="008D17FB" w:rsidRPr="001927E7">
        <w:rPr>
          <w:rFonts w:asciiTheme="majorHAnsi" w:hAnsiTheme="majorHAnsi"/>
          <w:sz w:val="24"/>
          <w:szCs w:val="24"/>
        </w:rPr>
        <w:t xml:space="preserve">10 </w:t>
      </w:r>
      <w:r w:rsidR="00DC21D7" w:rsidRPr="001927E7">
        <w:rPr>
          <w:rFonts w:asciiTheme="majorHAnsi" w:hAnsiTheme="majorHAnsi"/>
          <w:sz w:val="24"/>
          <w:szCs w:val="24"/>
        </w:rPr>
        <w:t xml:space="preserve">Flexible Epidemiologists and </w:t>
      </w:r>
      <w:r w:rsidR="008D17FB" w:rsidRPr="001927E7">
        <w:rPr>
          <w:rFonts w:asciiTheme="majorHAnsi" w:hAnsiTheme="majorHAnsi"/>
          <w:sz w:val="24"/>
          <w:szCs w:val="24"/>
        </w:rPr>
        <w:t xml:space="preserve">10 </w:t>
      </w:r>
      <w:r w:rsidR="00DC21D7" w:rsidRPr="001927E7">
        <w:rPr>
          <w:rFonts w:asciiTheme="majorHAnsi" w:hAnsiTheme="majorHAnsi"/>
          <w:sz w:val="24"/>
          <w:szCs w:val="24"/>
        </w:rPr>
        <w:t xml:space="preserve">Principal Investigators in </w:t>
      </w:r>
      <w:r w:rsidR="00DF6460" w:rsidRPr="001927E7">
        <w:rPr>
          <w:rFonts w:asciiTheme="majorHAnsi" w:hAnsiTheme="majorHAnsi"/>
          <w:sz w:val="24"/>
          <w:szCs w:val="24"/>
        </w:rPr>
        <w:t xml:space="preserve">state health departments </w:t>
      </w:r>
      <w:r w:rsidR="00DC21D7" w:rsidRPr="001927E7">
        <w:rPr>
          <w:rFonts w:asciiTheme="majorHAnsi" w:hAnsiTheme="majorHAnsi"/>
          <w:sz w:val="24"/>
          <w:szCs w:val="24"/>
        </w:rPr>
        <w:t>who were awarded funding for Fle</w:t>
      </w:r>
      <w:r w:rsidR="00DF6460" w:rsidRPr="001927E7">
        <w:rPr>
          <w:rFonts w:asciiTheme="majorHAnsi" w:hAnsiTheme="majorHAnsi"/>
          <w:sz w:val="24"/>
          <w:szCs w:val="24"/>
        </w:rPr>
        <w:t>xible Epidemiologist position</w:t>
      </w:r>
      <w:r w:rsidR="00ED30FF" w:rsidRPr="001927E7">
        <w:rPr>
          <w:rFonts w:asciiTheme="majorHAnsi" w:hAnsiTheme="majorHAnsi"/>
          <w:sz w:val="24"/>
          <w:szCs w:val="24"/>
        </w:rPr>
        <w:t xml:space="preserve">s. </w:t>
      </w:r>
      <w:r w:rsidR="002E2C22" w:rsidRPr="001927E7">
        <w:rPr>
          <w:rFonts w:asciiTheme="majorHAnsi" w:hAnsiTheme="majorHAnsi"/>
          <w:sz w:val="24"/>
          <w:szCs w:val="24"/>
        </w:rPr>
        <w:t>The ELC Principal Investigator and Flexible Epidemiologist will be interviewed from each state health department selected; there will be a total of 20 respondents.</w:t>
      </w:r>
      <w:r w:rsidR="00DF6460" w:rsidRPr="001927E7">
        <w:rPr>
          <w:rFonts w:asciiTheme="majorHAnsi" w:hAnsiTheme="majorHAnsi"/>
          <w:sz w:val="24"/>
          <w:szCs w:val="24"/>
        </w:rPr>
        <w:t xml:space="preserve"> </w:t>
      </w:r>
    </w:p>
    <w:p w:rsidR="00FC1468" w:rsidRPr="001927E7" w:rsidRDefault="00FC1468" w:rsidP="00F52BCC">
      <w:pPr>
        <w:pStyle w:val="ListParagraph"/>
        <w:spacing w:after="0"/>
        <w:rPr>
          <w:rFonts w:asciiTheme="majorHAnsi" w:hAnsiTheme="majorHAnsi"/>
          <w:sz w:val="24"/>
          <w:szCs w:val="24"/>
        </w:rPr>
      </w:pPr>
    </w:p>
    <w:p w:rsidR="003635BE" w:rsidRPr="001927E7" w:rsidRDefault="003635BE" w:rsidP="003635BE">
      <w:pPr>
        <w:spacing w:after="0"/>
        <w:rPr>
          <w:rFonts w:asciiTheme="majorHAnsi" w:hAnsiTheme="majorHAnsi"/>
          <w:sz w:val="24"/>
          <w:szCs w:val="24"/>
        </w:rPr>
      </w:pPr>
      <w:r w:rsidRPr="001927E7">
        <w:rPr>
          <w:rFonts w:asciiTheme="majorHAnsi" w:hAnsiTheme="majorHAnsi"/>
          <w:b/>
          <w:sz w:val="24"/>
          <w:szCs w:val="24"/>
          <w:u w:val="single"/>
        </w:rPr>
        <w:t>Table B-1</w:t>
      </w:r>
      <w:r w:rsidRPr="001927E7">
        <w:rPr>
          <w:rFonts w:asciiTheme="majorHAnsi" w:hAnsiTheme="majorHAnsi"/>
          <w:b/>
          <w:sz w:val="24"/>
          <w:szCs w:val="24"/>
        </w:rPr>
        <w:t>:</w:t>
      </w:r>
      <w:r w:rsidRPr="001927E7">
        <w:rPr>
          <w:rFonts w:asciiTheme="majorHAnsi" w:hAnsiTheme="majorHAnsi"/>
          <w:sz w:val="24"/>
          <w:szCs w:val="24"/>
        </w:rPr>
        <w:t xml:space="preserve"> Potential Respondent Universe</w:t>
      </w:r>
    </w:p>
    <w:p w:rsidR="003635BE" w:rsidRPr="001927E7" w:rsidRDefault="003635BE" w:rsidP="00F52BCC">
      <w:pPr>
        <w:pStyle w:val="ListParagraph"/>
        <w:spacing w:after="0"/>
        <w:rPr>
          <w:rFonts w:asciiTheme="majorHAnsi" w:hAnsiTheme="majorHAnsi"/>
          <w:sz w:val="24"/>
          <w:szCs w:val="24"/>
        </w:rPr>
      </w:pPr>
    </w:p>
    <w:tbl>
      <w:tblPr>
        <w:tblStyle w:val="TableGrid"/>
        <w:tblW w:w="0" w:type="auto"/>
        <w:tblInd w:w="108" w:type="dxa"/>
        <w:tblLook w:val="04A0" w:firstRow="1" w:lastRow="0" w:firstColumn="1" w:lastColumn="0" w:noHBand="0" w:noVBand="1"/>
      </w:tblPr>
      <w:tblGrid>
        <w:gridCol w:w="5220"/>
        <w:gridCol w:w="3150"/>
        <w:gridCol w:w="1080"/>
      </w:tblGrid>
      <w:tr w:rsidR="00BC5BB2" w:rsidRPr="001927E7" w:rsidTr="004931BB">
        <w:trPr>
          <w:trHeight w:val="377"/>
        </w:trPr>
        <w:tc>
          <w:tcPr>
            <w:tcW w:w="5220" w:type="dxa"/>
            <w:tcBorders>
              <w:bottom w:val="single" w:sz="12" w:space="0" w:color="auto"/>
            </w:tcBorders>
            <w:shd w:val="clear" w:color="auto" w:fill="D9D9D9" w:themeFill="background1" w:themeFillShade="D9"/>
            <w:vAlign w:val="center"/>
          </w:tcPr>
          <w:p w:rsidR="00BC5BB2" w:rsidRPr="001927E7" w:rsidRDefault="00BC5BB2" w:rsidP="00344F07">
            <w:pPr>
              <w:pStyle w:val="ListParagraph"/>
              <w:ind w:left="0"/>
              <w:jc w:val="center"/>
              <w:rPr>
                <w:rFonts w:asciiTheme="majorHAnsi" w:hAnsiTheme="majorHAnsi"/>
                <w:b/>
                <w:sz w:val="24"/>
                <w:szCs w:val="24"/>
              </w:rPr>
            </w:pPr>
            <w:r w:rsidRPr="001927E7">
              <w:rPr>
                <w:rFonts w:asciiTheme="majorHAnsi" w:hAnsiTheme="majorHAnsi"/>
                <w:b/>
                <w:sz w:val="24"/>
                <w:szCs w:val="24"/>
              </w:rPr>
              <w:t>Entity</w:t>
            </w:r>
          </w:p>
        </w:tc>
        <w:tc>
          <w:tcPr>
            <w:tcW w:w="3150" w:type="dxa"/>
            <w:tcBorders>
              <w:bottom w:val="single" w:sz="12" w:space="0" w:color="auto"/>
            </w:tcBorders>
            <w:shd w:val="clear" w:color="auto" w:fill="D9D9D9" w:themeFill="background1" w:themeFillShade="D9"/>
            <w:vAlign w:val="center"/>
          </w:tcPr>
          <w:p w:rsidR="00BC5BB2" w:rsidRPr="001927E7" w:rsidRDefault="00BC5BB2" w:rsidP="00344F07">
            <w:pPr>
              <w:pStyle w:val="ListParagraph"/>
              <w:ind w:left="0"/>
              <w:jc w:val="center"/>
              <w:rPr>
                <w:rFonts w:asciiTheme="majorHAnsi" w:hAnsiTheme="majorHAnsi"/>
                <w:b/>
                <w:sz w:val="24"/>
                <w:szCs w:val="24"/>
              </w:rPr>
            </w:pPr>
            <w:r w:rsidRPr="001927E7">
              <w:rPr>
                <w:rFonts w:asciiTheme="majorHAnsi" w:hAnsiTheme="majorHAnsi"/>
                <w:b/>
                <w:sz w:val="24"/>
                <w:szCs w:val="24"/>
              </w:rPr>
              <w:t>Potential Respondent</w:t>
            </w:r>
          </w:p>
        </w:tc>
        <w:tc>
          <w:tcPr>
            <w:tcW w:w="1080" w:type="dxa"/>
            <w:tcBorders>
              <w:bottom w:val="single" w:sz="12" w:space="0" w:color="auto"/>
            </w:tcBorders>
            <w:shd w:val="clear" w:color="auto" w:fill="D9D9D9" w:themeFill="background1" w:themeFillShade="D9"/>
            <w:vAlign w:val="center"/>
          </w:tcPr>
          <w:p w:rsidR="00BC5BB2" w:rsidRPr="001927E7" w:rsidRDefault="00BC5BB2" w:rsidP="00344F07">
            <w:pPr>
              <w:pStyle w:val="ListParagraph"/>
              <w:ind w:left="0"/>
              <w:jc w:val="center"/>
              <w:rPr>
                <w:rFonts w:asciiTheme="majorHAnsi" w:hAnsiTheme="majorHAnsi"/>
                <w:b/>
                <w:sz w:val="24"/>
                <w:szCs w:val="24"/>
              </w:rPr>
            </w:pPr>
            <w:r w:rsidRPr="001927E7">
              <w:rPr>
                <w:rFonts w:asciiTheme="majorHAnsi" w:hAnsiTheme="majorHAnsi"/>
                <w:b/>
                <w:sz w:val="24"/>
                <w:szCs w:val="24"/>
              </w:rPr>
              <w:t>N</w:t>
            </w:r>
          </w:p>
        </w:tc>
      </w:tr>
      <w:tr w:rsidR="008D17FB" w:rsidRPr="001927E7" w:rsidTr="004931BB">
        <w:trPr>
          <w:trHeight w:hRule="exact" w:val="777"/>
        </w:trPr>
        <w:tc>
          <w:tcPr>
            <w:tcW w:w="5220" w:type="dxa"/>
            <w:vMerge w:val="restart"/>
            <w:tcBorders>
              <w:top w:val="single" w:sz="12" w:space="0" w:color="auto"/>
            </w:tcBorders>
            <w:vAlign w:val="center"/>
          </w:tcPr>
          <w:p w:rsidR="008D17FB" w:rsidRPr="001927E7" w:rsidRDefault="008D17FB" w:rsidP="00344F07">
            <w:pPr>
              <w:pStyle w:val="ListParagraph"/>
              <w:ind w:left="0"/>
              <w:rPr>
                <w:rFonts w:asciiTheme="majorHAnsi" w:hAnsiTheme="majorHAnsi"/>
                <w:sz w:val="24"/>
                <w:szCs w:val="24"/>
              </w:rPr>
            </w:pPr>
            <w:r w:rsidRPr="001927E7">
              <w:rPr>
                <w:rFonts w:asciiTheme="majorHAnsi" w:hAnsiTheme="majorHAnsi"/>
                <w:sz w:val="24"/>
                <w:szCs w:val="24"/>
              </w:rPr>
              <w:t>Health departments awarded funds from CDC’s Epidemiology and Laboratory Capacity for Infectious Diseases Cooperative Agreement for Flexible Epidemiology Positions</w:t>
            </w:r>
          </w:p>
        </w:tc>
        <w:tc>
          <w:tcPr>
            <w:tcW w:w="3150" w:type="dxa"/>
            <w:tcBorders>
              <w:top w:val="single" w:sz="12" w:space="0" w:color="auto"/>
              <w:bottom w:val="single" w:sz="4" w:space="0" w:color="auto"/>
            </w:tcBorders>
            <w:vAlign w:val="center"/>
          </w:tcPr>
          <w:p w:rsidR="008D17FB" w:rsidRPr="001927E7" w:rsidRDefault="008D17FB" w:rsidP="009D0257">
            <w:pPr>
              <w:pStyle w:val="ListParagraph"/>
              <w:ind w:left="0"/>
              <w:rPr>
                <w:rFonts w:asciiTheme="majorHAnsi" w:hAnsiTheme="majorHAnsi"/>
                <w:sz w:val="24"/>
                <w:szCs w:val="24"/>
              </w:rPr>
            </w:pPr>
            <w:r w:rsidRPr="001927E7">
              <w:rPr>
                <w:rFonts w:asciiTheme="majorHAnsi" w:hAnsiTheme="majorHAnsi"/>
                <w:sz w:val="24"/>
                <w:szCs w:val="24"/>
              </w:rPr>
              <w:t xml:space="preserve"> Principal Investigators</w:t>
            </w:r>
          </w:p>
        </w:tc>
        <w:tc>
          <w:tcPr>
            <w:tcW w:w="1080" w:type="dxa"/>
            <w:tcBorders>
              <w:top w:val="single" w:sz="12" w:space="0" w:color="auto"/>
              <w:bottom w:val="single" w:sz="4" w:space="0" w:color="auto"/>
            </w:tcBorders>
            <w:vAlign w:val="center"/>
          </w:tcPr>
          <w:p w:rsidR="008D17FB" w:rsidRPr="001927E7" w:rsidRDefault="008D17FB" w:rsidP="00344F07">
            <w:pPr>
              <w:pStyle w:val="ListParagraph"/>
              <w:ind w:left="0"/>
              <w:jc w:val="center"/>
              <w:rPr>
                <w:rFonts w:asciiTheme="majorHAnsi" w:hAnsiTheme="majorHAnsi"/>
                <w:sz w:val="24"/>
                <w:szCs w:val="24"/>
              </w:rPr>
            </w:pPr>
            <w:r w:rsidRPr="001927E7">
              <w:rPr>
                <w:rFonts w:asciiTheme="majorHAnsi" w:hAnsiTheme="majorHAnsi"/>
                <w:sz w:val="24"/>
                <w:szCs w:val="24"/>
              </w:rPr>
              <w:t>10</w:t>
            </w:r>
          </w:p>
        </w:tc>
      </w:tr>
      <w:tr w:rsidR="008D17FB" w:rsidRPr="001927E7" w:rsidTr="004931BB">
        <w:trPr>
          <w:trHeight w:hRule="exact" w:val="714"/>
        </w:trPr>
        <w:tc>
          <w:tcPr>
            <w:tcW w:w="5220" w:type="dxa"/>
            <w:vMerge/>
            <w:tcBorders>
              <w:bottom w:val="single" w:sz="4" w:space="0" w:color="auto"/>
            </w:tcBorders>
            <w:vAlign w:val="center"/>
          </w:tcPr>
          <w:p w:rsidR="008D17FB" w:rsidRPr="001927E7" w:rsidRDefault="008D17FB" w:rsidP="00344F07">
            <w:pPr>
              <w:pStyle w:val="ListParagraph"/>
              <w:ind w:left="0"/>
              <w:rPr>
                <w:rFonts w:asciiTheme="majorHAnsi" w:hAnsiTheme="majorHAnsi"/>
                <w:sz w:val="24"/>
                <w:szCs w:val="24"/>
              </w:rPr>
            </w:pPr>
          </w:p>
        </w:tc>
        <w:tc>
          <w:tcPr>
            <w:tcW w:w="3150" w:type="dxa"/>
            <w:tcBorders>
              <w:top w:val="single" w:sz="12" w:space="0" w:color="auto"/>
              <w:bottom w:val="single" w:sz="4" w:space="0" w:color="auto"/>
            </w:tcBorders>
            <w:vAlign w:val="center"/>
          </w:tcPr>
          <w:p w:rsidR="008D17FB" w:rsidRPr="001927E7" w:rsidRDefault="008D17FB" w:rsidP="00F725B5">
            <w:pPr>
              <w:pStyle w:val="ListParagraph"/>
              <w:ind w:left="0"/>
              <w:rPr>
                <w:rFonts w:asciiTheme="majorHAnsi" w:hAnsiTheme="majorHAnsi"/>
                <w:sz w:val="24"/>
                <w:szCs w:val="24"/>
              </w:rPr>
            </w:pPr>
            <w:r w:rsidRPr="001927E7">
              <w:rPr>
                <w:rFonts w:asciiTheme="majorHAnsi" w:hAnsiTheme="majorHAnsi"/>
                <w:sz w:val="24"/>
                <w:szCs w:val="24"/>
              </w:rPr>
              <w:t>Flexible Epidemiologists</w:t>
            </w:r>
          </w:p>
        </w:tc>
        <w:tc>
          <w:tcPr>
            <w:tcW w:w="1080" w:type="dxa"/>
            <w:tcBorders>
              <w:top w:val="single" w:sz="12" w:space="0" w:color="auto"/>
              <w:bottom w:val="single" w:sz="4" w:space="0" w:color="auto"/>
            </w:tcBorders>
            <w:vAlign w:val="center"/>
          </w:tcPr>
          <w:p w:rsidR="008D17FB" w:rsidRPr="001927E7" w:rsidRDefault="008D17FB" w:rsidP="00344F07">
            <w:pPr>
              <w:pStyle w:val="ListParagraph"/>
              <w:ind w:left="0"/>
              <w:jc w:val="center"/>
              <w:rPr>
                <w:rFonts w:asciiTheme="majorHAnsi" w:hAnsiTheme="majorHAnsi"/>
                <w:sz w:val="24"/>
                <w:szCs w:val="24"/>
              </w:rPr>
            </w:pPr>
            <w:r w:rsidRPr="001927E7">
              <w:rPr>
                <w:rFonts w:asciiTheme="majorHAnsi" w:hAnsiTheme="majorHAnsi"/>
                <w:sz w:val="24"/>
                <w:szCs w:val="24"/>
              </w:rPr>
              <w:t>10</w:t>
            </w:r>
          </w:p>
        </w:tc>
      </w:tr>
      <w:tr w:rsidR="00053A92" w:rsidRPr="001927E7" w:rsidTr="004931BB">
        <w:trPr>
          <w:trHeight w:hRule="exact" w:val="360"/>
        </w:trPr>
        <w:tc>
          <w:tcPr>
            <w:tcW w:w="8370" w:type="dxa"/>
            <w:gridSpan w:val="2"/>
            <w:tcBorders>
              <w:top w:val="single" w:sz="4" w:space="0" w:color="auto"/>
            </w:tcBorders>
            <w:vAlign w:val="center"/>
          </w:tcPr>
          <w:p w:rsidR="00053A92" w:rsidRPr="001927E7" w:rsidRDefault="00053A92" w:rsidP="00344F07">
            <w:pPr>
              <w:pStyle w:val="ListParagraph"/>
              <w:ind w:left="0"/>
              <w:jc w:val="right"/>
              <w:rPr>
                <w:rFonts w:asciiTheme="majorHAnsi" w:hAnsiTheme="majorHAnsi"/>
                <w:b/>
                <w:sz w:val="24"/>
                <w:szCs w:val="24"/>
              </w:rPr>
            </w:pPr>
            <w:r w:rsidRPr="001927E7">
              <w:rPr>
                <w:rFonts w:asciiTheme="majorHAnsi" w:hAnsiTheme="majorHAnsi"/>
                <w:b/>
                <w:sz w:val="24"/>
                <w:szCs w:val="24"/>
              </w:rPr>
              <w:t>Total Universe of Potential Respondents</w:t>
            </w:r>
          </w:p>
        </w:tc>
        <w:tc>
          <w:tcPr>
            <w:tcW w:w="1080" w:type="dxa"/>
            <w:tcBorders>
              <w:top w:val="single" w:sz="4" w:space="0" w:color="auto"/>
            </w:tcBorders>
            <w:vAlign w:val="center"/>
          </w:tcPr>
          <w:p w:rsidR="00053A92" w:rsidRPr="001927E7" w:rsidRDefault="00DB688B" w:rsidP="00344F07">
            <w:pPr>
              <w:pStyle w:val="ListParagraph"/>
              <w:ind w:left="0"/>
              <w:jc w:val="center"/>
              <w:rPr>
                <w:rFonts w:asciiTheme="majorHAnsi" w:hAnsiTheme="majorHAnsi"/>
                <w:b/>
                <w:sz w:val="24"/>
                <w:szCs w:val="24"/>
              </w:rPr>
            </w:pPr>
            <w:r w:rsidRPr="001927E7">
              <w:rPr>
                <w:rFonts w:asciiTheme="majorHAnsi" w:hAnsiTheme="majorHAnsi"/>
                <w:b/>
                <w:sz w:val="24"/>
                <w:szCs w:val="24"/>
              </w:rPr>
              <w:t>20</w:t>
            </w:r>
          </w:p>
        </w:tc>
      </w:tr>
    </w:tbl>
    <w:p w:rsidR="00BC5BB2" w:rsidRPr="001927E7" w:rsidRDefault="00BC5BB2" w:rsidP="00F52BCC">
      <w:pPr>
        <w:pStyle w:val="ListParagraph"/>
        <w:spacing w:after="0"/>
        <w:rPr>
          <w:rFonts w:asciiTheme="majorHAnsi" w:hAnsiTheme="majorHAnsi"/>
          <w:sz w:val="24"/>
          <w:szCs w:val="24"/>
        </w:rPr>
      </w:pPr>
    </w:p>
    <w:p w:rsidR="00F52BCC" w:rsidRPr="001927E7" w:rsidRDefault="00F52BCC" w:rsidP="00F52BCC">
      <w:pPr>
        <w:pStyle w:val="ListParagraph"/>
        <w:spacing w:after="0"/>
        <w:rPr>
          <w:rFonts w:asciiTheme="majorHAnsi" w:hAnsiTheme="majorHAnsi"/>
          <w:sz w:val="24"/>
          <w:szCs w:val="24"/>
        </w:rPr>
      </w:pPr>
    </w:p>
    <w:p w:rsidR="00287E2F" w:rsidRPr="001927E7" w:rsidRDefault="00287E2F" w:rsidP="008E613A">
      <w:pPr>
        <w:pStyle w:val="ListParagraph"/>
        <w:numPr>
          <w:ilvl w:val="0"/>
          <w:numId w:val="3"/>
        </w:numPr>
        <w:spacing w:after="0"/>
        <w:ind w:left="360"/>
        <w:rPr>
          <w:rFonts w:asciiTheme="majorHAnsi" w:hAnsiTheme="majorHAnsi"/>
          <w:b/>
          <w:sz w:val="24"/>
          <w:szCs w:val="24"/>
        </w:rPr>
      </w:pPr>
      <w:r w:rsidRPr="001927E7">
        <w:rPr>
          <w:rFonts w:asciiTheme="majorHAnsi" w:hAnsiTheme="majorHAnsi"/>
          <w:b/>
          <w:sz w:val="24"/>
          <w:szCs w:val="24"/>
        </w:rPr>
        <w:t xml:space="preserve">Procedures for </w:t>
      </w:r>
      <w:r w:rsidR="009759F3" w:rsidRPr="001927E7">
        <w:rPr>
          <w:rFonts w:asciiTheme="majorHAnsi" w:hAnsiTheme="majorHAnsi"/>
          <w:b/>
          <w:sz w:val="24"/>
          <w:szCs w:val="24"/>
        </w:rPr>
        <w:t xml:space="preserve">the </w:t>
      </w:r>
      <w:r w:rsidRPr="001927E7">
        <w:rPr>
          <w:rFonts w:asciiTheme="majorHAnsi" w:hAnsiTheme="majorHAnsi"/>
          <w:b/>
          <w:sz w:val="24"/>
          <w:szCs w:val="24"/>
        </w:rPr>
        <w:t>Collecti</w:t>
      </w:r>
      <w:r w:rsidR="009759F3" w:rsidRPr="001927E7">
        <w:rPr>
          <w:rFonts w:asciiTheme="majorHAnsi" w:hAnsiTheme="majorHAnsi"/>
          <w:b/>
          <w:sz w:val="24"/>
          <w:szCs w:val="24"/>
        </w:rPr>
        <w:t>on</w:t>
      </w:r>
      <w:r w:rsidRPr="001927E7">
        <w:rPr>
          <w:rFonts w:asciiTheme="majorHAnsi" w:hAnsiTheme="majorHAnsi"/>
          <w:b/>
          <w:sz w:val="24"/>
          <w:szCs w:val="24"/>
        </w:rPr>
        <w:t xml:space="preserve"> of Information</w:t>
      </w:r>
      <w:r w:rsidR="00F725B5" w:rsidRPr="001927E7">
        <w:rPr>
          <w:rFonts w:asciiTheme="majorHAnsi" w:hAnsiTheme="majorHAnsi"/>
          <w:b/>
          <w:sz w:val="24"/>
          <w:szCs w:val="24"/>
        </w:rPr>
        <w:t xml:space="preserve"> </w:t>
      </w:r>
      <w:r w:rsidR="009759F3" w:rsidRPr="001927E7">
        <w:rPr>
          <w:rFonts w:asciiTheme="majorHAnsi" w:hAnsiTheme="majorHAnsi"/>
          <w:b/>
          <w:sz w:val="24"/>
          <w:szCs w:val="24"/>
        </w:rPr>
        <w:t xml:space="preserve">  </w:t>
      </w:r>
    </w:p>
    <w:p w:rsidR="00E145B2" w:rsidRPr="00E145B2" w:rsidRDefault="007B4CB1" w:rsidP="00E145B2">
      <w:pPr>
        <w:spacing w:after="0"/>
        <w:ind w:left="360"/>
        <w:rPr>
          <w:rFonts w:asciiTheme="majorHAnsi" w:hAnsiTheme="majorHAnsi"/>
          <w:sz w:val="24"/>
          <w:szCs w:val="24"/>
        </w:rPr>
      </w:pPr>
      <w:r w:rsidRPr="001927E7">
        <w:rPr>
          <w:rFonts w:asciiTheme="majorHAnsi" w:hAnsiTheme="majorHAnsi"/>
          <w:sz w:val="24"/>
          <w:szCs w:val="24"/>
        </w:rPr>
        <w:t xml:space="preserve">Data will be collected through a one-time </w:t>
      </w:r>
      <w:r w:rsidR="00D213B2" w:rsidRPr="001927E7">
        <w:rPr>
          <w:rFonts w:asciiTheme="majorHAnsi" w:hAnsiTheme="majorHAnsi"/>
          <w:sz w:val="24"/>
          <w:szCs w:val="24"/>
        </w:rPr>
        <w:t xml:space="preserve">39 </w:t>
      </w:r>
      <w:r w:rsidRPr="001927E7">
        <w:rPr>
          <w:rFonts w:asciiTheme="majorHAnsi" w:hAnsiTheme="majorHAnsi"/>
          <w:sz w:val="24"/>
          <w:szCs w:val="24"/>
        </w:rPr>
        <w:t>minute in-depth interview</w:t>
      </w:r>
      <w:r w:rsidR="002A1356" w:rsidRPr="001927E7">
        <w:rPr>
          <w:rFonts w:asciiTheme="majorHAnsi" w:hAnsiTheme="majorHAnsi"/>
          <w:sz w:val="24"/>
          <w:szCs w:val="24"/>
        </w:rPr>
        <w:t xml:space="preserve"> with</w:t>
      </w:r>
      <w:r w:rsidRPr="001927E7">
        <w:rPr>
          <w:rFonts w:asciiTheme="majorHAnsi" w:hAnsiTheme="majorHAnsi"/>
          <w:sz w:val="24"/>
          <w:szCs w:val="24"/>
        </w:rPr>
        <w:t xml:space="preserve"> 10 Flexible Epidemiologists and 10 ELC Principal Investigators</w:t>
      </w:r>
      <w:r w:rsidR="002A1356" w:rsidRPr="001927E7">
        <w:rPr>
          <w:rFonts w:asciiTheme="majorHAnsi" w:hAnsiTheme="majorHAnsi"/>
          <w:sz w:val="24"/>
          <w:szCs w:val="24"/>
        </w:rPr>
        <w:t xml:space="preserve"> from 10 state health departments</w:t>
      </w:r>
      <w:r w:rsidRPr="001927E7">
        <w:rPr>
          <w:rFonts w:asciiTheme="majorHAnsi" w:hAnsiTheme="majorHAnsi"/>
          <w:sz w:val="24"/>
          <w:szCs w:val="24"/>
        </w:rPr>
        <w:t xml:space="preserve">. </w:t>
      </w:r>
      <w:r w:rsidR="00BD67B5" w:rsidRPr="001927E7">
        <w:rPr>
          <w:rFonts w:asciiTheme="majorHAnsi" w:hAnsiTheme="majorHAnsi"/>
          <w:sz w:val="24"/>
          <w:szCs w:val="24"/>
        </w:rPr>
        <w:t>Of the entire population universe</w:t>
      </w:r>
      <w:r w:rsidR="009D6A4F" w:rsidRPr="001927E7">
        <w:rPr>
          <w:rFonts w:asciiTheme="majorHAnsi" w:hAnsiTheme="majorHAnsi"/>
          <w:sz w:val="24"/>
          <w:szCs w:val="24"/>
        </w:rPr>
        <w:t xml:space="preserve">, </w:t>
      </w:r>
      <w:r w:rsidR="00BD67B5" w:rsidRPr="001927E7">
        <w:rPr>
          <w:rFonts w:asciiTheme="majorHAnsi" w:hAnsiTheme="majorHAnsi"/>
          <w:sz w:val="24"/>
          <w:szCs w:val="24"/>
        </w:rPr>
        <w:t xml:space="preserve">20 will be sampled. </w:t>
      </w:r>
      <w:r w:rsidR="001B1168" w:rsidRPr="001927E7">
        <w:rPr>
          <w:rFonts w:asciiTheme="majorHAnsi" w:hAnsiTheme="majorHAnsi"/>
          <w:sz w:val="24"/>
          <w:szCs w:val="24"/>
        </w:rPr>
        <w:t xml:space="preserve">To reduce travel burden and costs, all interviews will be conducted by telephone. </w:t>
      </w:r>
      <w:r w:rsidR="00B80C59" w:rsidRPr="001927E7">
        <w:rPr>
          <w:rFonts w:asciiTheme="majorHAnsi" w:hAnsiTheme="majorHAnsi"/>
          <w:sz w:val="24"/>
          <w:szCs w:val="24"/>
        </w:rPr>
        <w:t>In-depth interviews will allow ELC to yield richer and insightful data about how these positions have contributed to enhanced epidemiology capacity in state and local health departments, and allow the interviewer the opportunity to clarify questions and explore specific topics of interest in-depth</w:t>
      </w:r>
      <w:r w:rsidR="00B80C59" w:rsidRPr="00E145B2">
        <w:rPr>
          <w:rFonts w:asciiTheme="majorHAnsi" w:hAnsiTheme="majorHAnsi"/>
          <w:sz w:val="24"/>
          <w:szCs w:val="24"/>
        </w:rPr>
        <w:t xml:space="preserve">. </w:t>
      </w:r>
      <w:r w:rsidR="00CF2D67" w:rsidRPr="00E145B2">
        <w:rPr>
          <w:rFonts w:asciiTheme="majorHAnsi" w:hAnsiTheme="majorHAnsi"/>
          <w:sz w:val="24"/>
          <w:szCs w:val="24"/>
        </w:rPr>
        <w:t xml:space="preserve">The ELC Principal Investigators will be notified by e-mail (see </w:t>
      </w:r>
      <w:r w:rsidR="00CF2D67" w:rsidRPr="00E145B2">
        <w:rPr>
          <w:rFonts w:asciiTheme="majorHAnsi" w:hAnsiTheme="majorHAnsi"/>
          <w:b/>
          <w:sz w:val="24"/>
          <w:szCs w:val="24"/>
        </w:rPr>
        <w:t xml:space="preserve">Attachment </w:t>
      </w:r>
      <w:r w:rsidR="0047584E">
        <w:rPr>
          <w:rFonts w:asciiTheme="majorHAnsi" w:hAnsiTheme="majorHAnsi"/>
          <w:b/>
          <w:sz w:val="24"/>
          <w:szCs w:val="24"/>
        </w:rPr>
        <w:t>D</w:t>
      </w:r>
      <w:r w:rsidR="00CF2D67" w:rsidRPr="00E145B2">
        <w:rPr>
          <w:rFonts w:asciiTheme="majorHAnsi" w:hAnsiTheme="majorHAnsi"/>
          <w:sz w:val="24"/>
          <w:szCs w:val="24"/>
        </w:rPr>
        <w:t xml:space="preserve">) that they were selected to participate in the project; the e-mail will provide details on the purpose, timeline, and logistics of the project. If the ELC Principal Investigator agrees to participate, they will be contacted </w:t>
      </w:r>
      <w:r w:rsidR="002C0456" w:rsidRPr="00E145B2">
        <w:rPr>
          <w:rFonts w:asciiTheme="majorHAnsi" w:hAnsiTheme="majorHAnsi"/>
          <w:sz w:val="24"/>
          <w:szCs w:val="24"/>
        </w:rPr>
        <w:t xml:space="preserve">by phone or email </w:t>
      </w:r>
      <w:r w:rsidR="00CF2D67" w:rsidRPr="00E145B2">
        <w:rPr>
          <w:rFonts w:asciiTheme="majorHAnsi" w:hAnsiTheme="majorHAnsi"/>
          <w:sz w:val="24"/>
          <w:szCs w:val="24"/>
        </w:rPr>
        <w:t>to schedule a time and date to conduct the interview.</w:t>
      </w:r>
      <w:r w:rsidR="00E145B2" w:rsidRPr="00E145B2">
        <w:rPr>
          <w:rFonts w:asciiTheme="majorHAnsi" w:hAnsiTheme="majorHAnsi"/>
          <w:sz w:val="24"/>
          <w:szCs w:val="24"/>
        </w:rPr>
        <w:t xml:space="preserve"> </w:t>
      </w:r>
      <w:r w:rsidR="00CF2D67" w:rsidRPr="00E145B2">
        <w:rPr>
          <w:rFonts w:asciiTheme="majorHAnsi" w:hAnsiTheme="majorHAnsi"/>
          <w:sz w:val="24"/>
          <w:szCs w:val="24"/>
        </w:rPr>
        <w:t xml:space="preserve"> </w:t>
      </w:r>
      <w:r w:rsidR="00E145B2" w:rsidRPr="00E145B2">
        <w:rPr>
          <w:rFonts w:asciiTheme="majorHAnsi" w:hAnsiTheme="majorHAnsi"/>
          <w:sz w:val="24"/>
          <w:szCs w:val="24"/>
        </w:rPr>
        <w:t xml:space="preserve">Confirmation emails (see </w:t>
      </w:r>
      <w:r w:rsidR="00E145B2" w:rsidRPr="00E145B2">
        <w:rPr>
          <w:rFonts w:asciiTheme="majorHAnsi" w:hAnsiTheme="majorHAnsi"/>
          <w:b/>
          <w:sz w:val="24"/>
          <w:szCs w:val="24"/>
        </w:rPr>
        <w:t xml:space="preserve">Attachment </w:t>
      </w:r>
      <w:r w:rsidR="0047584E">
        <w:rPr>
          <w:rFonts w:asciiTheme="majorHAnsi" w:hAnsiTheme="majorHAnsi"/>
          <w:b/>
          <w:sz w:val="24"/>
          <w:szCs w:val="24"/>
        </w:rPr>
        <w:t>F</w:t>
      </w:r>
      <w:r w:rsidR="00E145B2" w:rsidRPr="00E145B2">
        <w:rPr>
          <w:rFonts w:asciiTheme="majorHAnsi" w:hAnsiTheme="majorHAnsi"/>
          <w:sz w:val="24"/>
          <w:szCs w:val="24"/>
        </w:rPr>
        <w:t>) of scheduled appointment dates will also be sent to reduce rescheduling conflicts or no-shows</w:t>
      </w:r>
      <w:r w:rsidR="00425D1E">
        <w:rPr>
          <w:rFonts w:asciiTheme="majorHAnsi" w:hAnsiTheme="majorHAnsi"/>
          <w:sz w:val="24"/>
          <w:szCs w:val="24"/>
        </w:rPr>
        <w:t>, and</w:t>
      </w:r>
    </w:p>
    <w:p w:rsidR="00B45E03" w:rsidRPr="001927E7" w:rsidRDefault="00425D1E" w:rsidP="008E613A">
      <w:pPr>
        <w:pStyle w:val="ListParagraph"/>
        <w:spacing w:after="0"/>
        <w:ind w:left="360"/>
        <w:rPr>
          <w:rFonts w:asciiTheme="majorHAnsi" w:hAnsiTheme="majorHAnsi"/>
          <w:sz w:val="24"/>
          <w:szCs w:val="24"/>
        </w:rPr>
      </w:pPr>
      <w:r>
        <w:rPr>
          <w:rFonts w:asciiTheme="majorHAnsi" w:hAnsiTheme="majorHAnsi"/>
          <w:sz w:val="24"/>
          <w:szCs w:val="24"/>
        </w:rPr>
        <w:t>an</w:t>
      </w:r>
      <w:r w:rsidR="00CF2D67" w:rsidRPr="00E145B2">
        <w:rPr>
          <w:rFonts w:asciiTheme="majorHAnsi" w:hAnsiTheme="majorHAnsi"/>
          <w:sz w:val="24"/>
          <w:szCs w:val="24"/>
        </w:rPr>
        <w:t xml:space="preserve"> e-mail reminder will be sent to follow-up with those who did not decline or agree to participate (see </w:t>
      </w:r>
      <w:r w:rsidR="00CF2D67" w:rsidRPr="00E145B2">
        <w:rPr>
          <w:rFonts w:asciiTheme="majorHAnsi" w:hAnsiTheme="majorHAnsi"/>
          <w:b/>
          <w:sz w:val="24"/>
          <w:szCs w:val="24"/>
        </w:rPr>
        <w:t xml:space="preserve">Attachment </w:t>
      </w:r>
      <w:r w:rsidR="0047584E">
        <w:rPr>
          <w:rFonts w:asciiTheme="majorHAnsi" w:hAnsiTheme="majorHAnsi"/>
          <w:b/>
          <w:sz w:val="24"/>
          <w:szCs w:val="24"/>
        </w:rPr>
        <w:t>E</w:t>
      </w:r>
      <w:r w:rsidR="00CF2D67" w:rsidRPr="00E145B2">
        <w:rPr>
          <w:rFonts w:asciiTheme="majorHAnsi" w:hAnsiTheme="majorHAnsi"/>
          <w:sz w:val="24"/>
          <w:szCs w:val="24"/>
        </w:rPr>
        <w:t>). To</w:t>
      </w:r>
      <w:r w:rsidR="005C234C">
        <w:rPr>
          <w:rFonts w:asciiTheme="majorHAnsi" w:hAnsiTheme="majorHAnsi"/>
          <w:sz w:val="24"/>
          <w:szCs w:val="24"/>
        </w:rPr>
        <w:t xml:space="preserve"> keep information secure</w:t>
      </w:r>
      <w:r w:rsidR="00CF2D67" w:rsidRPr="00CF2D67">
        <w:rPr>
          <w:rFonts w:asciiTheme="majorHAnsi" w:hAnsiTheme="majorHAnsi"/>
          <w:sz w:val="24"/>
          <w:szCs w:val="24"/>
        </w:rPr>
        <w:t>, phone interviews will be conducted with the flexible epidemiologist and the ELC Principal Investigator separately. Each interview will last approximately an average of 39 minutes.</w:t>
      </w:r>
    </w:p>
    <w:p w:rsidR="008D17FB" w:rsidRPr="001927E7" w:rsidRDefault="008D17FB" w:rsidP="001927E7">
      <w:pPr>
        <w:spacing w:after="0"/>
        <w:rPr>
          <w:rFonts w:asciiTheme="majorHAnsi" w:hAnsiTheme="majorHAnsi"/>
          <w:sz w:val="24"/>
          <w:szCs w:val="24"/>
        </w:rPr>
      </w:pPr>
    </w:p>
    <w:p w:rsidR="00D94B4F" w:rsidRPr="001927E7" w:rsidRDefault="008A7A54" w:rsidP="008E613A">
      <w:pPr>
        <w:pStyle w:val="ListParagraph"/>
        <w:spacing w:after="0"/>
        <w:ind w:left="360"/>
        <w:rPr>
          <w:rFonts w:asciiTheme="majorHAnsi" w:hAnsiTheme="majorHAnsi"/>
          <w:sz w:val="24"/>
          <w:szCs w:val="24"/>
        </w:rPr>
      </w:pPr>
      <w:r w:rsidRPr="001927E7">
        <w:rPr>
          <w:rFonts w:asciiTheme="majorHAnsi" w:hAnsiTheme="majorHAnsi"/>
          <w:sz w:val="24"/>
          <w:szCs w:val="24"/>
        </w:rPr>
        <w:lastRenderedPageBreak/>
        <w:t>The interview</w:t>
      </w:r>
      <w:r w:rsidR="00B45E03" w:rsidRPr="001927E7">
        <w:rPr>
          <w:rFonts w:asciiTheme="majorHAnsi" w:hAnsiTheme="majorHAnsi"/>
          <w:sz w:val="24"/>
          <w:szCs w:val="24"/>
        </w:rPr>
        <w:t>s</w:t>
      </w:r>
      <w:r w:rsidRPr="001927E7">
        <w:rPr>
          <w:rFonts w:asciiTheme="majorHAnsi" w:hAnsiTheme="majorHAnsi"/>
          <w:sz w:val="24"/>
          <w:szCs w:val="24"/>
        </w:rPr>
        <w:t xml:space="preserve"> will be conducted by two members of the ELC </w:t>
      </w:r>
      <w:r w:rsidR="00A92500" w:rsidRPr="001927E7">
        <w:rPr>
          <w:rFonts w:asciiTheme="majorHAnsi" w:hAnsiTheme="majorHAnsi"/>
          <w:sz w:val="24"/>
          <w:szCs w:val="24"/>
        </w:rPr>
        <w:t xml:space="preserve">assessment </w:t>
      </w:r>
      <w:r w:rsidRPr="001927E7">
        <w:rPr>
          <w:rFonts w:asciiTheme="majorHAnsi" w:hAnsiTheme="majorHAnsi"/>
          <w:sz w:val="24"/>
          <w:szCs w:val="24"/>
        </w:rPr>
        <w:t xml:space="preserve">team who </w:t>
      </w:r>
      <w:r w:rsidR="00D94B4F" w:rsidRPr="001927E7">
        <w:rPr>
          <w:rFonts w:asciiTheme="majorHAnsi" w:hAnsiTheme="majorHAnsi"/>
          <w:sz w:val="24"/>
          <w:szCs w:val="24"/>
        </w:rPr>
        <w:t>will be</w:t>
      </w:r>
      <w:r w:rsidR="0037109A" w:rsidRPr="001927E7">
        <w:rPr>
          <w:rFonts w:asciiTheme="majorHAnsi" w:hAnsiTheme="majorHAnsi"/>
          <w:sz w:val="24"/>
          <w:szCs w:val="24"/>
        </w:rPr>
        <w:t xml:space="preserve"> trained to follow a standardized interview protocol and interview guide.</w:t>
      </w:r>
      <w:r w:rsidR="001B1168" w:rsidRPr="001927E7">
        <w:rPr>
          <w:rFonts w:asciiTheme="majorHAnsi" w:hAnsiTheme="majorHAnsi"/>
          <w:sz w:val="24"/>
          <w:szCs w:val="24"/>
        </w:rPr>
        <w:t xml:space="preserve"> The interviews will be digitally recorded so that responses can be accurately transcribed. Once </w:t>
      </w:r>
      <w:r w:rsidR="00B45E03" w:rsidRPr="001927E7">
        <w:rPr>
          <w:rFonts w:asciiTheme="majorHAnsi" w:hAnsiTheme="majorHAnsi"/>
          <w:sz w:val="24"/>
          <w:szCs w:val="24"/>
        </w:rPr>
        <w:t xml:space="preserve">interviews are transcribed, the digital recordings will be destroyed to protect individual </w:t>
      </w:r>
      <w:r w:rsidR="00653083">
        <w:rPr>
          <w:rFonts w:asciiTheme="majorHAnsi" w:hAnsiTheme="majorHAnsi"/>
          <w:sz w:val="24"/>
          <w:szCs w:val="24"/>
        </w:rPr>
        <w:t>anonymity</w:t>
      </w:r>
      <w:r w:rsidR="00B45E03" w:rsidRPr="001927E7">
        <w:rPr>
          <w:rFonts w:asciiTheme="majorHAnsi" w:hAnsiTheme="majorHAnsi"/>
          <w:sz w:val="24"/>
          <w:szCs w:val="24"/>
        </w:rPr>
        <w:t xml:space="preserve">. Digital recordings and transcriptions will not be linked to any individual respondents. Data will be stored on a secure shared drive at CDC and access will be limited to ELC assessment staff only. </w:t>
      </w:r>
    </w:p>
    <w:p w:rsidR="00D94B4F" w:rsidRPr="001927E7" w:rsidRDefault="00D94B4F" w:rsidP="008E613A">
      <w:pPr>
        <w:pStyle w:val="ListParagraph"/>
        <w:spacing w:after="0"/>
        <w:ind w:left="360"/>
        <w:rPr>
          <w:rFonts w:asciiTheme="majorHAnsi" w:hAnsiTheme="majorHAnsi"/>
          <w:sz w:val="24"/>
          <w:szCs w:val="24"/>
        </w:rPr>
      </w:pPr>
    </w:p>
    <w:p w:rsidR="0037109A" w:rsidRPr="001927E7" w:rsidRDefault="00DF6172" w:rsidP="008E613A">
      <w:pPr>
        <w:pStyle w:val="ListParagraph"/>
        <w:spacing w:after="0"/>
        <w:ind w:left="360"/>
        <w:rPr>
          <w:rFonts w:asciiTheme="majorHAnsi" w:hAnsiTheme="majorHAnsi"/>
          <w:sz w:val="24"/>
          <w:szCs w:val="24"/>
        </w:rPr>
      </w:pPr>
      <w:r w:rsidRPr="001927E7">
        <w:rPr>
          <w:rFonts w:asciiTheme="majorHAnsi" w:hAnsiTheme="majorHAnsi"/>
          <w:sz w:val="24"/>
          <w:szCs w:val="24"/>
        </w:rPr>
        <w:t>I</w:t>
      </w:r>
      <w:r w:rsidR="00D94B4F" w:rsidRPr="001927E7">
        <w:rPr>
          <w:rFonts w:asciiTheme="majorHAnsi" w:hAnsiTheme="majorHAnsi"/>
          <w:sz w:val="24"/>
          <w:szCs w:val="24"/>
        </w:rPr>
        <w:t xml:space="preserve">nterviews </w:t>
      </w:r>
      <w:r w:rsidR="00B45E03" w:rsidRPr="001927E7">
        <w:rPr>
          <w:rFonts w:asciiTheme="majorHAnsi" w:hAnsiTheme="majorHAnsi"/>
          <w:sz w:val="24"/>
          <w:szCs w:val="24"/>
        </w:rPr>
        <w:t>will be</w:t>
      </w:r>
      <w:r w:rsidR="00D94B4F" w:rsidRPr="001927E7">
        <w:rPr>
          <w:rFonts w:asciiTheme="majorHAnsi" w:hAnsiTheme="majorHAnsi"/>
          <w:sz w:val="24"/>
          <w:szCs w:val="24"/>
        </w:rPr>
        <w:t xml:space="preserve"> prepared for analysis in </w:t>
      </w:r>
      <w:r w:rsidR="00071BFE" w:rsidRPr="001927E7">
        <w:rPr>
          <w:rFonts w:asciiTheme="majorHAnsi" w:hAnsiTheme="majorHAnsi"/>
          <w:sz w:val="24"/>
          <w:szCs w:val="24"/>
        </w:rPr>
        <w:t xml:space="preserve">a qualitative software program like </w:t>
      </w:r>
      <w:r w:rsidR="00D94B4F" w:rsidRPr="001927E7">
        <w:rPr>
          <w:rFonts w:asciiTheme="majorHAnsi" w:hAnsiTheme="majorHAnsi"/>
          <w:sz w:val="24"/>
          <w:szCs w:val="24"/>
        </w:rPr>
        <w:t>MAXQDA</w:t>
      </w:r>
      <w:r w:rsidRPr="001927E7">
        <w:rPr>
          <w:rFonts w:asciiTheme="majorHAnsi" w:hAnsiTheme="majorHAnsi"/>
          <w:sz w:val="24"/>
          <w:szCs w:val="24"/>
        </w:rPr>
        <w:t xml:space="preserve"> which will help the organization and analysis of data</w:t>
      </w:r>
      <w:r w:rsidR="00D94B4F" w:rsidRPr="001927E7">
        <w:rPr>
          <w:rFonts w:asciiTheme="majorHAnsi" w:hAnsiTheme="majorHAnsi"/>
          <w:sz w:val="24"/>
          <w:szCs w:val="24"/>
        </w:rPr>
        <w:t xml:space="preserve">. A qualitative codebook will be developed and used to systematically code the data and analyze it for themes. Data will be presented as categories or themes. </w:t>
      </w:r>
    </w:p>
    <w:p w:rsidR="008A7A54" w:rsidRPr="001927E7" w:rsidRDefault="008A7A54" w:rsidP="008E613A">
      <w:pPr>
        <w:pStyle w:val="ListParagraph"/>
        <w:spacing w:after="0"/>
        <w:ind w:left="360"/>
        <w:rPr>
          <w:rFonts w:asciiTheme="majorHAnsi" w:hAnsiTheme="majorHAnsi"/>
          <w:sz w:val="24"/>
          <w:szCs w:val="24"/>
        </w:rPr>
      </w:pPr>
    </w:p>
    <w:p w:rsidR="009759F3" w:rsidRPr="001927E7" w:rsidRDefault="00287E2F" w:rsidP="008E613A">
      <w:pPr>
        <w:pStyle w:val="ListParagraph"/>
        <w:numPr>
          <w:ilvl w:val="0"/>
          <w:numId w:val="3"/>
        </w:numPr>
        <w:spacing w:after="0"/>
        <w:ind w:left="360"/>
        <w:rPr>
          <w:rFonts w:asciiTheme="majorHAnsi" w:hAnsiTheme="majorHAnsi"/>
          <w:b/>
          <w:sz w:val="24"/>
          <w:szCs w:val="24"/>
        </w:rPr>
      </w:pPr>
      <w:r w:rsidRPr="001927E7">
        <w:rPr>
          <w:rFonts w:asciiTheme="majorHAnsi" w:hAnsiTheme="majorHAnsi"/>
          <w:b/>
          <w:sz w:val="24"/>
          <w:szCs w:val="24"/>
        </w:rPr>
        <w:t>Methods to Maximize Response Rates</w:t>
      </w:r>
      <w:r w:rsidR="00F725B5" w:rsidRPr="001927E7">
        <w:rPr>
          <w:rFonts w:asciiTheme="majorHAnsi" w:hAnsiTheme="majorHAnsi"/>
          <w:b/>
          <w:sz w:val="24"/>
          <w:szCs w:val="24"/>
        </w:rPr>
        <w:t xml:space="preserve"> </w:t>
      </w:r>
      <w:r w:rsidRPr="001927E7">
        <w:rPr>
          <w:rFonts w:asciiTheme="majorHAnsi" w:hAnsiTheme="majorHAnsi"/>
          <w:b/>
          <w:sz w:val="24"/>
          <w:szCs w:val="24"/>
        </w:rPr>
        <w:t xml:space="preserve"> </w:t>
      </w:r>
      <w:r w:rsidR="009759F3" w:rsidRPr="001927E7">
        <w:rPr>
          <w:rFonts w:asciiTheme="majorHAnsi" w:hAnsiTheme="majorHAnsi"/>
          <w:b/>
          <w:bCs/>
          <w:sz w:val="24"/>
          <w:szCs w:val="24"/>
        </w:rPr>
        <w:t>Deal with Nonresponse</w:t>
      </w:r>
    </w:p>
    <w:p w:rsidR="00F52BCC" w:rsidRDefault="00DF6172" w:rsidP="008E613A">
      <w:pPr>
        <w:spacing w:after="0"/>
        <w:ind w:left="360"/>
        <w:rPr>
          <w:rFonts w:asciiTheme="majorHAnsi" w:hAnsiTheme="majorHAnsi"/>
          <w:sz w:val="24"/>
          <w:szCs w:val="24"/>
        </w:rPr>
      </w:pPr>
      <w:r w:rsidRPr="001927E7">
        <w:rPr>
          <w:rFonts w:asciiTheme="majorHAnsi" w:hAnsiTheme="majorHAnsi"/>
          <w:sz w:val="24"/>
          <w:szCs w:val="24"/>
        </w:rPr>
        <w:t>Advance notification of the project will be discussed over the telephone during a regular check-in call, and a</w:t>
      </w:r>
      <w:r w:rsidR="002C0456">
        <w:rPr>
          <w:rFonts w:asciiTheme="majorHAnsi" w:hAnsiTheme="majorHAnsi"/>
          <w:sz w:val="24"/>
          <w:szCs w:val="24"/>
        </w:rPr>
        <w:t xml:space="preserve">n </w:t>
      </w:r>
      <w:r w:rsidRPr="001927E7">
        <w:rPr>
          <w:rFonts w:asciiTheme="majorHAnsi" w:hAnsiTheme="majorHAnsi"/>
          <w:sz w:val="24"/>
          <w:szCs w:val="24"/>
        </w:rPr>
        <w:t>email notification with details of the project will be sent to all selected participants</w:t>
      </w:r>
      <w:r w:rsidRPr="00E145B2">
        <w:rPr>
          <w:rFonts w:asciiTheme="majorHAnsi" w:hAnsiTheme="majorHAnsi"/>
          <w:sz w:val="24"/>
          <w:szCs w:val="24"/>
        </w:rPr>
        <w:t>.</w:t>
      </w:r>
      <w:r w:rsidR="00E145B2" w:rsidRPr="00E145B2">
        <w:rPr>
          <w:rFonts w:asciiTheme="majorHAnsi" w:hAnsiTheme="majorHAnsi"/>
          <w:sz w:val="24"/>
          <w:szCs w:val="24"/>
        </w:rPr>
        <w:t xml:space="preserve">  Confirmation emails (see </w:t>
      </w:r>
      <w:r w:rsidR="00E145B2" w:rsidRPr="00E145B2">
        <w:rPr>
          <w:rFonts w:asciiTheme="majorHAnsi" w:hAnsiTheme="majorHAnsi"/>
          <w:b/>
          <w:sz w:val="24"/>
          <w:szCs w:val="24"/>
        </w:rPr>
        <w:t xml:space="preserve">Attachment </w:t>
      </w:r>
      <w:r w:rsidR="0047584E">
        <w:rPr>
          <w:rFonts w:asciiTheme="majorHAnsi" w:hAnsiTheme="majorHAnsi"/>
          <w:b/>
          <w:sz w:val="24"/>
          <w:szCs w:val="24"/>
        </w:rPr>
        <w:t>F</w:t>
      </w:r>
      <w:r w:rsidR="00E145B2" w:rsidRPr="00E145B2">
        <w:rPr>
          <w:rFonts w:asciiTheme="majorHAnsi" w:hAnsiTheme="majorHAnsi"/>
          <w:sz w:val="24"/>
          <w:szCs w:val="24"/>
        </w:rPr>
        <w:t>) of scheduled appointment dates will be sent to reduce reschedul</w:t>
      </w:r>
      <w:r w:rsidR="00371099">
        <w:rPr>
          <w:rFonts w:asciiTheme="majorHAnsi" w:hAnsiTheme="majorHAnsi"/>
          <w:sz w:val="24"/>
          <w:szCs w:val="24"/>
        </w:rPr>
        <w:t xml:space="preserve">ing conflicts or no-shows, and </w:t>
      </w:r>
      <w:bookmarkStart w:id="0" w:name="_GoBack"/>
      <w:bookmarkEnd w:id="0"/>
      <w:r w:rsidR="00E145B2" w:rsidRPr="00E145B2">
        <w:rPr>
          <w:rFonts w:asciiTheme="majorHAnsi" w:hAnsiTheme="majorHAnsi"/>
          <w:sz w:val="24"/>
          <w:szCs w:val="24"/>
        </w:rPr>
        <w:t>a</w:t>
      </w:r>
      <w:r w:rsidR="002C0456" w:rsidRPr="00E145B2">
        <w:rPr>
          <w:rFonts w:asciiTheme="majorHAnsi" w:hAnsiTheme="majorHAnsi"/>
          <w:sz w:val="24"/>
          <w:szCs w:val="24"/>
        </w:rPr>
        <w:t xml:space="preserve">n </w:t>
      </w:r>
      <w:r w:rsidRPr="00E145B2">
        <w:rPr>
          <w:rFonts w:asciiTheme="majorHAnsi" w:hAnsiTheme="majorHAnsi"/>
          <w:sz w:val="24"/>
          <w:szCs w:val="24"/>
        </w:rPr>
        <w:t xml:space="preserve">e-mail reminder will be sent to follow-up with those who did not decline or agree to participate. </w:t>
      </w:r>
    </w:p>
    <w:p w:rsidR="00E145B2" w:rsidRPr="001927E7" w:rsidRDefault="00E145B2" w:rsidP="008E613A">
      <w:pPr>
        <w:spacing w:after="0"/>
        <w:ind w:left="360"/>
        <w:rPr>
          <w:rFonts w:asciiTheme="majorHAnsi" w:hAnsiTheme="majorHAnsi"/>
          <w:sz w:val="24"/>
          <w:szCs w:val="24"/>
        </w:rPr>
      </w:pPr>
    </w:p>
    <w:p w:rsidR="00F52BCC" w:rsidRPr="001927E7" w:rsidRDefault="00287E2F" w:rsidP="008E613A">
      <w:pPr>
        <w:pStyle w:val="ListParagraph"/>
        <w:numPr>
          <w:ilvl w:val="0"/>
          <w:numId w:val="3"/>
        </w:numPr>
        <w:spacing w:after="0"/>
        <w:ind w:left="360"/>
        <w:rPr>
          <w:rFonts w:asciiTheme="majorHAnsi" w:hAnsiTheme="majorHAnsi"/>
          <w:b/>
          <w:sz w:val="24"/>
          <w:szCs w:val="24"/>
        </w:rPr>
      </w:pPr>
      <w:r w:rsidRPr="001927E7">
        <w:rPr>
          <w:rFonts w:asciiTheme="majorHAnsi" w:hAnsiTheme="majorHAnsi"/>
          <w:b/>
          <w:sz w:val="24"/>
          <w:szCs w:val="24"/>
        </w:rPr>
        <w:t xml:space="preserve">Test of Procedures </w:t>
      </w:r>
      <w:r w:rsidR="009759F3" w:rsidRPr="001927E7">
        <w:rPr>
          <w:rFonts w:asciiTheme="majorHAnsi" w:hAnsiTheme="majorHAnsi"/>
          <w:b/>
          <w:bCs/>
          <w:sz w:val="24"/>
          <w:szCs w:val="24"/>
        </w:rPr>
        <w:t>or Methods to be Undertaken</w:t>
      </w:r>
    </w:p>
    <w:p w:rsidR="008B0819" w:rsidRPr="001927E7" w:rsidRDefault="008B0819" w:rsidP="008E613A">
      <w:pPr>
        <w:pStyle w:val="ListParagraph"/>
        <w:spacing w:after="0"/>
        <w:ind w:left="360"/>
        <w:rPr>
          <w:rFonts w:asciiTheme="majorHAnsi" w:hAnsiTheme="majorHAnsi"/>
          <w:sz w:val="24"/>
          <w:szCs w:val="24"/>
        </w:rPr>
      </w:pPr>
      <w:r w:rsidRPr="001927E7">
        <w:rPr>
          <w:rFonts w:asciiTheme="majorHAnsi" w:hAnsiTheme="majorHAnsi"/>
          <w:sz w:val="24"/>
          <w:szCs w:val="24"/>
        </w:rPr>
        <w:t xml:space="preserve">To ensure that the line of inquiry is consistent with the </w:t>
      </w:r>
      <w:r w:rsidR="00A92500" w:rsidRPr="001927E7">
        <w:rPr>
          <w:rFonts w:asciiTheme="majorHAnsi" w:hAnsiTheme="majorHAnsi"/>
          <w:sz w:val="24"/>
          <w:szCs w:val="24"/>
        </w:rPr>
        <w:t xml:space="preserve">assessment </w:t>
      </w:r>
      <w:r w:rsidRPr="001927E7">
        <w:rPr>
          <w:rFonts w:asciiTheme="majorHAnsi" w:hAnsiTheme="majorHAnsi"/>
          <w:sz w:val="24"/>
          <w:szCs w:val="24"/>
        </w:rPr>
        <w:t>questions, and establish the estimated time required to complete the interviews, the interview protocol and interview guide(s) were pilot tested by two public health professionals. Two state health departments (i.e., two Principal Investigators and two Flexible Epidemiologists) participated in the process. Following the pilot tests, the instrument’s questions were revi</w:t>
      </w:r>
      <w:r w:rsidR="00A20EA1" w:rsidRPr="001927E7">
        <w:rPr>
          <w:rFonts w:asciiTheme="majorHAnsi" w:hAnsiTheme="majorHAnsi"/>
          <w:sz w:val="24"/>
          <w:szCs w:val="24"/>
        </w:rPr>
        <w:t xml:space="preserve">sed and reorganized for clarity and brevity. The data collected during the pilot tests was also reviewed to ensure that instrument elicited information consistent with the </w:t>
      </w:r>
      <w:r w:rsidR="00A92500" w:rsidRPr="001927E7">
        <w:rPr>
          <w:rFonts w:asciiTheme="majorHAnsi" w:hAnsiTheme="majorHAnsi"/>
          <w:sz w:val="24"/>
          <w:szCs w:val="24"/>
        </w:rPr>
        <w:t xml:space="preserve">assessment </w:t>
      </w:r>
      <w:r w:rsidR="00A20EA1" w:rsidRPr="001927E7">
        <w:rPr>
          <w:rFonts w:asciiTheme="majorHAnsi" w:hAnsiTheme="majorHAnsi"/>
          <w:sz w:val="24"/>
          <w:szCs w:val="24"/>
        </w:rPr>
        <w:t xml:space="preserve">questions. </w:t>
      </w:r>
      <w:r w:rsidRPr="001927E7">
        <w:rPr>
          <w:rFonts w:asciiTheme="majorHAnsi" w:hAnsiTheme="majorHAnsi"/>
          <w:sz w:val="24"/>
          <w:szCs w:val="24"/>
        </w:rPr>
        <w:t xml:space="preserve"> </w:t>
      </w:r>
      <w:r w:rsidR="00A20EA1" w:rsidRPr="001927E7">
        <w:rPr>
          <w:rFonts w:asciiTheme="majorHAnsi" w:hAnsiTheme="majorHAnsi"/>
          <w:sz w:val="24"/>
          <w:szCs w:val="24"/>
        </w:rPr>
        <w:t xml:space="preserve">During the pilot tests, the average time to complete the </w:t>
      </w:r>
      <w:r w:rsidR="00D80A4C" w:rsidRPr="001927E7">
        <w:rPr>
          <w:rFonts w:asciiTheme="majorHAnsi" w:hAnsiTheme="majorHAnsi"/>
          <w:sz w:val="24"/>
          <w:szCs w:val="24"/>
        </w:rPr>
        <w:t>interview was 39 minutes</w:t>
      </w:r>
      <w:r w:rsidR="00A20EA1" w:rsidRPr="001927E7">
        <w:rPr>
          <w:rFonts w:asciiTheme="majorHAnsi" w:hAnsiTheme="majorHAnsi"/>
          <w:sz w:val="24"/>
          <w:szCs w:val="24"/>
        </w:rPr>
        <w:t>.</w:t>
      </w:r>
      <w:r w:rsidR="000D28AB" w:rsidRPr="001927E7">
        <w:rPr>
          <w:rFonts w:asciiTheme="majorHAnsi" w:hAnsiTheme="majorHAnsi"/>
          <w:sz w:val="24"/>
          <w:szCs w:val="24"/>
        </w:rPr>
        <w:t xml:space="preserve"> </w:t>
      </w:r>
      <w:r w:rsidR="00443F85" w:rsidRPr="001927E7">
        <w:rPr>
          <w:rFonts w:asciiTheme="majorHAnsi" w:hAnsiTheme="majorHAnsi"/>
          <w:sz w:val="24"/>
          <w:szCs w:val="24"/>
        </w:rPr>
        <w:t xml:space="preserve">On average, the </w:t>
      </w:r>
      <w:r w:rsidR="000D28AB" w:rsidRPr="001927E7">
        <w:rPr>
          <w:rFonts w:asciiTheme="majorHAnsi" w:hAnsiTheme="majorHAnsi"/>
          <w:sz w:val="24"/>
          <w:szCs w:val="24"/>
        </w:rPr>
        <w:t xml:space="preserve">introduction took </w:t>
      </w:r>
      <w:r w:rsidR="00D80A4C" w:rsidRPr="001927E7">
        <w:rPr>
          <w:rFonts w:asciiTheme="majorHAnsi" w:hAnsiTheme="majorHAnsi"/>
          <w:sz w:val="24"/>
          <w:szCs w:val="24"/>
        </w:rPr>
        <w:t xml:space="preserve">4 </w:t>
      </w:r>
      <w:r w:rsidR="000D28AB" w:rsidRPr="001927E7">
        <w:rPr>
          <w:rFonts w:asciiTheme="majorHAnsi" w:hAnsiTheme="majorHAnsi"/>
          <w:sz w:val="24"/>
          <w:szCs w:val="24"/>
        </w:rPr>
        <w:t xml:space="preserve">minutes to complete, questions about the role of the flexible epidemiologist took </w:t>
      </w:r>
      <w:r w:rsidR="00633684" w:rsidRPr="001927E7">
        <w:rPr>
          <w:rFonts w:asciiTheme="majorHAnsi" w:hAnsiTheme="majorHAnsi"/>
          <w:sz w:val="24"/>
          <w:szCs w:val="24"/>
        </w:rPr>
        <w:t>7</w:t>
      </w:r>
      <w:r w:rsidR="000D28AB" w:rsidRPr="001927E7">
        <w:rPr>
          <w:rFonts w:asciiTheme="majorHAnsi" w:hAnsiTheme="majorHAnsi"/>
          <w:sz w:val="24"/>
          <w:szCs w:val="24"/>
        </w:rPr>
        <w:t xml:space="preserve"> minutes to complete, questions about activities of the flexible epidemiologist took </w:t>
      </w:r>
      <w:r w:rsidR="00D80A4C" w:rsidRPr="001927E7">
        <w:rPr>
          <w:rFonts w:asciiTheme="majorHAnsi" w:hAnsiTheme="majorHAnsi"/>
          <w:sz w:val="24"/>
          <w:szCs w:val="24"/>
        </w:rPr>
        <w:t>8</w:t>
      </w:r>
      <w:r w:rsidR="000D28AB" w:rsidRPr="001927E7">
        <w:rPr>
          <w:rFonts w:asciiTheme="majorHAnsi" w:hAnsiTheme="majorHAnsi"/>
          <w:sz w:val="24"/>
          <w:szCs w:val="24"/>
        </w:rPr>
        <w:t xml:space="preserve"> minutes to complete, questions on the impact of flexible epidemiologists took </w:t>
      </w:r>
      <w:r w:rsidR="00D80A4C" w:rsidRPr="001927E7">
        <w:rPr>
          <w:rFonts w:asciiTheme="majorHAnsi" w:hAnsiTheme="majorHAnsi"/>
          <w:sz w:val="24"/>
          <w:szCs w:val="24"/>
        </w:rPr>
        <w:t>9</w:t>
      </w:r>
      <w:r w:rsidR="000D28AB" w:rsidRPr="001927E7">
        <w:rPr>
          <w:rFonts w:asciiTheme="majorHAnsi" w:hAnsiTheme="majorHAnsi"/>
          <w:sz w:val="24"/>
          <w:szCs w:val="24"/>
        </w:rPr>
        <w:t xml:space="preserve"> minutes to complete, and opportunities for improvements took </w:t>
      </w:r>
      <w:r w:rsidR="00D80A4C" w:rsidRPr="001927E7">
        <w:rPr>
          <w:rFonts w:asciiTheme="majorHAnsi" w:hAnsiTheme="majorHAnsi"/>
          <w:sz w:val="24"/>
          <w:szCs w:val="24"/>
        </w:rPr>
        <w:t>11</w:t>
      </w:r>
      <w:r w:rsidR="000D28AB" w:rsidRPr="001927E7">
        <w:rPr>
          <w:rFonts w:asciiTheme="majorHAnsi" w:hAnsiTheme="majorHAnsi"/>
          <w:sz w:val="24"/>
          <w:szCs w:val="24"/>
        </w:rPr>
        <w:t xml:space="preserve"> minutes to complete. </w:t>
      </w:r>
      <w:r w:rsidR="00671F7B" w:rsidRPr="001927E7">
        <w:rPr>
          <w:rFonts w:asciiTheme="majorHAnsi" w:hAnsiTheme="majorHAnsi"/>
          <w:sz w:val="24"/>
          <w:szCs w:val="24"/>
        </w:rPr>
        <w:t>Based on these results, the estimated time range for actual respondents to complete the survey is 2</w:t>
      </w:r>
      <w:r w:rsidR="00D80A4C" w:rsidRPr="001927E7">
        <w:rPr>
          <w:rFonts w:asciiTheme="majorHAnsi" w:hAnsiTheme="majorHAnsi"/>
          <w:sz w:val="24"/>
          <w:szCs w:val="24"/>
        </w:rPr>
        <w:t>3</w:t>
      </w:r>
      <w:r w:rsidR="00671F7B" w:rsidRPr="001927E7">
        <w:rPr>
          <w:rFonts w:asciiTheme="majorHAnsi" w:hAnsiTheme="majorHAnsi"/>
          <w:sz w:val="24"/>
          <w:szCs w:val="24"/>
        </w:rPr>
        <w:t>-5</w:t>
      </w:r>
      <w:r w:rsidR="00D80A4C" w:rsidRPr="001927E7">
        <w:rPr>
          <w:rFonts w:asciiTheme="majorHAnsi" w:hAnsiTheme="majorHAnsi"/>
          <w:sz w:val="24"/>
          <w:szCs w:val="24"/>
        </w:rPr>
        <w:t>7</w:t>
      </w:r>
      <w:r w:rsidR="00671F7B" w:rsidRPr="001927E7">
        <w:rPr>
          <w:rFonts w:asciiTheme="majorHAnsi" w:hAnsiTheme="majorHAnsi"/>
          <w:sz w:val="24"/>
          <w:szCs w:val="24"/>
        </w:rPr>
        <w:t xml:space="preserve"> minutes. For the purposes of estimating burden hours, the </w:t>
      </w:r>
      <w:r w:rsidR="00E415F1" w:rsidRPr="001927E7">
        <w:rPr>
          <w:rFonts w:asciiTheme="majorHAnsi" w:hAnsiTheme="majorHAnsi"/>
          <w:sz w:val="24"/>
          <w:szCs w:val="24"/>
        </w:rPr>
        <w:t>average time</w:t>
      </w:r>
      <w:r w:rsidR="00671F7B" w:rsidRPr="001927E7">
        <w:rPr>
          <w:rFonts w:asciiTheme="majorHAnsi" w:hAnsiTheme="majorHAnsi"/>
          <w:sz w:val="24"/>
          <w:szCs w:val="24"/>
        </w:rPr>
        <w:t xml:space="preserve"> (i.e., </w:t>
      </w:r>
      <w:r w:rsidR="00E415F1" w:rsidRPr="001927E7">
        <w:rPr>
          <w:rFonts w:asciiTheme="majorHAnsi" w:hAnsiTheme="majorHAnsi"/>
          <w:sz w:val="24"/>
          <w:szCs w:val="24"/>
        </w:rPr>
        <w:t xml:space="preserve">39 </w:t>
      </w:r>
      <w:r w:rsidR="00671F7B" w:rsidRPr="001927E7">
        <w:rPr>
          <w:rFonts w:asciiTheme="majorHAnsi" w:hAnsiTheme="majorHAnsi"/>
          <w:sz w:val="24"/>
          <w:szCs w:val="24"/>
        </w:rPr>
        <w:t>minutes) is used.</w:t>
      </w:r>
    </w:p>
    <w:p w:rsidR="00F52BCC" w:rsidRDefault="00F52BCC" w:rsidP="008E613A">
      <w:pPr>
        <w:pStyle w:val="ListParagraph"/>
        <w:spacing w:after="0"/>
        <w:ind w:left="360"/>
        <w:rPr>
          <w:rFonts w:asciiTheme="majorHAnsi" w:hAnsiTheme="majorHAnsi"/>
          <w:sz w:val="24"/>
          <w:szCs w:val="24"/>
        </w:rPr>
      </w:pPr>
    </w:p>
    <w:p w:rsidR="001927E7" w:rsidRDefault="001927E7" w:rsidP="008E613A">
      <w:pPr>
        <w:pStyle w:val="ListParagraph"/>
        <w:spacing w:after="0"/>
        <w:ind w:left="360"/>
        <w:rPr>
          <w:rFonts w:asciiTheme="majorHAnsi" w:hAnsiTheme="majorHAnsi"/>
          <w:sz w:val="24"/>
          <w:szCs w:val="24"/>
        </w:rPr>
      </w:pPr>
    </w:p>
    <w:p w:rsidR="001927E7" w:rsidRDefault="001927E7" w:rsidP="008E613A">
      <w:pPr>
        <w:pStyle w:val="ListParagraph"/>
        <w:spacing w:after="0"/>
        <w:ind w:left="360"/>
        <w:rPr>
          <w:rFonts w:asciiTheme="majorHAnsi" w:hAnsiTheme="majorHAnsi"/>
          <w:sz w:val="24"/>
          <w:szCs w:val="24"/>
        </w:rPr>
      </w:pPr>
    </w:p>
    <w:p w:rsidR="001927E7" w:rsidRPr="001927E7" w:rsidRDefault="001927E7" w:rsidP="008E613A">
      <w:pPr>
        <w:pStyle w:val="ListParagraph"/>
        <w:spacing w:after="0"/>
        <w:ind w:left="360"/>
        <w:rPr>
          <w:rFonts w:asciiTheme="majorHAnsi" w:hAnsiTheme="majorHAnsi"/>
          <w:sz w:val="24"/>
          <w:szCs w:val="24"/>
        </w:rPr>
      </w:pPr>
    </w:p>
    <w:p w:rsidR="009759F3" w:rsidRPr="001927E7" w:rsidRDefault="009759F3" w:rsidP="008E613A">
      <w:pPr>
        <w:pStyle w:val="ListParagraph"/>
        <w:numPr>
          <w:ilvl w:val="0"/>
          <w:numId w:val="3"/>
        </w:numPr>
        <w:spacing w:after="0"/>
        <w:ind w:left="360"/>
        <w:rPr>
          <w:rFonts w:asciiTheme="majorHAnsi" w:hAnsiTheme="majorHAnsi"/>
          <w:b/>
          <w:sz w:val="24"/>
          <w:szCs w:val="24"/>
        </w:rPr>
      </w:pPr>
      <w:r w:rsidRPr="001927E7">
        <w:rPr>
          <w:rFonts w:asciiTheme="majorHAnsi" w:hAnsiTheme="majorHAnsi"/>
          <w:b/>
          <w:bCs/>
          <w:sz w:val="24"/>
          <w:szCs w:val="24"/>
        </w:rPr>
        <w:t>Individuals Consulted on Statistical Aspects and Individuals Collecting and/or Analyzing Data</w:t>
      </w:r>
    </w:p>
    <w:p w:rsidR="00287E2F" w:rsidRPr="001927E7" w:rsidRDefault="00287E2F" w:rsidP="008E613A">
      <w:pPr>
        <w:pStyle w:val="ListParagraph"/>
        <w:spacing w:after="0"/>
        <w:ind w:left="360"/>
        <w:rPr>
          <w:rFonts w:asciiTheme="majorHAnsi" w:hAnsiTheme="majorHAnsi"/>
          <w:b/>
          <w:sz w:val="24"/>
          <w:szCs w:val="24"/>
        </w:rPr>
      </w:pPr>
    </w:p>
    <w:p w:rsidR="00CD7C21"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Christina Chung, </w:t>
      </w:r>
      <w:r w:rsidR="00CD7C21" w:rsidRPr="001927E7">
        <w:rPr>
          <w:rFonts w:asciiTheme="majorHAnsi" w:hAnsiTheme="majorHAnsi"/>
          <w:sz w:val="24"/>
          <w:szCs w:val="24"/>
        </w:rPr>
        <w:t>MPH</w:t>
      </w:r>
    </w:p>
    <w:p w:rsidR="00A92500" w:rsidRPr="001927E7" w:rsidRDefault="00A92500"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Associate Service Fellow</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Scientific and Program Services Branch </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Division of Preparedness and Emerging Infections</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National Center for Emerging &amp; Zoonotic Infectious Diseases</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Centers for Disease Control and Prevention</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1600 Clifton Rd., Atlanta, GA 30333</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Phone: 404-639-3988</w:t>
      </w:r>
    </w:p>
    <w:p w:rsidR="00FC1468" w:rsidRPr="001927E7" w:rsidRDefault="00FC1468"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Fax: 404-639-3106</w:t>
      </w:r>
    </w:p>
    <w:p w:rsidR="00C62F8D" w:rsidRPr="001927E7" w:rsidRDefault="00371099" w:rsidP="008E613A">
      <w:pPr>
        <w:tabs>
          <w:tab w:val="left" w:pos="5040"/>
        </w:tabs>
        <w:spacing w:after="0"/>
        <w:ind w:left="360"/>
        <w:rPr>
          <w:rFonts w:asciiTheme="majorHAnsi" w:hAnsiTheme="majorHAnsi"/>
          <w:sz w:val="24"/>
          <w:szCs w:val="24"/>
        </w:rPr>
      </w:pPr>
      <w:hyperlink r:id="rId10" w:history="1">
        <w:r w:rsidR="00C62F8D" w:rsidRPr="001927E7">
          <w:rPr>
            <w:rStyle w:val="Hyperlink"/>
            <w:rFonts w:asciiTheme="majorHAnsi" w:hAnsiTheme="majorHAnsi"/>
            <w:sz w:val="24"/>
            <w:szCs w:val="24"/>
          </w:rPr>
          <w:t>cchung@cdc.gov</w:t>
        </w:r>
      </w:hyperlink>
    </w:p>
    <w:p w:rsidR="003F5913" w:rsidRPr="001927E7" w:rsidRDefault="003F5913" w:rsidP="008E613A">
      <w:pPr>
        <w:tabs>
          <w:tab w:val="left" w:pos="5040"/>
        </w:tabs>
        <w:spacing w:after="0"/>
        <w:ind w:left="360"/>
        <w:rPr>
          <w:rFonts w:asciiTheme="majorHAnsi" w:hAnsiTheme="majorHAnsi"/>
          <w:sz w:val="24"/>
          <w:szCs w:val="24"/>
        </w:rPr>
      </w:pPr>
    </w:p>
    <w:p w:rsidR="00752506" w:rsidRPr="001927E7" w:rsidRDefault="00E835A3"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Christine </w:t>
      </w:r>
      <w:r w:rsidR="00752506" w:rsidRPr="001927E7">
        <w:rPr>
          <w:rFonts w:asciiTheme="majorHAnsi" w:hAnsiTheme="majorHAnsi"/>
          <w:sz w:val="24"/>
          <w:szCs w:val="24"/>
        </w:rPr>
        <w:t xml:space="preserve">E. </w:t>
      </w:r>
      <w:proofErr w:type="spellStart"/>
      <w:r w:rsidR="00752506" w:rsidRPr="001927E7">
        <w:rPr>
          <w:rFonts w:asciiTheme="majorHAnsi" w:hAnsiTheme="majorHAnsi"/>
          <w:sz w:val="24"/>
          <w:szCs w:val="24"/>
        </w:rPr>
        <w:t>Prue</w:t>
      </w:r>
      <w:proofErr w:type="spellEnd"/>
      <w:r w:rsidR="00752506" w:rsidRPr="001927E7">
        <w:rPr>
          <w:rFonts w:asciiTheme="majorHAnsi" w:hAnsiTheme="majorHAnsi"/>
          <w:sz w:val="24"/>
          <w:szCs w:val="24"/>
        </w:rPr>
        <w:t xml:space="preserve">, MSPH, Ph.D. </w:t>
      </w:r>
    </w:p>
    <w:p w:rsidR="00752506" w:rsidRPr="001927E7" w:rsidRDefault="00752506"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Associate Director for Behavioral Science </w:t>
      </w:r>
    </w:p>
    <w:p w:rsidR="00752506" w:rsidRPr="001927E7" w:rsidRDefault="00752506"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National Center for Emerging &amp; Zoonotic Infectious Diseases</w:t>
      </w:r>
    </w:p>
    <w:p w:rsidR="00FE10E4" w:rsidRPr="001927E7" w:rsidRDefault="00FE10E4"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Centers for Disease Control and Prevention</w:t>
      </w:r>
    </w:p>
    <w:p w:rsidR="00FE10E4" w:rsidRPr="001927E7" w:rsidRDefault="00FE10E4"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1600 Clifton Rd., Atlanta, GA 30333</w:t>
      </w:r>
    </w:p>
    <w:p w:rsidR="00752506" w:rsidRPr="001927E7" w:rsidRDefault="00752506"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Phone:  404-639-2273 </w:t>
      </w:r>
    </w:p>
    <w:p w:rsidR="00752506" w:rsidRPr="001927E7" w:rsidRDefault="00752506"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Cell:  404-660-6296 </w:t>
      </w:r>
    </w:p>
    <w:p w:rsidR="00752506" w:rsidRPr="001927E7" w:rsidRDefault="00371099" w:rsidP="008E613A">
      <w:pPr>
        <w:tabs>
          <w:tab w:val="left" w:pos="5040"/>
        </w:tabs>
        <w:spacing w:after="0"/>
        <w:ind w:left="360"/>
        <w:rPr>
          <w:rFonts w:asciiTheme="majorHAnsi" w:hAnsiTheme="majorHAnsi"/>
          <w:sz w:val="24"/>
          <w:szCs w:val="24"/>
        </w:rPr>
      </w:pPr>
      <w:hyperlink r:id="rId11" w:history="1">
        <w:r w:rsidR="00752506" w:rsidRPr="001927E7">
          <w:rPr>
            <w:rStyle w:val="Hyperlink"/>
            <w:rFonts w:asciiTheme="majorHAnsi" w:hAnsiTheme="majorHAnsi"/>
            <w:sz w:val="24"/>
            <w:szCs w:val="24"/>
          </w:rPr>
          <w:t>cprue@cdc.gov</w:t>
        </w:r>
      </w:hyperlink>
      <w:r w:rsidR="00752506" w:rsidRPr="001927E7">
        <w:rPr>
          <w:rFonts w:asciiTheme="majorHAnsi" w:hAnsiTheme="majorHAnsi"/>
          <w:sz w:val="24"/>
          <w:szCs w:val="24"/>
        </w:rPr>
        <w:t xml:space="preserve"> </w:t>
      </w:r>
    </w:p>
    <w:p w:rsidR="00752506" w:rsidRPr="001927E7" w:rsidRDefault="00752506" w:rsidP="008E613A">
      <w:pPr>
        <w:tabs>
          <w:tab w:val="left" w:pos="5040"/>
        </w:tabs>
        <w:spacing w:after="0"/>
        <w:ind w:left="360"/>
        <w:rPr>
          <w:rFonts w:asciiTheme="majorHAnsi" w:hAnsiTheme="majorHAnsi"/>
          <w:sz w:val="24"/>
          <w:szCs w:val="24"/>
        </w:rPr>
      </w:pP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Alvin Shultz, MSPH </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Program Coordinator </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Epidemiology and Laboratory Capacity for Infectious Diseases </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Division of Preparedness and Emerging Infections </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National Center for Emerging and Zoonotic Infectious Diseases, CDC </w:t>
      </w:r>
    </w:p>
    <w:p w:rsidR="00FE10E4" w:rsidRPr="001927E7" w:rsidRDefault="00FE10E4"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Centers for Disease Control and Prevention</w:t>
      </w:r>
    </w:p>
    <w:p w:rsidR="00FE10E4" w:rsidRPr="001927E7" w:rsidRDefault="00FE10E4"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1600 Clifton Rd., Atlanta, GA 30333</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Phone: 404</w:t>
      </w:r>
      <w:r w:rsidR="00FE10E4" w:rsidRPr="001927E7">
        <w:rPr>
          <w:rFonts w:asciiTheme="majorHAnsi" w:hAnsiTheme="majorHAnsi"/>
          <w:sz w:val="24"/>
          <w:szCs w:val="24"/>
        </w:rPr>
        <w:t>-</w:t>
      </w:r>
      <w:r w:rsidRPr="001927E7">
        <w:rPr>
          <w:rFonts w:asciiTheme="majorHAnsi" w:hAnsiTheme="majorHAnsi"/>
          <w:sz w:val="24"/>
          <w:szCs w:val="24"/>
        </w:rPr>
        <w:t>639</w:t>
      </w:r>
      <w:r w:rsidR="00FE10E4" w:rsidRPr="001927E7">
        <w:rPr>
          <w:rFonts w:asciiTheme="majorHAnsi" w:hAnsiTheme="majorHAnsi"/>
          <w:sz w:val="24"/>
          <w:szCs w:val="24"/>
        </w:rPr>
        <w:t>-</w:t>
      </w:r>
      <w:r w:rsidRPr="001927E7">
        <w:rPr>
          <w:rFonts w:asciiTheme="majorHAnsi" w:hAnsiTheme="majorHAnsi"/>
          <w:sz w:val="24"/>
          <w:szCs w:val="24"/>
        </w:rPr>
        <w:t xml:space="preserve">7028 </w:t>
      </w:r>
    </w:p>
    <w:p w:rsidR="00FF4F85" w:rsidRPr="001927E7" w:rsidRDefault="00FF4F85"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Fax: 404</w:t>
      </w:r>
      <w:r w:rsidR="00FE10E4" w:rsidRPr="001927E7">
        <w:rPr>
          <w:rFonts w:asciiTheme="majorHAnsi" w:hAnsiTheme="majorHAnsi"/>
          <w:sz w:val="24"/>
          <w:szCs w:val="24"/>
        </w:rPr>
        <w:t>-</w:t>
      </w:r>
      <w:r w:rsidRPr="001927E7">
        <w:rPr>
          <w:rFonts w:asciiTheme="majorHAnsi" w:hAnsiTheme="majorHAnsi"/>
          <w:sz w:val="24"/>
          <w:szCs w:val="24"/>
        </w:rPr>
        <w:t>639</w:t>
      </w:r>
      <w:r w:rsidR="00FE10E4" w:rsidRPr="001927E7">
        <w:rPr>
          <w:rFonts w:asciiTheme="majorHAnsi" w:hAnsiTheme="majorHAnsi"/>
          <w:sz w:val="24"/>
          <w:szCs w:val="24"/>
        </w:rPr>
        <w:t>-</w:t>
      </w:r>
      <w:r w:rsidRPr="001927E7">
        <w:rPr>
          <w:rFonts w:asciiTheme="majorHAnsi" w:hAnsiTheme="majorHAnsi"/>
          <w:sz w:val="24"/>
          <w:szCs w:val="24"/>
        </w:rPr>
        <w:t xml:space="preserve">7880 </w:t>
      </w:r>
    </w:p>
    <w:p w:rsidR="00FF4F85" w:rsidRPr="001927E7" w:rsidRDefault="00371099" w:rsidP="008E613A">
      <w:pPr>
        <w:tabs>
          <w:tab w:val="left" w:pos="5040"/>
        </w:tabs>
        <w:spacing w:after="0"/>
        <w:ind w:left="360"/>
        <w:rPr>
          <w:rFonts w:asciiTheme="majorHAnsi" w:hAnsiTheme="majorHAnsi"/>
          <w:sz w:val="24"/>
          <w:szCs w:val="24"/>
        </w:rPr>
      </w:pPr>
      <w:hyperlink r:id="rId12" w:history="1">
        <w:r w:rsidR="00FE10E4" w:rsidRPr="001927E7">
          <w:rPr>
            <w:rStyle w:val="Hyperlink"/>
            <w:rFonts w:asciiTheme="majorHAnsi" w:hAnsiTheme="majorHAnsi"/>
            <w:sz w:val="24"/>
            <w:szCs w:val="24"/>
          </w:rPr>
          <w:t>ashultz@cdc.gov</w:t>
        </w:r>
      </w:hyperlink>
      <w:r w:rsidR="00FE10E4" w:rsidRPr="001927E7">
        <w:rPr>
          <w:rFonts w:asciiTheme="majorHAnsi" w:hAnsiTheme="majorHAnsi"/>
          <w:sz w:val="24"/>
          <w:szCs w:val="24"/>
        </w:rPr>
        <w:t xml:space="preserve"> </w:t>
      </w:r>
    </w:p>
    <w:p w:rsidR="00FE10E4" w:rsidRPr="001927E7" w:rsidRDefault="00FE10E4"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1927E7" w:rsidRDefault="001927E7" w:rsidP="008E613A">
      <w:pPr>
        <w:tabs>
          <w:tab w:val="left" w:pos="5040"/>
        </w:tabs>
        <w:spacing w:after="0"/>
        <w:ind w:left="360"/>
        <w:rPr>
          <w:rFonts w:asciiTheme="majorHAnsi" w:hAnsiTheme="majorHAnsi"/>
          <w:sz w:val="24"/>
          <w:szCs w:val="24"/>
        </w:rPr>
      </w:pP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Angelica O'Connor, MPH, CHES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Program Manager</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Epidemiology and Laboratory Capacity for Infectious Diseases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Division of Preparedness and Emerging Infections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National Center for Emerging and Zoonotic Infectious Diseases, CDC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Centers for Disease Control and Prevention</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1600 Clifton Rd., Atlanta, GA 30333</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Office: 404-639-7379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 xml:space="preserve">Cell: 404-451-5304 </w:t>
      </w:r>
    </w:p>
    <w:p w:rsidR="002A697A" w:rsidRPr="001927E7" w:rsidRDefault="002A697A" w:rsidP="008E613A">
      <w:pPr>
        <w:tabs>
          <w:tab w:val="left" w:pos="5040"/>
        </w:tabs>
        <w:spacing w:after="0"/>
        <w:ind w:left="360"/>
        <w:rPr>
          <w:rFonts w:asciiTheme="majorHAnsi" w:hAnsiTheme="majorHAnsi"/>
          <w:sz w:val="24"/>
          <w:szCs w:val="24"/>
        </w:rPr>
      </w:pPr>
      <w:r w:rsidRPr="001927E7">
        <w:rPr>
          <w:rFonts w:asciiTheme="majorHAnsi" w:hAnsiTheme="majorHAnsi"/>
          <w:sz w:val="24"/>
          <w:szCs w:val="24"/>
        </w:rPr>
        <w:t>Fax: 404-718-1874</w:t>
      </w:r>
    </w:p>
    <w:p w:rsidR="00C62F8D" w:rsidRPr="001927E7" w:rsidRDefault="00371099" w:rsidP="008E613A">
      <w:pPr>
        <w:tabs>
          <w:tab w:val="left" w:pos="5040"/>
        </w:tabs>
        <w:spacing w:after="0"/>
        <w:ind w:left="360"/>
        <w:rPr>
          <w:rFonts w:asciiTheme="majorHAnsi" w:hAnsiTheme="majorHAnsi"/>
          <w:b/>
          <w:sz w:val="24"/>
          <w:szCs w:val="24"/>
        </w:rPr>
      </w:pPr>
      <w:hyperlink r:id="rId13" w:history="1">
        <w:r w:rsidR="002A697A" w:rsidRPr="001927E7">
          <w:rPr>
            <w:rStyle w:val="Hyperlink"/>
            <w:rFonts w:asciiTheme="majorHAnsi" w:hAnsiTheme="majorHAnsi"/>
            <w:sz w:val="24"/>
            <w:szCs w:val="24"/>
          </w:rPr>
          <w:t>apw1@cdc.gov</w:t>
        </w:r>
      </w:hyperlink>
      <w:r w:rsidR="002A697A" w:rsidRPr="001927E7">
        <w:rPr>
          <w:rFonts w:asciiTheme="majorHAnsi" w:hAnsiTheme="majorHAnsi"/>
          <w:sz w:val="24"/>
          <w:szCs w:val="24"/>
        </w:rPr>
        <w:t xml:space="preserve"> </w:t>
      </w:r>
    </w:p>
    <w:p w:rsidR="00E24C20" w:rsidRPr="001927E7" w:rsidRDefault="00C62F8D" w:rsidP="008E613A">
      <w:pPr>
        <w:rPr>
          <w:rFonts w:asciiTheme="majorHAnsi" w:hAnsiTheme="majorHAnsi"/>
          <w:b/>
          <w:sz w:val="24"/>
          <w:szCs w:val="24"/>
        </w:rPr>
      </w:pPr>
      <w:r w:rsidRPr="001927E7">
        <w:rPr>
          <w:rFonts w:asciiTheme="majorHAnsi" w:hAnsiTheme="majorHAnsi"/>
          <w:b/>
          <w:sz w:val="24"/>
          <w:szCs w:val="24"/>
        </w:rPr>
        <w:tab/>
      </w:r>
    </w:p>
    <w:p w:rsidR="00A36419" w:rsidRPr="001927E7" w:rsidRDefault="00A36419" w:rsidP="008E613A">
      <w:pPr>
        <w:spacing w:after="0"/>
        <w:rPr>
          <w:rFonts w:asciiTheme="majorHAnsi" w:hAnsiTheme="majorHAnsi"/>
          <w:b/>
          <w:sz w:val="24"/>
          <w:szCs w:val="24"/>
        </w:rPr>
      </w:pPr>
      <w:r w:rsidRPr="001927E7">
        <w:rPr>
          <w:rFonts w:asciiTheme="majorHAnsi" w:hAnsiTheme="majorHAnsi"/>
          <w:b/>
          <w:sz w:val="24"/>
          <w:szCs w:val="24"/>
        </w:rPr>
        <w:t>LIST OF ATTACHMENTS</w:t>
      </w:r>
      <w:r w:rsidR="00E24C20" w:rsidRPr="001927E7">
        <w:rPr>
          <w:rFonts w:asciiTheme="majorHAnsi" w:hAnsiTheme="majorHAnsi"/>
          <w:b/>
          <w:sz w:val="24"/>
          <w:szCs w:val="24"/>
        </w:rPr>
        <w:t xml:space="preserve"> – Section B</w:t>
      </w:r>
    </w:p>
    <w:p w:rsidR="00CA049F" w:rsidRPr="001927E7" w:rsidRDefault="006B5E55" w:rsidP="008E613A">
      <w:pPr>
        <w:spacing w:after="0"/>
        <w:rPr>
          <w:rFonts w:asciiTheme="majorHAnsi" w:hAnsiTheme="majorHAnsi"/>
          <w:sz w:val="24"/>
          <w:szCs w:val="24"/>
        </w:rPr>
      </w:pPr>
      <w:r w:rsidRPr="001927E7">
        <w:rPr>
          <w:rFonts w:asciiTheme="majorHAnsi" w:hAnsiTheme="majorHAnsi"/>
          <w:sz w:val="24"/>
          <w:szCs w:val="24"/>
        </w:rPr>
        <w:t>Note: Attachments are included as separate files as instructed.</w:t>
      </w:r>
    </w:p>
    <w:p w:rsidR="006B5E55" w:rsidRPr="001927E7" w:rsidRDefault="006B5E55" w:rsidP="008E613A">
      <w:pPr>
        <w:spacing w:after="0"/>
        <w:rPr>
          <w:rFonts w:asciiTheme="majorHAnsi" w:hAnsiTheme="majorHAnsi"/>
          <w:sz w:val="24"/>
          <w:szCs w:val="24"/>
        </w:rPr>
      </w:pPr>
    </w:p>
    <w:p w:rsidR="005C234C" w:rsidRDefault="00CF2D67" w:rsidP="005C234C">
      <w:pPr>
        <w:pStyle w:val="ListParagraph"/>
        <w:numPr>
          <w:ilvl w:val="0"/>
          <w:numId w:val="27"/>
        </w:numPr>
        <w:spacing w:after="0" w:line="360" w:lineRule="auto"/>
        <w:rPr>
          <w:rFonts w:asciiTheme="majorHAnsi" w:hAnsiTheme="majorHAnsi"/>
          <w:b/>
          <w:sz w:val="24"/>
          <w:szCs w:val="24"/>
        </w:rPr>
      </w:pPr>
      <w:r>
        <w:rPr>
          <w:rFonts w:asciiTheme="majorHAnsi" w:hAnsiTheme="majorHAnsi"/>
          <w:b/>
          <w:sz w:val="24"/>
          <w:szCs w:val="24"/>
        </w:rPr>
        <w:t>Email invitation to participate</w:t>
      </w:r>
    </w:p>
    <w:p w:rsidR="005C234C" w:rsidRDefault="00CF2D67" w:rsidP="005C234C">
      <w:pPr>
        <w:pStyle w:val="ListParagraph"/>
        <w:numPr>
          <w:ilvl w:val="0"/>
          <w:numId w:val="27"/>
        </w:numPr>
        <w:spacing w:after="0" w:line="360" w:lineRule="auto"/>
        <w:rPr>
          <w:rFonts w:asciiTheme="majorHAnsi" w:hAnsiTheme="majorHAnsi"/>
          <w:b/>
          <w:sz w:val="24"/>
          <w:szCs w:val="24"/>
        </w:rPr>
      </w:pPr>
      <w:r w:rsidRPr="005C234C">
        <w:rPr>
          <w:rFonts w:asciiTheme="majorHAnsi" w:hAnsiTheme="majorHAnsi"/>
          <w:b/>
          <w:sz w:val="24"/>
          <w:szCs w:val="24"/>
        </w:rPr>
        <w:t>Email reminder to respond</w:t>
      </w:r>
    </w:p>
    <w:p w:rsidR="00A36419" w:rsidRPr="005C234C" w:rsidRDefault="00E145B2" w:rsidP="005C234C">
      <w:pPr>
        <w:pStyle w:val="ListParagraph"/>
        <w:numPr>
          <w:ilvl w:val="0"/>
          <w:numId w:val="27"/>
        </w:numPr>
        <w:spacing w:after="0" w:line="360" w:lineRule="auto"/>
        <w:rPr>
          <w:rFonts w:asciiTheme="majorHAnsi" w:hAnsiTheme="majorHAnsi"/>
          <w:b/>
          <w:sz w:val="24"/>
          <w:szCs w:val="24"/>
        </w:rPr>
      </w:pPr>
      <w:r w:rsidRPr="005C234C">
        <w:rPr>
          <w:rFonts w:asciiTheme="majorHAnsi" w:hAnsiTheme="majorHAnsi"/>
          <w:b/>
          <w:sz w:val="24"/>
          <w:szCs w:val="24"/>
        </w:rPr>
        <w:t xml:space="preserve">Confirmation </w:t>
      </w:r>
      <w:r w:rsidR="00CF2D67" w:rsidRPr="005C234C">
        <w:rPr>
          <w:rFonts w:asciiTheme="majorHAnsi" w:hAnsiTheme="majorHAnsi"/>
          <w:b/>
          <w:sz w:val="24"/>
          <w:szCs w:val="24"/>
        </w:rPr>
        <w:t xml:space="preserve">Email </w:t>
      </w: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46" w:rsidRDefault="00297A46" w:rsidP="00716F94">
      <w:pPr>
        <w:spacing w:after="0" w:line="240" w:lineRule="auto"/>
      </w:pPr>
      <w:r>
        <w:separator/>
      </w:r>
    </w:p>
  </w:endnote>
  <w:endnote w:type="continuationSeparator" w:id="0">
    <w:p w:rsidR="00297A46" w:rsidRDefault="00297A4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DB1FFC" w:rsidRDefault="00DB1FF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71099">
              <w:rPr>
                <w:b/>
                <w:noProof/>
              </w:rPr>
              <w:t>2</w:t>
            </w:r>
            <w:r>
              <w:rPr>
                <w:b/>
                <w:sz w:val="24"/>
                <w:szCs w:val="24"/>
              </w:rPr>
              <w:fldChar w:fldCharType="end"/>
            </w:r>
            <w:r>
              <w:t xml:space="preserve"> of </w:t>
            </w:r>
            <w:r>
              <w:rPr>
                <w:b/>
                <w:szCs w:val="24"/>
              </w:rPr>
              <w:t>3</w:t>
            </w:r>
          </w:p>
        </w:sdtContent>
      </w:sdt>
    </w:sdtContent>
  </w:sdt>
  <w:p w:rsidR="00DB1FFC" w:rsidRDefault="00DB1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46" w:rsidRDefault="00297A46" w:rsidP="00716F94">
      <w:pPr>
        <w:spacing w:after="0" w:line="240" w:lineRule="auto"/>
      </w:pPr>
      <w:r>
        <w:separator/>
      </w:r>
    </w:p>
  </w:footnote>
  <w:footnote w:type="continuationSeparator" w:id="0">
    <w:p w:rsidR="00297A46" w:rsidRDefault="00297A46"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FC" w:rsidRPr="00716F94" w:rsidRDefault="00DB1FF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16AEB"/>
    <w:multiLevelType w:val="hybridMultilevel"/>
    <w:tmpl w:val="EA44C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663611"/>
    <w:multiLevelType w:val="hybridMultilevel"/>
    <w:tmpl w:val="F17E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92269"/>
    <w:multiLevelType w:val="hybridMultilevel"/>
    <w:tmpl w:val="A24A7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3621A"/>
    <w:multiLevelType w:val="hybridMultilevel"/>
    <w:tmpl w:val="E72410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25483"/>
    <w:multiLevelType w:val="hybridMultilevel"/>
    <w:tmpl w:val="EFE47C4C"/>
    <w:lvl w:ilvl="0" w:tplc="3A08C058">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C2009"/>
    <w:multiLevelType w:val="hybridMultilevel"/>
    <w:tmpl w:val="7E24A614"/>
    <w:lvl w:ilvl="0" w:tplc="3CD8B60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4"/>
  </w:num>
  <w:num w:numId="4">
    <w:abstractNumId w:val="11"/>
  </w:num>
  <w:num w:numId="5">
    <w:abstractNumId w:val="20"/>
  </w:num>
  <w:num w:numId="6">
    <w:abstractNumId w:val="8"/>
  </w:num>
  <w:num w:numId="7">
    <w:abstractNumId w:val="0"/>
  </w:num>
  <w:num w:numId="8">
    <w:abstractNumId w:val="5"/>
  </w:num>
  <w:num w:numId="9">
    <w:abstractNumId w:val="10"/>
  </w:num>
  <w:num w:numId="10">
    <w:abstractNumId w:val="21"/>
  </w:num>
  <w:num w:numId="11">
    <w:abstractNumId w:val="2"/>
  </w:num>
  <w:num w:numId="12">
    <w:abstractNumId w:val="23"/>
  </w:num>
  <w:num w:numId="13">
    <w:abstractNumId w:val="6"/>
  </w:num>
  <w:num w:numId="14">
    <w:abstractNumId w:val="3"/>
  </w:num>
  <w:num w:numId="15">
    <w:abstractNumId w:val="22"/>
  </w:num>
  <w:num w:numId="16">
    <w:abstractNumId w:val="26"/>
  </w:num>
  <w:num w:numId="17">
    <w:abstractNumId w:val="9"/>
  </w:num>
  <w:num w:numId="18">
    <w:abstractNumId w:val="13"/>
  </w:num>
  <w:num w:numId="19">
    <w:abstractNumId w:val="4"/>
  </w:num>
  <w:num w:numId="20">
    <w:abstractNumId w:val="14"/>
  </w:num>
  <w:num w:numId="21">
    <w:abstractNumId w:val="25"/>
  </w:num>
  <w:num w:numId="22">
    <w:abstractNumId w:val="16"/>
  </w:num>
  <w:num w:numId="23">
    <w:abstractNumId w:val="17"/>
  </w:num>
  <w:num w:numId="24">
    <w:abstractNumId w:val="12"/>
  </w:num>
  <w:num w:numId="25">
    <w:abstractNumId w:val="7"/>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257"/>
    <w:rsid w:val="00014361"/>
    <w:rsid w:val="000474FB"/>
    <w:rsid w:val="00053A92"/>
    <w:rsid w:val="0005605E"/>
    <w:rsid w:val="00057F36"/>
    <w:rsid w:val="00071BFE"/>
    <w:rsid w:val="000A1F30"/>
    <w:rsid w:val="000D28AB"/>
    <w:rsid w:val="000D6CB4"/>
    <w:rsid w:val="000E6577"/>
    <w:rsid w:val="000E7A19"/>
    <w:rsid w:val="00104A1B"/>
    <w:rsid w:val="0011474A"/>
    <w:rsid w:val="001177DD"/>
    <w:rsid w:val="001308EB"/>
    <w:rsid w:val="001412D4"/>
    <w:rsid w:val="00144BDA"/>
    <w:rsid w:val="00144F64"/>
    <w:rsid w:val="00151567"/>
    <w:rsid w:val="00163E17"/>
    <w:rsid w:val="00166F9E"/>
    <w:rsid w:val="00182D0C"/>
    <w:rsid w:val="001857B8"/>
    <w:rsid w:val="00187D5A"/>
    <w:rsid w:val="001927E7"/>
    <w:rsid w:val="001972D7"/>
    <w:rsid w:val="001A28F6"/>
    <w:rsid w:val="001A5620"/>
    <w:rsid w:val="001B1168"/>
    <w:rsid w:val="001B2831"/>
    <w:rsid w:val="001C0493"/>
    <w:rsid w:val="001C28AD"/>
    <w:rsid w:val="001D7FCB"/>
    <w:rsid w:val="001E2B99"/>
    <w:rsid w:val="001E69B6"/>
    <w:rsid w:val="001E6B1D"/>
    <w:rsid w:val="001F2582"/>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921AD"/>
    <w:rsid w:val="00294EB5"/>
    <w:rsid w:val="00297A46"/>
    <w:rsid w:val="002A1356"/>
    <w:rsid w:val="002A1948"/>
    <w:rsid w:val="002A697A"/>
    <w:rsid w:val="002C0456"/>
    <w:rsid w:val="002C0877"/>
    <w:rsid w:val="002C2AE2"/>
    <w:rsid w:val="002D00BC"/>
    <w:rsid w:val="002D0DCE"/>
    <w:rsid w:val="002E2B10"/>
    <w:rsid w:val="002E2C22"/>
    <w:rsid w:val="002F1502"/>
    <w:rsid w:val="002F169D"/>
    <w:rsid w:val="002F2069"/>
    <w:rsid w:val="002F6F92"/>
    <w:rsid w:val="003041AD"/>
    <w:rsid w:val="0031279F"/>
    <w:rsid w:val="00332DDF"/>
    <w:rsid w:val="00333033"/>
    <w:rsid w:val="00336D96"/>
    <w:rsid w:val="00344F07"/>
    <w:rsid w:val="003469C8"/>
    <w:rsid w:val="00355EA4"/>
    <w:rsid w:val="003635BE"/>
    <w:rsid w:val="00366B5E"/>
    <w:rsid w:val="00371099"/>
    <w:rsid w:val="0037109A"/>
    <w:rsid w:val="00372844"/>
    <w:rsid w:val="00381CD8"/>
    <w:rsid w:val="003C31C9"/>
    <w:rsid w:val="003C4961"/>
    <w:rsid w:val="003C7C5D"/>
    <w:rsid w:val="003D0AD2"/>
    <w:rsid w:val="003E4E7D"/>
    <w:rsid w:val="003E5D57"/>
    <w:rsid w:val="003E6FD7"/>
    <w:rsid w:val="003F5913"/>
    <w:rsid w:val="004024F8"/>
    <w:rsid w:val="0041159A"/>
    <w:rsid w:val="00425D1E"/>
    <w:rsid w:val="004305A8"/>
    <w:rsid w:val="00443CA0"/>
    <w:rsid w:val="00443F85"/>
    <w:rsid w:val="00450E14"/>
    <w:rsid w:val="00462C65"/>
    <w:rsid w:val="00467B14"/>
    <w:rsid w:val="00474EDA"/>
    <w:rsid w:val="0047536D"/>
    <w:rsid w:val="0047584E"/>
    <w:rsid w:val="004824FA"/>
    <w:rsid w:val="00484011"/>
    <w:rsid w:val="004841F1"/>
    <w:rsid w:val="004931BB"/>
    <w:rsid w:val="0049354D"/>
    <w:rsid w:val="004A1E3A"/>
    <w:rsid w:val="004C4AEA"/>
    <w:rsid w:val="004E003C"/>
    <w:rsid w:val="004E16EB"/>
    <w:rsid w:val="004E6665"/>
    <w:rsid w:val="004F634E"/>
    <w:rsid w:val="004F67A8"/>
    <w:rsid w:val="00505CBE"/>
    <w:rsid w:val="00522A50"/>
    <w:rsid w:val="00527225"/>
    <w:rsid w:val="0053557D"/>
    <w:rsid w:val="005463DE"/>
    <w:rsid w:val="00546DC2"/>
    <w:rsid w:val="005542E8"/>
    <w:rsid w:val="00556630"/>
    <w:rsid w:val="0055686D"/>
    <w:rsid w:val="005800EE"/>
    <w:rsid w:val="005869D6"/>
    <w:rsid w:val="005A33F6"/>
    <w:rsid w:val="005A59E5"/>
    <w:rsid w:val="005A7C89"/>
    <w:rsid w:val="005B7440"/>
    <w:rsid w:val="005C234C"/>
    <w:rsid w:val="005C6E9D"/>
    <w:rsid w:val="005E2150"/>
    <w:rsid w:val="005E2995"/>
    <w:rsid w:val="005E634A"/>
    <w:rsid w:val="005F3FEF"/>
    <w:rsid w:val="00601392"/>
    <w:rsid w:val="00607F7C"/>
    <w:rsid w:val="006102DA"/>
    <w:rsid w:val="00614185"/>
    <w:rsid w:val="00621F93"/>
    <w:rsid w:val="006315A3"/>
    <w:rsid w:val="00633684"/>
    <w:rsid w:val="00637CC1"/>
    <w:rsid w:val="00647F64"/>
    <w:rsid w:val="00653083"/>
    <w:rsid w:val="0065790A"/>
    <w:rsid w:val="006579A2"/>
    <w:rsid w:val="00667C89"/>
    <w:rsid w:val="006711EE"/>
    <w:rsid w:val="00671F7B"/>
    <w:rsid w:val="006809BB"/>
    <w:rsid w:val="006809FD"/>
    <w:rsid w:val="00691D1F"/>
    <w:rsid w:val="00697BAE"/>
    <w:rsid w:val="006B4DDC"/>
    <w:rsid w:val="006B5E55"/>
    <w:rsid w:val="006D25A1"/>
    <w:rsid w:val="006F6856"/>
    <w:rsid w:val="007145D0"/>
    <w:rsid w:val="00716F94"/>
    <w:rsid w:val="00752506"/>
    <w:rsid w:val="00760E12"/>
    <w:rsid w:val="00763CF3"/>
    <w:rsid w:val="00772293"/>
    <w:rsid w:val="00783C75"/>
    <w:rsid w:val="00784619"/>
    <w:rsid w:val="0078627B"/>
    <w:rsid w:val="00794E32"/>
    <w:rsid w:val="007B305A"/>
    <w:rsid w:val="007B4CB1"/>
    <w:rsid w:val="007C5E2D"/>
    <w:rsid w:val="00800993"/>
    <w:rsid w:val="00804401"/>
    <w:rsid w:val="00811390"/>
    <w:rsid w:val="00815ACD"/>
    <w:rsid w:val="00815C7D"/>
    <w:rsid w:val="00817941"/>
    <w:rsid w:val="008261AB"/>
    <w:rsid w:val="00835CA7"/>
    <w:rsid w:val="008370D4"/>
    <w:rsid w:val="008414AD"/>
    <w:rsid w:val="008428D9"/>
    <w:rsid w:val="00884DB9"/>
    <w:rsid w:val="0089676F"/>
    <w:rsid w:val="008A7A54"/>
    <w:rsid w:val="008B0819"/>
    <w:rsid w:val="008C67D2"/>
    <w:rsid w:val="008D17FB"/>
    <w:rsid w:val="008E0683"/>
    <w:rsid w:val="008E613A"/>
    <w:rsid w:val="00902DD9"/>
    <w:rsid w:val="009076B3"/>
    <w:rsid w:val="00911486"/>
    <w:rsid w:val="009129CA"/>
    <w:rsid w:val="009206B6"/>
    <w:rsid w:val="009263C1"/>
    <w:rsid w:val="00931C02"/>
    <w:rsid w:val="00941B4F"/>
    <w:rsid w:val="00963CE3"/>
    <w:rsid w:val="00964F18"/>
    <w:rsid w:val="00974424"/>
    <w:rsid w:val="009759F3"/>
    <w:rsid w:val="00987F76"/>
    <w:rsid w:val="00993088"/>
    <w:rsid w:val="0099664F"/>
    <w:rsid w:val="00997D5D"/>
    <w:rsid w:val="009A0447"/>
    <w:rsid w:val="009B034F"/>
    <w:rsid w:val="009B4A51"/>
    <w:rsid w:val="009C28B1"/>
    <w:rsid w:val="009C61AD"/>
    <w:rsid w:val="009D0257"/>
    <w:rsid w:val="009D373D"/>
    <w:rsid w:val="009D6A4F"/>
    <w:rsid w:val="009E1D05"/>
    <w:rsid w:val="00A11B0C"/>
    <w:rsid w:val="00A20EA1"/>
    <w:rsid w:val="00A305CE"/>
    <w:rsid w:val="00A33B35"/>
    <w:rsid w:val="00A36419"/>
    <w:rsid w:val="00A450CC"/>
    <w:rsid w:val="00A578C2"/>
    <w:rsid w:val="00A709E1"/>
    <w:rsid w:val="00A72652"/>
    <w:rsid w:val="00A75D1C"/>
    <w:rsid w:val="00A809AA"/>
    <w:rsid w:val="00A849B3"/>
    <w:rsid w:val="00A8510D"/>
    <w:rsid w:val="00A86AF3"/>
    <w:rsid w:val="00A90BDC"/>
    <w:rsid w:val="00A92500"/>
    <w:rsid w:val="00A95477"/>
    <w:rsid w:val="00A975A9"/>
    <w:rsid w:val="00AA3192"/>
    <w:rsid w:val="00AB3608"/>
    <w:rsid w:val="00AC5C48"/>
    <w:rsid w:val="00AF0CF4"/>
    <w:rsid w:val="00AF2252"/>
    <w:rsid w:val="00B1129F"/>
    <w:rsid w:val="00B11D61"/>
    <w:rsid w:val="00B12F51"/>
    <w:rsid w:val="00B2681D"/>
    <w:rsid w:val="00B2751E"/>
    <w:rsid w:val="00B3650C"/>
    <w:rsid w:val="00B45E03"/>
    <w:rsid w:val="00B64BFA"/>
    <w:rsid w:val="00B80C59"/>
    <w:rsid w:val="00B85DE4"/>
    <w:rsid w:val="00B91A31"/>
    <w:rsid w:val="00BA457C"/>
    <w:rsid w:val="00BA6DB4"/>
    <w:rsid w:val="00BC3F3C"/>
    <w:rsid w:val="00BC5BB2"/>
    <w:rsid w:val="00BD67B5"/>
    <w:rsid w:val="00BF3F54"/>
    <w:rsid w:val="00C00697"/>
    <w:rsid w:val="00C0376C"/>
    <w:rsid w:val="00C06D77"/>
    <w:rsid w:val="00C14BA6"/>
    <w:rsid w:val="00C347E7"/>
    <w:rsid w:val="00C3485C"/>
    <w:rsid w:val="00C62F8D"/>
    <w:rsid w:val="00CA049F"/>
    <w:rsid w:val="00CA2004"/>
    <w:rsid w:val="00CB334D"/>
    <w:rsid w:val="00CB56D5"/>
    <w:rsid w:val="00CD0771"/>
    <w:rsid w:val="00CD1EA8"/>
    <w:rsid w:val="00CD7C21"/>
    <w:rsid w:val="00CF2D67"/>
    <w:rsid w:val="00CF5ABD"/>
    <w:rsid w:val="00CF63CE"/>
    <w:rsid w:val="00D067C1"/>
    <w:rsid w:val="00D13B13"/>
    <w:rsid w:val="00D16E78"/>
    <w:rsid w:val="00D201D3"/>
    <w:rsid w:val="00D213B2"/>
    <w:rsid w:val="00D26A64"/>
    <w:rsid w:val="00D4221A"/>
    <w:rsid w:val="00D52B9A"/>
    <w:rsid w:val="00D5367E"/>
    <w:rsid w:val="00D7285C"/>
    <w:rsid w:val="00D80A4C"/>
    <w:rsid w:val="00D861ED"/>
    <w:rsid w:val="00D873E0"/>
    <w:rsid w:val="00D879FE"/>
    <w:rsid w:val="00D94B4F"/>
    <w:rsid w:val="00D94F8B"/>
    <w:rsid w:val="00DA4EA9"/>
    <w:rsid w:val="00DA5988"/>
    <w:rsid w:val="00DB1FFC"/>
    <w:rsid w:val="00DB688B"/>
    <w:rsid w:val="00DC20A5"/>
    <w:rsid w:val="00DC21D7"/>
    <w:rsid w:val="00DC317C"/>
    <w:rsid w:val="00DC4FF2"/>
    <w:rsid w:val="00DC79CC"/>
    <w:rsid w:val="00DF6172"/>
    <w:rsid w:val="00DF6460"/>
    <w:rsid w:val="00E03597"/>
    <w:rsid w:val="00E134F4"/>
    <w:rsid w:val="00E145B2"/>
    <w:rsid w:val="00E23568"/>
    <w:rsid w:val="00E245B5"/>
    <w:rsid w:val="00E24C20"/>
    <w:rsid w:val="00E26A14"/>
    <w:rsid w:val="00E33E1B"/>
    <w:rsid w:val="00E34D3E"/>
    <w:rsid w:val="00E415F1"/>
    <w:rsid w:val="00E7424E"/>
    <w:rsid w:val="00E81C5E"/>
    <w:rsid w:val="00E835A3"/>
    <w:rsid w:val="00E83B3C"/>
    <w:rsid w:val="00E8736B"/>
    <w:rsid w:val="00E90275"/>
    <w:rsid w:val="00E925D4"/>
    <w:rsid w:val="00E94832"/>
    <w:rsid w:val="00E97226"/>
    <w:rsid w:val="00EB63B3"/>
    <w:rsid w:val="00ED2B5F"/>
    <w:rsid w:val="00ED30FF"/>
    <w:rsid w:val="00ED6878"/>
    <w:rsid w:val="00EF0EC8"/>
    <w:rsid w:val="00EF33CD"/>
    <w:rsid w:val="00F07CF0"/>
    <w:rsid w:val="00F300CB"/>
    <w:rsid w:val="00F42C3A"/>
    <w:rsid w:val="00F52BCC"/>
    <w:rsid w:val="00F5313F"/>
    <w:rsid w:val="00F57581"/>
    <w:rsid w:val="00F725B5"/>
    <w:rsid w:val="00F81A48"/>
    <w:rsid w:val="00F82F69"/>
    <w:rsid w:val="00F9285D"/>
    <w:rsid w:val="00FA7CEC"/>
    <w:rsid w:val="00FC1468"/>
    <w:rsid w:val="00FC5D53"/>
    <w:rsid w:val="00FD17C9"/>
    <w:rsid w:val="00FD1EF0"/>
    <w:rsid w:val="00FD2A5B"/>
    <w:rsid w:val="00FE10E4"/>
    <w:rsid w:val="00FE6A5C"/>
    <w:rsid w:val="00FF4F85"/>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FollowedHyperlink">
    <w:name w:val="FollowedHyperlink"/>
    <w:basedOn w:val="DefaultParagraphFont"/>
    <w:uiPriority w:val="99"/>
    <w:semiHidden/>
    <w:unhideWhenUsed/>
    <w:rsid w:val="00C62F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FollowedHyperlink">
    <w:name w:val="FollowedHyperlink"/>
    <w:basedOn w:val="DefaultParagraphFont"/>
    <w:uiPriority w:val="99"/>
    <w:semiHidden/>
    <w:unhideWhenUsed/>
    <w:rsid w:val="00C62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1940">
      <w:bodyDiv w:val="1"/>
      <w:marLeft w:val="0"/>
      <w:marRight w:val="0"/>
      <w:marTop w:val="0"/>
      <w:marBottom w:val="0"/>
      <w:divBdr>
        <w:top w:val="none" w:sz="0" w:space="0" w:color="auto"/>
        <w:left w:val="none" w:sz="0" w:space="0" w:color="auto"/>
        <w:bottom w:val="none" w:sz="0" w:space="0" w:color="auto"/>
        <w:right w:val="none" w:sz="0" w:space="0" w:color="auto"/>
      </w:divBdr>
    </w:div>
    <w:div w:id="1288387893">
      <w:bodyDiv w:val="1"/>
      <w:marLeft w:val="0"/>
      <w:marRight w:val="0"/>
      <w:marTop w:val="0"/>
      <w:marBottom w:val="0"/>
      <w:divBdr>
        <w:top w:val="none" w:sz="0" w:space="0" w:color="auto"/>
        <w:left w:val="none" w:sz="0" w:space="0" w:color="auto"/>
        <w:bottom w:val="none" w:sz="0" w:space="0" w:color="auto"/>
        <w:right w:val="none" w:sz="0" w:space="0" w:color="auto"/>
      </w:divBdr>
    </w:div>
    <w:div w:id="153271976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5147375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38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w1@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hultz@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rue@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chung@cdc.gov" TargetMode="External"/><Relationship Id="rId4" Type="http://schemas.microsoft.com/office/2007/relationships/stylesWithEffects" Target="stylesWithEffects.xml"/><Relationship Id="rId9" Type="http://schemas.openxmlformats.org/officeDocument/2006/relationships/hyperlink" Target="mailto:cchung@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BFA5-43F6-4EC0-905B-D82B1189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3</cp:revision>
  <cp:lastPrinted>2011-06-07T15:53:00Z</cp:lastPrinted>
  <dcterms:created xsi:type="dcterms:W3CDTF">2013-12-02T18:01:00Z</dcterms:created>
  <dcterms:modified xsi:type="dcterms:W3CDTF">2013-12-02T18:05:00Z</dcterms:modified>
</cp:coreProperties>
</file>