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9F7EB5">
        <w:t xml:space="preserve">the </w:t>
      </w:r>
      <w:r w:rsidR="009F7EB5" w:rsidRPr="00C43366">
        <w:rPr>
          <w:i/>
        </w:rPr>
        <w:t>Eunice Kennedy Shriver</w:t>
      </w:r>
      <w:r w:rsidR="009F7EB5" w:rsidRPr="00C43366">
        <w:t xml:space="preserve"> National Institute of Child Health and Human Development (NICHD) of the National Institutes of Health (NIH)</w:t>
      </w:r>
      <w:r w:rsidR="009F7EB5">
        <w:t xml:space="preserve"> </w:t>
      </w:r>
      <w:r>
        <w:t xml:space="preserve">(hereafter “the Agency”) </w:t>
      </w:r>
      <w:r w:rsidR="009F7EB5">
        <w:t>seek</w:t>
      </w:r>
      <w:r w:rsidR="000C0A7E">
        <w:t xml:space="preserve">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 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9F7EB5">
        <w:t>, efficiency</w:t>
      </w:r>
      <w:r w:rsidR="00EB2D61">
        <w:t xml:space="preserve">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E906FE" w:rsidRDefault="00E906FE" w:rsidP="00E906FE">
      <w:pPr>
        <w:spacing w:after="0" w:line="240" w:lineRule="auto"/>
      </w:pPr>
      <w:r>
        <w:t xml:space="preserve">In accordance with 5 CFR 1320.8(d), December 22, 2010 (75 FR 80542) a 60-day notice for public comment was published in the </w:t>
      </w:r>
      <w:r>
        <w:rPr>
          <w:i/>
        </w:rPr>
        <w:t>Federal Register</w:t>
      </w:r>
      <w:r>
        <w:t>.  There were no public comments received.</w:t>
      </w:r>
    </w:p>
    <w:p w:rsidR="00E906FE" w:rsidRDefault="00E906FE" w:rsidP="00E906FE">
      <w:pPr>
        <w:spacing w:after="0" w:line="240" w:lineRule="auto"/>
      </w:pP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w:t>
      </w:r>
      <w:r>
        <w:lastRenderedPageBreak/>
        <w:t xml:space="preserve">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00B64210" w:rsidRPr="00C43366">
        <w:t>(</w:t>
      </w:r>
      <w:r w:rsidR="00F0654C" w:rsidRPr="00C43366">
        <w:t>4,</w:t>
      </w:r>
      <w:r w:rsidR="005E1A0F">
        <w:t>950</w:t>
      </w:r>
      <w:r w:rsidR="00B64210" w:rsidRPr="00C43366">
        <w:t>)</w:t>
      </w:r>
      <w:r>
        <w:t xml:space="preserve"> are based on the number of collections we expect to conduct over the requested period for this </w:t>
      </w:r>
      <w:r w:rsidR="00B64210">
        <w:t>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rsidRPr="00C43366">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AA42F4" w:rsidRDefault="00982095">
            <w:pPr>
              <w:spacing w:after="0" w:line="240" w:lineRule="auto"/>
            </w:pPr>
          </w:p>
          <w:p w:rsidR="00982095" w:rsidRPr="00C43366" w:rsidRDefault="000C0A7E">
            <w:pPr>
              <w:tabs>
                <w:tab w:val="left" w:pos="-1080"/>
                <w:tab w:val="left" w:pos="-720"/>
                <w:tab w:val="left" w:pos="0"/>
                <w:tab w:val="left" w:pos="450"/>
                <w:tab w:val="left" w:pos="720"/>
                <w:tab w:val="left" w:pos="2160"/>
              </w:tabs>
              <w:spacing w:after="0" w:line="240" w:lineRule="auto"/>
              <w:jc w:val="center"/>
              <w:rPr>
                <w:sz w:val="20"/>
              </w:rPr>
            </w:pPr>
            <w:r w:rsidRPr="00AA42F4">
              <w:rPr>
                <w:sz w:val="20"/>
              </w:rPr>
              <w:t xml:space="preserve">           </w:t>
            </w:r>
            <w:r w:rsidRPr="00C43366">
              <w:rPr>
                <w:sz w:val="20"/>
              </w:rPr>
              <w:t>Estimated Annual Reporting Burden</w:t>
            </w:r>
          </w:p>
        </w:tc>
      </w:tr>
      <w:tr w:rsidR="00982095" w:rsidRPr="00C43366">
        <w:tc>
          <w:tcPr>
            <w:tcW w:w="2880" w:type="dxa"/>
            <w:tcBorders>
              <w:top w:val="single" w:sz="7" w:space="0" w:color="000000"/>
              <w:left w:val="single" w:sz="7" w:space="0" w:color="000000"/>
              <w:bottom w:val="single" w:sz="6" w:space="0" w:color="FFFFFF"/>
              <w:right w:val="single" w:sz="6" w:space="0" w:color="FFFFFF"/>
            </w:tcBorders>
          </w:tcPr>
          <w:p w:rsidR="00982095" w:rsidRPr="00C43366" w:rsidRDefault="00982095">
            <w:pPr>
              <w:spacing w:after="0" w:line="240" w:lineRule="auto"/>
              <w:rPr>
                <w:sz w:val="20"/>
              </w:rPr>
            </w:pPr>
          </w:p>
          <w:p w:rsidR="00982095" w:rsidRPr="00C43366" w:rsidRDefault="000C0A7E">
            <w:pPr>
              <w:tabs>
                <w:tab w:val="left" w:pos="-1080"/>
                <w:tab w:val="left" w:pos="-720"/>
                <w:tab w:val="left" w:pos="0"/>
                <w:tab w:val="left" w:pos="450"/>
                <w:tab w:val="left" w:pos="720"/>
                <w:tab w:val="left" w:pos="2160"/>
              </w:tabs>
              <w:spacing w:after="0" w:line="240" w:lineRule="auto"/>
              <w:jc w:val="center"/>
              <w:rPr>
                <w:sz w:val="20"/>
              </w:rPr>
            </w:pPr>
            <w:r w:rsidRPr="00C43366">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Pr="00C43366" w:rsidRDefault="00982095">
            <w:pPr>
              <w:spacing w:after="0" w:line="240" w:lineRule="auto"/>
              <w:rPr>
                <w:sz w:val="20"/>
              </w:rPr>
            </w:pPr>
          </w:p>
          <w:p w:rsidR="00982095" w:rsidRPr="00C43366" w:rsidRDefault="000C0A7E">
            <w:pPr>
              <w:tabs>
                <w:tab w:val="left" w:pos="-1080"/>
                <w:tab w:val="left" w:pos="-720"/>
                <w:tab w:val="left" w:pos="0"/>
                <w:tab w:val="left" w:pos="450"/>
                <w:tab w:val="left" w:pos="720"/>
                <w:tab w:val="left" w:pos="2160"/>
              </w:tabs>
              <w:spacing w:after="0" w:line="240" w:lineRule="auto"/>
              <w:jc w:val="center"/>
              <w:rPr>
                <w:sz w:val="20"/>
              </w:rPr>
            </w:pPr>
            <w:r w:rsidRPr="00C43366">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C43366" w:rsidRDefault="00982095">
            <w:pPr>
              <w:spacing w:after="0" w:line="240" w:lineRule="auto"/>
              <w:rPr>
                <w:sz w:val="20"/>
              </w:rPr>
            </w:pPr>
          </w:p>
          <w:p w:rsidR="00982095" w:rsidRPr="00C43366" w:rsidRDefault="000C0A7E">
            <w:pPr>
              <w:tabs>
                <w:tab w:val="left" w:pos="-1080"/>
                <w:tab w:val="left" w:pos="-720"/>
                <w:tab w:val="left" w:pos="0"/>
                <w:tab w:val="left" w:pos="450"/>
                <w:tab w:val="left" w:pos="720"/>
                <w:tab w:val="left" w:pos="2160"/>
              </w:tabs>
              <w:spacing w:after="0" w:line="240" w:lineRule="auto"/>
              <w:jc w:val="center"/>
              <w:rPr>
                <w:sz w:val="20"/>
              </w:rPr>
            </w:pPr>
            <w:r w:rsidRPr="00C43366">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C43366" w:rsidRDefault="00982095">
            <w:pPr>
              <w:spacing w:after="0" w:line="240" w:lineRule="auto"/>
              <w:rPr>
                <w:sz w:val="20"/>
              </w:rPr>
            </w:pPr>
          </w:p>
          <w:p w:rsidR="00982095" w:rsidRPr="00C43366" w:rsidRDefault="000C0A7E">
            <w:pPr>
              <w:tabs>
                <w:tab w:val="left" w:pos="-1080"/>
                <w:tab w:val="left" w:pos="-720"/>
                <w:tab w:val="left" w:pos="0"/>
                <w:tab w:val="left" w:pos="450"/>
                <w:tab w:val="left" w:pos="720"/>
                <w:tab w:val="left" w:pos="2160"/>
              </w:tabs>
              <w:spacing w:after="0" w:line="240" w:lineRule="auto"/>
              <w:jc w:val="center"/>
              <w:rPr>
                <w:sz w:val="20"/>
              </w:rPr>
            </w:pPr>
            <w:r w:rsidRPr="00C43366">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C43366" w:rsidRDefault="00982095">
            <w:pPr>
              <w:spacing w:after="0" w:line="240" w:lineRule="auto"/>
              <w:rPr>
                <w:sz w:val="20"/>
              </w:rPr>
            </w:pPr>
          </w:p>
          <w:p w:rsidR="00982095" w:rsidRPr="00C43366" w:rsidRDefault="000C0A7E">
            <w:pPr>
              <w:tabs>
                <w:tab w:val="left" w:pos="-1080"/>
                <w:tab w:val="left" w:pos="-720"/>
                <w:tab w:val="left" w:pos="0"/>
                <w:tab w:val="left" w:pos="450"/>
                <w:tab w:val="left" w:pos="720"/>
                <w:tab w:val="left" w:pos="2160"/>
              </w:tabs>
              <w:spacing w:after="0" w:line="240" w:lineRule="auto"/>
              <w:jc w:val="center"/>
              <w:rPr>
                <w:sz w:val="20"/>
              </w:rPr>
            </w:pPr>
            <w:r w:rsidRPr="00C43366">
              <w:rPr>
                <w:sz w:val="20"/>
              </w:rPr>
              <w:t>Total Hours</w:t>
            </w:r>
          </w:p>
        </w:tc>
      </w:tr>
      <w:tr w:rsidR="00982095" w:rsidRPr="00C43366" w:rsidTr="00D5179A">
        <w:tc>
          <w:tcPr>
            <w:tcW w:w="2880" w:type="dxa"/>
            <w:tcBorders>
              <w:top w:val="single" w:sz="7" w:space="0" w:color="000000"/>
              <w:left w:val="single" w:sz="7" w:space="0" w:color="000000"/>
              <w:bottom w:val="single" w:sz="7" w:space="0" w:color="000000"/>
              <w:right w:val="single" w:sz="6" w:space="0" w:color="FFFFFF"/>
            </w:tcBorders>
          </w:tcPr>
          <w:p w:rsidR="00982095" w:rsidRPr="00C43366" w:rsidRDefault="00C43366" w:rsidP="00B64210">
            <w:pPr>
              <w:tabs>
                <w:tab w:val="left" w:pos="-1080"/>
                <w:tab w:val="left" w:pos="-720"/>
                <w:tab w:val="left" w:pos="0"/>
                <w:tab w:val="left" w:pos="450"/>
                <w:tab w:val="left" w:pos="720"/>
                <w:tab w:val="left" w:pos="2160"/>
              </w:tabs>
              <w:spacing w:after="0" w:line="240" w:lineRule="auto"/>
              <w:rPr>
                <w:sz w:val="20"/>
              </w:rPr>
            </w:pPr>
            <w:r>
              <w:rPr>
                <w:sz w:val="20"/>
              </w:rPr>
              <w:t>Customer Comment Card/Complaint Form</w:t>
            </w:r>
          </w:p>
        </w:tc>
        <w:tc>
          <w:tcPr>
            <w:tcW w:w="1710" w:type="dxa"/>
            <w:tcBorders>
              <w:top w:val="single" w:sz="7" w:space="0" w:color="000000"/>
              <w:left w:val="single" w:sz="7" w:space="0" w:color="000000"/>
              <w:bottom w:val="single" w:sz="7" w:space="0" w:color="000000"/>
              <w:right w:val="single" w:sz="6" w:space="0" w:color="FFFFFF"/>
            </w:tcBorders>
          </w:tcPr>
          <w:p w:rsidR="00982095" w:rsidRPr="00C43366" w:rsidRDefault="005E1A0F" w:rsidP="00C43366">
            <w:pPr>
              <w:tabs>
                <w:tab w:val="left" w:pos="-1080"/>
                <w:tab w:val="left" w:pos="-720"/>
                <w:tab w:val="left" w:pos="0"/>
                <w:tab w:val="left" w:pos="450"/>
                <w:tab w:val="left" w:pos="720"/>
                <w:tab w:val="left" w:pos="2160"/>
              </w:tabs>
              <w:spacing w:after="0" w:line="240" w:lineRule="auto"/>
              <w:rPr>
                <w:sz w:val="20"/>
              </w:rPr>
            </w:pPr>
            <w:r>
              <w:rPr>
                <w:sz w:val="20"/>
              </w:rPr>
              <w:t>100</w:t>
            </w:r>
          </w:p>
        </w:tc>
        <w:tc>
          <w:tcPr>
            <w:tcW w:w="1710" w:type="dxa"/>
            <w:tcBorders>
              <w:top w:val="single" w:sz="7" w:space="0" w:color="000000"/>
              <w:left w:val="single" w:sz="7" w:space="0" w:color="000000"/>
              <w:bottom w:val="single" w:sz="7" w:space="0" w:color="000000"/>
              <w:right w:val="single" w:sz="6" w:space="0" w:color="FFFFFF"/>
            </w:tcBorders>
          </w:tcPr>
          <w:p w:rsidR="00982095" w:rsidRPr="00C43366" w:rsidRDefault="00D64225">
            <w:pPr>
              <w:tabs>
                <w:tab w:val="left" w:pos="-1080"/>
                <w:tab w:val="left" w:pos="-720"/>
                <w:tab w:val="left" w:pos="0"/>
                <w:tab w:val="left" w:pos="450"/>
                <w:tab w:val="left" w:pos="720"/>
                <w:tab w:val="left" w:pos="2160"/>
              </w:tabs>
              <w:spacing w:after="0" w:line="240" w:lineRule="auto"/>
              <w:rPr>
                <w:sz w:val="20"/>
              </w:rPr>
            </w:pPr>
            <w:r w:rsidRPr="00C43366">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C43366" w:rsidRDefault="00D64225">
            <w:pPr>
              <w:tabs>
                <w:tab w:val="left" w:pos="-1080"/>
                <w:tab w:val="left" w:pos="-720"/>
                <w:tab w:val="left" w:pos="0"/>
                <w:tab w:val="left" w:pos="450"/>
                <w:tab w:val="left" w:pos="720"/>
                <w:tab w:val="left" w:pos="2160"/>
              </w:tabs>
              <w:spacing w:after="0" w:line="240" w:lineRule="auto"/>
              <w:rPr>
                <w:sz w:val="20"/>
              </w:rPr>
            </w:pPr>
            <w:r w:rsidRPr="00C43366">
              <w:rPr>
                <w:sz w:val="20"/>
              </w:rPr>
              <w:t>0.25</w:t>
            </w:r>
          </w:p>
        </w:tc>
        <w:tc>
          <w:tcPr>
            <w:tcW w:w="1260" w:type="dxa"/>
            <w:tcBorders>
              <w:top w:val="single" w:sz="7" w:space="0" w:color="000000"/>
              <w:left w:val="single" w:sz="7" w:space="0" w:color="000000"/>
              <w:bottom w:val="single" w:sz="7" w:space="0" w:color="000000"/>
              <w:right w:val="single" w:sz="7" w:space="0" w:color="000000"/>
            </w:tcBorders>
          </w:tcPr>
          <w:p w:rsidR="00982095" w:rsidRPr="00C43366" w:rsidRDefault="005E1A0F" w:rsidP="005E1A0F">
            <w:pPr>
              <w:tabs>
                <w:tab w:val="left" w:pos="-1080"/>
                <w:tab w:val="left" w:pos="-720"/>
                <w:tab w:val="left" w:pos="0"/>
                <w:tab w:val="left" w:pos="450"/>
                <w:tab w:val="left" w:pos="720"/>
                <w:tab w:val="left" w:pos="2160"/>
              </w:tabs>
              <w:spacing w:after="0" w:line="240" w:lineRule="auto"/>
              <w:jc w:val="center"/>
              <w:rPr>
                <w:sz w:val="20"/>
              </w:rPr>
            </w:pPr>
            <w:r>
              <w:rPr>
                <w:sz w:val="20"/>
              </w:rPr>
              <w:t>25</w:t>
            </w:r>
          </w:p>
        </w:tc>
      </w:tr>
      <w:tr w:rsidR="00982095" w:rsidRPr="00C43366">
        <w:tc>
          <w:tcPr>
            <w:tcW w:w="2880" w:type="dxa"/>
            <w:tcBorders>
              <w:top w:val="single" w:sz="7" w:space="0" w:color="000000"/>
              <w:left w:val="single" w:sz="7" w:space="0" w:color="000000"/>
              <w:bottom w:val="single" w:sz="7" w:space="0" w:color="000000"/>
              <w:right w:val="single" w:sz="6" w:space="0" w:color="FFFFFF"/>
            </w:tcBorders>
          </w:tcPr>
          <w:p w:rsidR="00982095" w:rsidRPr="00C43366" w:rsidRDefault="00C43366">
            <w:pPr>
              <w:spacing w:after="0" w:line="240" w:lineRule="auto"/>
              <w:rPr>
                <w:sz w:val="20"/>
              </w:rPr>
            </w:pPr>
            <w:r>
              <w:rPr>
                <w:sz w:val="20"/>
              </w:rPr>
              <w:t>Usability Testing</w:t>
            </w:r>
          </w:p>
        </w:tc>
        <w:tc>
          <w:tcPr>
            <w:tcW w:w="1710" w:type="dxa"/>
            <w:tcBorders>
              <w:top w:val="single" w:sz="7" w:space="0" w:color="000000"/>
              <w:left w:val="single" w:sz="7" w:space="0" w:color="000000"/>
              <w:bottom w:val="single" w:sz="7" w:space="0" w:color="000000"/>
              <w:right w:val="single" w:sz="6" w:space="0" w:color="FFFFFF"/>
            </w:tcBorders>
          </w:tcPr>
          <w:p w:rsidR="00982095" w:rsidRPr="00C43366" w:rsidRDefault="005E1A0F">
            <w:pPr>
              <w:spacing w:after="0" w:line="240" w:lineRule="auto"/>
              <w:rPr>
                <w:sz w:val="20"/>
              </w:rPr>
            </w:pPr>
            <w:r>
              <w:rPr>
                <w:sz w:val="20"/>
              </w:rPr>
              <w:t>100</w:t>
            </w:r>
          </w:p>
        </w:tc>
        <w:tc>
          <w:tcPr>
            <w:tcW w:w="1710" w:type="dxa"/>
            <w:tcBorders>
              <w:top w:val="single" w:sz="7" w:space="0" w:color="000000"/>
              <w:left w:val="single" w:sz="7" w:space="0" w:color="000000"/>
              <w:bottom w:val="single" w:sz="7" w:space="0" w:color="000000"/>
              <w:right w:val="single" w:sz="6" w:space="0" w:color="FFFFFF"/>
            </w:tcBorders>
          </w:tcPr>
          <w:p w:rsidR="00982095" w:rsidRPr="00C43366" w:rsidRDefault="00C43366">
            <w:pPr>
              <w:spacing w:after="0" w:line="240" w:lineRule="auto"/>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C43366" w:rsidRDefault="00D64225">
            <w:pPr>
              <w:spacing w:after="0" w:line="240" w:lineRule="auto"/>
              <w:rPr>
                <w:sz w:val="20"/>
              </w:rPr>
            </w:pPr>
            <w:r w:rsidRPr="00C43366">
              <w:rPr>
                <w:sz w:val="20"/>
              </w:rPr>
              <w:t>0.</w:t>
            </w:r>
            <w:r w:rsidR="00D5179A">
              <w:rPr>
                <w:sz w:val="20"/>
              </w:rPr>
              <w:t>50</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C43366" w:rsidRDefault="005E1A0F">
            <w:pPr>
              <w:tabs>
                <w:tab w:val="left" w:pos="-1080"/>
                <w:tab w:val="left" w:pos="-720"/>
                <w:tab w:val="left" w:pos="0"/>
                <w:tab w:val="left" w:pos="450"/>
                <w:tab w:val="left" w:pos="720"/>
                <w:tab w:val="left" w:pos="2160"/>
              </w:tabs>
              <w:spacing w:after="0" w:line="240" w:lineRule="auto"/>
              <w:jc w:val="center"/>
              <w:rPr>
                <w:sz w:val="20"/>
              </w:rPr>
            </w:pPr>
            <w:r>
              <w:rPr>
                <w:sz w:val="20"/>
              </w:rPr>
              <w:t>50</w:t>
            </w:r>
          </w:p>
        </w:tc>
      </w:tr>
      <w:tr w:rsidR="00982095" w:rsidRPr="00C43366">
        <w:tc>
          <w:tcPr>
            <w:tcW w:w="2880" w:type="dxa"/>
            <w:tcBorders>
              <w:top w:val="single" w:sz="7" w:space="0" w:color="000000"/>
              <w:left w:val="single" w:sz="7" w:space="0" w:color="000000"/>
              <w:bottom w:val="single" w:sz="7" w:space="0" w:color="000000"/>
              <w:right w:val="single" w:sz="6" w:space="0" w:color="FFFFFF"/>
            </w:tcBorders>
          </w:tcPr>
          <w:p w:rsidR="00982095" w:rsidRPr="00C43366" w:rsidRDefault="00C43366">
            <w:pPr>
              <w:spacing w:after="0" w:line="240" w:lineRule="auto"/>
              <w:rPr>
                <w:sz w:val="20"/>
              </w:rPr>
            </w:pPr>
            <w:r>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rsidR="00982095" w:rsidRPr="00C43366" w:rsidRDefault="00C43366">
            <w:pPr>
              <w:spacing w:after="0" w:line="240" w:lineRule="auto"/>
              <w:rPr>
                <w:sz w:val="20"/>
              </w:rPr>
            </w:pPr>
            <w:r>
              <w:rPr>
                <w:sz w:val="20"/>
              </w:rPr>
              <w:t>750</w:t>
            </w:r>
          </w:p>
        </w:tc>
        <w:tc>
          <w:tcPr>
            <w:tcW w:w="1710" w:type="dxa"/>
            <w:tcBorders>
              <w:top w:val="single" w:sz="7" w:space="0" w:color="000000"/>
              <w:left w:val="single" w:sz="7" w:space="0" w:color="000000"/>
              <w:bottom w:val="single" w:sz="7" w:space="0" w:color="000000"/>
              <w:right w:val="single" w:sz="6" w:space="0" w:color="FFFFFF"/>
            </w:tcBorders>
          </w:tcPr>
          <w:p w:rsidR="00982095" w:rsidRPr="00C43366" w:rsidRDefault="00D64225">
            <w:pPr>
              <w:spacing w:after="0" w:line="240" w:lineRule="auto"/>
              <w:rPr>
                <w:sz w:val="20"/>
              </w:rPr>
            </w:pPr>
            <w:r w:rsidRPr="00C43366">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C43366" w:rsidRDefault="00D5179A">
            <w:pPr>
              <w:spacing w:after="0" w:line="240" w:lineRule="auto"/>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C43366" w:rsidRDefault="005E1A0F">
            <w:pPr>
              <w:tabs>
                <w:tab w:val="left" w:pos="-1080"/>
                <w:tab w:val="left" w:pos="-720"/>
                <w:tab w:val="left" w:pos="0"/>
                <w:tab w:val="left" w:pos="450"/>
                <w:tab w:val="left" w:pos="720"/>
                <w:tab w:val="left" w:pos="2160"/>
              </w:tabs>
              <w:spacing w:after="0" w:line="240" w:lineRule="auto"/>
              <w:jc w:val="center"/>
              <w:rPr>
                <w:sz w:val="20"/>
              </w:rPr>
            </w:pPr>
            <w:r>
              <w:rPr>
                <w:sz w:val="20"/>
              </w:rPr>
              <w:t>750</w:t>
            </w:r>
          </w:p>
        </w:tc>
      </w:tr>
      <w:tr w:rsidR="00B64210" w:rsidRPr="00AA42F4">
        <w:tc>
          <w:tcPr>
            <w:tcW w:w="2880" w:type="dxa"/>
            <w:tcBorders>
              <w:top w:val="single" w:sz="7" w:space="0" w:color="000000"/>
              <w:left w:val="single" w:sz="7" w:space="0" w:color="000000"/>
              <w:bottom w:val="single" w:sz="7" w:space="0" w:color="000000"/>
              <w:right w:val="single" w:sz="6" w:space="0" w:color="FFFFFF"/>
            </w:tcBorders>
          </w:tcPr>
          <w:p w:rsidR="00B64210" w:rsidRPr="00C43366" w:rsidRDefault="00C43366">
            <w:pPr>
              <w:spacing w:after="0" w:line="240" w:lineRule="auto"/>
              <w:rPr>
                <w:sz w:val="20"/>
              </w:rPr>
            </w:pPr>
            <w:r>
              <w:rPr>
                <w:sz w:val="20"/>
              </w:rPr>
              <w:t>Customer Satisfaction Survey</w:t>
            </w:r>
          </w:p>
        </w:tc>
        <w:tc>
          <w:tcPr>
            <w:tcW w:w="1710" w:type="dxa"/>
            <w:tcBorders>
              <w:top w:val="single" w:sz="7" w:space="0" w:color="000000"/>
              <w:left w:val="single" w:sz="7" w:space="0" w:color="000000"/>
              <w:bottom w:val="single" w:sz="7" w:space="0" w:color="000000"/>
              <w:right w:val="single" w:sz="6" w:space="0" w:color="FFFFFF"/>
            </w:tcBorders>
          </w:tcPr>
          <w:p w:rsidR="00B64210" w:rsidRPr="00C43366" w:rsidRDefault="00D5179A">
            <w:pPr>
              <w:spacing w:after="0" w:line="240" w:lineRule="auto"/>
              <w:rPr>
                <w:sz w:val="20"/>
              </w:rPr>
            </w:pPr>
            <w:r>
              <w:rPr>
                <w:sz w:val="20"/>
              </w:rPr>
              <w:t>1</w:t>
            </w:r>
            <w:r w:rsidR="005E1A0F">
              <w:rPr>
                <w:sz w:val="20"/>
              </w:rPr>
              <w:t>3,500</w:t>
            </w:r>
          </w:p>
        </w:tc>
        <w:tc>
          <w:tcPr>
            <w:tcW w:w="1710" w:type="dxa"/>
            <w:tcBorders>
              <w:top w:val="single" w:sz="7" w:space="0" w:color="000000"/>
              <w:left w:val="single" w:sz="7" w:space="0" w:color="000000"/>
              <w:bottom w:val="single" w:sz="7" w:space="0" w:color="000000"/>
              <w:right w:val="single" w:sz="6" w:space="0" w:color="FFFFFF"/>
            </w:tcBorders>
          </w:tcPr>
          <w:p w:rsidR="00B64210" w:rsidRPr="00C43366" w:rsidRDefault="00D64225">
            <w:pPr>
              <w:spacing w:after="0" w:line="240" w:lineRule="auto"/>
              <w:rPr>
                <w:sz w:val="20"/>
              </w:rPr>
            </w:pPr>
            <w:r w:rsidRPr="00C43366">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B64210" w:rsidRPr="00C43366" w:rsidRDefault="00D5179A">
            <w:pPr>
              <w:spacing w:after="0" w:line="240" w:lineRule="auto"/>
              <w:rPr>
                <w:sz w:val="20"/>
              </w:rPr>
            </w:pPr>
            <w:r>
              <w:rPr>
                <w:sz w:val="20"/>
              </w:rPr>
              <w:t>0.25</w:t>
            </w:r>
          </w:p>
        </w:tc>
        <w:tc>
          <w:tcPr>
            <w:tcW w:w="1260" w:type="dxa"/>
            <w:tcBorders>
              <w:top w:val="single" w:sz="7" w:space="0" w:color="000000"/>
              <w:left w:val="single" w:sz="7" w:space="0" w:color="000000"/>
              <w:bottom w:val="single" w:sz="7" w:space="0" w:color="000000"/>
              <w:right w:val="single" w:sz="7" w:space="0" w:color="000000"/>
            </w:tcBorders>
            <w:vAlign w:val="bottom"/>
          </w:tcPr>
          <w:p w:rsidR="00B64210" w:rsidRDefault="005E1A0F">
            <w:pPr>
              <w:tabs>
                <w:tab w:val="left" w:pos="-1080"/>
                <w:tab w:val="left" w:pos="-720"/>
                <w:tab w:val="left" w:pos="0"/>
                <w:tab w:val="left" w:pos="450"/>
                <w:tab w:val="left" w:pos="720"/>
                <w:tab w:val="left" w:pos="2160"/>
              </w:tabs>
              <w:spacing w:after="0" w:line="240" w:lineRule="auto"/>
              <w:jc w:val="center"/>
              <w:rPr>
                <w:sz w:val="20"/>
              </w:rPr>
            </w:pPr>
            <w:r>
              <w:rPr>
                <w:sz w:val="20"/>
              </w:rPr>
              <w:t>3375</w:t>
            </w:r>
          </w:p>
        </w:tc>
      </w:tr>
      <w:tr w:rsidR="00C43366" w:rsidRPr="00AA42F4">
        <w:tc>
          <w:tcPr>
            <w:tcW w:w="2880" w:type="dxa"/>
            <w:tcBorders>
              <w:top w:val="single" w:sz="7" w:space="0" w:color="000000"/>
              <w:left w:val="single" w:sz="7" w:space="0" w:color="000000"/>
              <w:bottom w:val="single" w:sz="7" w:space="0" w:color="000000"/>
              <w:right w:val="single" w:sz="6" w:space="0" w:color="FFFFFF"/>
            </w:tcBorders>
          </w:tcPr>
          <w:p w:rsidR="00C43366" w:rsidRDefault="00C43366">
            <w:pPr>
              <w:spacing w:after="0" w:line="240" w:lineRule="auto"/>
              <w:rPr>
                <w:sz w:val="20"/>
              </w:rPr>
            </w:pPr>
            <w:r>
              <w:rPr>
                <w:sz w:val="20"/>
              </w:rPr>
              <w:t>Small Discussion Group</w:t>
            </w:r>
          </w:p>
        </w:tc>
        <w:tc>
          <w:tcPr>
            <w:tcW w:w="1710" w:type="dxa"/>
            <w:tcBorders>
              <w:top w:val="single" w:sz="7" w:space="0" w:color="000000"/>
              <w:left w:val="single" w:sz="7" w:space="0" w:color="000000"/>
              <w:bottom w:val="single" w:sz="7" w:space="0" w:color="000000"/>
              <w:right w:val="single" w:sz="6" w:space="0" w:color="FFFFFF"/>
            </w:tcBorders>
          </w:tcPr>
          <w:p w:rsidR="00C43366" w:rsidRPr="00C43366" w:rsidRDefault="00D5179A">
            <w:pPr>
              <w:spacing w:after="0" w:line="240" w:lineRule="auto"/>
              <w:rPr>
                <w:sz w:val="20"/>
              </w:rPr>
            </w:pPr>
            <w:r>
              <w:rPr>
                <w:sz w:val="20"/>
              </w:rPr>
              <w:t>750</w:t>
            </w:r>
          </w:p>
        </w:tc>
        <w:tc>
          <w:tcPr>
            <w:tcW w:w="1710" w:type="dxa"/>
            <w:tcBorders>
              <w:top w:val="single" w:sz="7" w:space="0" w:color="000000"/>
              <w:left w:val="single" w:sz="7" w:space="0" w:color="000000"/>
              <w:bottom w:val="single" w:sz="7" w:space="0" w:color="000000"/>
              <w:right w:val="single" w:sz="6" w:space="0" w:color="FFFFFF"/>
            </w:tcBorders>
          </w:tcPr>
          <w:p w:rsidR="00C43366" w:rsidRPr="00C43366" w:rsidRDefault="00D5179A">
            <w:pPr>
              <w:spacing w:after="0" w:line="240" w:lineRule="auto"/>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C43366" w:rsidRPr="00C43366" w:rsidRDefault="00D5179A">
            <w:pPr>
              <w:spacing w:after="0" w:line="240" w:lineRule="auto"/>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C43366" w:rsidRPr="00C43366" w:rsidRDefault="005E1A0F">
            <w:pPr>
              <w:tabs>
                <w:tab w:val="left" w:pos="-1080"/>
                <w:tab w:val="left" w:pos="-720"/>
                <w:tab w:val="left" w:pos="0"/>
                <w:tab w:val="left" w:pos="450"/>
                <w:tab w:val="left" w:pos="720"/>
                <w:tab w:val="left" w:pos="2160"/>
              </w:tabs>
              <w:spacing w:after="0" w:line="240" w:lineRule="auto"/>
              <w:jc w:val="center"/>
              <w:rPr>
                <w:sz w:val="20"/>
              </w:rPr>
            </w:pPr>
            <w:r>
              <w:rPr>
                <w:sz w:val="20"/>
              </w:rPr>
              <w:t>750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1C21AC" w:rsidRPr="00C43366" w:rsidRDefault="000C0A7E" w:rsidP="00875999">
      <w:pPr>
        <w:spacing w:line="240" w:lineRule="auto"/>
      </w:pPr>
      <w:r>
        <w:lastRenderedPageBreak/>
        <w:t xml:space="preserve">The anticipated cost to the Federal Government is </w:t>
      </w:r>
      <w:r w:rsidR="006C068A" w:rsidRPr="00C43366">
        <w:t xml:space="preserve">approximately </w:t>
      </w:r>
      <w:r w:rsidR="0010741B" w:rsidRPr="00C43366">
        <w:rPr>
          <w:rFonts w:asciiTheme="minorHAnsi" w:hAnsiTheme="minorHAnsi"/>
        </w:rPr>
        <w:t>$4</w:t>
      </w:r>
      <w:r w:rsidR="002F3E64" w:rsidRPr="00C43366">
        <w:rPr>
          <w:rFonts w:asciiTheme="minorHAnsi" w:hAnsiTheme="minorHAnsi"/>
        </w:rPr>
        <w:t>66,545</w:t>
      </w:r>
      <w:r w:rsidR="002F3E64">
        <w:rPr>
          <w:rFonts w:asciiTheme="minorHAnsi" w:hAnsiTheme="minorHAnsi"/>
          <w:b/>
        </w:rPr>
        <w:t xml:space="preserve"> </w:t>
      </w:r>
      <w:r>
        <w:t>annually.  These costs are comprised of</w:t>
      </w:r>
      <w:r w:rsidRPr="00875999">
        <w:t>:</w:t>
      </w:r>
      <w:r w:rsidR="00D64AAF" w:rsidRPr="00875999">
        <w:t xml:space="preserve"> </w:t>
      </w:r>
      <w:r w:rsidR="00D15139">
        <w:t xml:space="preserve"> </w:t>
      </w:r>
      <w:r w:rsidR="00D15139" w:rsidRPr="00C43366">
        <w:t>Government personnel costs will be $</w:t>
      </w:r>
      <w:r w:rsidR="002F3E64" w:rsidRPr="00C43366">
        <w:t>16,125</w:t>
      </w:r>
      <w:r w:rsidR="00D15139" w:rsidRPr="00C43366">
        <w:t>,</w:t>
      </w:r>
      <w:r w:rsidR="002F3E64" w:rsidRPr="00C43366">
        <w:t xml:space="preserve"> </w:t>
      </w:r>
      <w:r w:rsidR="00D15139" w:rsidRPr="00C43366">
        <w:t>assuming a median GS-13 annual salary of $103,872 for an NIH professional to govern and guide the projects, and a median GS-11 annual salary of $72,876 for administrative and technical support in processing individual survey instruments through clearance.  Salaries are based on the January 2011 General Schedule (</w:t>
      </w:r>
      <w:hyperlink r:id="rId8" w:history="1">
        <w:r w:rsidR="00D15139" w:rsidRPr="00C43366">
          <w:rPr>
            <w:rStyle w:val="Hyperlink"/>
          </w:rPr>
          <w:t>http://www.opm.gov/oca/11tables/pdf/DCB.pdf</w:t>
        </w:r>
      </w:hyperlink>
      <w:r w:rsidR="00D15139" w:rsidRPr="00C43366">
        <w:t xml:space="preserve">).   </w:t>
      </w:r>
    </w:p>
    <w:p w:rsidR="00875999" w:rsidRPr="00C43366" w:rsidRDefault="00D15139" w:rsidP="00875999">
      <w:pPr>
        <w:spacing w:line="240" w:lineRule="auto"/>
        <w:rPr>
          <w:rFonts w:asciiTheme="minorHAnsi" w:hAnsiTheme="minorHAnsi"/>
        </w:rPr>
      </w:pPr>
      <w:r w:rsidRPr="00C43366">
        <w:t xml:space="preserve">Contractor </w:t>
      </w:r>
      <w:r w:rsidR="001C21AC" w:rsidRPr="00C43366">
        <w:t>support will also be required to carry out the data collection efforts.  A typical project costs $</w:t>
      </w:r>
      <w:r w:rsidR="0010741B" w:rsidRPr="00C43366">
        <w:t>150,000</w:t>
      </w:r>
      <w:r w:rsidR="001C21AC" w:rsidRPr="00C43366">
        <w:t>, of which $</w:t>
      </w:r>
      <w:r w:rsidR="0010741B" w:rsidRPr="00C43366">
        <w:t>90</w:t>
      </w:r>
      <w:r w:rsidR="001C21AC" w:rsidRPr="00C43366">
        <w:t xml:space="preserve">,000 is devoted to survey activities.  The NICHD anticipates undertaking no more than </w:t>
      </w:r>
      <w:r w:rsidR="002F3E64" w:rsidRPr="00C43366">
        <w:t>5</w:t>
      </w:r>
      <w:r w:rsidR="001C21AC" w:rsidRPr="00C43366">
        <w:t xml:space="preserve"> projects in 12 months.  </w:t>
      </w:r>
    </w:p>
    <w:p w:rsidR="00982095" w:rsidRPr="00C43366" w:rsidRDefault="001C21AC">
      <w:pPr>
        <w:pStyle w:val="ListParagraph"/>
        <w:spacing w:after="0" w:line="240" w:lineRule="auto"/>
        <w:ind w:left="0"/>
        <w:rPr>
          <w:rFonts w:asciiTheme="minorHAnsi" w:hAnsiTheme="minorHAnsi"/>
        </w:rPr>
      </w:pPr>
      <w:r w:rsidRPr="00C43366">
        <w:rPr>
          <w:rFonts w:asciiTheme="minorHAnsi" w:hAnsiTheme="minorHAnsi"/>
        </w:rPr>
        <w:t xml:space="preserve">There may also be mailing costs for paper survey totaling $420, assuming a US Postal rate of $0.42 per ounce.  The details of the total cost are provided in the table below.  </w:t>
      </w:r>
    </w:p>
    <w:p w:rsidR="001C21AC" w:rsidRPr="00C43366" w:rsidRDefault="001C21AC">
      <w:pPr>
        <w:pStyle w:val="ListParagraph"/>
        <w:spacing w:after="0" w:line="240" w:lineRule="auto"/>
        <w:ind w:left="0"/>
        <w:rPr>
          <w:rFonts w:asciiTheme="minorHAnsi" w:hAnsiTheme="minorHAnsi"/>
        </w:rPr>
      </w:pPr>
    </w:p>
    <w:tbl>
      <w:tblPr>
        <w:tblStyle w:val="TableGrid"/>
        <w:tblW w:w="0" w:type="auto"/>
        <w:tblLook w:val="04A0"/>
      </w:tblPr>
      <w:tblGrid>
        <w:gridCol w:w="7398"/>
        <w:gridCol w:w="2178"/>
      </w:tblGrid>
      <w:tr w:rsidR="001C21AC" w:rsidRPr="00C43366" w:rsidTr="001C21AC">
        <w:tc>
          <w:tcPr>
            <w:tcW w:w="7398" w:type="dxa"/>
          </w:tcPr>
          <w:p w:rsidR="001C21AC" w:rsidRPr="00C43366" w:rsidRDefault="001C21AC" w:rsidP="002F3E64">
            <w:pPr>
              <w:pStyle w:val="ListParagraph"/>
              <w:spacing w:after="0" w:line="240" w:lineRule="auto"/>
              <w:ind w:left="0"/>
              <w:jc w:val="center"/>
              <w:rPr>
                <w:rFonts w:asciiTheme="minorHAnsi" w:hAnsiTheme="minorHAnsi"/>
                <w:b/>
              </w:rPr>
            </w:pPr>
            <w:r w:rsidRPr="00C43366">
              <w:rPr>
                <w:rFonts w:asciiTheme="minorHAnsi" w:hAnsiTheme="minorHAnsi"/>
                <w:b/>
              </w:rPr>
              <w:t>Activity</w:t>
            </w:r>
          </w:p>
        </w:tc>
        <w:tc>
          <w:tcPr>
            <w:tcW w:w="2178" w:type="dxa"/>
          </w:tcPr>
          <w:p w:rsidR="001C21AC" w:rsidRPr="00C43366" w:rsidRDefault="001C21AC" w:rsidP="002F3E64">
            <w:pPr>
              <w:pStyle w:val="ListParagraph"/>
              <w:spacing w:after="0" w:line="240" w:lineRule="auto"/>
              <w:ind w:left="0"/>
              <w:jc w:val="center"/>
              <w:rPr>
                <w:rFonts w:asciiTheme="minorHAnsi" w:hAnsiTheme="minorHAnsi"/>
                <w:b/>
              </w:rPr>
            </w:pPr>
            <w:r w:rsidRPr="00C43366">
              <w:rPr>
                <w:rFonts w:asciiTheme="minorHAnsi" w:hAnsiTheme="minorHAnsi"/>
                <w:b/>
              </w:rPr>
              <w:t>Cost</w:t>
            </w:r>
          </w:p>
        </w:tc>
      </w:tr>
      <w:tr w:rsidR="002F3E64" w:rsidRPr="00C43366" w:rsidTr="001C21AC">
        <w:tc>
          <w:tcPr>
            <w:tcW w:w="7398" w:type="dxa"/>
          </w:tcPr>
          <w:p w:rsidR="002F3E64" w:rsidRPr="00C43366" w:rsidRDefault="002F3E64">
            <w:pPr>
              <w:pStyle w:val="ListParagraph"/>
              <w:spacing w:after="0" w:line="240" w:lineRule="auto"/>
              <w:ind w:left="0"/>
              <w:rPr>
                <w:rFonts w:asciiTheme="minorHAnsi" w:hAnsiTheme="minorHAnsi"/>
                <w:b/>
              </w:rPr>
            </w:pPr>
            <w:r w:rsidRPr="00C43366">
              <w:rPr>
                <w:rFonts w:asciiTheme="minorHAnsi" w:hAnsiTheme="minorHAnsi"/>
                <w:b/>
              </w:rPr>
              <w:t>Administration of the Clearance</w:t>
            </w:r>
          </w:p>
        </w:tc>
        <w:tc>
          <w:tcPr>
            <w:tcW w:w="2178" w:type="dxa"/>
          </w:tcPr>
          <w:p w:rsidR="002F3E64" w:rsidRPr="00C43366" w:rsidRDefault="002F3E64">
            <w:pPr>
              <w:pStyle w:val="ListParagraph"/>
              <w:spacing w:after="0" w:line="240" w:lineRule="auto"/>
              <w:ind w:left="0"/>
              <w:rPr>
                <w:rFonts w:asciiTheme="minorHAnsi" w:hAnsiTheme="minorHAnsi"/>
              </w:rPr>
            </w:pPr>
          </w:p>
        </w:tc>
      </w:tr>
      <w:tr w:rsidR="001C21AC" w:rsidRPr="00C43366" w:rsidTr="001C21AC">
        <w:tc>
          <w:tcPr>
            <w:tcW w:w="7398" w:type="dxa"/>
          </w:tcPr>
          <w:p w:rsidR="001C21AC" w:rsidRPr="00C43366" w:rsidRDefault="001C21AC">
            <w:pPr>
              <w:pStyle w:val="ListParagraph"/>
              <w:spacing w:after="0" w:line="240" w:lineRule="auto"/>
              <w:ind w:left="0"/>
              <w:rPr>
                <w:rFonts w:asciiTheme="minorHAnsi" w:hAnsiTheme="minorHAnsi"/>
              </w:rPr>
            </w:pPr>
            <w:r w:rsidRPr="00C43366">
              <w:rPr>
                <w:rFonts w:asciiTheme="minorHAnsi" w:hAnsiTheme="minorHAnsi"/>
              </w:rPr>
              <w:t xml:space="preserve">NIH Expertise – 5% FTE at </w:t>
            </w:r>
            <w:r w:rsidR="002F3E64" w:rsidRPr="00C43366">
              <w:rPr>
                <w:rFonts w:asciiTheme="minorHAnsi" w:hAnsiTheme="minorHAnsi"/>
              </w:rPr>
              <w:t>$103,872</w:t>
            </w:r>
            <w:r w:rsidRPr="00C43366">
              <w:rPr>
                <w:rFonts w:asciiTheme="minorHAnsi" w:hAnsiTheme="minorHAnsi"/>
              </w:rPr>
              <w:t xml:space="preserve"> </w:t>
            </w:r>
          </w:p>
        </w:tc>
        <w:tc>
          <w:tcPr>
            <w:tcW w:w="2178" w:type="dxa"/>
          </w:tcPr>
          <w:p w:rsidR="001C21AC" w:rsidRPr="00C43366" w:rsidRDefault="002F3E64">
            <w:pPr>
              <w:pStyle w:val="ListParagraph"/>
              <w:spacing w:after="0" w:line="240" w:lineRule="auto"/>
              <w:ind w:left="0"/>
              <w:rPr>
                <w:rFonts w:asciiTheme="minorHAnsi" w:hAnsiTheme="minorHAnsi"/>
              </w:rPr>
            </w:pPr>
            <w:r w:rsidRPr="00C43366">
              <w:rPr>
                <w:rFonts w:asciiTheme="minorHAnsi" w:hAnsiTheme="minorHAnsi"/>
              </w:rPr>
              <w:t>$5,193.60</w:t>
            </w:r>
          </w:p>
        </w:tc>
      </w:tr>
      <w:tr w:rsidR="001C21AC" w:rsidRPr="00C43366" w:rsidTr="001C21AC">
        <w:tc>
          <w:tcPr>
            <w:tcW w:w="7398" w:type="dxa"/>
          </w:tcPr>
          <w:p w:rsidR="001C21AC" w:rsidRPr="00C43366" w:rsidRDefault="002F3E64">
            <w:pPr>
              <w:pStyle w:val="ListParagraph"/>
              <w:spacing w:after="0" w:line="240" w:lineRule="auto"/>
              <w:ind w:left="0"/>
              <w:rPr>
                <w:rFonts w:asciiTheme="minorHAnsi" w:hAnsiTheme="minorHAnsi"/>
              </w:rPr>
            </w:pPr>
            <w:r w:rsidRPr="00C43366">
              <w:rPr>
                <w:rFonts w:asciiTheme="minorHAnsi" w:hAnsiTheme="minorHAnsi"/>
              </w:rPr>
              <w:t>Administrative Support – 15% FTE at $72,876</w:t>
            </w:r>
          </w:p>
        </w:tc>
        <w:tc>
          <w:tcPr>
            <w:tcW w:w="2178" w:type="dxa"/>
          </w:tcPr>
          <w:p w:rsidR="001C21AC" w:rsidRPr="00C43366" w:rsidRDefault="002F3E64">
            <w:pPr>
              <w:pStyle w:val="ListParagraph"/>
              <w:spacing w:after="0" w:line="240" w:lineRule="auto"/>
              <w:ind w:left="0"/>
              <w:rPr>
                <w:rFonts w:asciiTheme="minorHAnsi" w:hAnsiTheme="minorHAnsi"/>
              </w:rPr>
            </w:pPr>
            <w:r w:rsidRPr="00C43366">
              <w:rPr>
                <w:rFonts w:asciiTheme="minorHAnsi" w:hAnsiTheme="minorHAnsi"/>
              </w:rPr>
              <w:t>$10,931.40</w:t>
            </w:r>
          </w:p>
        </w:tc>
      </w:tr>
      <w:tr w:rsidR="001C21AC" w:rsidRPr="00C43366" w:rsidTr="001C21AC">
        <w:tc>
          <w:tcPr>
            <w:tcW w:w="7398" w:type="dxa"/>
          </w:tcPr>
          <w:p w:rsidR="001C21AC" w:rsidRPr="00C43366" w:rsidRDefault="001C21AC">
            <w:pPr>
              <w:pStyle w:val="ListParagraph"/>
              <w:spacing w:after="0" w:line="240" w:lineRule="auto"/>
              <w:ind w:left="0"/>
              <w:rPr>
                <w:rFonts w:asciiTheme="minorHAnsi" w:hAnsiTheme="minorHAnsi"/>
              </w:rPr>
            </w:pPr>
          </w:p>
        </w:tc>
        <w:tc>
          <w:tcPr>
            <w:tcW w:w="2178" w:type="dxa"/>
          </w:tcPr>
          <w:p w:rsidR="001C21AC" w:rsidRPr="00C43366" w:rsidRDefault="001C21AC">
            <w:pPr>
              <w:pStyle w:val="ListParagraph"/>
              <w:spacing w:after="0" w:line="240" w:lineRule="auto"/>
              <w:ind w:left="0"/>
              <w:rPr>
                <w:rFonts w:asciiTheme="minorHAnsi" w:hAnsiTheme="minorHAnsi"/>
              </w:rPr>
            </w:pPr>
          </w:p>
        </w:tc>
      </w:tr>
      <w:tr w:rsidR="001C21AC" w:rsidRPr="00C43366" w:rsidTr="001C21AC">
        <w:tc>
          <w:tcPr>
            <w:tcW w:w="7398" w:type="dxa"/>
          </w:tcPr>
          <w:p w:rsidR="001C21AC" w:rsidRPr="00C43366" w:rsidRDefault="002F3E64">
            <w:pPr>
              <w:pStyle w:val="ListParagraph"/>
              <w:spacing w:after="0" w:line="240" w:lineRule="auto"/>
              <w:ind w:left="0"/>
              <w:rPr>
                <w:rFonts w:asciiTheme="minorHAnsi" w:hAnsiTheme="minorHAnsi"/>
                <w:b/>
              </w:rPr>
            </w:pPr>
            <w:r w:rsidRPr="00C43366">
              <w:rPr>
                <w:rFonts w:asciiTheme="minorHAnsi" w:hAnsiTheme="minorHAnsi"/>
                <w:b/>
              </w:rPr>
              <w:t>Contract Support for Data Collection</w:t>
            </w:r>
          </w:p>
        </w:tc>
        <w:tc>
          <w:tcPr>
            <w:tcW w:w="2178" w:type="dxa"/>
          </w:tcPr>
          <w:p w:rsidR="001C21AC" w:rsidRPr="00C43366" w:rsidRDefault="001C21AC">
            <w:pPr>
              <w:pStyle w:val="ListParagraph"/>
              <w:spacing w:after="0" w:line="240" w:lineRule="auto"/>
              <w:ind w:left="0"/>
              <w:rPr>
                <w:rFonts w:asciiTheme="minorHAnsi" w:hAnsiTheme="minorHAnsi"/>
              </w:rPr>
            </w:pPr>
          </w:p>
        </w:tc>
      </w:tr>
      <w:tr w:rsidR="001C21AC" w:rsidRPr="00C43366" w:rsidTr="001C21AC">
        <w:tc>
          <w:tcPr>
            <w:tcW w:w="7398" w:type="dxa"/>
          </w:tcPr>
          <w:p w:rsidR="001C21AC" w:rsidRPr="00C43366" w:rsidRDefault="002F3E64" w:rsidP="0010741B">
            <w:pPr>
              <w:pStyle w:val="ListParagraph"/>
              <w:spacing w:after="0" w:line="240" w:lineRule="auto"/>
              <w:ind w:left="0"/>
              <w:rPr>
                <w:rFonts w:asciiTheme="minorHAnsi" w:hAnsiTheme="minorHAnsi"/>
              </w:rPr>
            </w:pPr>
            <w:r w:rsidRPr="00C43366">
              <w:rPr>
                <w:rFonts w:asciiTheme="minorHAnsi" w:hAnsiTheme="minorHAnsi"/>
              </w:rPr>
              <w:t>5 projects per year at $</w:t>
            </w:r>
            <w:r w:rsidR="0010741B" w:rsidRPr="00C43366">
              <w:rPr>
                <w:rFonts w:asciiTheme="minorHAnsi" w:hAnsiTheme="minorHAnsi"/>
              </w:rPr>
              <w:t>90,000</w:t>
            </w:r>
            <w:r w:rsidRPr="00C43366">
              <w:rPr>
                <w:rFonts w:asciiTheme="minorHAnsi" w:hAnsiTheme="minorHAnsi"/>
              </w:rPr>
              <w:t xml:space="preserve"> per project</w:t>
            </w:r>
          </w:p>
        </w:tc>
        <w:tc>
          <w:tcPr>
            <w:tcW w:w="2178" w:type="dxa"/>
          </w:tcPr>
          <w:p w:rsidR="001C21AC" w:rsidRPr="00C43366" w:rsidRDefault="002F3E64" w:rsidP="0010741B">
            <w:pPr>
              <w:pStyle w:val="ListParagraph"/>
              <w:spacing w:after="0" w:line="240" w:lineRule="auto"/>
              <w:ind w:left="0"/>
              <w:rPr>
                <w:rFonts w:asciiTheme="minorHAnsi" w:hAnsiTheme="minorHAnsi"/>
              </w:rPr>
            </w:pPr>
            <w:r w:rsidRPr="00C43366">
              <w:rPr>
                <w:rFonts w:asciiTheme="minorHAnsi" w:hAnsiTheme="minorHAnsi"/>
              </w:rPr>
              <w:t>$</w:t>
            </w:r>
            <w:r w:rsidR="0010741B" w:rsidRPr="00C43366">
              <w:rPr>
                <w:rFonts w:asciiTheme="minorHAnsi" w:hAnsiTheme="minorHAnsi"/>
              </w:rPr>
              <w:t>4</w:t>
            </w:r>
            <w:r w:rsidRPr="00C43366">
              <w:rPr>
                <w:rFonts w:asciiTheme="minorHAnsi" w:hAnsiTheme="minorHAnsi"/>
              </w:rPr>
              <w:t>50,000</w:t>
            </w:r>
          </w:p>
        </w:tc>
      </w:tr>
      <w:tr w:rsidR="001C21AC" w:rsidRPr="00C43366" w:rsidTr="001C21AC">
        <w:tc>
          <w:tcPr>
            <w:tcW w:w="7398" w:type="dxa"/>
          </w:tcPr>
          <w:p w:rsidR="001C21AC" w:rsidRPr="00C43366" w:rsidRDefault="001C21AC">
            <w:pPr>
              <w:pStyle w:val="ListParagraph"/>
              <w:spacing w:after="0" w:line="240" w:lineRule="auto"/>
              <w:ind w:left="0"/>
              <w:rPr>
                <w:rFonts w:asciiTheme="minorHAnsi" w:hAnsiTheme="minorHAnsi"/>
              </w:rPr>
            </w:pPr>
          </w:p>
        </w:tc>
        <w:tc>
          <w:tcPr>
            <w:tcW w:w="2178" w:type="dxa"/>
          </w:tcPr>
          <w:p w:rsidR="001C21AC" w:rsidRPr="00C43366" w:rsidRDefault="001C21AC">
            <w:pPr>
              <w:pStyle w:val="ListParagraph"/>
              <w:spacing w:after="0" w:line="240" w:lineRule="auto"/>
              <w:ind w:left="0"/>
              <w:rPr>
                <w:rFonts w:asciiTheme="minorHAnsi" w:hAnsiTheme="minorHAnsi"/>
              </w:rPr>
            </w:pPr>
          </w:p>
        </w:tc>
      </w:tr>
      <w:tr w:rsidR="001C21AC" w:rsidRPr="00C43366" w:rsidTr="001C21AC">
        <w:tc>
          <w:tcPr>
            <w:tcW w:w="7398" w:type="dxa"/>
          </w:tcPr>
          <w:p w:rsidR="001C21AC" w:rsidRPr="00C43366" w:rsidRDefault="002F3E64">
            <w:pPr>
              <w:pStyle w:val="ListParagraph"/>
              <w:spacing w:after="0" w:line="240" w:lineRule="auto"/>
              <w:ind w:left="0"/>
              <w:rPr>
                <w:rFonts w:asciiTheme="minorHAnsi" w:hAnsiTheme="minorHAnsi"/>
                <w:b/>
              </w:rPr>
            </w:pPr>
            <w:r w:rsidRPr="00C43366">
              <w:rPr>
                <w:rFonts w:asciiTheme="minorHAnsi" w:hAnsiTheme="minorHAnsi"/>
                <w:b/>
              </w:rPr>
              <w:t>Mailing Cost for Paper Surveys</w:t>
            </w:r>
          </w:p>
        </w:tc>
        <w:tc>
          <w:tcPr>
            <w:tcW w:w="2178" w:type="dxa"/>
          </w:tcPr>
          <w:p w:rsidR="001C21AC" w:rsidRPr="00C43366" w:rsidRDefault="001C21AC">
            <w:pPr>
              <w:pStyle w:val="ListParagraph"/>
              <w:spacing w:after="0" w:line="240" w:lineRule="auto"/>
              <w:ind w:left="0"/>
              <w:rPr>
                <w:rFonts w:asciiTheme="minorHAnsi" w:hAnsiTheme="minorHAnsi"/>
              </w:rPr>
            </w:pPr>
          </w:p>
        </w:tc>
      </w:tr>
      <w:tr w:rsidR="002F3E64" w:rsidRPr="00C43366" w:rsidTr="001C21AC">
        <w:tc>
          <w:tcPr>
            <w:tcW w:w="7398" w:type="dxa"/>
          </w:tcPr>
          <w:p w:rsidR="002F3E64" w:rsidRPr="00C43366" w:rsidRDefault="002F3E64">
            <w:pPr>
              <w:pStyle w:val="ListParagraph"/>
              <w:spacing w:after="0" w:line="240" w:lineRule="auto"/>
              <w:ind w:left="0"/>
              <w:rPr>
                <w:rFonts w:asciiTheme="minorHAnsi" w:hAnsiTheme="minorHAnsi"/>
              </w:rPr>
            </w:pPr>
            <w:r w:rsidRPr="00C43366">
              <w:rPr>
                <w:rFonts w:asciiTheme="minorHAnsi" w:hAnsiTheme="minorHAnsi"/>
              </w:rPr>
              <w:t>1,000 surveys at $0.42</w:t>
            </w:r>
          </w:p>
        </w:tc>
        <w:tc>
          <w:tcPr>
            <w:tcW w:w="2178" w:type="dxa"/>
          </w:tcPr>
          <w:p w:rsidR="002F3E64" w:rsidRPr="00C43366" w:rsidRDefault="002F3E64">
            <w:pPr>
              <w:pStyle w:val="ListParagraph"/>
              <w:spacing w:after="0" w:line="240" w:lineRule="auto"/>
              <w:ind w:left="0"/>
              <w:rPr>
                <w:rFonts w:asciiTheme="minorHAnsi" w:hAnsiTheme="minorHAnsi"/>
              </w:rPr>
            </w:pPr>
            <w:r w:rsidRPr="00C43366">
              <w:rPr>
                <w:rFonts w:asciiTheme="minorHAnsi" w:hAnsiTheme="minorHAnsi"/>
              </w:rPr>
              <w:t>$420</w:t>
            </w:r>
          </w:p>
        </w:tc>
      </w:tr>
      <w:tr w:rsidR="002F3E64" w:rsidTr="001C21AC">
        <w:tc>
          <w:tcPr>
            <w:tcW w:w="7398" w:type="dxa"/>
          </w:tcPr>
          <w:p w:rsidR="002F3E64" w:rsidRPr="00C43366" w:rsidRDefault="002F3E64">
            <w:pPr>
              <w:pStyle w:val="ListParagraph"/>
              <w:spacing w:after="0" w:line="240" w:lineRule="auto"/>
              <w:ind w:left="0"/>
              <w:rPr>
                <w:rFonts w:asciiTheme="minorHAnsi" w:hAnsiTheme="minorHAnsi"/>
                <w:b/>
              </w:rPr>
            </w:pPr>
            <w:r w:rsidRPr="00C43366">
              <w:rPr>
                <w:rFonts w:asciiTheme="minorHAnsi" w:hAnsiTheme="minorHAnsi"/>
                <w:b/>
              </w:rPr>
              <w:t>TOTAL</w:t>
            </w:r>
          </w:p>
        </w:tc>
        <w:tc>
          <w:tcPr>
            <w:tcW w:w="2178" w:type="dxa"/>
          </w:tcPr>
          <w:p w:rsidR="002F3E64" w:rsidRPr="002F3E64" w:rsidRDefault="0010741B">
            <w:pPr>
              <w:pStyle w:val="ListParagraph"/>
              <w:spacing w:after="0" w:line="240" w:lineRule="auto"/>
              <w:ind w:left="0"/>
              <w:rPr>
                <w:rFonts w:asciiTheme="minorHAnsi" w:hAnsiTheme="minorHAnsi"/>
                <w:b/>
              </w:rPr>
            </w:pPr>
            <w:r w:rsidRPr="00C43366">
              <w:rPr>
                <w:rFonts w:asciiTheme="minorHAnsi" w:hAnsiTheme="minorHAnsi"/>
                <w:b/>
              </w:rPr>
              <w:t>$4</w:t>
            </w:r>
            <w:r w:rsidR="002F3E64" w:rsidRPr="00C43366">
              <w:rPr>
                <w:rFonts w:asciiTheme="minorHAnsi" w:hAnsiTheme="minorHAnsi"/>
                <w:b/>
              </w:rPr>
              <w:t>66,545</w:t>
            </w:r>
          </w:p>
        </w:tc>
      </w:tr>
    </w:tbl>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Pr="002D73AC" w:rsidRDefault="000C0A7E" w:rsidP="002D73AC">
      <w:pPr>
        <w:spacing w:after="0" w:line="240" w:lineRule="auto"/>
        <w:rPr>
          <w:rFonts w:ascii="Tahoma" w:hAnsi="Tahoma"/>
          <w:b/>
          <w:sz w:val="20"/>
          <w:szCs w:val="20"/>
        </w:rPr>
      </w:pPr>
      <w:r>
        <w:t xml:space="preserve">These activities comply with the requirements in 5 CFR 1320.9. </w:t>
      </w:r>
    </w:p>
    <w:p w:rsidR="00982095" w:rsidRDefault="00982095">
      <w:pPr>
        <w:spacing w:after="0" w:line="240" w:lineRule="auto"/>
        <w:ind w:left="360"/>
      </w:pPr>
    </w:p>
    <w:sectPr w:rsidR="00982095" w:rsidSect="0098209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EC9" w:rsidRDefault="00907EC9">
      <w:pPr>
        <w:spacing w:after="0" w:line="240" w:lineRule="auto"/>
      </w:pPr>
      <w:r>
        <w:separator/>
      </w:r>
    </w:p>
  </w:endnote>
  <w:endnote w:type="continuationSeparator" w:id="0">
    <w:p w:rsidR="00907EC9" w:rsidRDefault="00907E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EC9" w:rsidRDefault="00907EC9">
      <w:pPr>
        <w:spacing w:after="0" w:line="240" w:lineRule="auto"/>
      </w:pPr>
      <w:r>
        <w:separator/>
      </w:r>
    </w:p>
  </w:footnote>
  <w:footnote w:type="continuationSeparator" w:id="0">
    <w:p w:rsidR="00907EC9" w:rsidRDefault="00907EC9">
      <w:pPr>
        <w:spacing w:after="0" w:line="240" w:lineRule="auto"/>
      </w:pPr>
      <w:r>
        <w:continuationSeparator/>
      </w:r>
    </w:p>
  </w:footnote>
  <w:footnote w:id="1">
    <w:p w:rsidR="00D5179A" w:rsidRDefault="00D5179A"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7410"/>
  </w:hdrShapeDefaults>
  <w:footnotePr>
    <w:footnote w:id="-1"/>
    <w:footnote w:id="0"/>
  </w:footnotePr>
  <w:endnotePr>
    <w:endnote w:id="-1"/>
    <w:endnote w:id="0"/>
  </w:endnotePr>
  <w:compat/>
  <w:rsids>
    <w:rsidRoot w:val="00982095"/>
    <w:rsid w:val="00043B2E"/>
    <w:rsid w:val="00055803"/>
    <w:rsid w:val="00066515"/>
    <w:rsid w:val="000A070E"/>
    <w:rsid w:val="000A410F"/>
    <w:rsid w:val="000B4026"/>
    <w:rsid w:val="000C0A7E"/>
    <w:rsid w:val="0010741B"/>
    <w:rsid w:val="00120A60"/>
    <w:rsid w:val="00143ABF"/>
    <w:rsid w:val="00153E20"/>
    <w:rsid w:val="00155EC0"/>
    <w:rsid w:val="001628A1"/>
    <w:rsid w:val="00172EEC"/>
    <w:rsid w:val="001A1E1C"/>
    <w:rsid w:val="001B43EE"/>
    <w:rsid w:val="001B5644"/>
    <w:rsid w:val="001C21AC"/>
    <w:rsid w:val="001E05A4"/>
    <w:rsid w:val="001E44AB"/>
    <w:rsid w:val="001E7A97"/>
    <w:rsid w:val="001F7BC9"/>
    <w:rsid w:val="00256D0E"/>
    <w:rsid w:val="0029408A"/>
    <w:rsid w:val="002A35E6"/>
    <w:rsid w:val="002B0B32"/>
    <w:rsid w:val="002D73AC"/>
    <w:rsid w:val="002F3E64"/>
    <w:rsid w:val="00324AF8"/>
    <w:rsid w:val="00336169"/>
    <w:rsid w:val="00377B51"/>
    <w:rsid w:val="003A2F20"/>
    <w:rsid w:val="003A7A16"/>
    <w:rsid w:val="003C0632"/>
    <w:rsid w:val="003E339C"/>
    <w:rsid w:val="003F5F2D"/>
    <w:rsid w:val="00404071"/>
    <w:rsid w:val="00417650"/>
    <w:rsid w:val="00420FE1"/>
    <w:rsid w:val="0044553C"/>
    <w:rsid w:val="00460EB1"/>
    <w:rsid w:val="004675B4"/>
    <w:rsid w:val="00474C83"/>
    <w:rsid w:val="004970C8"/>
    <w:rsid w:val="004A1CF9"/>
    <w:rsid w:val="00513A34"/>
    <w:rsid w:val="005362FC"/>
    <w:rsid w:val="00536ABB"/>
    <w:rsid w:val="00562B18"/>
    <w:rsid w:val="00571BDB"/>
    <w:rsid w:val="00572831"/>
    <w:rsid w:val="005A10E3"/>
    <w:rsid w:val="005E1A0F"/>
    <w:rsid w:val="005E5A3B"/>
    <w:rsid w:val="00607287"/>
    <w:rsid w:val="006656C5"/>
    <w:rsid w:val="0067270D"/>
    <w:rsid w:val="006A6F06"/>
    <w:rsid w:val="006B2FF7"/>
    <w:rsid w:val="006C068A"/>
    <w:rsid w:val="006D2E0E"/>
    <w:rsid w:val="00701CF7"/>
    <w:rsid w:val="00731D48"/>
    <w:rsid w:val="0074733F"/>
    <w:rsid w:val="007822D5"/>
    <w:rsid w:val="00783842"/>
    <w:rsid w:val="007903D0"/>
    <w:rsid w:val="007A268D"/>
    <w:rsid w:val="007E102D"/>
    <w:rsid w:val="00875999"/>
    <w:rsid w:val="00894356"/>
    <w:rsid w:val="008A6FC5"/>
    <w:rsid w:val="008F21DF"/>
    <w:rsid w:val="00907EC9"/>
    <w:rsid w:val="00914716"/>
    <w:rsid w:val="00915BDA"/>
    <w:rsid w:val="0097642D"/>
    <w:rsid w:val="00982095"/>
    <w:rsid w:val="009E75C8"/>
    <w:rsid w:val="009F7EB5"/>
    <w:rsid w:val="00A12AC9"/>
    <w:rsid w:val="00A52F7E"/>
    <w:rsid w:val="00A666FD"/>
    <w:rsid w:val="00A96367"/>
    <w:rsid w:val="00AA3F96"/>
    <w:rsid w:val="00AA42F4"/>
    <w:rsid w:val="00AC207F"/>
    <w:rsid w:val="00AC2497"/>
    <w:rsid w:val="00AF55E9"/>
    <w:rsid w:val="00B64210"/>
    <w:rsid w:val="00B71A69"/>
    <w:rsid w:val="00BA1806"/>
    <w:rsid w:val="00BC63CD"/>
    <w:rsid w:val="00BD13BB"/>
    <w:rsid w:val="00BE0599"/>
    <w:rsid w:val="00BF2E89"/>
    <w:rsid w:val="00BF7558"/>
    <w:rsid w:val="00C03A4D"/>
    <w:rsid w:val="00C200D1"/>
    <w:rsid w:val="00C43366"/>
    <w:rsid w:val="00C61970"/>
    <w:rsid w:val="00C62FA2"/>
    <w:rsid w:val="00CC2FDD"/>
    <w:rsid w:val="00D15139"/>
    <w:rsid w:val="00D30F06"/>
    <w:rsid w:val="00D5179A"/>
    <w:rsid w:val="00D64225"/>
    <w:rsid w:val="00D64405"/>
    <w:rsid w:val="00D64AAF"/>
    <w:rsid w:val="00D93FE0"/>
    <w:rsid w:val="00DA3AFF"/>
    <w:rsid w:val="00DE07E7"/>
    <w:rsid w:val="00E24719"/>
    <w:rsid w:val="00E906FE"/>
    <w:rsid w:val="00EB2D61"/>
    <w:rsid w:val="00EF0D14"/>
    <w:rsid w:val="00F0654C"/>
    <w:rsid w:val="00F15BAA"/>
    <w:rsid w:val="00F31E34"/>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basedOn w:val="DefaultParagraphFont"/>
    <w:uiPriority w:val="99"/>
    <w:unhideWhenUsed/>
    <w:rsid w:val="00404071"/>
    <w:rPr>
      <w:color w:val="0000FF"/>
      <w:u w:val="single"/>
    </w:rPr>
  </w:style>
  <w:style w:type="paragraph" w:styleId="Caption">
    <w:name w:val="caption"/>
    <w:basedOn w:val="Normal"/>
    <w:next w:val="Normal"/>
    <w:uiPriority w:val="99"/>
    <w:qFormat/>
    <w:rsid w:val="00875999"/>
    <w:pPr>
      <w:spacing w:line="240" w:lineRule="auto"/>
    </w:pPr>
    <w:rPr>
      <w:rFonts w:eastAsia="Calibri"/>
      <w:b/>
      <w:bCs/>
      <w:color w:val="4F81BD"/>
      <w:sz w:val="18"/>
      <w:szCs w:val="18"/>
    </w:rPr>
  </w:style>
  <w:style w:type="table" w:styleId="TableGrid">
    <w:name w:val="Table Grid"/>
    <w:basedOn w:val="TableNormal"/>
    <w:uiPriority w:val="59"/>
    <w:rsid w:val="001C21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951013068">
      <w:bodyDiv w:val="1"/>
      <w:marLeft w:val="0"/>
      <w:marRight w:val="0"/>
      <w:marTop w:val="0"/>
      <w:marBottom w:val="0"/>
      <w:divBdr>
        <w:top w:val="none" w:sz="0" w:space="0" w:color="auto"/>
        <w:left w:val="none" w:sz="0" w:space="0" w:color="auto"/>
        <w:bottom w:val="none" w:sz="0" w:space="0" w:color="auto"/>
        <w:right w:val="none" w:sz="0" w:space="0" w:color="auto"/>
      </w:divBdr>
    </w:div>
    <w:div w:id="134219580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oca/11tables/pdf/DCB.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415AC-B3D6-4CB8-8413-9AA6BDC95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generic clearance qualitative feedback</vt:lpstr>
    </vt:vector>
  </TitlesOfParts>
  <Company>EOP</Company>
  <LinksUpToDate>false</LinksUpToDate>
  <CharactersWithSpaces>11489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qualitative feedback</dc:title>
  <dc:subject>generic clearance qualitative feedback</dc:subject>
  <dc:creator>OD/USER</dc:creator>
  <cp:keywords>generic clearance qualitative feedback</cp:keywords>
  <cp:lastModifiedBy>curriem</cp:lastModifiedBy>
  <cp:revision>2</cp:revision>
  <cp:lastPrinted>2011-08-10T18:57:00Z</cp:lastPrinted>
  <dcterms:created xsi:type="dcterms:W3CDTF">2011-10-18T17:32:00Z</dcterms:created>
  <dcterms:modified xsi:type="dcterms:W3CDTF">2011-10-18T17:32:00Z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