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436A41" w:rsidRPr="00F44F05">
        <w:rPr>
          <w:sz w:val="28"/>
        </w:rPr>
        <w:t>0925-0643</w:t>
      </w:r>
      <w:r>
        <w:rPr>
          <w:sz w:val="28"/>
        </w:rPr>
        <w:t>)</w:t>
      </w:r>
    </w:p>
    <w:p w:rsidR="00F44F05" w:rsidRPr="00F44F05" w:rsidRDefault="00F44F05" w:rsidP="00F44F05"/>
    <w:p w:rsidR="00E50293" w:rsidRPr="009239AA" w:rsidRDefault="00FB133D" w:rsidP="00434E33">
      <w:pPr>
        <w:rPr>
          <w:b/>
        </w:rPr>
      </w:pPr>
      <w:r>
        <w:rPr>
          <w:b/>
          <w:noProof/>
        </w:rPr>
        <w:pict>
          <v:line id="Line 3" o:spid="_x0000_s1026" style="position:absolute;z-index:251657728;visibility:visibl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B2MRECAAAp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DMEHYxEQIAACkEAAAO&#10;AAAAAAAAAAAAAAAAACwCAABkcnMvZTJvRG9jLnhtbFBLAQItABQABgAIAAAAIQB08l201gAAAAIB&#10;AAAPAAAAAAAAAAAAAAAAAGkEAABkcnMvZG93bnJldi54bWxQSwUGAAAAAAQABADzAAAAbAUAAAAA&#10;" o:allowincell="f" strokeweight="1.5pt"/>
        </w:pict>
      </w:r>
      <w:r w:rsidR="005E714A" w:rsidRPr="00434E33">
        <w:rPr>
          <w:b/>
        </w:rPr>
        <w:t>TITLE OF INFORMATION COLLECTION:</w:t>
      </w:r>
      <w:r w:rsidR="002E6E82">
        <w:t xml:space="preserve"> Non-Medically Indicated Induction</w:t>
      </w:r>
      <w:r w:rsidR="00AE238D">
        <w:t xml:space="preserve"> Prior to 39 Weeks of Gestation</w:t>
      </w:r>
      <w:r w:rsidR="002E6E82">
        <w:t xml:space="preserve"> Focus Groups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366779" w:rsidRDefault="00366779" w:rsidP="00366779">
      <w:pPr>
        <w:tabs>
          <w:tab w:val="left" w:pos="0"/>
        </w:tabs>
      </w:pPr>
      <w:r w:rsidRPr="0021687A">
        <w:t>Research has shown that early elective delivery without medical or obstetrical indication is linked to neonatal morbidities with no benefit to the mother or infant.</w:t>
      </w:r>
      <w:r>
        <w:rPr>
          <w:rStyle w:val="FootnoteReference"/>
        </w:rPr>
        <w:footnoteReference w:id="1"/>
      </w:r>
    </w:p>
    <w:p w:rsidR="00366779" w:rsidRDefault="00366779" w:rsidP="00366779">
      <w:pPr>
        <w:tabs>
          <w:tab w:val="left" w:pos="0"/>
        </w:tabs>
      </w:pPr>
    </w:p>
    <w:p w:rsidR="00E81DE9" w:rsidRDefault="00366779" w:rsidP="00E81DE9">
      <w:r>
        <w:t>D</w:t>
      </w:r>
      <w:r w:rsidRPr="00377A9D">
        <w:t xml:space="preserve">espite the </w:t>
      </w:r>
      <w:r>
        <w:t>American Congress of Obstetricians and Gynecologists (</w:t>
      </w:r>
      <w:r w:rsidRPr="00377A9D">
        <w:t>ACOG</w:t>
      </w:r>
      <w:r>
        <w:t>)</w:t>
      </w:r>
      <w:r w:rsidRPr="00377A9D">
        <w:t xml:space="preserve"> guidelines outlining criteria for medically indicated births </w:t>
      </w:r>
      <w:r>
        <w:t xml:space="preserve">prior to </w:t>
      </w:r>
      <w:r w:rsidRPr="00377A9D">
        <w:t>39 weeks</w:t>
      </w:r>
      <w:r>
        <w:t>, e</w:t>
      </w:r>
      <w:r w:rsidRPr="00377A9D">
        <w:t xml:space="preserve">lective inductions of labor and elective cesarean section deliveries </w:t>
      </w:r>
      <w:r>
        <w:t xml:space="preserve">prior to </w:t>
      </w:r>
      <w:r w:rsidRPr="00377A9D">
        <w:t>39 weeks are increasing</w:t>
      </w:r>
      <w:r>
        <w:t>.</w:t>
      </w:r>
      <w:r>
        <w:rPr>
          <w:rStyle w:val="FootnoteReference"/>
        </w:rPr>
        <w:footnoteReference w:id="2"/>
      </w:r>
      <w:r w:rsidR="00E81DE9">
        <w:t xml:space="preserve">  </w:t>
      </w:r>
      <w:r w:rsidR="00E81DE9" w:rsidRPr="003B5B5D">
        <w:t>The rise of</w:t>
      </w:r>
      <w:r w:rsidR="00E81DE9">
        <w:t xml:space="preserve"> </w:t>
      </w:r>
      <w:r w:rsidR="00E81DE9" w:rsidRPr="0004368C">
        <w:t>non-medically indicated</w:t>
      </w:r>
      <w:r w:rsidR="00E81DE9" w:rsidRPr="003B5B5D">
        <w:t xml:space="preserve"> induction of labor is present in all racial groups with the highest increase in </w:t>
      </w:r>
      <w:r w:rsidR="00E81DE9">
        <w:t>n</w:t>
      </w:r>
      <w:r w:rsidR="00E81DE9" w:rsidRPr="003B5B5D">
        <w:t>on-Hispanic whites.</w:t>
      </w:r>
      <w:r w:rsidR="00E81DE9">
        <w:rPr>
          <w:rStyle w:val="FootnoteReference"/>
        </w:rPr>
        <w:footnoteReference w:id="3"/>
      </w:r>
    </w:p>
    <w:p w:rsidR="00366779" w:rsidRDefault="00366779" w:rsidP="00366779">
      <w:pPr>
        <w:tabs>
          <w:tab w:val="left" w:pos="0"/>
        </w:tabs>
      </w:pPr>
    </w:p>
    <w:p w:rsidR="00021961" w:rsidRPr="00BF33C7" w:rsidRDefault="00021961" w:rsidP="00021961">
      <w:r w:rsidRPr="00BF33C7">
        <w:t>The</w:t>
      </w:r>
      <w:r>
        <w:t xml:space="preserve"> </w:t>
      </w:r>
      <w:r w:rsidRPr="00021961">
        <w:rPr>
          <w:i/>
        </w:rPr>
        <w:t>Eunice Kennedy Shriver</w:t>
      </w:r>
      <w:r>
        <w:t xml:space="preserve"> National Institute of Child Health and Human Development (NICHD)</w:t>
      </w:r>
      <w:r w:rsidRPr="00BF33C7">
        <w:t xml:space="preserve"> National Child and Maternal Health Education Program </w:t>
      </w:r>
      <w:r>
        <w:t xml:space="preserve">(NCMHEP) </w:t>
      </w:r>
      <w:r w:rsidRPr="00BF33C7">
        <w:t xml:space="preserve">would like to educate </w:t>
      </w:r>
      <w:r>
        <w:t xml:space="preserve">healthcare </w:t>
      </w:r>
      <w:r w:rsidRPr="00BF33C7">
        <w:t xml:space="preserve">providers and patients about possible </w:t>
      </w:r>
      <w:r>
        <w:t>short</w:t>
      </w:r>
      <w:r w:rsidRPr="00BF33C7">
        <w:t>-</w:t>
      </w:r>
      <w:r>
        <w:t xml:space="preserve"> and long</w:t>
      </w:r>
      <w:r w:rsidRPr="00BF33C7">
        <w:t>-term adverse outcomes that can occur after non-medically indicated</w:t>
      </w:r>
      <w:r>
        <w:t xml:space="preserve"> (elective)</w:t>
      </w:r>
      <w:r w:rsidRPr="00BF33C7">
        <w:t xml:space="preserve"> inductions</w:t>
      </w:r>
      <w:r>
        <w:t>/cesareans</w:t>
      </w:r>
      <w:r w:rsidRPr="00BF33C7">
        <w:t xml:space="preserve"> prior to 39 weeks</w:t>
      </w:r>
      <w:r>
        <w:t xml:space="preserve"> of</w:t>
      </w:r>
      <w:r w:rsidRPr="00BF33C7">
        <w:t xml:space="preserve"> gestation.</w:t>
      </w:r>
    </w:p>
    <w:p w:rsidR="00021961" w:rsidRPr="00BF33C7" w:rsidRDefault="00021961" w:rsidP="00021961"/>
    <w:p w:rsidR="00021961" w:rsidRPr="00BF33C7" w:rsidRDefault="00021961" w:rsidP="00021961">
      <w:pPr>
        <w:tabs>
          <w:tab w:val="left" w:pos="0"/>
        </w:tabs>
      </w:pPr>
      <w:r>
        <w:t>Partnering with Engine Picture</w:t>
      </w:r>
      <w:r w:rsidRPr="00BF33C7">
        <w:t>s, the</w:t>
      </w:r>
      <w:r>
        <w:t xml:space="preserve"> NCMHEP</w:t>
      </w:r>
      <w:r w:rsidRPr="00BF33C7">
        <w:t xml:space="preserve"> created a video titled, </w:t>
      </w:r>
      <w:r w:rsidRPr="00BF33C7">
        <w:rPr>
          <w:i/>
        </w:rPr>
        <w:t>Is It Worth It?</w:t>
      </w:r>
      <w:r w:rsidRPr="00BF33C7">
        <w:t>, to educate and raise awareness</w:t>
      </w:r>
      <w:r>
        <w:t xml:space="preserve"> among pregnant women</w:t>
      </w:r>
      <w:r w:rsidRPr="00BF33C7">
        <w:t xml:space="preserve"> that</w:t>
      </w:r>
      <w:r>
        <w:t>,</w:t>
      </w:r>
      <w:r w:rsidRPr="00BF33C7">
        <w:t xml:space="preserve"> if given the choice</w:t>
      </w:r>
      <w:r>
        <w:t>,</w:t>
      </w:r>
      <w:r w:rsidRPr="00BF33C7">
        <w:t xml:space="preserve"> </w:t>
      </w:r>
      <w:r>
        <w:t>they</w:t>
      </w:r>
      <w:r w:rsidRPr="00BF33C7">
        <w:t xml:space="preserve"> should allow their pregnancies to naturally progress to labor and avoid </w:t>
      </w:r>
      <w:r>
        <w:t>a</w:t>
      </w:r>
      <w:r w:rsidRPr="00BF33C7">
        <w:t xml:space="preserve"> non</w:t>
      </w:r>
      <w:r>
        <w:t>-</w:t>
      </w:r>
      <w:r w:rsidRPr="00BF33C7">
        <w:t>medically indicated inductio</w:t>
      </w:r>
      <w:r>
        <w:t>n/cesarean prior to 39 weeks of gestation.  The video presents advice by physicians with expertise in women’s health as well as a mother’s testimony about the death of her preterm baby.  The main message of the video is that if there is no medical indication for early delivery, then the mother has a choice to wait to deliver.  The video is available in 3-minute, 60-second, and 30-second versions.</w:t>
      </w:r>
    </w:p>
    <w:p w:rsidR="00021961" w:rsidRDefault="00021961" w:rsidP="00021961">
      <w:pPr>
        <w:tabs>
          <w:tab w:val="left" w:pos="-1440"/>
          <w:tab w:val="left" w:pos="0"/>
          <w:tab w:val="left" w:pos="900"/>
        </w:tabs>
        <w:ind w:hanging="720"/>
        <w:rPr>
          <w:b/>
          <w:u w:val="single"/>
        </w:rPr>
      </w:pPr>
    </w:p>
    <w:p w:rsidR="00E81DE9" w:rsidRDefault="00E81DE9" w:rsidP="00E81DE9">
      <w:r>
        <w:t>The goals of the proposed focus group research are t</w:t>
      </w:r>
      <w:r w:rsidRPr="00DD040F">
        <w:t>o better un</w:t>
      </w:r>
      <w:r>
        <w:t>derstand the target audience</w:t>
      </w:r>
      <w:r w:rsidRPr="00DD040F">
        <w:t>s</w:t>
      </w:r>
      <w:r>
        <w:t>’</w:t>
      </w:r>
      <w:r w:rsidRPr="00DD040F">
        <w:t>:</w:t>
      </w:r>
    </w:p>
    <w:p w:rsidR="00E81DE9" w:rsidRDefault="00E81DE9" w:rsidP="00E81DE9"/>
    <w:p w:rsidR="00E81DE9" w:rsidRPr="00DD040F" w:rsidRDefault="00E81DE9" w:rsidP="00E81DE9">
      <w:pPr>
        <w:pStyle w:val="ListParagraph"/>
        <w:numPr>
          <w:ilvl w:val="0"/>
          <w:numId w:val="19"/>
        </w:numPr>
      </w:pPr>
      <w:r w:rsidRPr="00DD040F">
        <w:t>Knowledge, attitudes, behaviors, and beliefs related to non-medically indicated inductions</w:t>
      </w:r>
      <w:r>
        <w:t>/cesareans</w:t>
      </w:r>
      <w:r w:rsidRPr="00DD040F">
        <w:t xml:space="preserve"> prior to 39 weeks gestation</w:t>
      </w:r>
      <w:r>
        <w:t>.</w:t>
      </w:r>
    </w:p>
    <w:p w:rsidR="00E81DE9" w:rsidRPr="00DD040F" w:rsidRDefault="00E81DE9" w:rsidP="00E81DE9">
      <w:pPr>
        <w:pStyle w:val="ListParagraph"/>
        <w:numPr>
          <w:ilvl w:val="0"/>
          <w:numId w:val="19"/>
        </w:numPr>
      </w:pPr>
      <w:r w:rsidRPr="00DD040F">
        <w:t>Reactions to th</w:t>
      </w:r>
      <w:r>
        <w:t xml:space="preserve">e </w:t>
      </w:r>
      <w:r w:rsidRPr="00E73D92">
        <w:rPr>
          <w:i/>
        </w:rPr>
        <w:t>Is It Worth It?</w:t>
      </w:r>
      <w:r w:rsidRPr="00DD040F">
        <w:t xml:space="preserve"> </w:t>
      </w:r>
      <w:proofErr w:type="gramStart"/>
      <w:r w:rsidRPr="00DD040F">
        <w:t>video</w:t>
      </w:r>
      <w:proofErr w:type="gramEnd"/>
      <w:r>
        <w:t>.</w:t>
      </w:r>
    </w:p>
    <w:p w:rsidR="00E81DE9" w:rsidRPr="00DD040F" w:rsidRDefault="00E81DE9" w:rsidP="00E81DE9">
      <w:pPr>
        <w:pStyle w:val="ListParagraph"/>
        <w:numPr>
          <w:ilvl w:val="0"/>
          <w:numId w:val="19"/>
        </w:numPr>
      </w:pPr>
      <w:r>
        <w:t>Suggestions for effective c</w:t>
      </w:r>
      <w:r w:rsidRPr="00DD040F">
        <w:t xml:space="preserve">ommunication channels and venues in which to </w:t>
      </w:r>
      <w:r>
        <w:t>raise</w:t>
      </w:r>
      <w:r w:rsidRPr="00DD040F">
        <w:t xml:space="preserve"> awareness</w:t>
      </w:r>
      <w:r>
        <w:t xml:space="preserve"> of this topic</w:t>
      </w:r>
      <w:r w:rsidRPr="00DD040F">
        <w:t xml:space="preserve"> and </w:t>
      </w:r>
      <w:r>
        <w:t xml:space="preserve">to promote </w:t>
      </w:r>
      <w:r w:rsidRPr="00DD040F">
        <w:t xml:space="preserve">viewing the </w:t>
      </w:r>
      <w:proofErr w:type="gramStart"/>
      <w:r w:rsidRPr="00E73D92">
        <w:rPr>
          <w:i/>
        </w:rPr>
        <w:t>Is</w:t>
      </w:r>
      <w:proofErr w:type="gramEnd"/>
      <w:r w:rsidRPr="00E73D92">
        <w:rPr>
          <w:i/>
        </w:rPr>
        <w:t xml:space="preserve"> It Worth It?</w:t>
      </w:r>
      <w:r w:rsidRPr="00DD040F">
        <w:t xml:space="preserve"> </w:t>
      </w:r>
      <w:proofErr w:type="gramStart"/>
      <w:r w:rsidRPr="00DD040F">
        <w:t>video</w:t>
      </w:r>
      <w:proofErr w:type="gramEnd"/>
      <w:r w:rsidRPr="00DD040F">
        <w:t xml:space="preserve"> </w:t>
      </w:r>
      <w:r>
        <w:t>(</w:t>
      </w:r>
      <w:r w:rsidRPr="00DD040F">
        <w:t xml:space="preserve">as well as </w:t>
      </w:r>
      <w:r>
        <w:t>companion</w:t>
      </w:r>
      <w:r w:rsidRPr="00DD040F">
        <w:t xml:space="preserve"> materials</w:t>
      </w:r>
      <w:r>
        <w:t>)</w:t>
      </w:r>
      <w:r w:rsidRPr="00DD040F">
        <w:t>.</w:t>
      </w:r>
    </w:p>
    <w:p w:rsidR="00434E33" w:rsidRPr="00434E33" w:rsidRDefault="00650B1C" w:rsidP="00E81DE9">
      <w:pPr>
        <w:rPr>
          <w:i/>
        </w:rPr>
      </w:pPr>
      <w:r>
        <w:rPr>
          <w:b/>
          <w:u w:val="single"/>
        </w:rPr>
        <w:lastRenderedPageBreak/>
        <w:br/>
      </w:r>
      <w:r w:rsidR="00434E33" w:rsidRPr="00434E33">
        <w:rPr>
          <w:b/>
        </w:rPr>
        <w:t>DESCRIPTION OF RESPONDENTS</w:t>
      </w:r>
      <w:r w:rsidR="00434E33">
        <w:t xml:space="preserve">: </w:t>
      </w:r>
    </w:p>
    <w:p w:rsidR="00E81DE9" w:rsidRPr="0075454E" w:rsidRDefault="00E81DE9" w:rsidP="00E81DE9">
      <w:r w:rsidRPr="0075454E">
        <w:t>This project will focus on the following target audiences:</w:t>
      </w:r>
    </w:p>
    <w:p w:rsidR="00E81DE9" w:rsidRPr="0075454E" w:rsidRDefault="00E81DE9" w:rsidP="00E81DE9">
      <w:pPr>
        <w:pStyle w:val="ListParagraph"/>
        <w:numPr>
          <w:ilvl w:val="0"/>
          <w:numId w:val="20"/>
        </w:numPr>
      </w:pPr>
      <w:r w:rsidRPr="0075454E">
        <w:t xml:space="preserve">Currently pregnant women of diverse racial/ethnic backgrounds and geographic locations with a </w:t>
      </w:r>
      <w:r w:rsidRPr="0075454E">
        <w:rPr>
          <w:u w:val="single"/>
        </w:rPr>
        <w:t>high</w:t>
      </w:r>
      <w:r w:rsidRPr="0075454E">
        <w:t xml:space="preserve"> level of income and education.  For the purposes of this project, “high income” will be defined as living in a household earning an annual total household income of $50,000</w:t>
      </w:r>
      <w:r w:rsidRPr="0075454E">
        <w:rPr>
          <w:rStyle w:val="FootnoteReference"/>
        </w:rPr>
        <w:footnoteReference w:id="4"/>
      </w:r>
      <w:r w:rsidRPr="0075454E">
        <w:t xml:space="preserve"> or more and a “high level of education” as having at least some college.</w:t>
      </w:r>
    </w:p>
    <w:p w:rsidR="00E81DE9" w:rsidRPr="0075454E" w:rsidRDefault="00E81DE9" w:rsidP="00E81DE9">
      <w:pPr>
        <w:pStyle w:val="ListParagraph"/>
        <w:numPr>
          <w:ilvl w:val="1"/>
          <w:numId w:val="20"/>
        </w:numPr>
      </w:pPr>
      <w:r w:rsidRPr="0075454E">
        <w:t>Of these, first-time mothers and mothers who have other children.</w:t>
      </w:r>
    </w:p>
    <w:p w:rsidR="00E81DE9" w:rsidRDefault="00E81DE9" w:rsidP="00E81DE9">
      <w:pPr>
        <w:pStyle w:val="ListParagraph"/>
        <w:numPr>
          <w:ilvl w:val="0"/>
          <w:numId w:val="20"/>
        </w:numPr>
      </w:pPr>
      <w:r w:rsidRPr="0075454E">
        <w:t xml:space="preserve">Currently pregnant women of diverse racial/ethnic backgrounds with a </w:t>
      </w:r>
      <w:r w:rsidRPr="0075454E">
        <w:rPr>
          <w:u w:val="single"/>
        </w:rPr>
        <w:t>low</w:t>
      </w:r>
      <w:r w:rsidRPr="0075454E">
        <w:t xml:space="preserve"> level of income and education.  For the purposes of this project, “low income” will be defined as living in a household earning an annual total household income of $40,000 or less and a “low level of education” as high school education or less and/or vocational/technical school.</w:t>
      </w:r>
    </w:p>
    <w:p w:rsidR="00E81DE9" w:rsidRPr="0004368C" w:rsidRDefault="00E81DE9" w:rsidP="00E81DE9">
      <w:pPr>
        <w:pStyle w:val="ListParagraph"/>
        <w:numPr>
          <w:ilvl w:val="0"/>
          <w:numId w:val="20"/>
        </w:numPr>
      </w:pPr>
      <w:r w:rsidRPr="0004368C">
        <w:t>Male spouses/partners of the above two target audiences.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E81DE9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50B1C">
        <w:rPr>
          <w:bCs/>
          <w:sz w:val="24"/>
        </w:rPr>
        <w:t>X</w:t>
      </w:r>
      <w:r w:rsidR="00436A41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</w:t>
      </w:r>
      <w:r w:rsidR="00E81DE9">
        <w:t>F</w:t>
      </w:r>
      <w:r w:rsidRPr="00C14CC4">
        <w:t>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Pr="00F44F05" w:rsidRDefault="008101A5" w:rsidP="008101A5">
      <w:pPr>
        <w:pStyle w:val="ListParagraph"/>
        <w:numPr>
          <w:ilvl w:val="0"/>
          <w:numId w:val="14"/>
        </w:numPr>
      </w:pPr>
      <w:r w:rsidRPr="00F44F05">
        <w:t>The collection is targeted to the solicitation of opinions from respondents who have experience with the program or may have experience with the program in the future.</w:t>
      </w:r>
    </w:p>
    <w:p w:rsidR="009C13B9" w:rsidRPr="00F44F05" w:rsidRDefault="009C13B9" w:rsidP="009C13B9"/>
    <w:p w:rsidR="009C13B9" w:rsidRPr="00F44F05" w:rsidRDefault="009C13B9" w:rsidP="009C13B9">
      <w:r w:rsidRPr="00F44F05">
        <w:t>Name:</w:t>
      </w:r>
      <w:r w:rsidR="00650B1C" w:rsidRPr="00F44F05">
        <w:t xml:space="preserve"> </w:t>
      </w:r>
      <w:r w:rsidRPr="00F44F05">
        <w:t>___</w:t>
      </w:r>
      <w:r w:rsidR="00650B1C" w:rsidRPr="00F44F05">
        <w:t>Jamelle E. Banks</w:t>
      </w:r>
      <w:r w:rsidRPr="00F44F05">
        <w:t>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650B1C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436A41" w:rsidRDefault="00436A4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provided to participants?  [</w:t>
      </w:r>
      <w:r w:rsidR="00650B1C">
        <w:t>X</w:t>
      </w:r>
      <w:r>
        <w:t xml:space="preserve">] Yes [  ] No  </w:t>
      </w:r>
    </w:p>
    <w:p w:rsidR="00B5170D" w:rsidRDefault="00B5170D"/>
    <w:p w:rsidR="004D6E14" w:rsidRDefault="00B5170D">
      <w:r>
        <w:t>R</w:t>
      </w:r>
      <w:r w:rsidRPr="0035317F">
        <w:t>espondents will receive remuneration through recruitment companies con</w:t>
      </w:r>
      <w:r>
        <w:t xml:space="preserve">tracted to obtain participants. </w:t>
      </w:r>
      <w:r w:rsidR="00BC7F34">
        <w:t xml:space="preserve"> </w:t>
      </w:r>
      <w:r w:rsidRPr="0035317F">
        <w:t xml:space="preserve">The amount of remuneration is based on pay scales these companies follow. </w:t>
      </w:r>
      <w:r w:rsidR="00BC7F34">
        <w:t xml:space="preserve"> </w:t>
      </w:r>
      <w:r>
        <w:t xml:space="preserve">Based on feedback from recruitment professionals, </w:t>
      </w:r>
      <w:r w:rsidR="00874512">
        <w:t xml:space="preserve">caregivers </w:t>
      </w:r>
      <w:r w:rsidR="007F6024">
        <w:t xml:space="preserve">will </w:t>
      </w:r>
      <w:r w:rsidR="007F6024" w:rsidRPr="00B42190">
        <w:t>receive</w:t>
      </w:r>
      <w:r w:rsidRPr="00B42190">
        <w:t xml:space="preserve"> $</w:t>
      </w:r>
      <w:r w:rsidR="00436A41" w:rsidRPr="00B42190">
        <w:t>4</w:t>
      </w:r>
      <w:r w:rsidRPr="00B42190">
        <w:t>0</w:t>
      </w:r>
      <w:r>
        <w:t xml:space="preserve"> fo</w:t>
      </w:r>
      <w:r w:rsidR="00436A41">
        <w:t xml:space="preserve">r participating in </w:t>
      </w:r>
      <w:r w:rsidR="00AF4FCE">
        <w:t xml:space="preserve">a </w:t>
      </w:r>
      <w:r w:rsidR="00BC7F34">
        <w:t>90-minute</w:t>
      </w:r>
      <w:r w:rsidR="00436A41">
        <w:t xml:space="preserve"> </w:t>
      </w:r>
      <w:r>
        <w:t xml:space="preserve">focus group.  </w:t>
      </w:r>
    </w:p>
    <w:p w:rsidR="00B5170D" w:rsidRDefault="00B5170D"/>
    <w:p w:rsidR="00B5170D" w:rsidRDefault="00B5170D" w:rsidP="00B5170D">
      <w:pPr>
        <w:rPr>
          <w:b/>
          <w:u w:val="single"/>
        </w:rPr>
      </w:pPr>
      <w:r w:rsidRPr="0035317F">
        <w:t xml:space="preserve">It is standard practice in commercial market research to offer recruited respondents some form of remuneration for the time they spend engaged in a focus group. </w:t>
      </w:r>
      <w:r w:rsidR="007C7577">
        <w:t xml:space="preserve"> </w:t>
      </w:r>
      <w:r w:rsidRPr="0035317F">
        <w:t xml:space="preserve">Small amounts of money, a free meal or snack scheduled around the time of the </w:t>
      </w:r>
      <w:r w:rsidR="007C7577">
        <w:t>focus group</w:t>
      </w:r>
      <w:r w:rsidRPr="0035317F">
        <w:t>, and/or remuneration for parking and</w:t>
      </w:r>
      <w:r w:rsidR="00874512">
        <w:t xml:space="preserve">/or transportation are most </w:t>
      </w:r>
      <w:r w:rsidRPr="0035317F">
        <w:t>often used.</w:t>
      </w:r>
    </w:p>
    <w:p w:rsidR="00B5170D" w:rsidRDefault="00B5170D" w:rsidP="00B5170D"/>
    <w:p w:rsidR="00B5170D" w:rsidRDefault="00B5170D" w:rsidP="00B5170D">
      <w:pPr>
        <w:rPr>
          <w:b/>
        </w:rPr>
      </w:pPr>
      <w:r w:rsidRPr="0035317F">
        <w:t xml:space="preserve">There is extensive literature to support the use of incentives, primarily monetary incentives, as a supplement or complement to other efforts of </w:t>
      </w:r>
      <w:r w:rsidR="00D65953">
        <w:t>encouragement</w:t>
      </w:r>
      <w:r w:rsidRPr="0035317F">
        <w:t xml:space="preserve"> to ensure recruitment of a representative sample, especially among </w:t>
      </w:r>
      <w:r w:rsidR="00D65953">
        <w:t>not-yet-served</w:t>
      </w:r>
      <w:r w:rsidRPr="0035317F">
        <w:t xml:space="preserve"> and minority populations.</w:t>
      </w:r>
      <w:r w:rsidRPr="0035317F">
        <w:rPr>
          <w:vertAlign w:val="superscript"/>
        </w:rPr>
        <w:footnoteReference w:id="5"/>
      </w:r>
      <w:r w:rsidRPr="0035317F">
        <w:rPr>
          <w:vertAlign w:val="superscript"/>
        </w:rPr>
        <w:t>,</w:t>
      </w:r>
      <w:r w:rsidRPr="0035317F">
        <w:rPr>
          <w:vertAlign w:val="superscript"/>
        </w:rPr>
        <w:footnoteReference w:id="6"/>
      </w:r>
      <w:r w:rsidRPr="0035317F">
        <w:t xml:space="preserve"> </w:t>
      </w:r>
      <w:r w:rsidR="00D65953">
        <w:t xml:space="preserve"> </w:t>
      </w:r>
      <w:r w:rsidRPr="0035317F">
        <w:t>In studies for both commercial market research and social sciences, findings indicate that respondents who receive these tokens of appreciation provide valid input, and their inclusion makes for a more representative sample.</w:t>
      </w:r>
    </w:p>
    <w:p w:rsidR="00F24CFC" w:rsidRDefault="00F24CFC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2D26E2">
        <w:trPr>
          <w:trHeight w:val="274"/>
        </w:trPr>
        <w:tc>
          <w:tcPr>
            <w:tcW w:w="5418" w:type="dxa"/>
          </w:tcPr>
          <w:p w:rsidR="006832D9" w:rsidRPr="002D26E2" w:rsidRDefault="00E40B50" w:rsidP="00C8488C">
            <w:pPr>
              <w:rPr>
                <w:b/>
              </w:rPr>
            </w:pPr>
            <w:r w:rsidRPr="002D26E2">
              <w:rPr>
                <w:b/>
              </w:rPr>
              <w:t>Category of Respondent</w:t>
            </w:r>
            <w:r w:rsidR="00EF2095" w:rsidRPr="002D26E2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7F6024" w:rsidRDefault="006832D9" w:rsidP="00843796">
            <w:pPr>
              <w:rPr>
                <w:b/>
              </w:rPr>
            </w:pPr>
            <w:r w:rsidRPr="007F6024">
              <w:rPr>
                <w:b/>
              </w:rPr>
              <w:t>N</w:t>
            </w:r>
            <w:r w:rsidR="009F5923" w:rsidRPr="007F6024">
              <w:rPr>
                <w:b/>
              </w:rPr>
              <w:t>o.</w:t>
            </w:r>
            <w:r w:rsidRPr="007F6024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7F6024" w:rsidRDefault="006832D9" w:rsidP="00843796">
            <w:pPr>
              <w:rPr>
                <w:b/>
              </w:rPr>
            </w:pPr>
            <w:r w:rsidRPr="007F6024">
              <w:rPr>
                <w:b/>
              </w:rPr>
              <w:t>Participation Time</w:t>
            </w:r>
            <w:r w:rsidR="0088500E" w:rsidRPr="007F6024">
              <w:rPr>
                <w:b/>
              </w:rPr>
              <w:t xml:space="preserve"> (in hours) </w:t>
            </w:r>
          </w:p>
        </w:tc>
        <w:tc>
          <w:tcPr>
            <w:tcW w:w="1003" w:type="dxa"/>
          </w:tcPr>
          <w:p w:rsidR="006832D9" w:rsidRPr="007F6024" w:rsidRDefault="0088500E" w:rsidP="00843796">
            <w:pPr>
              <w:rPr>
                <w:b/>
              </w:rPr>
            </w:pPr>
            <w:r w:rsidRPr="007F6024">
              <w:rPr>
                <w:b/>
              </w:rPr>
              <w:t xml:space="preserve">Total </w:t>
            </w:r>
            <w:r w:rsidR="006832D9" w:rsidRPr="007F6024">
              <w:rPr>
                <w:b/>
              </w:rPr>
              <w:t>Burden</w:t>
            </w:r>
            <w:r w:rsidRPr="007F6024">
              <w:rPr>
                <w:b/>
              </w:rPr>
              <w:t xml:space="preserve"> Hours</w:t>
            </w:r>
          </w:p>
        </w:tc>
      </w:tr>
      <w:tr w:rsidR="00EF2095" w:rsidRPr="00CC4D66" w:rsidTr="002D26E2">
        <w:trPr>
          <w:trHeight w:val="274"/>
        </w:trPr>
        <w:tc>
          <w:tcPr>
            <w:tcW w:w="5418" w:type="dxa"/>
          </w:tcPr>
          <w:p w:rsidR="006832D9" w:rsidRPr="0051707C" w:rsidRDefault="007C61BA" w:rsidP="00434946">
            <w:r w:rsidRPr="0051707C">
              <w:t>Individuals</w:t>
            </w:r>
            <w:r w:rsidR="0051707C" w:rsidRPr="0051707C">
              <w:t xml:space="preserve"> or Households</w:t>
            </w:r>
          </w:p>
        </w:tc>
        <w:tc>
          <w:tcPr>
            <w:tcW w:w="1530" w:type="dxa"/>
          </w:tcPr>
          <w:p w:rsidR="006832D9" w:rsidRPr="0051707C" w:rsidRDefault="00434946" w:rsidP="00843796">
            <w:r w:rsidRPr="0051707C">
              <w:t>45</w:t>
            </w:r>
          </w:p>
        </w:tc>
        <w:tc>
          <w:tcPr>
            <w:tcW w:w="1710" w:type="dxa"/>
          </w:tcPr>
          <w:p w:rsidR="006832D9" w:rsidRPr="0051707C" w:rsidRDefault="006541FF" w:rsidP="0088500E">
            <w:r w:rsidRPr="0051707C">
              <w:t>1.50</w:t>
            </w:r>
            <w:r w:rsidR="00D2454E" w:rsidRPr="0051707C">
              <w:t xml:space="preserve"> </w:t>
            </w:r>
          </w:p>
        </w:tc>
        <w:tc>
          <w:tcPr>
            <w:tcW w:w="1003" w:type="dxa"/>
          </w:tcPr>
          <w:p w:rsidR="006832D9" w:rsidRPr="0051707C" w:rsidRDefault="006541FF" w:rsidP="00843796">
            <w:r w:rsidRPr="0051707C">
              <w:t>6</w:t>
            </w:r>
            <w:r w:rsidR="0051707C">
              <w:t>8</w:t>
            </w:r>
          </w:p>
        </w:tc>
      </w:tr>
      <w:tr w:rsidR="00EF2095" w:rsidRPr="00CC4D66" w:rsidTr="002D26E2">
        <w:trPr>
          <w:trHeight w:val="274"/>
        </w:trPr>
        <w:tc>
          <w:tcPr>
            <w:tcW w:w="5418" w:type="dxa"/>
          </w:tcPr>
          <w:p w:rsidR="006832D9" w:rsidRPr="00F44F05" w:rsidRDefault="006832D9" w:rsidP="00843796">
            <w:pPr>
              <w:rPr>
                <w:b/>
              </w:rPr>
            </w:pPr>
          </w:p>
        </w:tc>
        <w:tc>
          <w:tcPr>
            <w:tcW w:w="1530" w:type="dxa"/>
          </w:tcPr>
          <w:p w:rsidR="006832D9" w:rsidRPr="00F44F05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Pr="00F44F05" w:rsidRDefault="006832D9" w:rsidP="00843796">
            <w:pPr>
              <w:rPr>
                <w:b/>
              </w:rPr>
            </w:pPr>
          </w:p>
        </w:tc>
        <w:tc>
          <w:tcPr>
            <w:tcW w:w="1003" w:type="dxa"/>
          </w:tcPr>
          <w:p w:rsidR="006832D9" w:rsidRPr="00F44F05" w:rsidRDefault="006832D9" w:rsidP="00843796">
            <w:pPr>
              <w:rPr>
                <w:b/>
              </w:rPr>
            </w:pPr>
          </w:p>
        </w:tc>
      </w:tr>
      <w:tr w:rsidR="00EF2095" w:rsidRPr="00CC4D66" w:rsidTr="002D26E2">
        <w:trPr>
          <w:trHeight w:val="289"/>
        </w:trPr>
        <w:tc>
          <w:tcPr>
            <w:tcW w:w="5418" w:type="dxa"/>
          </w:tcPr>
          <w:p w:rsidR="006832D9" w:rsidRPr="00F44F05" w:rsidRDefault="006832D9" w:rsidP="00843796">
            <w:pPr>
              <w:rPr>
                <w:b/>
              </w:rPr>
            </w:pPr>
            <w:r w:rsidRPr="00F44F05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44F05" w:rsidRDefault="00434946" w:rsidP="00843796">
            <w:pPr>
              <w:rPr>
                <w:b/>
              </w:rPr>
            </w:pPr>
            <w:r w:rsidRPr="00F44F05">
              <w:rPr>
                <w:b/>
              </w:rPr>
              <w:t>45</w:t>
            </w:r>
          </w:p>
        </w:tc>
        <w:tc>
          <w:tcPr>
            <w:tcW w:w="1710" w:type="dxa"/>
          </w:tcPr>
          <w:p w:rsidR="006832D9" w:rsidRPr="00F44F05" w:rsidRDefault="006541FF" w:rsidP="00843796">
            <w:pPr>
              <w:rPr>
                <w:b/>
              </w:rPr>
            </w:pPr>
            <w:r w:rsidRPr="00F44F05">
              <w:rPr>
                <w:b/>
              </w:rPr>
              <w:t>1.50</w:t>
            </w:r>
          </w:p>
        </w:tc>
        <w:tc>
          <w:tcPr>
            <w:tcW w:w="1003" w:type="dxa"/>
          </w:tcPr>
          <w:p w:rsidR="006832D9" w:rsidRPr="00F44F05" w:rsidRDefault="006541FF" w:rsidP="00843796">
            <w:pPr>
              <w:rPr>
                <w:b/>
              </w:rPr>
            </w:pPr>
            <w:r w:rsidRPr="00F44F05">
              <w:rPr>
                <w:b/>
              </w:rPr>
              <w:t>6</w:t>
            </w:r>
            <w:r w:rsidR="0051707C">
              <w:rPr>
                <w:b/>
              </w:rPr>
              <w:t>8</w:t>
            </w:r>
          </w:p>
        </w:tc>
      </w:tr>
    </w:tbl>
    <w:p w:rsidR="00F3170F" w:rsidRDefault="00F3170F" w:rsidP="00F3170F"/>
    <w:p w:rsidR="005E714A" w:rsidRPr="0051707C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 w:rsidRPr="0051707C">
        <w:t>The estimated annual cost to the Fed</w:t>
      </w:r>
      <w:r w:rsidR="008116CE" w:rsidRPr="0051707C">
        <w:t>eral government is $</w:t>
      </w:r>
      <w:r w:rsidR="00F44F05" w:rsidRPr="0051707C">
        <w:t>13,000.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116CE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5D2FE9">
        <w:t>[X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5D2FE9" w:rsidRDefault="005D2FE9" w:rsidP="005D2FE9"/>
    <w:p w:rsidR="00560537" w:rsidRPr="00DD040F" w:rsidRDefault="00560537" w:rsidP="00560537">
      <w:pPr>
        <w:rPr>
          <w:lang w:bidi="en-US"/>
        </w:rPr>
      </w:pPr>
      <w:r w:rsidRPr="00DD040F">
        <w:lastRenderedPageBreak/>
        <w:t xml:space="preserve">Using a structured recruitment screener, a professional recruitment vendor will identify eligible participants, contact </w:t>
      </w:r>
      <w:r w:rsidRPr="00DD040F">
        <w:rPr>
          <w:lang w:bidi="en-US"/>
        </w:rPr>
        <w:t>them by telephone, explain the focus group study, invite them to participate, and schedule their focus group participation.</w:t>
      </w:r>
      <w:r>
        <w:rPr>
          <w:lang w:bidi="en-US"/>
        </w:rPr>
        <w:t xml:space="preserve">  </w:t>
      </w:r>
      <w:r w:rsidR="00CC4D66">
        <w:t>The recruitment facility</w:t>
      </w:r>
      <w:r w:rsidRPr="00DD040F">
        <w:t xml:space="preserve"> </w:t>
      </w:r>
      <w:r>
        <w:t>will</w:t>
      </w:r>
      <w:r w:rsidRPr="00DD040F">
        <w:t xml:space="preserve"> recruit 12 </w:t>
      </w:r>
      <w:r w:rsidRPr="0004368C">
        <w:t>individuals</w:t>
      </w:r>
      <w:r w:rsidRPr="00DD040F">
        <w:t xml:space="preserve"> for each of the focus groups with the aim of accepting a maximum of 9 per</w:t>
      </w:r>
      <w:r>
        <w:t xml:space="preserve"> </w:t>
      </w:r>
      <w:r w:rsidRPr="00DD040F">
        <w:t>focus group.  (Qualitative res</w:t>
      </w:r>
      <w:r>
        <w:t xml:space="preserve">earch experience has shown </w:t>
      </w:r>
      <w:r w:rsidRPr="00DD040F">
        <w:t xml:space="preserve">that no-show rates for focus groups are typically about </w:t>
      </w:r>
      <w:proofErr w:type="gramStart"/>
      <w:r w:rsidRPr="00DD040F">
        <w:t>20%</w:t>
      </w:r>
      <w:proofErr w:type="gramEnd"/>
      <w:r w:rsidRPr="00DD040F">
        <w:t>.)</w:t>
      </w:r>
    </w:p>
    <w:p w:rsidR="00560537" w:rsidRDefault="00560537" w:rsidP="005D2FE9"/>
    <w:p w:rsidR="005D2FE9" w:rsidRPr="003F3A1C" w:rsidRDefault="005D2FE9" w:rsidP="005D2FE9">
      <w:r w:rsidRPr="003F3A1C">
        <w:t xml:space="preserve">The recruitment facility maintains a database of people who have participated in previous focus groups and/or who have volunteered to take part in research.  This database includes demographic information such as gender, age, education, and </w:t>
      </w:r>
      <w:r w:rsidR="00C00A3C">
        <w:t>job</w:t>
      </w:r>
      <w:bookmarkStart w:id="0" w:name="_GoBack"/>
      <w:bookmarkEnd w:id="0"/>
      <w:r w:rsidRPr="003F3A1C">
        <w:t xml:space="preserve"> status.  Using the approved </w:t>
      </w:r>
      <w:r w:rsidR="00560537">
        <w:t>s</w:t>
      </w:r>
      <w:r w:rsidRPr="003F3A1C">
        <w:t xml:space="preserve">creener criteria (e.g., </w:t>
      </w:r>
      <w:r w:rsidR="00560537">
        <w:t>currently pregnant women, fathers/partners of those women</w:t>
      </w:r>
      <w:r w:rsidRPr="003F3A1C">
        <w:t xml:space="preserve">), the firm will contact individuals in the database to identify focus group participants.  If additional people need to be identified, the recruitment firm will reach out to </w:t>
      </w:r>
      <w:r>
        <w:t xml:space="preserve">appropriate </w:t>
      </w:r>
      <w:r w:rsidRPr="003F3A1C">
        <w:t xml:space="preserve">organizations </w:t>
      </w:r>
      <w:r w:rsidRPr="00323BBF">
        <w:t>(e.g.,</w:t>
      </w:r>
      <w:r w:rsidR="00434946" w:rsidRPr="00323BBF">
        <w:t xml:space="preserve"> </w:t>
      </w:r>
      <w:r w:rsidR="00E6783F" w:rsidRPr="00323BBF">
        <w:t xml:space="preserve">National </w:t>
      </w:r>
      <w:r w:rsidR="006541FF" w:rsidRPr="00323BBF">
        <w:t>Healthy Mothers</w:t>
      </w:r>
      <w:r w:rsidR="00E6783F" w:rsidRPr="00323BBF">
        <w:t>,</w:t>
      </w:r>
      <w:r w:rsidR="006541FF" w:rsidRPr="00323BBF">
        <w:t xml:space="preserve"> Healthy Babies</w:t>
      </w:r>
      <w:r w:rsidR="00E6783F" w:rsidRPr="00323BBF">
        <w:t xml:space="preserve"> Coalition</w:t>
      </w:r>
      <w:r w:rsidRPr="00323BBF">
        <w:t>)</w:t>
      </w:r>
      <w:r w:rsidRPr="003F3A1C">
        <w:t xml:space="preserve"> and screen and identify the </w:t>
      </w:r>
      <w:r>
        <w:t>focus group</w:t>
      </w:r>
      <w:r w:rsidRPr="003F3A1C">
        <w:t xml:space="preserve"> participants.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r w:rsidR="008116CE">
        <w:t>X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8116CE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8116CE">
        <w:t>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8116CE" w:rsidRDefault="00F24CFC" w:rsidP="005D2FE9">
      <w:pPr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</w:p>
    <w:p w:rsidR="008116CE" w:rsidRDefault="008116CE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8116CE" w:rsidRDefault="008116CE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8116CE" w:rsidRDefault="008116CE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8116CE" w:rsidRDefault="008116CE">
      <w:pPr>
        <w:rPr>
          <w:b/>
          <w:bCs/>
          <w:sz w:val="28"/>
        </w:rPr>
      </w:pPr>
    </w:p>
    <w:sectPr w:rsidR="008116CE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99C" w:rsidRDefault="0031099C">
      <w:r>
        <w:separator/>
      </w:r>
    </w:p>
  </w:endnote>
  <w:endnote w:type="continuationSeparator" w:id="0">
    <w:p w:rsidR="0031099C" w:rsidRDefault="00310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901" w:rsidRDefault="00FB133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77901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B2F1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99C" w:rsidRDefault="0031099C">
      <w:r>
        <w:separator/>
      </w:r>
    </w:p>
  </w:footnote>
  <w:footnote w:type="continuationSeparator" w:id="0">
    <w:p w:rsidR="0031099C" w:rsidRDefault="0031099C">
      <w:r>
        <w:continuationSeparator/>
      </w:r>
    </w:p>
  </w:footnote>
  <w:footnote w:id="1">
    <w:p w:rsidR="00B77901" w:rsidRPr="0021687A" w:rsidRDefault="00B77901" w:rsidP="00366779">
      <w:pPr>
        <w:pStyle w:val="FootnoteText"/>
      </w:pPr>
      <w:r w:rsidRPr="0021687A">
        <w:rPr>
          <w:rStyle w:val="FootnoteReference"/>
        </w:rPr>
        <w:footnoteRef/>
      </w:r>
      <w:r w:rsidRPr="0021687A">
        <w:t xml:space="preserve"> </w:t>
      </w:r>
      <w:proofErr w:type="spellStart"/>
      <w:r w:rsidRPr="0021687A">
        <w:t>Tita</w:t>
      </w:r>
      <w:proofErr w:type="spellEnd"/>
      <w:r w:rsidRPr="0021687A">
        <w:t xml:space="preserve"> ATN, Landon MB, </w:t>
      </w:r>
      <w:proofErr w:type="spellStart"/>
      <w:r w:rsidRPr="0021687A">
        <w:t>Spong</w:t>
      </w:r>
      <w:proofErr w:type="spellEnd"/>
      <w:r w:rsidRPr="0021687A">
        <w:t xml:space="preserve"> CY, Lai Y, </w:t>
      </w:r>
      <w:proofErr w:type="spellStart"/>
      <w:r w:rsidRPr="0021687A">
        <w:t>Leveno</w:t>
      </w:r>
      <w:proofErr w:type="spellEnd"/>
      <w:r w:rsidRPr="0021687A">
        <w:t xml:space="preserve"> KJ, Varner MW, et al. Timing of elective cesarean delivery at term and neonatal outcomes. </w:t>
      </w:r>
      <w:r w:rsidRPr="00606AD0">
        <w:rPr>
          <w:i/>
        </w:rPr>
        <w:t>The New England Journal of Medicine</w:t>
      </w:r>
      <w:r w:rsidRPr="0021687A">
        <w:t xml:space="preserve"> 2009 January</w:t>
      </w:r>
      <w:proofErr w:type="gramStart"/>
      <w:r w:rsidRPr="0021687A">
        <w:t>;360:111</w:t>
      </w:r>
      <w:proofErr w:type="gramEnd"/>
      <w:r w:rsidRPr="0021687A">
        <w:t>-20.</w:t>
      </w:r>
    </w:p>
  </w:footnote>
  <w:footnote w:id="2">
    <w:p w:rsidR="00B77901" w:rsidRPr="00377A9D" w:rsidRDefault="00B77901" w:rsidP="00366779">
      <w:pPr>
        <w:pStyle w:val="FootnoteText"/>
      </w:pPr>
      <w:r w:rsidRPr="00377A9D">
        <w:rPr>
          <w:rStyle w:val="FootnoteReference"/>
        </w:rPr>
        <w:footnoteRef/>
      </w:r>
      <w:r w:rsidRPr="00377A9D">
        <w:t xml:space="preserve"> </w:t>
      </w:r>
      <w:r>
        <w:t xml:space="preserve">(a) </w:t>
      </w:r>
      <w:r w:rsidRPr="00377A9D">
        <w:t xml:space="preserve">Martin JA. </w:t>
      </w:r>
      <w:proofErr w:type="gramStart"/>
      <w:r w:rsidRPr="00377A9D">
        <w:t>United States vital statistics and the measurement of gestational age.</w:t>
      </w:r>
      <w:proofErr w:type="gramEnd"/>
      <w:r w:rsidRPr="00377A9D">
        <w:t xml:space="preserve"> </w:t>
      </w:r>
      <w:proofErr w:type="spellStart"/>
      <w:r w:rsidRPr="00606AD0">
        <w:rPr>
          <w:i/>
        </w:rPr>
        <w:t>Paediatr</w:t>
      </w:r>
      <w:r>
        <w:rPr>
          <w:i/>
        </w:rPr>
        <w:t>ic</w:t>
      </w:r>
      <w:proofErr w:type="spellEnd"/>
      <w:r>
        <w:rPr>
          <w:i/>
        </w:rPr>
        <w:t xml:space="preserve"> and</w:t>
      </w:r>
      <w:r w:rsidRPr="00606AD0">
        <w:rPr>
          <w:i/>
        </w:rPr>
        <w:t xml:space="preserve"> </w:t>
      </w:r>
      <w:proofErr w:type="spellStart"/>
      <w:r w:rsidRPr="00606AD0">
        <w:rPr>
          <w:i/>
        </w:rPr>
        <w:t>Perinat</w:t>
      </w:r>
      <w:r>
        <w:rPr>
          <w:i/>
        </w:rPr>
        <w:t>al</w:t>
      </w:r>
      <w:proofErr w:type="spellEnd"/>
      <w:r w:rsidRPr="00606AD0">
        <w:rPr>
          <w:i/>
        </w:rPr>
        <w:t xml:space="preserve"> Epidemiol</w:t>
      </w:r>
      <w:r>
        <w:rPr>
          <w:i/>
        </w:rPr>
        <w:t>ogy</w:t>
      </w:r>
      <w:r w:rsidRPr="00377A9D">
        <w:t xml:space="preserve"> 2007 Sep;21 </w:t>
      </w:r>
      <w:proofErr w:type="spellStart"/>
      <w:r w:rsidRPr="00377A9D">
        <w:t>Suppl</w:t>
      </w:r>
      <w:proofErr w:type="spellEnd"/>
      <w:r w:rsidRPr="00377A9D">
        <w:t xml:space="preserve"> 2:13-21; </w:t>
      </w:r>
      <w:r>
        <w:t xml:space="preserve">(b) </w:t>
      </w:r>
      <w:r w:rsidRPr="00377A9D">
        <w:t xml:space="preserve">Martin JA, Kung HC, Mathews TJ, </w:t>
      </w:r>
      <w:proofErr w:type="spellStart"/>
      <w:r w:rsidRPr="00377A9D">
        <w:t>Hoyert</w:t>
      </w:r>
      <w:proofErr w:type="spellEnd"/>
      <w:r w:rsidRPr="00377A9D">
        <w:t xml:space="preserve"> DL, </w:t>
      </w:r>
      <w:proofErr w:type="spellStart"/>
      <w:r w:rsidRPr="00377A9D">
        <w:t>Strobino</w:t>
      </w:r>
      <w:proofErr w:type="spellEnd"/>
      <w:r w:rsidRPr="00377A9D">
        <w:t xml:space="preserve"> DM, </w:t>
      </w:r>
      <w:proofErr w:type="spellStart"/>
      <w:r w:rsidRPr="00377A9D">
        <w:t>Guyer</w:t>
      </w:r>
      <w:proofErr w:type="spellEnd"/>
      <w:r w:rsidRPr="00377A9D">
        <w:t xml:space="preserve"> B, et al. Annual summary of vital statistics: 2006. </w:t>
      </w:r>
      <w:r w:rsidRPr="00606AD0">
        <w:rPr>
          <w:i/>
        </w:rPr>
        <w:t>Pediatrics</w:t>
      </w:r>
      <w:r w:rsidRPr="00377A9D">
        <w:t xml:space="preserve"> 2008 Apr</w:t>
      </w:r>
      <w:proofErr w:type="gramStart"/>
      <w:r w:rsidRPr="00377A9D">
        <w:t>;121</w:t>
      </w:r>
      <w:proofErr w:type="gramEnd"/>
      <w:r w:rsidRPr="00377A9D">
        <w:t xml:space="preserve">(4):788-801; </w:t>
      </w:r>
      <w:r>
        <w:t xml:space="preserve">(c) </w:t>
      </w:r>
      <w:r w:rsidRPr="00377A9D">
        <w:t>Martin J, Hamilton B, Sutton P, et al. Births: Final data for 2006, National Vital Statistics Reports, Division of Vital Statistics (Percentages were prepared by the March of Dimes). Atlanta, GA: National Center for Health Statistics; 2009</w:t>
      </w:r>
      <w:r>
        <w:t>.</w:t>
      </w:r>
    </w:p>
  </w:footnote>
  <w:footnote w:id="3">
    <w:p w:rsidR="00B77901" w:rsidRPr="00791231" w:rsidRDefault="00B77901" w:rsidP="00E81DE9">
      <w:pPr>
        <w:pStyle w:val="FootnoteText"/>
      </w:pPr>
      <w:r w:rsidRPr="00791231">
        <w:rPr>
          <w:rStyle w:val="FootnoteReference"/>
        </w:rPr>
        <w:footnoteRef/>
      </w:r>
      <w:r w:rsidRPr="00791231">
        <w:t xml:space="preserve"> </w:t>
      </w:r>
      <w:proofErr w:type="gramStart"/>
      <w:r w:rsidRPr="00791231">
        <w:t>Elimination of non-medically indicated (elective) deliveries before 39 weeks gestational age.</w:t>
      </w:r>
      <w:proofErr w:type="gramEnd"/>
      <w:r w:rsidRPr="00791231">
        <w:t xml:space="preserve">  </w:t>
      </w:r>
      <w:proofErr w:type="gramStart"/>
      <w:r w:rsidRPr="00791231">
        <w:t>A California toolkit to transform maternity care.</w:t>
      </w:r>
      <w:proofErr w:type="gramEnd"/>
      <w:r w:rsidRPr="00791231">
        <w:t xml:space="preserve">  </w:t>
      </w:r>
      <w:proofErr w:type="gramStart"/>
      <w:r w:rsidRPr="00791231">
        <w:t>California Department of Public Health.</w:t>
      </w:r>
      <w:proofErr w:type="gramEnd"/>
      <w:r w:rsidRPr="00791231">
        <w:t xml:space="preserve">  August 31, 2011.  Available at: http://www.cdph.ca.gov/programs/mcah/Documents/MCAH-EliminationOfNon-MedicallyIndicatedDeliveries.pdf</w:t>
      </w:r>
    </w:p>
  </w:footnote>
  <w:footnote w:id="4">
    <w:p w:rsidR="00B77901" w:rsidRPr="0075454E" w:rsidRDefault="00B77901" w:rsidP="00E81DE9">
      <w:pPr>
        <w:pStyle w:val="FootnoteText"/>
      </w:pPr>
      <w:r w:rsidRPr="0075454E">
        <w:rPr>
          <w:rStyle w:val="FootnoteReference"/>
        </w:rPr>
        <w:footnoteRef/>
      </w:r>
      <w:r w:rsidRPr="0075454E">
        <w:t xml:space="preserve"> The median household income for all races in 2010 was $49,445.  Source: U.S. Census Bureau, Current Population Survey, 1968 to 2011 Annual Social and Economic Supplements.  Available at: http://en.wikipedia.org/wiki/Median_household_income</w:t>
      </w:r>
    </w:p>
  </w:footnote>
  <w:footnote w:id="5">
    <w:p w:rsidR="00B77901" w:rsidRDefault="00B77901" w:rsidP="00B5170D">
      <w:pPr>
        <w:pStyle w:val="FootnoteText"/>
      </w:pPr>
      <w:r>
        <w:rPr>
          <w:rStyle w:val="FootnoteReference"/>
        </w:rPr>
        <w:footnoteRef/>
      </w:r>
      <w:r w:rsidRPr="00737A5C">
        <w:rPr>
          <w:lang w:val="da-DK"/>
        </w:rPr>
        <w:t xml:space="preserve"> Singer E and Kulka RA. </w:t>
      </w:r>
      <w:proofErr w:type="gramStart"/>
      <w:r>
        <w:t>Paying respondents for survey participation.</w:t>
      </w:r>
      <w:proofErr w:type="gramEnd"/>
      <w:r>
        <w:t xml:space="preserve"> In </w:t>
      </w:r>
      <w:proofErr w:type="spellStart"/>
      <w:r>
        <w:t>Ver</w:t>
      </w:r>
      <w:proofErr w:type="spellEnd"/>
      <w:r>
        <w:t xml:space="preserve"> </w:t>
      </w:r>
      <w:proofErr w:type="spellStart"/>
      <w:r>
        <w:t>Ploeg</w:t>
      </w:r>
      <w:proofErr w:type="spellEnd"/>
      <w:r>
        <w:t xml:space="preserve"> </w:t>
      </w:r>
      <w:proofErr w:type="spellStart"/>
      <w:r>
        <w:t>M</w:t>
      </w:r>
      <w:proofErr w:type="gramStart"/>
      <w:r>
        <w:t>,.</w:t>
      </w:r>
      <w:proofErr w:type="gramEnd"/>
      <w:r>
        <w:t>Moffitt</w:t>
      </w:r>
      <w:proofErr w:type="spellEnd"/>
      <w:r>
        <w:t xml:space="preserve"> RA, </w:t>
      </w:r>
      <w:proofErr w:type="spellStart"/>
      <w:r>
        <w:t>Citro</w:t>
      </w:r>
      <w:proofErr w:type="spellEnd"/>
      <w:r>
        <w:t xml:space="preserve"> CF (</w:t>
      </w:r>
      <w:proofErr w:type="spellStart"/>
      <w:r>
        <w:t>eds</w:t>
      </w:r>
      <w:proofErr w:type="spellEnd"/>
      <w:r>
        <w:t xml:space="preserve">). Studies of Welfare Populations: Data collection and Research Issues. National Academy Press: Washington, DC 2001. </w:t>
      </w:r>
      <w:proofErr w:type="gramStart"/>
      <w:r>
        <w:t xml:space="preserve">Available at </w:t>
      </w:r>
      <w:r w:rsidRPr="003A73C2">
        <w:t>http://www.nap.edu/openbook/0309076234/html.</w:t>
      </w:r>
      <w:proofErr w:type="gramEnd"/>
      <w:r w:rsidRPr="003A73C2">
        <w:t xml:space="preserve"> </w:t>
      </w:r>
      <w:proofErr w:type="gramStart"/>
      <w:r w:rsidRPr="003A73C2">
        <w:t>Accessed on May 13</w:t>
      </w:r>
      <w:r>
        <w:t>, 2008.</w:t>
      </w:r>
      <w:proofErr w:type="gramEnd"/>
    </w:p>
  </w:footnote>
  <w:footnote w:id="6">
    <w:p w:rsidR="00B77901" w:rsidRDefault="00B77901" w:rsidP="00B517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Kovac</w:t>
      </w:r>
      <w:proofErr w:type="spellEnd"/>
      <w:r>
        <w:t xml:space="preserve"> MD, </w:t>
      </w:r>
      <w:proofErr w:type="spellStart"/>
      <w:r>
        <w:t>Markesich</w:t>
      </w:r>
      <w:proofErr w:type="spellEnd"/>
      <w:r>
        <w:t xml:space="preserve"> J. Tiered incentive payments: getting the most </w:t>
      </w:r>
      <w:proofErr w:type="gramStart"/>
      <w:r>
        <w:t>bang</w:t>
      </w:r>
      <w:proofErr w:type="gramEnd"/>
      <w:r>
        <w:t xml:space="preserve"> for your buck. </w:t>
      </w:r>
      <w:proofErr w:type="gramStart"/>
      <w:r>
        <w:t>Presentation at the Annual Conference of the American Association for Public Research, 2002.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E01AFF"/>
    <w:multiLevelType w:val="hybridMultilevel"/>
    <w:tmpl w:val="CB36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232CF"/>
    <w:multiLevelType w:val="hybridMultilevel"/>
    <w:tmpl w:val="EEA4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1961"/>
    <w:rsid w:val="00023A57"/>
    <w:rsid w:val="00047A64"/>
    <w:rsid w:val="000509CF"/>
    <w:rsid w:val="00055FDD"/>
    <w:rsid w:val="00065995"/>
    <w:rsid w:val="00067329"/>
    <w:rsid w:val="000B2838"/>
    <w:rsid w:val="000D44CA"/>
    <w:rsid w:val="000E200B"/>
    <w:rsid w:val="000F2851"/>
    <w:rsid w:val="000F3EB2"/>
    <w:rsid w:val="000F68BE"/>
    <w:rsid w:val="001621BC"/>
    <w:rsid w:val="00162F83"/>
    <w:rsid w:val="00176B0A"/>
    <w:rsid w:val="001927A4"/>
    <w:rsid w:val="00194AC6"/>
    <w:rsid w:val="001A23B0"/>
    <w:rsid w:val="001A25CC"/>
    <w:rsid w:val="001B0AAA"/>
    <w:rsid w:val="001B0F7D"/>
    <w:rsid w:val="001B2F10"/>
    <w:rsid w:val="001C39F7"/>
    <w:rsid w:val="00232666"/>
    <w:rsid w:val="00237B48"/>
    <w:rsid w:val="0024521E"/>
    <w:rsid w:val="00256D30"/>
    <w:rsid w:val="00263C3D"/>
    <w:rsid w:val="00274D0B"/>
    <w:rsid w:val="00284110"/>
    <w:rsid w:val="002950DE"/>
    <w:rsid w:val="002B3C95"/>
    <w:rsid w:val="002C5E40"/>
    <w:rsid w:val="002D0B92"/>
    <w:rsid w:val="002D26E2"/>
    <w:rsid w:val="002E6E82"/>
    <w:rsid w:val="0031099C"/>
    <w:rsid w:val="00323BBF"/>
    <w:rsid w:val="00335416"/>
    <w:rsid w:val="00366779"/>
    <w:rsid w:val="003D194E"/>
    <w:rsid w:val="003D5BBE"/>
    <w:rsid w:val="003E3C61"/>
    <w:rsid w:val="003E49F1"/>
    <w:rsid w:val="003F1C5B"/>
    <w:rsid w:val="00423470"/>
    <w:rsid w:val="0042492A"/>
    <w:rsid w:val="00434946"/>
    <w:rsid w:val="00434E33"/>
    <w:rsid w:val="00436A41"/>
    <w:rsid w:val="00441434"/>
    <w:rsid w:val="00445B35"/>
    <w:rsid w:val="0045264C"/>
    <w:rsid w:val="0048479D"/>
    <w:rsid w:val="004876EC"/>
    <w:rsid w:val="004C76C8"/>
    <w:rsid w:val="004D6E14"/>
    <w:rsid w:val="005009B0"/>
    <w:rsid w:val="0051361A"/>
    <w:rsid w:val="0051707C"/>
    <w:rsid w:val="00554B62"/>
    <w:rsid w:val="00560537"/>
    <w:rsid w:val="00580BBD"/>
    <w:rsid w:val="005A1006"/>
    <w:rsid w:val="005D2FE9"/>
    <w:rsid w:val="005D3348"/>
    <w:rsid w:val="005D390B"/>
    <w:rsid w:val="005E714A"/>
    <w:rsid w:val="00600852"/>
    <w:rsid w:val="006140A0"/>
    <w:rsid w:val="006363EF"/>
    <w:rsid w:val="00636621"/>
    <w:rsid w:val="00642B49"/>
    <w:rsid w:val="0064468A"/>
    <w:rsid w:val="00650B1C"/>
    <w:rsid w:val="006541FF"/>
    <w:rsid w:val="00666739"/>
    <w:rsid w:val="006832D9"/>
    <w:rsid w:val="0069403B"/>
    <w:rsid w:val="006E780A"/>
    <w:rsid w:val="006F12EB"/>
    <w:rsid w:val="006F3DDE"/>
    <w:rsid w:val="00704678"/>
    <w:rsid w:val="007425E7"/>
    <w:rsid w:val="00751596"/>
    <w:rsid w:val="0076505A"/>
    <w:rsid w:val="00774095"/>
    <w:rsid w:val="00793BA2"/>
    <w:rsid w:val="007A37C9"/>
    <w:rsid w:val="007C61BA"/>
    <w:rsid w:val="007C7577"/>
    <w:rsid w:val="007E56E6"/>
    <w:rsid w:val="007F590D"/>
    <w:rsid w:val="007F6024"/>
    <w:rsid w:val="00802607"/>
    <w:rsid w:val="008101A5"/>
    <w:rsid w:val="008116CE"/>
    <w:rsid w:val="00814CF3"/>
    <w:rsid w:val="00822664"/>
    <w:rsid w:val="00843796"/>
    <w:rsid w:val="00874512"/>
    <w:rsid w:val="0088500E"/>
    <w:rsid w:val="00895229"/>
    <w:rsid w:val="008A18C6"/>
    <w:rsid w:val="008A5D0B"/>
    <w:rsid w:val="008A6291"/>
    <w:rsid w:val="008E3808"/>
    <w:rsid w:val="008F01F3"/>
    <w:rsid w:val="008F0203"/>
    <w:rsid w:val="008F50D4"/>
    <w:rsid w:val="0091008B"/>
    <w:rsid w:val="009239AA"/>
    <w:rsid w:val="00935ADA"/>
    <w:rsid w:val="00946B6C"/>
    <w:rsid w:val="009550E3"/>
    <w:rsid w:val="00955A71"/>
    <w:rsid w:val="0096108F"/>
    <w:rsid w:val="009C13B9"/>
    <w:rsid w:val="009C4D35"/>
    <w:rsid w:val="009D01A2"/>
    <w:rsid w:val="009E0ADD"/>
    <w:rsid w:val="009F5923"/>
    <w:rsid w:val="009F71BD"/>
    <w:rsid w:val="00A403BB"/>
    <w:rsid w:val="00A674DF"/>
    <w:rsid w:val="00A67A50"/>
    <w:rsid w:val="00A83AA6"/>
    <w:rsid w:val="00AE1809"/>
    <w:rsid w:val="00AE238D"/>
    <w:rsid w:val="00AF4FCE"/>
    <w:rsid w:val="00B00170"/>
    <w:rsid w:val="00B42190"/>
    <w:rsid w:val="00B5170D"/>
    <w:rsid w:val="00B747AC"/>
    <w:rsid w:val="00B77901"/>
    <w:rsid w:val="00B80D76"/>
    <w:rsid w:val="00BA2105"/>
    <w:rsid w:val="00BA5BC2"/>
    <w:rsid w:val="00BA7E06"/>
    <w:rsid w:val="00BB43B5"/>
    <w:rsid w:val="00BB6219"/>
    <w:rsid w:val="00BC5932"/>
    <w:rsid w:val="00BC7F34"/>
    <w:rsid w:val="00BD290F"/>
    <w:rsid w:val="00BE6A98"/>
    <w:rsid w:val="00BE7165"/>
    <w:rsid w:val="00C00A3C"/>
    <w:rsid w:val="00C01E90"/>
    <w:rsid w:val="00C14CC4"/>
    <w:rsid w:val="00C33C52"/>
    <w:rsid w:val="00C363DD"/>
    <w:rsid w:val="00C40D8B"/>
    <w:rsid w:val="00C8407A"/>
    <w:rsid w:val="00C8488C"/>
    <w:rsid w:val="00C86E91"/>
    <w:rsid w:val="00C92AAF"/>
    <w:rsid w:val="00CA2650"/>
    <w:rsid w:val="00CB1078"/>
    <w:rsid w:val="00CC4D66"/>
    <w:rsid w:val="00CC6FAF"/>
    <w:rsid w:val="00CD09BC"/>
    <w:rsid w:val="00CE126D"/>
    <w:rsid w:val="00D23EEE"/>
    <w:rsid w:val="00D2454E"/>
    <w:rsid w:val="00D24698"/>
    <w:rsid w:val="00D6383F"/>
    <w:rsid w:val="00D65953"/>
    <w:rsid w:val="00DB4CB1"/>
    <w:rsid w:val="00DB59D0"/>
    <w:rsid w:val="00DB7F20"/>
    <w:rsid w:val="00DC33D3"/>
    <w:rsid w:val="00DF7267"/>
    <w:rsid w:val="00E001B7"/>
    <w:rsid w:val="00E26329"/>
    <w:rsid w:val="00E40B50"/>
    <w:rsid w:val="00E50293"/>
    <w:rsid w:val="00E63A5A"/>
    <w:rsid w:val="00E65FFC"/>
    <w:rsid w:val="00E6783F"/>
    <w:rsid w:val="00E80951"/>
    <w:rsid w:val="00E81DE9"/>
    <w:rsid w:val="00E86CC6"/>
    <w:rsid w:val="00E870C8"/>
    <w:rsid w:val="00E92923"/>
    <w:rsid w:val="00EB56B3"/>
    <w:rsid w:val="00ED6492"/>
    <w:rsid w:val="00EE1B58"/>
    <w:rsid w:val="00EF2095"/>
    <w:rsid w:val="00F06866"/>
    <w:rsid w:val="00F15956"/>
    <w:rsid w:val="00F23346"/>
    <w:rsid w:val="00F24CFC"/>
    <w:rsid w:val="00F27E05"/>
    <w:rsid w:val="00F3170F"/>
    <w:rsid w:val="00F44F05"/>
    <w:rsid w:val="00F709E6"/>
    <w:rsid w:val="00F76CB6"/>
    <w:rsid w:val="00F919E7"/>
    <w:rsid w:val="00F976B0"/>
    <w:rsid w:val="00FA6DE7"/>
    <w:rsid w:val="00FB133D"/>
    <w:rsid w:val="00FB73AD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5170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170D"/>
  </w:style>
  <w:style w:type="character" w:styleId="FootnoteReference">
    <w:name w:val="footnote reference"/>
    <w:basedOn w:val="DefaultParagraphFont"/>
    <w:uiPriority w:val="99"/>
    <w:rsid w:val="00B5170D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CC4D6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44F05"/>
    <w:rPr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5170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170D"/>
  </w:style>
  <w:style w:type="character" w:styleId="FootnoteReference">
    <w:name w:val="footnote reference"/>
    <w:basedOn w:val="DefaultParagraphFont"/>
    <w:uiPriority w:val="99"/>
    <w:rsid w:val="00B5170D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CC4D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curriem</cp:lastModifiedBy>
  <cp:revision>2</cp:revision>
  <cp:lastPrinted>2010-10-04T16:59:00Z</cp:lastPrinted>
  <dcterms:created xsi:type="dcterms:W3CDTF">2012-04-10T15:04:00Z</dcterms:created>
  <dcterms:modified xsi:type="dcterms:W3CDTF">2012-04-10T15:04:00Z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