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5A" w:rsidRPr="00F4479C" w:rsidRDefault="0086548E" w:rsidP="00F975FA">
      <w:pPr>
        <w:jc w:val="center"/>
        <w:rPr>
          <w:b/>
          <w:sz w:val="24"/>
        </w:rPr>
      </w:pPr>
      <w:bookmarkStart w:id="0" w:name="_GoBack"/>
      <w:bookmarkEnd w:id="0"/>
      <w:r w:rsidRPr="0086548E">
        <w:rPr>
          <w:b/>
          <w:sz w:val="24"/>
        </w:rPr>
        <w:t>U.S. DEPARTMENT OF HEALTH AND HUMAN SERVICES</w:t>
      </w:r>
    </w:p>
    <w:p w:rsidR="005B77F3" w:rsidRDefault="0086548E">
      <w:pPr>
        <w:jc w:val="center"/>
        <w:rPr>
          <w:b/>
          <w:sz w:val="24"/>
        </w:rPr>
      </w:pPr>
      <w:r w:rsidRPr="0086548E">
        <w:rPr>
          <w:b/>
          <w:sz w:val="24"/>
        </w:rPr>
        <w:t>CENTERS FOR MEDICARE AND MEDICAID SERVICES</w:t>
      </w: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86548E">
      <w:pPr>
        <w:jc w:val="center"/>
        <w:rPr>
          <w:b/>
          <w:sz w:val="24"/>
        </w:rPr>
      </w:pPr>
      <w:r w:rsidRPr="0086548E">
        <w:rPr>
          <w:b/>
          <w:sz w:val="24"/>
        </w:rPr>
        <w:t>COLLECTION OF ENCOUNTER DATA</w:t>
      </w:r>
    </w:p>
    <w:p w:rsidR="005B77F3" w:rsidRDefault="0086548E">
      <w:pPr>
        <w:jc w:val="center"/>
        <w:rPr>
          <w:b/>
          <w:sz w:val="24"/>
        </w:rPr>
      </w:pPr>
      <w:r w:rsidRPr="0086548E">
        <w:rPr>
          <w:b/>
          <w:sz w:val="24"/>
        </w:rPr>
        <w:t xml:space="preserve">FROM </w:t>
      </w:r>
      <w:r w:rsidR="00F56A45">
        <w:rPr>
          <w:b/>
          <w:sz w:val="24"/>
        </w:rPr>
        <w:t>MEDICARE ADVANTAGE ORGANIZATIONS</w:t>
      </w:r>
      <w:r w:rsidR="00B25CDA">
        <w:rPr>
          <w:b/>
          <w:sz w:val="24"/>
        </w:rPr>
        <w:t>, SECTION 1876</w:t>
      </w:r>
      <w:r w:rsidR="00F56A45">
        <w:rPr>
          <w:b/>
          <w:sz w:val="24"/>
        </w:rPr>
        <w:t xml:space="preserve"> </w:t>
      </w:r>
      <w:r w:rsidR="00B25CDA">
        <w:rPr>
          <w:b/>
          <w:sz w:val="24"/>
        </w:rPr>
        <w:t>COST HMOs/CMPs, SECTION 1833 HEALTH CARE PREPAYMENT PLANS (HCPPs), and PACE ORGANIZATIONS</w:t>
      </w: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5B77F3">
      <w:pPr>
        <w:jc w:val="center"/>
        <w:rPr>
          <w:b/>
          <w:sz w:val="24"/>
        </w:rPr>
      </w:pPr>
    </w:p>
    <w:p w:rsidR="005B77F3" w:rsidRDefault="0086548E">
      <w:pPr>
        <w:jc w:val="center"/>
        <w:rPr>
          <w:b/>
          <w:sz w:val="24"/>
        </w:rPr>
      </w:pPr>
      <w:r w:rsidRPr="0086548E">
        <w:rPr>
          <w:b/>
          <w:sz w:val="24"/>
        </w:rPr>
        <w:t>OFFICE OF MANAGEMENT AND BUDGET</w:t>
      </w:r>
    </w:p>
    <w:p w:rsidR="005B77F3" w:rsidRDefault="0086548E">
      <w:pPr>
        <w:jc w:val="center"/>
        <w:rPr>
          <w:sz w:val="24"/>
        </w:rPr>
      </w:pPr>
      <w:r w:rsidRPr="0086548E">
        <w:rPr>
          <w:b/>
          <w:sz w:val="24"/>
        </w:rPr>
        <w:t>CLEARANCE PACKAGE SUPPORTING STATEMENT</w:t>
      </w: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jc w:val="cente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86548E">
      <w:pPr>
        <w:jc w:val="center"/>
        <w:rPr>
          <w:b/>
          <w:sz w:val="24"/>
        </w:rPr>
      </w:pPr>
      <w:r w:rsidRPr="0086548E">
        <w:rPr>
          <w:b/>
          <w:sz w:val="24"/>
        </w:rPr>
        <w:t>Date</w:t>
      </w: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5B77F3">
      <w:pPr>
        <w:rPr>
          <w:sz w:val="24"/>
        </w:rPr>
      </w:pPr>
    </w:p>
    <w:p w:rsidR="005B77F3" w:rsidRDefault="0086548E">
      <w:pPr>
        <w:jc w:val="center"/>
        <w:rPr>
          <w:b/>
          <w:sz w:val="24"/>
        </w:rPr>
      </w:pPr>
      <w:r w:rsidRPr="0086548E">
        <w:rPr>
          <w:b/>
          <w:sz w:val="24"/>
        </w:rPr>
        <w:t>CONTENTS</w:t>
      </w:r>
    </w:p>
    <w:p w:rsidR="005B77F3" w:rsidRDefault="0086548E">
      <w:pPr>
        <w:rPr>
          <w:b/>
          <w:sz w:val="24"/>
        </w:rPr>
      </w:pPr>
      <w:r w:rsidRPr="0086548E">
        <w:rPr>
          <w:b/>
          <w:sz w:val="24"/>
        </w:rPr>
        <w:t xml:space="preserve">PART A                                                                                                                                </w:t>
      </w:r>
    </w:p>
    <w:p w:rsidR="005B77F3" w:rsidRDefault="005B77F3">
      <w:pPr>
        <w:pStyle w:val="Heading1"/>
        <w:rPr>
          <w:bCs w:val="0"/>
        </w:rPr>
      </w:pPr>
    </w:p>
    <w:p w:rsidR="005B77F3" w:rsidRDefault="0086548E">
      <w:pPr>
        <w:pStyle w:val="Heading1"/>
        <w:tabs>
          <w:tab w:val="left" w:pos="360"/>
        </w:tabs>
        <w:rPr>
          <w:bCs w:val="0"/>
        </w:rPr>
      </w:pPr>
      <w:r>
        <w:rPr>
          <w:bCs w:val="0"/>
        </w:rPr>
        <w:t>A.</w:t>
      </w:r>
      <w:r>
        <w:rPr>
          <w:bCs w:val="0"/>
        </w:rPr>
        <w:tab/>
        <w:t xml:space="preserve">BACKGROUND </w:t>
      </w:r>
    </w:p>
    <w:p w:rsidR="005B77F3" w:rsidRDefault="0086548E">
      <w:pPr>
        <w:rPr>
          <w:b/>
          <w:sz w:val="24"/>
        </w:rPr>
      </w:pPr>
      <w:r w:rsidRPr="0086548E">
        <w:rPr>
          <w:b/>
          <w:sz w:val="24"/>
        </w:rPr>
        <w:t xml:space="preserve">  </w:t>
      </w:r>
    </w:p>
    <w:p w:rsidR="005B77F3" w:rsidRDefault="0086548E">
      <w:pPr>
        <w:tabs>
          <w:tab w:val="left" w:pos="360"/>
        </w:tabs>
        <w:rPr>
          <w:b/>
          <w:sz w:val="24"/>
        </w:rPr>
      </w:pPr>
      <w:r w:rsidRPr="0086548E">
        <w:rPr>
          <w:b/>
          <w:sz w:val="24"/>
        </w:rPr>
        <w:t>B.</w:t>
      </w:r>
      <w:r w:rsidRPr="0086548E">
        <w:rPr>
          <w:b/>
          <w:sz w:val="24"/>
        </w:rPr>
        <w:tab/>
        <w:t>JUSTIFICATION</w:t>
      </w:r>
    </w:p>
    <w:p w:rsidR="005B77F3" w:rsidRDefault="0086548E">
      <w:pPr>
        <w:tabs>
          <w:tab w:val="left" w:pos="360"/>
          <w:tab w:val="left" w:pos="900"/>
        </w:tabs>
        <w:rPr>
          <w:b/>
          <w:sz w:val="24"/>
        </w:rPr>
      </w:pPr>
      <w:r w:rsidRPr="0086548E">
        <w:rPr>
          <w:b/>
          <w:sz w:val="24"/>
        </w:rPr>
        <w:tab/>
        <w:t>1.</w:t>
      </w:r>
      <w:r w:rsidRPr="0086548E">
        <w:rPr>
          <w:b/>
          <w:sz w:val="24"/>
        </w:rPr>
        <w:tab/>
        <w:t xml:space="preserve">Need and Legal Basis </w:t>
      </w:r>
    </w:p>
    <w:p w:rsidR="005B77F3" w:rsidRDefault="0086548E">
      <w:pPr>
        <w:tabs>
          <w:tab w:val="left" w:pos="360"/>
          <w:tab w:val="left" w:pos="900"/>
        </w:tabs>
        <w:rPr>
          <w:b/>
          <w:sz w:val="24"/>
        </w:rPr>
      </w:pPr>
      <w:r w:rsidRPr="0086548E">
        <w:rPr>
          <w:b/>
          <w:sz w:val="24"/>
        </w:rPr>
        <w:tab/>
        <w:t>2.</w:t>
      </w:r>
      <w:r w:rsidRPr="0086548E">
        <w:rPr>
          <w:b/>
          <w:sz w:val="24"/>
        </w:rPr>
        <w:tab/>
        <w:t>Information Users</w:t>
      </w:r>
    </w:p>
    <w:p w:rsidR="005B77F3" w:rsidRDefault="0086548E">
      <w:pPr>
        <w:tabs>
          <w:tab w:val="left" w:pos="360"/>
          <w:tab w:val="left" w:pos="720"/>
          <w:tab w:val="left" w:pos="900"/>
        </w:tabs>
        <w:rPr>
          <w:b/>
          <w:sz w:val="24"/>
        </w:rPr>
      </w:pPr>
      <w:r w:rsidRPr="0086548E">
        <w:rPr>
          <w:b/>
          <w:sz w:val="24"/>
        </w:rPr>
        <w:tab/>
        <w:t>3.</w:t>
      </w:r>
      <w:r w:rsidRPr="0086548E">
        <w:rPr>
          <w:b/>
          <w:sz w:val="24"/>
        </w:rPr>
        <w:tab/>
      </w:r>
      <w:r w:rsidRPr="0086548E">
        <w:rPr>
          <w:b/>
          <w:sz w:val="24"/>
        </w:rPr>
        <w:tab/>
        <w:t>Use of Information Technology</w:t>
      </w:r>
    </w:p>
    <w:p w:rsidR="005B77F3" w:rsidRDefault="0086548E">
      <w:pPr>
        <w:tabs>
          <w:tab w:val="left" w:pos="360"/>
          <w:tab w:val="left" w:pos="900"/>
        </w:tabs>
        <w:rPr>
          <w:b/>
          <w:sz w:val="24"/>
        </w:rPr>
      </w:pPr>
      <w:r w:rsidRPr="0086548E">
        <w:rPr>
          <w:b/>
          <w:sz w:val="24"/>
        </w:rPr>
        <w:tab/>
        <w:t>4.</w:t>
      </w:r>
      <w:r w:rsidRPr="0086548E">
        <w:rPr>
          <w:b/>
          <w:sz w:val="24"/>
        </w:rPr>
        <w:tab/>
        <w:t>Duplication of Efforts</w:t>
      </w:r>
    </w:p>
    <w:p w:rsidR="005B77F3" w:rsidRDefault="0086548E">
      <w:pPr>
        <w:tabs>
          <w:tab w:val="left" w:pos="360"/>
          <w:tab w:val="left" w:pos="900"/>
        </w:tabs>
        <w:rPr>
          <w:b/>
          <w:sz w:val="24"/>
        </w:rPr>
      </w:pPr>
      <w:r w:rsidRPr="0086548E">
        <w:rPr>
          <w:b/>
          <w:sz w:val="24"/>
        </w:rPr>
        <w:tab/>
        <w:t>5.</w:t>
      </w:r>
      <w:r w:rsidRPr="0086548E">
        <w:rPr>
          <w:b/>
          <w:sz w:val="24"/>
        </w:rPr>
        <w:tab/>
        <w:t>Small Businesses</w:t>
      </w:r>
    </w:p>
    <w:p w:rsidR="005B77F3" w:rsidRDefault="0086548E">
      <w:pPr>
        <w:tabs>
          <w:tab w:val="left" w:pos="360"/>
          <w:tab w:val="left" w:pos="900"/>
        </w:tabs>
        <w:rPr>
          <w:b/>
          <w:sz w:val="24"/>
        </w:rPr>
      </w:pPr>
      <w:r w:rsidRPr="0086548E">
        <w:rPr>
          <w:b/>
          <w:sz w:val="24"/>
        </w:rPr>
        <w:tab/>
        <w:t>6.</w:t>
      </w:r>
      <w:r w:rsidRPr="0086548E">
        <w:rPr>
          <w:b/>
          <w:sz w:val="24"/>
        </w:rPr>
        <w:tab/>
        <w:t xml:space="preserve">Less Frequent Collection </w:t>
      </w:r>
    </w:p>
    <w:p w:rsidR="005B77F3" w:rsidRDefault="0086548E">
      <w:pPr>
        <w:tabs>
          <w:tab w:val="left" w:pos="360"/>
          <w:tab w:val="left" w:pos="900"/>
        </w:tabs>
        <w:rPr>
          <w:b/>
          <w:sz w:val="24"/>
        </w:rPr>
      </w:pPr>
      <w:r w:rsidRPr="0086548E">
        <w:rPr>
          <w:b/>
          <w:sz w:val="24"/>
        </w:rPr>
        <w:tab/>
        <w:t>7.</w:t>
      </w:r>
      <w:r w:rsidRPr="0086548E">
        <w:rPr>
          <w:b/>
          <w:sz w:val="24"/>
        </w:rPr>
        <w:tab/>
        <w:t>Special Circumstances</w:t>
      </w:r>
    </w:p>
    <w:p w:rsidR="005B77F3" w:rsidRDefault="0086548E">
      <w:pPr>
        <w:tabs>
          <w:tab w:val="left" w:pos="360"/>
          <w:tab w:val="left" w:pos="900"/>
        </w:tabs>
        <w:rPr>
          <w:b/>
          <w:sz w:val="24"/>
        </w:rPr>
      </w:pPr>
      <w:r w:rsidRPr="0086548E">
        <w:rPr>
          <w:b/>
          <w:sz w:val="24"/>
        </w:rPr>
        <w:tab/>
        <w:t>8.</w:t>
      </w:r>
      <w:r w:rsidRPr="0086548E">
        <w:rPr>
          <w:b/>
          <w:sz w:val="24"/>
        </w:rPr>
        <w:tab/>
        <w:t>Federal Register/Outside Consultation</w:t>
      </w:r>
    </w:p>
    <w:p w:rsidR="005B77F3" w:rsidRDefault="0086548E">
      <w:pPr>
        <w:tabs>
          <w:tab w:val="left" w:pos="360"/>
          <w:tab w:val="left" w:pos="900"/>
        </w:tabs>
        <w:rPr>
          <w:b/>
          <w:sz w:val="24"/>
        </w:rPr>
      </w:pPr>
      <w:r w:rsidRPr="0086548E">
        <w:rPr>
          <w:b/>
          <w:sz w:val="24"/>
        </w:rPr>
        <w:tab/>
        <w:t>9.</w:t>
      </w:r>
      <w:r w:rsidRPr="0086548E">
        <w:rPr>
          <w:b/>
          <w:sz w:val="24"/>
        </w:rPr>
        <w:tab/>
        <w:t>Payments/Gifts to Respondents</w:t>
      </w:r>
    </w:p>
    <w:p w:rsidR="005B77F3" w:rsidRDefault="0086548E">
      <w:pPr>
        <w:tabs>
          <w:tab w:val="left" w:pos="360"/>
          <w:tab w:val="left" w:pos="900"/>
        </w:tabs>
        <w:rPr>
          <w:b/>
          <w:sz w:val="24"/>
        </w:rPr>
      </w:pPr>
      <w:r w:rsidRPr="0086548E">
        <w:rPr>
          <w:b/>
          <w:sz w:val="24"/>
        </w:rPr>
        <w:tab/>
        <w:t>10.</w:t>
      </w:r>
      <w:r w:rsidRPr="0086548E">
        <w:rPr>
          <w:b/>
          <w:sz w:val="24"/>
        </w:rPr>
        <w:tab/>
        <w:t>Confidentiality</w:t>
      </w:r>
    </w:p>
    <w:p w:rsidR="005B77F3" w:rsidRDefault="0086548E">
      <w:pPr>
        <w:tabs>
          <w:tab w:val="left" w:pos="360"/>
          <w:tab w:val="left" w:pos="900"/>
        </w:tabs>
        <w:rPr>
          <w:b/>
          <w:sz w:val="24"/>
        </w:rPr>
      </w:pPr>
      <w:r w:rsidRPr="0086548E">
        <w:rPr>
          <w:b/>
          <w:sz w:val="24"/>
        </w:rPr>
        <w:tab/>
        <w:t>11.</w:t>
      </w:r>
      <w:r w:rsidRPr="0086548E">
        <w:rPr>
          <w:b/>
          <w:sz w:val="24"/>
        </w:rPr>
        <w:tab/>
        <w:t>Sensitive Questions</w:t>
      </w:r>
    </w:p>
    <w:p w:rsidR="005B77F3" w:rsidRDefault="0086548E">
      <w:pPr>
        <w:tabs>
          <w:tab w:val="left" w:pos="360"/>
          <w:tab w:val="left" w:pos="900"/>
        </w:tabs>
        <w:rPr>
          <w:b/>
          <w:sz w:val="24"/>
        </w:rPr>
      </w:pPr>
      <w:r w:rsidRPr="0086548E">
        <w:rPr>
          <w:b/>
          <w:sz w:val="24"/>
        </w:rPr>
        <w:tab/>
        <w:t>12.</w:t>
      </w:r>
      <w:r w:rsidRPr="0086548E">
        <w:rPr>
          <w:b/>
          <w:sz w:val="24"/>
        </w:rPr>
        <w:tab/>
        <w:t>Burden Estimate (Hours &amp; Wages)</w:t>
      </w:r>
    </w:p>
    <w:p w:rsidR="005B77F3" w:rsidRDefault="0086548E">
      <w:pPr>
        <w:tabs>
          <w:tab w:val="left" w:pos="360"/>
          <w:tab w:val="left" w:pos="900"/>
        </w:tabs>
        <w:rPr>
          <w:b/>
          <w:sz w:val="24"/>
        </w:rPr>
      </w:pPr>
      <w:r w:rsidRPr="0086548E">
        <w:rPr>
          <w:b/>
          <w:sz w:val="24"/>
        </w:rPr>
        <w:tab/>
        <w:t>13.</w:t>
      </w:r>
      <w:r w:rsidRPr="0086548E">
        <w:rPr>
          <w:b/>
          <w:sz w:val="24"/>
        </w:rPr>
        <w:tab/>
        <w:t>Capital Costs</w:t>
      </w:r>
    </w:p>
    <w:p w:rsidR="005B77F3" w:rsidRDefault="0086548E">
      <w:pPr>
        <w:tabs>
          <w:tab w:val="left" w:pos="360"/>
          <w:tab w:val="left" w:pos="900"/>
        </w:tabs>
        <w:rPr>
          <w:b/>
          <w:sz w:val="24"/>
        </w:rPr>
      </w:pPr>
      <w:r w:rsidRPr="0086548E">
        <w:rPr>
          <w:b/>
          <w:sz w:val="24"/>
        </w:rPr>
        <w:tab/>
        <w:t>14.</w:t>
      </w:r>
      <w:r w:rsidRPr="0086548E">
        <w:rPr>
          <w:b/>
          <w:sz w:val="24"/>
        </w:rPr>
        <w:tab/>
        <w:t>Cost to Federal Government</w:t>
      </w:r>
    </w:p>
    <w:p w:rsidR="005B77F3" w:rsidRDefault="0086548E">
      <w:pPr>
        <w:tabs>
          <w:tab w:val="left" w:pos="360"/>
          <w:tab w:val="left" w:pos="900"/>
        </w:tabs>
        <w:rPr>
          <w:b/>
          <w:sz w:val="24"/>
        </w:rPr>
      </w:pPr>
      <w:r w:rsidRPr="0086548E">
        <w:rPr>
          <w:b/>
          <w:sz w:val="24"/>
        </w:rPr>
        <w:tab/>
        <w:t>15.</w:t>
      </w:r>
      <w:r w:rsidRPr="0086548E">
        <w:rPr>
          <w:b/>
          <w:sz w:val="24"/>
        </w:rPr>
        <w:tab/>
        <w:t>Changes to Burden</w:t>
      </w:r>
    </w:p>
    <w:p w:rsidR="005B77F3" w:rsidRDefault="0086548E">
      <w:pPr>
        <w:tabs>
          <w:tab w:val="left" w:pos="360"/>
          <w:tab w:val="left" w:pos="900"/>
        </w:tabs>
        <w:rPr>
          <w:b/>
          <w:sz w:val="24"/>
          <w:lang w:val="fr-FR"/>
        </w:rPr>
      </w:pPr>
      <w:r w:rsidRPr="0086548E">
        <w:rPr>
          <w:b/>
          <w:sz w:val="24"/>
        </w:rPr>
        <w:tab/>
      </w:r>
      <w:r w:rsidRPr="0086548E">
        <w:rPr>
          <w:b/>
          <w:sz w:val="24"/>
          <w:lang w:val="fr-FR"/>
        </w:rPr>
        <w:t>16.</w:t>
      </w:r>
      <w:r w:rsidRPr="0086548E">
        <w:rPr>
          <w:b/>
          <w:sz w:val="24"/>
          <w:lang w:val="fr-FR"/>
        </w:rPr>
        <w:tab/>
        <w:t>Publication/Tabulation Dates</w:t>
      </w:r>
    </w:p>
    <w:p w:rsidR="005B77F3" w:rsidRDefault="0086548E">
      <w:pPr>
        <w:tabs>
          <w:tab w:val="left" w:pos="360"/>
          <w:tab w:val="left" w:pos="900"/>
        </w:tabs>
        <w:rPr>
          <w:b/>
          <w:sz w:val="24"/>
          <w:lang w:val="fr-FR"/>
        </w:rPr>
      </w:pPr>
      <w:r w:rsidRPr="0086548E">
        <w:rPr>
          <w:b/>
          <w:sz w:val="24"/>
          <w:lang w:val="fr-FR"/>
        </w:rPr>
        <w:tab/>
        <w:t>17.</w:t>
      </w:r>
      <w:r w:rsidRPr="0086548E">
        <w:rPr>
          <w:b/>
          <w:sz w:val="24"/>
          <w:lang w:val="fr-FR"/>
        </w:rPr>
        <w:tab/>
        <w:t>Expiration Date</w:t>
      </w:r>
    </w:p>
    <w:p w:rsidR="005B77F3" w:rsidRDefault="0086548E">
      <w:pPr>
        <w:tabs>
          <w:tab w:val="left" w:pos="360"/>
          <w:tab w:val="left" w:pos="900"/>
        </w:tabs>
        <w:rPr>
          <w:b/>
          <w:sz w:val="24"/>
          <w:lang w:val="fr-FR"/>
        </w:rPr>
      </w:pPr>
      <w:r w:rsidRPr="0086548E">
        <w:rPr>
          <w:b/>
          <w:sz w:val="24"/>
          <w:lang w:val="fr-FR"/>
        </w:rPr>
        <w:tab/>
        <w:t>18.</w:t>
      </w:r>
      <w:r w:rsidRPr="0086548E">
        <w:rPr>
          <w:b/>
          <w:sz w:val="24"/>
          <w:lang w:val="fr-FR"/>
        </w:rPr>
        <w:tab/>
        <w:t>Certification Statement</w:t>
      </w:r>
    </w:p>
    <w:p w:rsidR="005B77F3" w:rsidRDefault="005B77F3">
      <w:pPr>
        <w:tabs>
          <w:tab w:val="left" w:pos="360"/>
          <w:tab w:val="left" w:pos="720"/>
        </w:tabs>
        <w:rPr>
          <w:b/>
          <w:sz w:val="24"/>
          <w:lang w:val="fr-FR"/>
        </w:rPr>
      </w:pPr>
    </w:p>
    <w:p w:rsidR="005B77F3" w:rsidRPr="00C521E5" w:rsidRDefault="005B77F3">
      <w:pPr>
        <w:rPr>
          <w:b/>
          <w:sz w:val="24"/>
          <w:lang w:val="fr-FR"/>
        </w:rPr>
      </w:pPr>
    </w:p>
    <w:p w:rsidR="005B77F3" w:rsidRPr="00C521E5" w:rsidRDefault="00865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r w:rsidRPr="00C521E5">
        <w:rPr>
          <w:b/>
          <w:sz w:val="24"/>
          <w:lang w:val="fr-FR"/>
        </w:rPr>
        <w:br w:type="page"/>
      </w:r>
    </w:p>
    <w:p w:rsidR="005B77F3" w:rsidRPr="00C521E5" w:rsidRDefault="005B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lang w:val="fr-FR"/>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highlight w:val="yellow"/>
        </w:rPr>
      </w:pPr>
      <w:r w:rsidRPr="0086548E">
        <w:rPr>
          <w:b/>
          <w:bCs/>
          <w:sz w:val="24"/>
          <w:u w:val="single"/>
        </w:rPr>
        <w:t>A.</w:t>
      </w:r>
      <w:r w:rsidRPr="0086548E">
        <w:rPr>
          <w:b/>
          <w:bCs/>
          <w:sz w:val="24"/>
        </w:rPr>
        <w:tab/>
      </w:r>
      <w:r w:rsidRPr="0086548E">
        <w:rPr>
          <w:b/>
          <w:bCs/>
          <w:sz w:val="24"/>
          <w:u w:val="single"/>
        </w:rPr>
        <w:t>BACKGROUND</w:t>
      </w:r>
      <w:r>
        <w:rPr>
          <w:bCs/>
          <w:sz w:val="24"/>
          <w:u w:val="single"/>
        </w:rPr>
        <w:t xml:space="preserve"> –</w:t>
      </w:r>
      <w:r>
        <w:rPr>
          <w:b/>
          <w:bCs/>
          <w:sz w:val="24"/>
          <w:u w:val="single"/>
        </w:rPr>
        <w:t xml:space="preserve"> </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highlight w:val="yellow"/>
        </w:rPr>
      </w:pPr>
    </w:p>
    <w:p w:rsidR="00443ED9" w:rsidRDefault="0086548E">
      <w:pPr>
        <w:rPr>
          <w:sz w:val="24"/>
        </w:rPr>
      </w:pPr>
      <w:r w:rsidRPr="0086548E">
        <w:rPr>
          <w:sz w:val="24"/>
        </w:rPr>
        <w:t xml:space="preserve">Under the Paperwork Reduction Act (PRA) of 1995, we are required to provide </w:t>
      </w:r>
      <w:r w:rsidR="00443ED9">
        <w:rPr>
          <w:sz w:val="24"/>
        </w:rPr>
        <w:t>30</w:t>
      </w:r>
      <w:r w:rsidRPr="0086548E">
        <w:rPr>
          <w:sz w:val="24"/>
        </w:rPr>
        <w:t xml:space="preserve">-day notice in the Federal Register and solicit public comment before a collection of information requirement is submitted to the Office of Management and Budget (OMB) for review and approval.  </w:t>
      </w:r>
      <w:r w:rsidR="00443ED9">
        <w:rPr>
          <w:sz w:val="24"/>
        </w:rPr>
        <w:t>In this 30-day notice we are responding to comment on the 60-day notice we published in the Federal Register on December 17, 2010.</w:t>
      </w:r>
      <w:r w:rsidR="00352792">
        <w:rPr>
          <w:sz w:val="24"/>
        </w:rPr>
        <w:t xml:space="preserve">  We received comments </w:t>
      </w:r>
      <w:r w:rsidR="000870B6">
        <w:rPr>
          <w:sz w:val="24"/>
        </w:rPr>
        <w:t>requesting that we</w:t>
      </w:r>
      <w:r w:rsidR="00352792">
        <w:rPr>
          <w:sz w:val="24"/>
        </w:rPr>
        <w:t xml:space="preserve"> </w:t>
      </w:r>
      <w:r w:rsidR="009C0FA1">
        <w:rPr>
          <w:sz w:val="24"/>
        </w:rPr>
        <w:t xml:space="preserve">expand </w:t>
      </w:r>
      <w:r w:rsidR="00352792">
        <w:rPr>
          <w:sz w:val="24"/>
        </w:rPr>
        <w:t xml:space="preserve">the submission deadlines for encounter data, </w:t>
      </w:r>
      <w:r w:rsidR="000870B6">
        <w:rPr>
          <w:sz w:val="24"/>
        </w:rPr>
        <w:t xml:space="preserve">more accurately address </w:t>
      </w:r>
      <w:r w:rsidR="00352792">
        <w:rPr>
          <w:sz w:val="24"/>
        </w:rPr>
        <w:t xml:space="preserve">the burden of implementing encounter data, </w:t>
      </w:r>
      <w:r w:rsidR="009C0FA1">
        <w:rPr>
          <w:sz w:val="24"/>
        </w:rPr>
        <w:t>provid</w:t>
      </w:r>
      <w:r w:rsidR="000870B6">
        <w:rPr>
          <w:sz w:val="24"/>
        </w:rPr>
        <w:t>e</w:t>
      </w:r>
      <w:r w:rsidR="009C0FA1">
        <w:rPr>
          <w:sz w:val="24"/>
        </w:rPr>
        <w:t xml:space="preserve"> sufficient detail on the </w:t>
      </w:r>
      <w:r w:rsidR="00352792">
        <w:rPr>
          <w:sz w:val="24"/>
        </w:rPr>
        <w:t>use of</w:t>
      </w:r>
      <w:r w:rsidR="009C0FA1">
        <w:rPr>
          <w:sz w:val="24"/>
        </w:rPr>
        <w:t xml:space="preserve"> encounter data</w:t>
      </w:r>
      <w:r w:rsidR="00352792">
        <w:rPr>
          <w:sz w:val="24"/>
        </w:rPr>
        <w:t xml:space="preserve">, and </w:t>
      </w:r>
      <w:r w:rsidR="0059752F">
        <w:rPr>
          <w:sz w:val="24"/>
        </w:rPr>
        <w:t>clarify</w:t>
      </w:r>
      <w:r w:rsidR="009C0FA1">
        <w:rPr>
          <w:sz w:val="24"/>
        </w:rPr>
        <w:t xml:space="preserve"> the </w:t>
      </w:r>
      <w:r w:rsidR="00352792">
        <w:rPr>
          <w:sz w:val="24"/>
        </w:rPr>
        <w:t>applicability to non-MA plans.</w:t>
      </w:r>
      <w:r w:rsidR="009C0FA1">
        <w:rPr>
          <w:sz w:val="24"/>
        </w:rPr>
        <w:t xml:space="preserve">  We have made changes throughout the PRA package to address these comments.</w:t>
      </w:r>
    </w:p>
    <w:p w:rsidR="00443ED9" w:rsidRDefault="00443ED9">
      <w:pPr>
        <w:rPr>
          <w:sz w:val="24"/>
        </w:rPr>
      </w:pPr>
    </w:p>
    <w:p w:rsidR="005B77F3" w:rsidRDefault="0086548E">
      <w:pPr>
        <w:rPr>
          <w:sz w:val="24"/>
        </w:rPr>
      </w:pPr>
      <w:r w:rsidRPr="0086548E">
        <w:rPr>
          <w:sz w:val="24"/>
        </w:rPr>
        <w:t>In order to fairly evaluate whether an information collection should be approved by OMB, section 3306 (c)(2) of the PRA of 1995 requires that we solicit comment on the following issues:</w:t>
      </w:r>
    </w:p>
    <w:p w:rsidR="005B77F3" w:rsidRDefault="005B77F3">
      <w:pPr>
        <w:rPr>
          <w:sz w:val="24"/>
        </w:rPr>
      </w:pPr>
    </w:p>
    <w:p w:rsidR="005B77F3" w:rsidRDefault="0086548E">
      <w:pPr>
        <w:numPr>
          <w:ilvl w:val="0"/>
          <w:numId w:val="18"/>
        </w:numPr>
        <w:autoSpaceDE/>
        <w:autoSpaceDN/>
        <w:adjustRightInd/>
        <w:rPr>
          <w:sz w:val="24"/>
        </w:rPr>
      </w:pPr>
      <w:r w:rsidRPr="0086548E">
        <w:rPr>
          <w:sz w:val="24"/>
        </w:rPr>
        <w:t>The need for the information collection and its usefulness in carrying out the proper functions of our agency.</w:t>
      </w:r>
    </w:p>
    <w:p w:rsidR="005B77F3" w:rsidRDefault="0086548E">
      <w:pPr>
        <w:numPr>
          <w:ilvl w:val="0"/>
          <w:numId w:val="18"/>
        </w:numPr>
        <w:autoSpaceDE/>
        <w:autoSpaceDN/>
        <w:adjustRightInd/>
        <w:rPr>
          <w:sz w:val="24"/>
        </w:rPr>
      </w:pPr>
      <w:r w:rsidRPr="0086548E">
        <w:rPr>
          <w:sz w:val="24"/>
        </w:rPr>
        <w:t>The accuracy of our estimate of the information collection burden</w:t>
      </w:r>
    </w:p>
    <w:p w:rsidR="005B77F3" w:rsidRDefault="0086548E">
      <w:pPr>
        <w:numPr>
          <w:ilvl w:val="0"/>
          <w:numId w:val="18"/>
        </w:numPr>
        <w:autoSpaceDE/>
        <w:autoSpaceDN/>
        <w:adjustRightInd/>
        <w:rPr>
          <w:sz w:val="24"/>
        </w:rPr>
      </w:pPr>
      <w:r w:rsidRPr="0086548E">
        <w:rPr>
          <w:sz w:val="24"/>
        </w:rPr>
        <w:t>The quality, utility, and clarity of the information to be collected</w:t>
      </w:r>
    </w:p>
    <w:p w:rsidR="005B77F3" w:rsidRDefault="0086548E">
      <w:pPr>
        <w:numPr>
          <w:ilvl w:val="0"/>
          <w:numId w:val="18"/>
        </w:numPr>
        <w:autoSpaceDE/>
        <w:autoSpaceDN/>
        <w:adjustRightInd/>
        <w:rPr>
          <w:sz w:val="24"/>
        </w:rPr>
      </w:pPr>
      <w:r w:rsidRPr="0086548E">
        <w:rPr>
          <w:sz w:val="24"/>
        </w:rPr>
        <w:t>Recommendations to minimize the information collection burden on the affected public, including automation collection techniques</w:t>
      </w:r>
    </w:p>
    <w:p w:rsidR="005B77F3" w:rsidRDefault="005B77F3">
      <w:pPr>
        <w:rPr>
          <w:sz w:val="24"/>
        </w:rPr>
      </w:pPr>
    </w:p>
    <w:p w:rsidR="0044763E" w:rsidRDefault="0060387A" w:rsidP="00447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221C8">
        <w:rPr>
          <w:sz w:val="24"/>
        </w:rPr>
        <w:t>CMS intends to collect encounter data, or data on each item or service delivered to enrollee</w:t>
      </w:r>
      <w:r w:rsidR="0008026A">
        <w:rPr>
          <w:sz w:val="24"/>
        </w:rPr>
        <w:t xml:space="preserve">s of MA plans offered by </w:t>
      </w:r>
      <w:r w:rsidRPr="00D221C8">
        <w:rPr>
          <w:sz w:val="24"/>
        </w:rPr>
        <w:t xml:space="preserve">Medicare Advantage </w:t>
      </w:r>
      <w:r w:rsidR="00147EBF">
        <w:rPr>
          <w:sz w:val="24"/>
        </w:rPr>
        <w:t>o</w:t>
      </w:r>
      <w:r w:rsidRPr="00D221C8">
        <w:rPr>
          <w:sz w:val="24"/>
        </w:rPr>
        <w:t>rganizations</w:t>
      </w:r>
      <w:r w:rsidR="004D6DE7">
        <w:rPr>
          <w:sz w:val="24"/>
        </w:rPr>
        <w:t xml:space="preserve"> as defined at 42 CFR 422.4</w:t>
      </w:r>
      <w:r w:rsidRPr="00D221C8">
        <w:rPr>
          <w:sz w:val="24"/>
        </w:rPr>
        <w:t>.  Medicare Advantage organizations will obtain this data from providers</w:t>
      </w:r>
      <w:r w:rsidRPr="00CA073E">
        <w:rPr>
          <w:sz w:val="24"/>
        </w:rPr>
        <w:t xml:space="preserve">.  </w:t>
      </w:r>
      <w:r w:rsidR="0044763E">
        <w:rPr>
          <w:sz w:val="24"/>
        </w:rPr>
        <w:t xml:space="preserve">We will collect this information using standard HIPAA transaction forms and code sets.   Typically these data would be collected by MA organizations and other entities for general business activities such as claims payment, coordination of benefits, eligibility and enrollment, quality improvement activities.  </w:t>
      </w:r>
      <w:r w:rsidR="007B79CE">
        <w:rPr>
          <w:sz w:val="24"/>
        </w:rPr>
        <w:t xml:space="preserve">CMS </w:t>
      </w:r>
      <w:r w:rsidR="0044763E">
        <w:rPr>
          <w:sz w:val="24"/>
        </w:rPr>
        <w:t>would use</w:t>
      </w:r>
      <w:r w:rsidR="007B79CE">
        <w:rPr>
          <w:sz w:val="24"/>
        </w:rPr>
        <w:t xml:space="preserve"> these data</w:t>
      </w:r>
      <w:r w:rsidR="0044763E">
        <w:rPr>
          <w:sz w:val="24"/>
        </w:rPr>
        <w:t xml:space="preserve"> for determining the risk adjustment factors for payment, updating the risk adjustment model, </w:t>
      </w:r>
      <w:r w:rsidR="0044763E" w:rsidRPr="0086548E">
        <w:rPr>
          <w:sz w:val="24"/>
        </w:rPr>
        <w:t>calculating Medicare DSH percentages, Medicare coverage purposes</w:t>
      </w:r>
      <w:r w:rsidR="0044763E">
        <w:rPr>
          <w:sz w:val="24"/>
        </w:rPr>
        <w:t xml:space="preserve">, </w:t>
      </w:r>
      <w:r w:rsidR="0044763E" w:rsidRPr="0086548E">
        <w:rPr>
          <w:sz w:val="24"/>
        </w:rPr>
        <w:t>and quality review and improvement activities.</w:t>
      </w:r>
      <w:r w:rsidR="0044763E" w:rsidRPr="00245FE0">
        <w:rPr>
          <w:szCs w:val="20"/>
        </w:rPr>
        <w:t xml:space="preserve"> </w:t>
      </w:r>
    </w:p>
    <w:p w:rsidR="00F137C9" w:rsidRDefault="00F137C9" w:rsidP="00603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137C9" w:rsidRDefault="00F137C9" w:rsidP="00603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44DC" w:rsidRPr="004444DC" w:rsidRDefault="0044763E" w:rsidP="00603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More specifically, </w:t>
      </w:r>
      <w:r w:rsidR="00CF2D2B" w:rsidRPr="00CF2D2B">
        <w:rPr>
          <w:sz w:val="24"/>
        </w:rPr>
        <w:t xml:space="preserve">CMS would collect the data electronically from Medicare Advantage </w:t>
      </w:r>
      <w:r w:rsidR="00147EBF">
        <w:rPr>
          <w:sz w:val="24"/>
        </w:rPr>
        <w:t>o</w:t>
      </w:r>
      <w:r w:rsidR="00CF2D2B" w:rsidRPr="00CF2D2B">
        <w:rPr>
          <w:sz w:val="24"/>
        </w:rPr>
        <w:t>rganizations via the HIPAA compliant standard Health Care Claims transactions for professional data (currently using implementation guide ASC X12N 837/005010X222</w:t>
      </w:r>
      <w:r w:rsidR="00496E0C">
        <w:rPr>
          <w:sz w:val="24"/>
        </w:rPr>
        <w:t xml:space="preserve"> </w:t>
      </w:r>
      <w:r w:rsidR="00496E0C" w:rsidRPr="00FF0646">
        <w:rPr>
          <w:i/>
          <w:iCs/>
          <w:sz w:val="24"/>
        </w:rPr>
        <w:t>with</w:t>
      </w:r>
      <w:r w:rsidR="00496E0C" w:rsidRPr="00FF0646">
        <w:rPr>
          <w:sz w:val="24"/>
        </w:rPr>
        <w:t xml:space="preserve"> Err</w:t>
      </w:r>
      <w:r w:rsidR="00496E0C">
        <w:rPr>
          <w:sz w:val="24"/>
        </w:rPr>
        <w:t>ata for ASC X12N 837/05010X222A1</w:t>
      </w:r>
      <w:r w:rsidR="00CF2D2B" w:rsidRPr="00CF2D2B">
        <w:rPr>
          <w:sz w:val="24"/>
        </w:rPr>
        <w:t xml:space="preserve">) and institutional data (currently using implementation guide ASC X12N 837/005010X223 </w:t>
      </w:r>
      <w:r w:rsidR="00CF2D2B" w:rsidRPr="00CF2D2B">
        <w:rPr>
          <w:i/>
          <w:iCs/>
          <w:sz w:val="24"/>
        </w:rPr>
        <w:t>with</w:t>
      </w:r>
      <w:r w:rsidR="00CF2D2B" w:rsidRPr="00CF2D2B">
        <w:rPr>
          <w:sz w:val="24"/>
        </w:rPr>
        <w:t xml:space="preserve"> Errata for ASC </w:t>
      </w:r>
      <w:r w:rsidR="00CF2D2B" w:rsidRPr="0005383D">
        <w:rPr>
          <w:sz w:val="24"/>
        </w:rPr>
        <w:t>X12N 837/05010X223A</w:t>
      </w:r>
      <w:r w:rsidR="00496E0C" w:rsidRPr="0005383D">
        <w:rPr>
          <w:sz w:val="24"/>
        </w:rPr>
        <w:t>2</w:t>
      </w:r>
      <w:r w:rsidR="00CF2D2B" w:rsidRPr="0005383D">
        <w:rPr>
          <w:sz w:val="24"/>
        </w:rPr>
        <w:t>).</w:t>
      </w:r>
      <w:r w:rsidR="00443ED9" w:rsidRPr="0005383D">
        <w:rPr>
          <w:sz w:val="24"/>
        </w:rPr>
        <w:t xml:space="preserve">  </w:t>
      </w:r>
      <w:r w:rsidR="004444DC">
        <w:rPr>
          <w:sz w:val="24"/>
        </w:rPr>
        <w:t xml:space="preserve">A comparison of the prior ASC X12 4010A1 format to the </w:t>
      </w:r>
      <w:r w:rsidR="00CE7D90">
        <w:rPr>
          <w:sz w:val="24"/>
        </w:rPr>
        <w:t>5010 version</w:t>
      </w:r>
      <w:r w:rsidR="00D11989">
        <w:rPr>
          <w:sz w:val="24"/>
        </w:rPr>
        <w:t>,</w:t>
      </w:r>
      <w:r w:rsidR="00CE7D90">
        <w:rPr>
          <w:sz w:val="24"/>
        </w:rPr>
        <w:t xml:space="preserve"> including the data elements</w:t>
      </w:r>
      <w:r w:rsidR="00D11989">
        <w:rPr>
          <w:sz w:val="24"/>
        </w:rPr>
        <w:t xml:space="preserve"> collected,</w:t>
      </w:r>
      <w:r w:rsidRPr="0005383D">
        <w:rPr>
          <w:sz w:val="24"/>
        </w:rPr>
        <w:t xml:space="preserve"> can be found at the CMS website through the following link:   </w:t>
      </w:r>
      <w:hyperlink r:id="rId9" w:history="1">
        <w:r w:rsidRPr="0005383D">
          <w:rPr>
            <w:rStyle w:val="Hyperlink"/>
            <w:sz w:val="24"/>
          </w:rPr>
          <w:t>https://www.cms.gov/ElectronicBillingEDITrans/18_5010D0.asp</w:t>
        </w:r>
      </w:hyperlink>
      <w:r w:rsidRPr="0005383D">
        <w:rPr>
          <w:sz w:val="24"/>
        </w:rPr>
        <w:t>.</w:t>
      </w:r>
      <w:r>
        <w:rPr>
          <w:sz w:val="24"/>
        </w:rPr>
        <w:t xml:space="preserve">  </w:t>
      </w:r>
      <w:r w:rsidR="00C521E5">
        <w:rPr>
          <w:sz w:val="24"/>
        </w:rPr>
        <w:t xml:space="preserve">In addition, </w:t>
      </w:r>
      <w:r>
        <w:rPr>
          <w:sz w:val="24"/>
        </w:rPr>
        <w:t xml:space="preserve">CMS has provided </w:t>
      </w:r>
      <w:r w:rsidR="00C521E5">
        <w:rPr>
          <w:sz w:val="24"/>
        </w:rPr>
        <w:t>specific</w:t>
      </w:r>
      <w:r>
        <w:rPr>
          <w:sz w:val="24"/>
        </w:rPr>
        <w:t xml:space="preserve"> training and communications to the industry regarding encounter data submission</w:t>
      </w:r>
      <w:r w:rsidR="00C521E5">
        <w:rPr>
          <w:sz w:val="24"/>
        </w:rPr>
        <w:t xml:space="preserve"> under these standards</w:t>
      </w:r>
      <w:r>
        <w:rPr>
          <w:sz w:val="24"/>
        </w:rPr>
        <w:t xml:space="preserve">.  These communications can be found at </w:t>
      </w:r>
      <w:hyperlink r:id="rId10" w:history="1">
        <w:r w:rsidRPr="00B169B4">
          <w:rPr>
            <w:rStyle w:val="Hyperlink"/>
            <w:sz w:val="24"/>
          </w:rPr>
          <w:t>www.csscoperations.com</w:t>
        </w:r>
      </w:hyperlink>
      <w:r w:rsidR="004444DC">
        <w:rPr>
          <w:sz w:val="24"/>
        </w:rPr>
        <w:t xml:space="preserve">.  CMS’ </w:t>
      </w:r>
      <w:r w:rsidR="004444DC">
        <w:rPr>
          <w:sz w:val="24"/>
        </w:rPr>
        <w:lastRenderedPageBreak/>
        <w:t xml:space="preserve">instructions to the industry include companion guides for institutional and professional claims </w:t>
      </w:r>
      <w:r w:rsidR="004444DC" w:rsidRPr="004444DC">
        <w:rPr>
          <w:sz w:val="24"/>
        </w:rPr>
        <w:t>to be used in conjun</w:t>
      </w:r>
      <w:r w:rsidR="004444DC">
        <w:rPr>
          <w:sz w:val="24"/>
        </w:rPr>
        <w:t xml:space="preserve">ction with the associated 837 </w:t>
      </w:r>
      <w:r w:rsidR="004444DC" w:rsidRPr="004444DC">
        <w:rPr>
          <w:sz w:val="24"/>
        </w:rPr>
        <w:t>Implementation Guide</w:t>
      </w:r>
      <w:r w:rsidR="004444DC">
        <w:rPr>
          <w:sz w:val="24"/>
        </w:rPr>
        <w:t>s</w:t>
      </w:r>
      <w:r w:rsidR="004444DC" w:rsidRPr="004444DC">
        <w:rPr>
          <w:sz w:val="24"/>
        </w:rPr>
        <w:t xml:space="preserve">. </w:t>
      </w:r>
    </w:p>
    <w:p w:rsidR="004444DC" w:rsidRDefault="004444DC" w:rsidP="00603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31958" w:rsidRDefault="0044763E" w:rsidP="006038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60387A" w:rsidRDefault="00443ED9">
      <w:pPr>
        <w:rPr>
          <w:sz w:val="24"/>
        </w:rPr>
      </w:pPr>
      <w:r>
        <w:rPr>
          <w:sz w:val="24"/>
        </w:rPr>
        <w:t>CMS also intends to collect encounter data</w:t>
      </w:r>
      <w:r w:rsidR="0008026A">
        <w:rPr>
          <w:sz w:val="24"/>
        </w:rPr>
        <w:t xml:space="preserve"> using similar formats for</w:t>
      </w:r>
      <w:r>
        <w:rPr>
          <w:sz w:val="24"/>
        </w:rPr>
        <w:t xml:space="preserve"> each item or service delivered to enrollees</w:t>
      </w:r>
      <w:r w:rsidR="0008026A">
        <w:rPr>
          <w:sz w:val="24"/>
        </w:rPr>
        <w:t xml:space="preserve"> of</w:t>
      </w:r>
      <w:r>
        <w:rPr>
          <w:sz w:val="24"/>
        </w:rPr>
        <w:t xml:space="preserve"> §1876 Cost HMOs/CMPs, §1833 HCPPs and PACE organizations.</w:t>
      </w:r>
      <w:r w:rsidR="0008026A">
        <w:rPr>
          <w:sz w:val="24"/>
        </w:rPr>
        <w:t xml:space="preserve"> </w:t>
      </w:r>
      <w:r w:rsidR="00BF2FF7">
        <w:rPr>
          <w:sz w:val="24"/>
        </w:rPr>
        <w:t xml:space="preserve">Public commenters on our December 2010 publication of the PRA asked us to clarify </w:t>
      </w:r>
      <w:r w:rsidR="00F205B6">
        <w:rPr>
          <w:sz w:val="24"/>
        </w:rPr>
        <w:t xml:space="preserve">the </w:t>
      </w:r>
      <w:r w:rsidR="00E33372">
        <w:rPr>
          <w:sz w:val="24"/>
        </w:rPr>
        <w:t>applicability</w:t>
      </w:r>
      <w:r w:rsidR="00F205B6">
        <w:rPr>
          <w:sz w:val="24"/>
        </w:rPr>
        <w:t xml:space="preserve"> of </w:t>
      </w:r>
      <w:r w:rsidR="00BF2FF7">
        <w:rPr>
          <w:sz w:val="24"/>
        </w:rPr>
        <w:t>encounter data collection</w:t>
      </w:r>
      <w:r w:rsidR="00F205B6">
        <w:rPr>
          <w:sz w:val="24"/>
        </w:rPr>
        <w:t xml:space="preserve"> to </w:t>
      </w:r>
      <w:r w:rsidR="003F4B01">
        <w:rPr>
          <w:sz w:val="24"/>
        </w:rPr>
        <w:t>non-MA plans</w:t>
      </w:r>
      <w:r w:rsidR="00F205B6">
        <w:rPr>
          <w:sz w:val="24"/>
        </w:rPr>
        <w:t>.</w:t>
      </w:r>
      <w:r w:rsidR="00BF2FF7">
        <w:rPr>
          <w:sz w:val="24"/>
        </w:rPr>
        <w:t xml:space="preserve"> </w:t>
      </w:r>
      <w:r w:rsidR="0008026A">
        <w:rPr>
          <w:sz w:val="24"/>
        </w:rPr>
        <w:t xml:space="preserve"> In the case of §1876 Cost HMOs/CMPs and §1833 H</w:t>
      </w:r>
      <w:r w:rsidR="0015534D">
        <w:rPr>
          <w:sz w:val="24"/>
        </w:rPr>
        <w:t xml:space="preserve">ealth </w:t>
      </w:r>
      <w:r w:rsidR="0008026A">
        <w:rPr>
          <w:sz w:val="24"/>
        </w:rPr>
        <w:t>C</w:t>
      </w:r>
      <w:r w:rsidR="0015534D">
        <w:rPr>
          <w:sz w:val="24"/>
        </w:rPr>
        <w:t xml:space="preserve">are </w:t>
      </w:r>
      <w:r w:rsidR="0008026A">
        <w:rPr>
          <w:sz w:val="24"/>
        </w:rPr>
        <w:t>P</w:t>
      </w:r>
      <w:r w:rsidR="0015534D">
        <w:rPr>
          <w:sz w:val="24"/>
        </w:rPr>
        <w:t xml:space="preserve">repayment </w:t>
      </w:r>
      <w:r w:rsidR="0008026A">
        <w:rPr>
          <w:sz w:val="24"/>
        </w:rPr>
        <w:t>P</w:t>
      </w:r>
      <w:r w:rsidR="0015534D">
        <w:rPr>
          <w:sz w:val="24"/>
        </w:rPr>
        <w:t>lans (HCPPs)</w:t>
      </w:r>
      <w:r w:rsidR="0008026A">
        <w:rPr>
          <w:sz w:val="24"/>
        </w:rPr>
        <w:t xml:space="preserve">, CMS </w:t>
      </w:r>
      <w:r w:rsidR="00FE7141">
        <w:rPr>
          <w:sz w:val="24"/>
        </w:rPr>
        <w:t>would</w:t>
      </w:r>
      <w:r w:rsidR="0008026A">
        <w:rPr>
          <w:sz w:val="24"/>
        </w:rPr>
        <w:t xml:space="preserve"> only require submission of encounter data for items/</w:t>
      </w:r>
      <w:r w:rsidR="0008026A" w:rsidRPr="0008026A">
        <w:rPr>
          <w:sz w:val="24"/>
        </w:rPr>
        <w:t xml:space="preserve">services for which such plans claim costs on their CMS Cost Reports.  Additional uses for the data </w:t>
      </w:r>
      <w:r w:rsidR="00FE7141">
        <w:rPr>
          <w:sz w:val="24"/>
        </w:rPr>
        <w:t xml:space="preserve">would </w:t>
      </w:r>
      <w:r w:rsidR="0008026A">
        <w:rPr>
          <w:sz w:val="24"/>
        </w:rPr>
        <w:t>include</w:t>
      </w:r>
      <w:r w:rsidR="0008026A" w:rsidRPr="0008026A">
        <w:rPr>
          <w:sz w:val="24"/>
        </w:rPr>
        <w:t xml:space="preserve"> verifying the accuracy and validity of the costs claimed on </w:t>
      </w:r>
      <w:r w:rsidR="0008026A">
        <w:rPr>
          <w:sz w:val="24"/>
        </w:rPr>
        <w:t>C</w:t>
      </w:r>
      <w:r w:rsidR="0008026A" w:rsidRPr="0008026A">
        <w:rPr>
          <w:sz w:val="24"/>
        </w:rPr>
        <w:t>ost</w:t>
      </w:r>
      <w:r w:rsidR="0008026A">
        <w:rPr>
          <w:sz w:val="24"/>
        </w:rPr>
        <w:t xml:space="preserve"> R</w:t>
      </w:r>
      <w:r w:rsidR="0008026A" w:rsidRPr="0008026A">
        <w:rPr>
          <w:sz w:val="24"/>
        </w:rPr>
        <w:t>eports.</w:t>
      </w:r>
      <w:r w:rsidR="0060387A" w:rsidRPr="0008026A">
        <w:rPr>
          <w:sz w:val="24"/>
        </w:rPr>
        <w:t xml:space="preserve">  </w:t>
      </w:r>
      <w:r w:rsidR="0008026A">
        <w:rPr>
          <w:sz w:val="24"/>
        </w:rPr>
        <w:t xml:space="preserve">For PACE organizations, encounter data </w:t>
      </w:r>
      <w:r w:rsidR="00FE7141">
        <w:rPr>
          <w:sz w:val="24"/>
        </w:rPr>
        <w:t>would</w:t>
      </w:r>
      <w:r w:rsidR="0008026A">
        <w:rPr>
          <w:sz w:val="24"/>
        </w:rPr>
        <w:t xml:space="preserve"> </w:t>
      </w:r>
      <w:r w:rsidR="00E717D5">
        <w:rPr>
          <w:sz w:val="24"/>
        </w:rPr>
        <w:t xml:space="preserve">serve the same purposes it does related to the MA program and </w:t>
      </w:r>
      <w:r w:rsidR="00FE7141">
        <w:rPr>
          <w:sz w:val="24"/>
        </w:rPr>
        <w:t>would</w:t>
      </w:r>
      <w:r w:rsidR="00E717D5">
        <w:rPr>
          <w:sz w:val="24"/>
        </w:rPr>
        <w:t xml:space="preserve"> be submitted in a similar </w:t>
      </w:r>
      <w:r w:rsidR="00E33372">
        <w:rPr>
          <w:sz w:val="24"/>
        </w:rPr>
        <w:t>manner. We</w:t>
      </w:r>
      <w:r w:rsidR="00F205B6">
        <w:rPr>
          <w:sz w:val="24"/>
        </w:rPr>
        <w:t xml:space="preserve"> have updated our language throughout this document to include cost plans and PACE organizations.</w:t>
      </w:r>
    </w:p>
    <w:p w:rsidR="005B77F3" w:rsidRDefault="005B77F3">
      <w:pPr>
        <w:widowControl/>
        <w:rPr>
          <w:color w:val="000000"/>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E3800" w:rsidRDefault="004E3800" w:rsidP="004E3800">
      <w:pPr>
        <w:widowControl/>
        <w:rPr>
          <w:color w:val="000000"/>
          <w:sz w:val="24"/>
        </w:rPr>
      </w:pPr>
      <w:r>
        <w:rPr>
          <w:color w:val="000000"/>
          <w:sz w:val="24"/>
        </w:rPr>
        <w:t xml:space="preserve">Section 1853 of the Act requires CMS to make advance monthly payments to a Medicare Advantage (MA) organization for each beneficiary enrolled in an MA plan offered by the organization for coverage of Medicare Part A and Part B benefits. Section 1853(a)(1)(C) of the Act requires CMS to adjust the monthly payment amount for each enrollee to take into account the health status of MA plan enrollees.  Under the CMS-Hierarchical Condition Category (HCC) risk adjustment payment methodology, CMS determines risk scores for MA enrollees for a year and adjusts the monthly payment amount using the appropriate enrollee risk score. </w:t>
      </w:r>
    </w:p>
    <w:p w:rsidR="004E3800" w:rsidRDefault="004E3800" w:rsidP="004E3800">
      <w:pPr>
        <w:widowControl/>
        <w:rPr>
          <w:color w:val="000000"/>
          <w:sz w:val="24"/>
        </w:rPr>
      </w:pPr>
    </w:p>
    <w:p w:rsidR="004E3800" w:rsidRDefault="004E3800" w:rsidP="004E3800">
      <w:pPr>
        <w:widowControl/>
        <w:rPr>
          <w:color w:val="000000"/>
          <w:sz w:val="24"/>
        </w:rPr>
      </w:pPr>
      <w:r>
        <w:rPr>
          <w:color w:val="000000"/>
          <w:sz w:val="24"/>
        </w:rPr>
        <w:t xml:space="preserve">Under section 1853(a)(3)(B) of the Act, MA organizations </w:t>
      </w:r>
      <w:r w:rsidR="00F51C29">
        <w:rPr>
          <w:color w:val="000000"/>
          <w:sz w:val="24"/>
        </w:rPr>
        <w:t xml:space="preserve">and other entities </w:t>
      </w:r>
      <w:r>
        <w:rPr>
          <w:color w:val="000000"/>
          <w:sz w:val="24"/>
        </w:rPr>
        <w:t xml:space="preserve">are required to ‘‘submit data regarding inpatient hospital services . . . and data regarding other services and other information as the Secretary deems necessary’’ in order to implement a methodology for ‘‘risk adjusting’’ payments made to MA organizations. </w:t>
      </w:r>
      <w:r w:rsidR="00FE7141">
        <w:rPr>
          <w:color w:val="000000"/>
          <w:sz w:val="24"/>
        </w:rPr>
        <w:t xml:space="preserve"> </w:t>
      </w:r>
      <w:r>
        <w:rPr>
          <w:color w:val="000000"/>
          <w:sz w:val="24"/>
        </w:rPr>
        <w:t xml:space="preserve">Risk adjustments to payments are made in order to take into account ‘‘variations in per capita costs based on [the] health status’’ of the Medicare beneficiaries enrolled in an MA plan offered by the organization. </w:t>
      </w:r>
      <w:r w:rsidR="00FE7141">
        <w:rPr>
          <w:color w:val="000000"/>
          <w:sz w:val="24"/>
        </w:rPr>
        <w:t xml:space="preserve"> </w:t>
      </w:r>
      <w:r>
        <w:rPr>
          <w:color w:val="000000"/>
          <w:sz w:val="24"/>
        </w:rPr>
        <w:t>Submission of data on inpatient hospital services has been required with respect to services beginning on or after July 1, 1997.  Submission of data on other services has been required since July 1, 1998.</w:t>
      </w:r>
    </w:p>
    <w:p w:rsidR="004E3800" w:rsidRDefault="004E3800" w:rsidP="004E3800">
      <w:pPr>
        <w:widowControl/>
        <w:rPr>
          <w:color w:val="000000"/>
          <w:sz w:val="24"/>
        </w:rPr>
      </w:pPr>
    </w:p>
    <w:p w:rsidR="004E3800" w:rsidRDefault="004E3800" w:rsidP="004E3800">
      <w:pPr>
        <w:widowControl/>
        <w:rPr>
          <w:color w:val="000000"/>
          <w:sz w:val="24"/>
        </w:rPr>
      </w:pPr>
      <w:r>
        <w:rPr>
          <w:color w:val="000000"/>
          <w:sz w:val="24"/>
        </w:rPr>
        <w:t xml:space="preserve">While we initially required the submission of comprehensive data regarding services provided by MA organizations, including comprehensive inpatient hospital encounter data, we subsequently permitted MA organizations to submit an ‘‘abbreviated’’ set of data.  We currently collect limited risk adjustment data from MA organizations, primarily diagnosis data </w:t>
      </w:r>
      <w:r w:rsidR="00D73FF5">
        <w:rPr>
          <w:color w:val="000000"/>
          <w:sz w:val="24"/>
        </w:rPr>
        <w:t xml:space="preserve">under </w:t>
      </w:r>
      <w:r>
        <w:rPr>
          <w:color w:val="000000"/>
          <w:sz w:val="24"/>
        </w:rPr>
        <w:t>OMB No. 0938-0878.</w:t>
      </w:r>
    </w:p>
    <w:p w:rsidR="004E3800" w:rsidRDefault="004E3800" w:rsidP="004E3800">
      <w:pPr>
        <w:widowControl/>
        <w:rPr>
          <w:color w:val="000000"/>
          <w:sz w:val="24"/>
        </w:rPr>
      </w:pPr>
    </w:p>
    <w:p w:rsidR="004E3800" w:rsidRDefault="004E3800" w:rsidP="004E3800">
      <w:pPr>
        <w:widowControl/>
        <w:rPr>
          <w:color w:val="000000"/>
          <w:sz w:val="24"/>
        </w:rPr>
      </w:pPr>
      <w:r>
        <w:rPr>
          <w:color w:val="000000"/>
          <w:sz w:val="24"/>
        </w:rPr>
        <w:t xml:space="preserve">From calendar years 2000 through 2006, </w:t>
      </w:r>
      <w:r w:rsidR="00CA4130">
        <w:rPr>
          <w:color w:val="000000"/>
          <w:sz w:val="24"/>
        </w:rPr>
        <w:t xml:space="preserve">the </w:t>
      </w:r>
      <w:r>
        <w:rPr>
          <w:color w:val="000000"/>
          <w:sz w:val="24"/>
        </w:rPr>
        <w:t xml:space="preserve">application of risk adjustment to MA payments was ‘‘phased in’’ with an increasing percentage of the monthly capitation payment subjected to risk adjustment. </w:t>
      </w:r>
      <w:r w:rsidR="00FE7141">
        <w:rPr>
          <w:color w:val="000000"/>
          <w:sz w:val="24"/>
        </w:rPr>
        <w:t xml:space="preserve"> </w:t>
      </w:r>
      <w:r w:rsidR="00D73FF5">
        <w:rPr>
          <w:color w:val="000000"/>
          <w:sz w:val="24"/>
        </w:rPr>
        <w:t>Prior to calendar year 2000, and in diminishing proportion from 200</w:t>
      </w:r>
      <w:r w:rsidR="00FD7B4C">
        <w:rPr>
          <w:color w:val="000000"/>
          <w:sz w:val="24"/>
        </w:rPr>
        <w:t>0</w:t>
      </w:r>
      <w:r w:rsidR="00D73FF5">
        <w:rPr>
          <w:color w:val="000000"/>
          <w:sz w:val="24"/>
        </w:rPr>
        <w:t xml:space="preserve">-2006, CMS </w:t>
      </w:r>
      <w:r w:rsidR="00D73FF5">
        <w:rPr>
          <w:color w:val="000000"/>
          <w:sz w:val="24"/>
        </w:rPr>
        <w:lastRenderedPageBreak/>
        <w:t xml:space="preserve">also adjusted monthly capitation payments based on “demographic” factors such as age, disability status, gender, and institutional status.  </w:t>
      </w:r>
      <w:r>
        <w:rPr>
          <w:color w:val="000000"/>
          <w:sz w:val="24"/>
        </w:rPr>
        <w:t xml:space="preserve">Beginning with calendar year 2007, 100 percent of payments to MA organizations </w:t>
      </w:r>
      <w:r w:rsidR="00664337">
        <w:rPr>
          <w:color w:val="000000"/>
          <w:sz w:val="24"/>
        </w:rPr>
        <w:t>have been</w:t>
      </w:r>
      <w:r>
        <w:rPr>
          <w:color w:val="000000"/>
          <w:sz w:val="24"/>
        </w:rPr>
        <w:t xml:space="preserve"> risk-adjusted.  Given the increased importance of the accuracy of our risk adjustment methodology, we amended § 422.310 in August of 2008 to </w:t>
      </w:r>
      <w:r w:rsidR="008F60F2">
        <w:rPr>
          <w:color w:val="000000"/>
          <w:sz w:val="24"/>
        </w:rPr>
        <w:t xml:space="preserve">authorize the </w:t>
      </w:r>
      <w:r>
        <w:rPr>
          <w:color w:val="000000"/>
          <w:sz w:val="24"/>
        </w:rPr>
        <w:t>collect</w:t>
      </w:r>
      <w:r w:rsidR="008F60F2">
        <w:rPr>
          <w:color w:val="000000"/>
          <w:sz w:val="24"/>
        </w:rPr>
        <w:t>ion of</w:t>
      </w:r>
      <w:r>
        <w:rPr>
          <w:color w:val="000000"/>
          <w:sz w:val="24"/>
        </w:rPr>
        <w:t xml:space="preserve"> data from MA organizations regarding each item and service provided to an MA plan enrollee. </w:t>
      </w:r>
      <w:r w:rsidR="00FE7141">
        <w:rPr>
          <w:color w:val="000000"/>
          <w:sz w:val="24"/>
        </w:rPr>
        <w:t xml:space="preserve">Collection of such data </w:t>
      </w:r>
      <w:r w:rsidR="00664337">
        <w:rPr>
          <w:color w:val="000000"/>
          <w:sz w:val="24"/>
        </w:rPr>
        <w:t>would</w:t>
      </w:r>
      <w:r>
        <w:rPr>
          <w:color w:val="000000"/>
          <w:sz w:val="24"/>
        </w:rPr>
        <w:t xml:space="preserve"> allow </w:t>
      </w:r>
      <w:r w:rsidR="00EE262A">
        <w:rPr>
          <w:color w:val="000000"/>
          <w:sz w:val="24"/>
        </w:rPr>
        <w:t xml:space="preserve">CMS to incorporate the Medicare Advantage utilization in the development of </w:t>
      </w:r>
      <w:r w:rsidR="00CA4130">
        <w:rPr>
          <w:color w:val="000000"/>
          <w:sz w:val="24"/>
        </w:rPr>
        <w:t xml:space="preserve">the </w:t>
      </w:r>
      <w:r w:rsidR="00EE262A">
        <w:rPr>
          <w:color w:val="000000"/>
          <w:sz w:val="24"/>
        </w:rPr>
        <w:t>risk adjustment models for the Medicare Advantage program</w:t>
      </w:r>
      <w:r>
        <w:rPr>
          <w:color w:val="000000"/>
          <w:sz w:val="24"/>
        </w:rPr>
        <w:t>.</w:t>
      </w:r>
    </w:p>
    <w:p w:rsidR="004E3800" w:rsidRDefault="004E3800" w:rsidP="004E3800">
      <w:pPr>
        <w:widowControl/>
        <w:rPr>
          <w:color w:val="000000"/>
          <w:sz w:val="24"/>
        </w:rPr>
      </w:pPr>
    </w:p>
    <w:p w:rsidR="004E3800" w:rsidRDefault="004E3800" w:rsidP="001254A0">
      <w:pPr>
        <w:pStyle w:val="BodyText"/>
        <w:widowControl/>
        <w:autoSpaceDE/>
        <w:autoSpaceDN/>
        <w:adjustRightInd/>
        <w:spacing w:after="0"/>
        <w:rPr>
          <w:sz w:val="24"/>
        </w:rPr>
      </w:pPr>
      <w:r>
        <w:rPr>
          <w:color w:val="000000"/>
          <w:sz w:val="24"/>
        </w:rPr>
        <w:t xml:space="preserve">Once encounter data for MA enrollees are available, CMS </w:t>
      </w:r>
      <w:r w:rsidR="00664337">
        <w:rPr>
          <w:color w:val="000000"/>
          <w:sz w:val="24"/>
        </w:rPr>
        <w:t xml:space="preserve">would </w:t>
      </w:r>
      <w:r>
        <w:rPr>
          <w:color w:val="000000"/>
          <w:sz w:val="24"/>
        </w:rPr>
        <w:t xml:space="preserve">have beneficiary-specific information on the utilization of services by MA plan enrollees. </w:t>
      </w:r>
      <w:r w:rsidR="00664337">
        <w:rPr>
          <w:color w:val="000000"/>
          <w:sz w:val="24"/>
        </w:rPr>
        <w:t>T</w:t>
      </w:r>
      <w:r>
        <w:rPr>
          <w:color w:val="000000"/>
          <w:sz w:val="24"/>
        </w:rPr>
        <w:t xml:space="preserve">hese data could be used to </w:t>
      </w:r>
      <w:r w:rsidR="00664337">
        <w:rPr>
          <w:color w:val="000000"/>
          <w:sz w:val="24"/>
        </w:rPr>
        <w:t xml:space="preserve">develop and </w:t>
      </w:r>
      <w:r>
        <w:rPr>
          <w:color w:val="000000"/>
          <w:sz w:val="24"/>
        </w:rPr>
        <w:t xml:space="preserve">calibrate the CMS–HCC risk adjustment models </w:t>
      </w:r>
      <w:r w:rsidRPr="00FD7B4C">
        <w:rPr>
          <w:color w:val="000000"/>
          <w:sz w:val="24"/>
        </w:rPr>
        <w:t>using MA patterns of diagnoses and expenditures</w:t>
      </w:r>
      <w:r>
        <w:rPr>
          <w:color w:val="000000"/>
          <w:sz w:val="24"/>
        </w:rPr>
        <w:t>.</w:t>
      </w:r>
      <w:r w:rsidR="001C1F00">
        <w:rPr>
          <w:color w:val="000000"/>
          <w:sz w:val="24"/>
        </w:rPr>
        <w:t xml:space="preserve">  </w:t>
      </w:r>
      <w:r w:rsidR="00EE262A">
        <w:rPr>
          <w:color w:val="000000"/>
          <w:sz w:val="24"/>
        </w:rPr>
        <w:t>These new models could be used to risk adjust payment to beneficiaries enrolled in Medicare Advantage</w:t>
      </w:r>
      <w:r w:rsidR="00FE7141">
        <w:rPr>
          <w:color w:val="000000"/>
          <w:sz w:val="24"/>
        </w:rPr>
        <w:t xml:space="preserve"> plans</w:t>
      </w:r>
      <w:r w:rsidR="00EE262A">
        <w:rPr>
          <w:color w:val="000000"/>
          <w:sz w:val="24"/>
        </w:rPr>
        <w:t xml:space="preserve">.  </w:t>
      </w:r>
      <w:r w:rsidR="001C1F00" w:rsidRPr="0086548E">
        <w:rPr>
          <w:sz w:val="24"/>
        </w:rPr>
        <w:t xml:space="preserve">As stated in the amendment to </w:t>
      </w:r>
      <w:r w:rsidR="00664337">
        <w:rPr>
          <w:color w:val="000000"/>
          <w:sz w:val="24"/>
        </w:rPr>
        <w:t>§ 422.310 we would</w:t>
      </w:r>
      <w:r w:rsidR="001C1F00">
        <w:rPr>
          <w:color w:val="000000"/>
          <w:sz w:val="24"/>
        </w:rPr>
        <w:t xml:space="preserve"> also use the data </w:t>
      </w:r>
      <w:r w:rsidR="00FE7141">
        <w:rPr>
          <w:color w:val="000000"/>
          <w:sz w:val="24"/>
        </w:rPr>
        <w:t>for such things as</w:t>
      </w:r>
      <w:r w:rsidR="001C1F00">
        <w:rPr>
          <w:color w:val="000000"/>
          <w:sz w:val="24"/>
        </w:rPr>
        <w:t xml:space="preserve"> </w:t>
      </w:r>
      <w:r w:rsidR="001C1F00" w:rsidRPr="0086548E">
        <w:rPr>
          <w:sz w:val="24"/>
        </w:rPr>
        <w:t>calculating Medicare DSH percentages, Medicare coverage purposes, and quality review and improvement activities</w:t>
      </w:r>
      <w:r w:rsidR="00B44FFC">
        <w:rPr>
          <w:sz w:val="24"/>
        </w:rPr>
        <w:t>.</w:t>
      </w:r>
      <w:r w:rsidR="001254A0">
        <w:rPr>
          <w:sz w:val="24"/>
        </w:rPr>
        <w:t xml:space="preserve"> </w:t>
      </w:r>
    </w:p>
    <w:p w:rsidR="005972F8" w:rsidRDefault="005972F8" w:rsidP="001254A0">
      <w:pPr>
        <w:pStyle w:val="BodyText"/>
        <w:widowControl/>
        <w:autoSpaceDE/>
        <w:autoSpaceDN/>
        <w:adjustRightInd/>
        <w:spacing w:after="0"/>
        <w:rPr>
          <w:sz w:val="24"/>
        </w:rPr>
      </w:pPr>
    </w:p>
    <w:p w:rsidR="005972F8" w:rsidRDefault="005972F8" w:rsidP="005972F8">
      <w:pPr>
        <w:widowControl/>
        <w:rPr>
          <w:sz w:val="24"/>
        </w:rPr>
      </w:pPr>
      <w:r>
        <w:rPr>
          <w:sz w:val="24"/>
        </w:rPr>
        <w:t>A similar rationale applies to PACE organizations which are also paid under section 1853 of the Social Security Act – see section 1894(d) of the Act.</w:t>
      </w:r>
    </w:p>
    <w:p w:rsidR="005972F8" w:rsidRDefault="005972F8" w:rsidP="005972F8">
      <w:pPr>
        <w:widowControl/>
        <w:rPr>
          <w:sz w:val="24"/>
        </w:rPr>
      </w:pPr>
    </w:p>
    <w:p w:rsidR="005972F8" w:rsidRPr="001254A0" w:rsidRDefault="005972F8" w:rsidP="005972F8">
      <w:pPr>
        <w:widowControl/>
        <w:rPr>
          <w:color w:val="000000"/>
          <w:sz w:val="24"/>
        </w:rPr>
      </w:pPr>
      <w:r>
        <w:rPr>
          <w:sz w:val="24"/>
        </w:rPr>
        <w:t xml:space="preserve">Section 1876 Cost HMOs/CMPs are paid reasonable costs actually incurred under the authority in section 1876(h)(3) of the Act.  Section 1833 HCPPs are paid reasonable costs under the authority in section 1833(a)(1)(A) of the Act.  Reasonable costs are further defined in section 1861(v) of the Act.  CMS has the authority to require Cost HMOs/CMPs to submit encounter data under 42 </w:t>
      </w:r>
      <w:r w:rsidRPr="0015534D">
        <w:rPr>
          <w:sz w:val="24"/>
        </w:rPr>
        <w:t xml:space="preserve">C.F.R. §417.568(b)(1) </w:t>
      </w:r>
      <w:r>
        <w:rPr>
          <w:sz w:val="24"/>
        </w:rPr>
        <w:t>which requires</w:t>
      </w:r>
      <w:r w:rsidRPr="0015534D">
        <w:rPr>
          <w:sz w:val="24"/>
        </w:rPr>
        <w:t xml:space="preserve"> submission of “adequate cost and statistical data. . .that can be verified by qualified auditors,” and  42 C.F.R. §427.576(b)(2)(iii) </w:t>
      </w:r>
      <w:r>
        <w:rPr>
          <w:sz w:val="24"/>
        </w:rPr>
        <w:t>which requires</w:t>
      </w:r>
      <w:r w:rsidRPr="0015534D">
        <w:rPr>
          <w:sz w:val="24"/>
        </w:rPr>
        <w:t xml:space="preserve"> “[a]ny other information required by CMS” for purposes of final </w:t>
      </w:r>
      <w:r>
        <w:rPr>
          <w:sz w:val="24"/>
        </w:rPr>
        <w:t>cost-</w:t>
      </w:r>
      <w:r w:rsidRPr="0015534D">
        <w:rPr>
          <w:sz w:val="24"/>
        </w:rPr>
        <w:t>settlement of payment amounts due.</w:t>
      </w:r>
      <w:r>
        <w:rPr>
          <w:sz w:val="24"/>
        </w:rPr>
        <w:t xml:space="preserve">  CMS also has the authority to require HCPPs to submit encounter data under </w:t>
      </w:r>
      <w:r w:rsidRPr="003303B3">
        <w:rPr>
          <w:sz w:val="24"/>
        </w:rPr>
        <w:t xml:space="preserve">42 C.F.R. §417.806(c) to access “records of the HCPP.. .that pertain to the determination of amounts payable for covered Part B services furnished its Medicare enrollees” and 42 C.F.R. §417.871(b)(2)(iii) to require “other data as specified by CMS” for purposes of final </w:t>
      </w:r>
      <w:r>
        <w:rPr>
          <w:sz w:val="24"/>
        </w:rPr>
        <w:t>cost-</w:t>
      </w:r>
      <w:r w:rsidRPr="003303B3">
        <w:rPr>
          <w:sz w:val="24"/>
        </w:rPr>
        <w:t>settlement of payment amounts due.</w:t>
      </w:r>
      <w:r>
        <w:rPr>
          <w:sz w:val="24"/>
        </w:rPr>
        <w:t xml:space="preserve">  In short, in addition to the other stated purposes for collection of encounter data, with respect to §1876 Cost HMOs/CMPs and§1833 H</w:t>
      </w:r>
      <w:r w:rsidRPr="003303B3">
        <w:rPr>
          <w:sz w:val="24"/>
        </w:rPr>
        <w:t xml:space="preserve">CPPs, </w:t>
      </w:r>
      <w:r w:rsidR="00011569">
        <w:rPr>
          <w:sz w:val="24"/>
        </w:rPr>
        <w:t xml:space="preserve">additional </w:t>
      </w:r>
      <w:r w:rsidR="001A09C0">
        <w:rPr>
          <w:sz w:val="24"/>
        </w:rPr>
        <w:t xml:space="preserve">data submission requirements included in this </w:t>
      </w:r>
      <w:r>
        <w:rPr>
          <w:sz w:val="24"/>
        </w:rPr>
        <w:t xml:space="preserve">encounter </w:t>
      </w:r>
      <w:r w:rsidR="001A09C0">
        <w:rPr>
          <w:sz w:val="24"/>
        </w:rPr>
        <w:t xml:space="preserve">collection </w:t>
      </w:r>
      <w:r>
        <w:rPr>
          <w:sz w:val="24"/>
        </w:rPr>
        <w:t>d</w:t>
      </w:r>
      <w:r w:rsidRPr="003303B3">
        <w:rPr>
          <w:sz w:val="24"/>
        </w:rPr>
        <w:t xml:space="preserve">ata will assist us in verifying the accuracy and validity of the costs claimed on </w:t>
      </w:r>
      <w:r>
        <w:rPr>
          <w:sz w:val="24"/>
        </w:rPr>
        <w:t>C</w:t>
      </w:r>
      <w:r w:rsidRPr="003303B3">
        <w:rPr>
          <w:sz w:val="24"/>
        </w:rPr>
        <w:t xml:space="preserve">ost </w:t>
      </w:r>
      <w:r>
        <w:rPr>
          <w:sz w:val="24"/>
        </w:rPr>
        <w:t>R</w:t>
      </w:r>
      <w:r w:rsidRPr="003303B3">
        <w:rPr>
          <w:sz w:val="24"/>
        </w:rPr>
        <w:t>eports.</w:t>
      </w:r>
    </w:p>
    <w:p w:rsidR="004E3800" w:rsidRDefault="004E3800" w:rsidP="004E3800">
      <w:pPr>
        <w:widowControl/>
        <w:rPr>
          <w:color w:val="000000"/>
          <w:sz w:val="24"/>
        </w:rPr>
      </w:pPr>
    </w:p>
    <w:p w:rsidR="00395478" w:rsidRDefault="004E3800" w:rsidP="00474F35">
      <w:pPr>
        <w:pStyle w:val="NormalWeb"/>
      </w:pPr>
      <w:r w:rsidRPr="0086548E">
        <w:t xml:space="preserve">CMS’ fundamental goal is to have the least burdensome data submission requirements necessary </w:t>
      </w:r>
      <w:r w:rsidR="00664337">
        <w:t xml:space="preserve">to ensure </w:t>
      </w:r>
      <w:r w:rsidRPr="0086548E">
        <w:t>accurate payment and appropriate program oversight</w:t>
      </w:r>
      <w:r w:rsidR="000E6A49">
        <w:t xml:space="preserve">.  </w:t>
      </w:r>
      <w:r w:rsidRPr="0086548E">
        <w:t xml:space="preserve">Since the industry has an effective electronic encounter submission standard, which is electronically automated, we </w:t>
      </w:r>
      <w:r w:rsidR="00664337">
        <w:t>would</w:t>
      </w:r>
      <w:r w:rsidRPr="0086548E">
        <w:t xml:space="preserve"> use the electronic, HIPAA compliant </w:t>
      </w:r>
      <w:r w:rsidR="00CA073E" w:rsidRPr="00CA073E">
        <w:t xml:space="preserve">professional data </w:t>
      </w:r>
      <w:r w:rsidR="00E90293" w:rsidRPr="00FF0646">
        <w:t>(currently using implementation guide ASC X12N 837/005010X222</w:t>
      </w:r>
      <w:r w:rsidR="00E90293">
        <w:t xml:space="preserve"> </w:t>
      </w:r>
      <w:r w:rsidR="00E90293" w:rsidRPr="00FF0646">
        <w:rPr>
          <w:i/>
          <w:iCs/>
        </w:rPr>
        <w:t>with</w:t>
      </w:r>
      <w:r w:rsidR="00E90293" w:rsidRPr="00FF0646">
        <w:t xml:space="preserve"> Err</w:t>
      </w:r>
      <w:r w:rsidR="00E90293">
        <w:t>ata for ASC X12N 837/05010X222A1</w:t>
      </w:r>
      <w:r w:rsidR="00E90293" w:rsidRPr="00FF0646">
        <w:t xml:space="preserve">) and institutional data (currently using implementation guide ASC X12N 837/005010X223 </w:t>
      </w:r>
      <w:r w:rsidR="00E90293" w:rsidRPr="00FF0646">
        <w:rPr>
          <w:i/>
          <w:iCs/>
        </w:rPr>
        <w:t>with</w:t>
      </w:r>
      <w:r w:rsidR="00E90293" w:rsidRPr="00FF0646">
        <w:t xml:space="preserve"> Errata for ASC X12N 837/05010X223A</w:t>
      </w:r>
      <w:r w:rsidR="00E90293">
        <w:t>2</w:t>
      </w:r>
      <w:r w:rsidR="00E90293" w:rsidRPr="00FF0646">
        <w:t>)</w:t>
      </w:r>
      <w:r w:rsidRPr="0086548E">
        <w:t>(</w:t>
      </w:r>
      <w:r w:rsidR="00D221C8">
        <w:t xml:space="preserve">we will call both of them together </w:t>
      </w:r>
      <w:r w:rsidRPr="0086548E">
        <w:t xml:space="preserve">the 5010 format) as the format for </w:t>
      </w:r>
      <w:r w:rsidRPr="0086548E">
        <w:lastRenderedPageBreak/>
        <w:t xml:space="preserve">encounter submissions.  Under </w:t>
      </w:r>
      <w:r w:rsidRPr="00474F35">
        <w:t xml:space="preserve">HIPAA </w:t>
      </w:r>
      <w:r w:rsidR="00474F35" w:rsidRPr="00474F35">
        <w:t xml:space="preserve">(Public Law 104-191) </w:t>
      </w:r>
      <w:r w:rsidRPr="00474F35">
        <w:t>Administrative</w:t>
      </w:r>
      <w:r w:rsidRPr="0086548E">
        <w:t xml:space="preserve"> Simplification, </w:t>
      </w:r>
      <w:r w:rsidR="005B2FC8">
        <w:t>h</w:t>
      </w:r>
      <w:r w:rsidRPr="0086548E">
        <w:t xml:space="preserve">ealth plans, health care clearinghouses, and health care providers who choose to conduct transactions electronically use </w:t>
      </w:r>
      <w:r>
        <w:t>the 5010 format</w:t>
      </w:r>
      <w:r w:rsidRPr="0086548E">
        <w:t xml:space="preserve"> for the electronic exchange of medical, billing, and other information within the health care system.   </w:t>
      </w:r>
      <w:r w:rsidR="00474F35">
        <w:t xml:space="preserve">All of the HIPAA Administrative Simplification Rules are located at 45 CFR Parts 160, 162, and 164.  </w:t>
      </w:r>
      <w:r w:rsidRPr="0086548E">
        <w:t xml:space="preserve">The information is used to submit health </w:t>
      </w:r>
      <w:r w:rsidR="003A5DBB">
        <w:t xml:space="preserve">care </w:t>
      </w:r>
      <w:r w:rsidRPr="0086548E">
        <w:t>claims or equivalent health encounter information</w:t>
      </w:r>
      <w:r w:rsidR="005B2FC8">
        <w:t>,</w:t>
      </w:r>
      <w:r w:rsidRPr="0086548E">
        <w:t xml:space="preserve"> carry out health plan enrollments and disenrollments</w:t>
      </w:r>
      <w:r w:rsidR="005B2FC8">
        <w:t>,</w:t>
      </w:r>
      <w:r w:rsidRPr="0086548E">
        <w:t xml:space="preserve"> determine health plan eligibility</w:t>
      </w:r>
      <w:r w:rsidR="005B2FC8">
        <w:t>,</w:t>
      </w:r>
      <w:r w:rsidRPr="0086548E">
        <w:t xml:space="preserve"> send and receive health care payment and remittance advices</w:t>
      </w:r>
      <w:r w:rsidR="005B2FC8">
        <w:t>,</w:t>
      </w:r>
      <w:r w:rsidRPr="0086548E">
        <w:t xml:space="preserve"> transmit health plan premium payments</w:t>
      </w:r>
      <w:r w:rsidR="005B2FC8">
        <w:t>,</w:t>
      </w:r>
      <w:r w:rsidRPr="0086548E">
        <w:t xml:space="preserve"> determine health </w:t>
      </w:r>
      <w:r w:rsidR="003A5DBB">
        <w:t xml:space="preserve">care </w:t>
      </w:r>
      <w:r w:rsidRPr="0086548E">
        <w:t>claim status</w:t>
      </w:r>
      <w:r w:rsidR="005B2FC8">
        <w:t>,</w:t>
      </w:r>
      <w:r w:rsidRPr="0086548E">
        <w:t xml:space="preserve"> provide referral certifications and authorizations</w:t>
      </w:r>
      <w:r w:rsidR="005B2FC8">
        <w:t>,</w:t>
      </w:r>
      <w:r w:rsidRPr="0086548E">
        <w:t xml:space="preserve"> and coordinate the benefits for individuals who have more than one health plan.  </w:t>
      </w:r>
      <w:r w:rsidR="00FD7B4C" w:rsidRPr="00395478">
        <w:t xml:space="preserve">The 5010’s </w:t>
      </w:r>
      <w:r w:rsidRPr="00395478">
        <w:t xml:space="preserve">use was mandated in order to reduce </w:t>
      </w:r>
      <w:r w:rsidR="003A6686" w:rsidRPr="00395478">
        <w:t>handling and processing time, eliminate the inefficiencies associated with the handling of paper documents, reduce administrative burden, lower operating costs, and improve data quality and standardization</w:t>
      </w:r>
      <w:r w:rsidR="00B7063A">
        <w:t xml:space="preserve">.  </w:t>
      </w:r>
    </w:p>
    <w:p w:rsidR="00206277" w:rsidRDefault="00206277" w:rsidP="00395478">
      <w:pPr>
        <w:rPr>
          <w:sz w:val="24"/>
        </w:rPr>
      </w:pPr>
    </w:p>
    <w:p w:rsidR="00206277" w:rsidRPr="00661D4B" w:rsidRDefault="009F595E" w:rsidP="00206277">
      <w:pPr>
        <w:widowControl/>
        <w:rPr>
          <w:color w:val="000000"/>
          <w:sz w:val="24"/>
        </w:rPr>
      </w:pPr>
      <w:r w:rsidRPr="00661D4B">
        <w:rPr>
          <w:color w:val="000000"/>
          <w:sz w:val="24"/>
        </w:rPr>
        <w:t xml:space="preserve">The standard ANSI </w:t>
      </w:r>
      <w:r w:rsidR="00206277" w:rsidRPr="00661D4B">
        <w:rPr>
          <w:color w:val="000000"/>
          <w:sz w:val="24"/>
        </w:rPr>
        <w:t>ASC X12N formats have</w:t>
      </w:r>
      <w:r w:rsidRPr="00661D4B">
        <w:rPr>
          <w:color w:val="000000"/>
          <w:sz w:val="24"/>
        </w:rPr>
        <w:t xml:space="preserve"> been published and are </w:t>
      </w:r>
      <w:r w:rsidR="00206277" w:rsidRPr="00661D4B">
        <w:rPr>
          <w:color w:val="000000"/>
          <w:sz w:val="24"/>
        </w:rPr>
        <w:t>available at Washington</w:t>
      </w:r>
    </w:p>
    <w:p w:rsidR="00206277" w:rsidRDefault="00206277" w:rsidP="009F595E">
      <w:pPr>
        <w:widowControl/>
        <w:rPr>
          <w:sz w:val="24"/>
        </w:rPr>
      </w:pPr>
      <w:r w:rsidRPr="00661D4B">
        <w:rPr>
          <w:color w:val="000000"/>
          <w:sz w:val="24"/>
        </w:rPr>
        <w:t>Publishing Company at</w:t>
      </w:r>
      <w:r w:rsidR="009F595E" w:rsidRPr="00661D4B">
        <w:rPr>
          <w:color w:val="000000"/>
          <w:sz w:val="24"/>
        </w:rPr>
        <w:t xml:space="preserve"> </w:t>
      </w:r>
      <w:hyperlink r:id="rId11" w:history="1">
        <w:r w:rsidR="009F595E" w:rsidRPr="00661D4B">
          <w:rPr>
            <w:rStyle w:val="Hyperlink"/>
            <w:sz w:val="24"/>
          </w:rPr>
          <w:t>http://www.wpc-edi.com/</w:t>
        </w:r>
      </w:hyperlink>
      <w:r w:rsidRPr="00661D4B">
        <w:rPr>
          <w:color w:val="000000"/>
          <w:sz w:val="24"/>
        </w:rPr>
        <w:t>.</w:t>
      </w:r>
      <w:r w:rsidR="009F595E" w:rsidRPr="00661D4B">
        <w:rPr>
          <w:color w:val="000000"/>
          <w:sz w:val="24"/>
        </w:rPr>
        <w:t xml:space="preserve">  </w:t>
      </w:r>
      <w:r w:rsidRPr="00661D4B">
        <w:rPr>
          <w:sz w:val="24"/>
        </w:rPr>
        <w:t>The organizatio</w:t>
      </w:r>
      <w:r w:rsidR="009F595E" w:rsidRPr="00661D4B">
        <w:rPr>
          <w:sz w:val="24"/>
        </w:rPr>
        <w:t xml:space="preserve">ns responsible for adopting the </w:t>
      </w:r>
      <w:r w:rsidRPr="00661D4B">
        <w:rPr>
          <w:sz w:val="24"/>
        </w:rPr>
        <w:t>standards have developed</w:t>
      </w:r>
      <w:r w:rsidR="009F595E" w:rsidRPr="00661D4B">
        <w:rPr>
          <w:color w:val="000000"/>
          <w:sz w:val="24"/>
        </w:rPr>
        <w:t xml:space="preserve"> </w:t>
      </w:r>
      <w:r w:rsidRPr="00661D4B">
        <w:rPr>
          <w:sz w:val="24"/>
        </w:rPr>
        <w:t>implementation guides to assist covered entities and their business</w:t>
      </w:r>
      <w:r w:rsidR="009F595E" w:rsidRPr="00661D4B">
        <w:rPr>
          <w:color w:val="000000"/>
          <w:sz w:val="24"/>
        </w:rPr>
        <w:t xml:space="preserve"> </w:t>
      </w:r>
      <w:r w:rsidRPr="00661D4B">
        <w:rPr>
          <w:sz w:val="24"/>
        </w:rPr>
        <w:t>associates. The guides provide comprehensive technical details for HIPAA</w:t>
      </w:r>
      <w:r w:rsidR="009F595E" w:rsidRPr="00661D4B">
        <w:rPr>
          <w:color w:val="000000"/>
          <w:sz w:val="24"/>
        </w:rPr>
        <w:t xml:space="preserve"> </w:t>
      </w:r>
      <w:r w:rsidRPr="00661D4B">
        <w:rPr>
          <w:sz w:val="24"/>
        </w:rPr>
        <w:t>implementation. They define the specific activities related to each</w:t>
      </w:r>
      <w:r w:rsidR="009F595E" w:rsidRPr="00661D4B">
        <w:rPr>
          <w:color w:val="000000"/>
          <w:sz w:val="24"/>
        </w:rPr>
        <w:t xml:space="preserve"> </w:t>
      </w:r>
      <w:r w:rsidRPr="00661D4B">
        <w:rPr>
          <w:sz w:val="24"/>
        </w:rPr>
        <w:t>transaction, list non-medical standardized code sets and directions for how</w:t>
      </w:r>
      <w:r w:rsidR="009F595E" w:rsidRPr="00661D4B">
        <w:rPr>
          <w:color w:val="000000"/>
          <w:sz w:val="24"/>
        </w:rPr>
        <w:t xml:space="preserve"> </w:t>
      </w:r>
      <w:r w:rsidRPr="00661D4B">
        <w:rPr>
          <w:sz w:val="24"/>
        </w:rPr>
        <w:t>data should be moved electronically.</w:t>
      </w:r>
      <w:r w:rsidR="009F595E" w:rsidRPr="00661D4B">
        <w:rPr>
          <w:sz w:val="24"/>
        </w:rPr>
        <w:t xml:space="preserve"> Further, the final rule associated with the establishment of the 5010 format can be found at 74 FR 3296 published on January 16, 2009.</w:t>
      </w:r>
    </w:p>
    <w:p w:rsidR="005B77F3" w:rsidRDefault="005B77F3" w:rsidP="003A6686">
      <w:pPr>
        <w:widowControl/>
        <w:rPr>
          <w:sz w:val="24"/>
        </w:rPr>
      </w:pPr>
    </w:p>
    <w:p w:rsidR="005B77F3" w:rsidRPr="00474F35" w:rsidRDefault="0086548E">
      <w:pPr>
        <w:pStyle w:val="BodyTextIndent"/>
        <w:spacing w:after="0"/>
        <w:ind w:left="0"/>
        <w:rPr>
          <w:sz w:val="24"/>
        </w:rPr>
      </w:pPr>
      <w:r w:rsidRPr="0086548E">
        <w:rPr>
          <w:sz w:val="24"/>
        </w:rPr>
        <w:t xml:space="preserve">The following table summarizes the key functions for data collection for risk adjustment </w:t>
      </w:r>
      <w:r w:rsidR="0001356A">
        <w:rPr>
          <w:sz w:val="24"/>
        </w:rPr>
        <w:t xml:space="preserve">and the authorizing legislation </w:t>
      </w:r>
      <w:r w:rsidRPr="0086548E">
        <w:rPr>
          <w:sz w:val="24"/>
        </w:rPr>
        <w:t xml:space="preserve">under the Social Security Act as amended by the </w:t>
      </w:r>
      <w:r w:rsidRPr="00474F35">
        <w:rPr>
          <w:sz w:val="24"/>
        </w:rPr>
        <w:t>BBA</w:t>
      </w:r>
      <w:r w:rsidR="00474F35" w:rsidRPr="00474F35">
        <w:rPr>
          <w:sz w:val="24"/>
        </w:rPr>
        <w:t xml:space="preserve"> </w:t>
      </w:r>
      <w:r w:rsidR="00474F35">
        <w:rPr>
          <w:sz w:val="24"/>
        </w:rPr>
        <w:t>(</w:t>
      </w:r>
      <w:r w:rsidR="00474F35" w:rsidRPr="00474F35">
        <w:rPr>
          <w:rStyle w:val="st1"/>
          <w:bCs/>
          <w:color w:val="000000"/>
          <w:sz w:val="24"/>
        </w:rPr>
        <w:t>Public Law</w:t>
      </w:r>
      <w:r w:rsidR="00474F35" w:rsidRPr="00474F35">
        <w:rPr>
          <w:rStyle w:val="st1"/>
          <w:sz w:val="24"/>
        </w:rPr>
        <w:t xml:space="preserve"> 105-33</w:t>
      </w:r>
      <w:r w:rsidR="00474F35">
        <w:rPr>
          <w:rStyle w:val="st1"/>
          <w:sz w:val="24"/>
        </w:rPr>
        <w:t>)</w:t>
      </w:r>
      <w:r w:rsidRPr="00474F35">
        <w:rPr>
          <w:sz w:val="24"/>
        </w:rPr>
        <w:t>, BBRA</w:t>
      </w:r>
      <w:r w:rsidR="00474F35">
        <w:rPr>
          <w:sz w:val="24"/>
        </w:rPr>
        <w:t xml:space="preserve"> (</w:t>
      </w:r>
      <w:r w:rsidR="00474F35" w:rsidRPr="00474F35">
        <w:rPr>
          <w:rStyle w:val="st1"/>
          <w:bCs/>
          <w:color w:val="000000"/>
          <w:sz w:val="24"/>
        </w:rPr>
        <w:t>Public Law</w:t>
      </w:r>
      <w:r w:rsidR="00474F35" w:rsidRPr="00474F35">
        <w:rPr>
          <w:rStyle w:val="st1"/>
          <w:sz w:val="24"/>
        </w:rPr>
        <w:t xml:space="preserve"> 106-113</w:t>
      </w:r>
      <w:r w:rsidR="00474F35">
        <w:rPr>
          <w:rStyle w:val="st1"/>
          <w:sz w:val="24"/>
        </w:rPr>
        <w:t>)</w:t>
      </w:r>
      <w:r w:rsidRPr="00474F35">
        <w:rPr>
          <w:sz w:val="24"/>
        </w:rPr>
        <w:t>, BIPA</w:t>
      </w:r>
      <w:r w:rsidR="00474F35">
        <w:rPr>
          <w:sz w:val="24"/>
        </w:rPr>
        <w:t xml:space="preserve"> (</w:t>
      </w:r>
      <w:r w:rsidR="00474F35" w:rsidRPr="00474F35">
        <w:rPr>
          <w:rStyle w:val="st1"/>
          <w:bCs/>
          <w:color w:val="000000"/>
          <w:sz w:val="24"/>
        </w:rPr>
        <w:t>Public Law</w:t>
      </w:r>
      <w:r w:rsidR="00474F35" w:rsidRPr="00474F35">
        <w:rPr>
          <w:rStyle w:val="st1"/>
          <w:sz w:val="24"/>
        </w:rPr>
        <w:t xml:space="preserve"> 106-554</w:t>
      </w:r>
      <w:r w:rsidR="00474F35">
        <w:rPr>
          <w:rStyle w:val="st1"/>
          <w:sz w:val="24"/>
        </w:rPr>
        <w:t>)</w:t>
      </w:r>
      <w:r w:rsidRPr="00474F35">
        <w:rPr>
          <w:sz w:val="24"/>
        </w:rPr>
        <w:t>, and most recently the MMA</w:t>
      </w:r>
      <w:r w:rsidR="0001356A" w:rsidRPr="00474F35">
        <w:rPr>
          <w:sz w:val="24"/>
        </w:rPr>
        <w:t xml:space="preserve"> </w:t>
      </w:r>
      <w:r w:rsidR="00474F35" w:rsidRPr="00474F35">
        <w:rPr>
          <w:sz w:val="24"/>
        </w:rPr>
        <w:t xml:space="preserve">(Public Law 108-173) </w:t>
      </w:r>
      <w:r w:rsidR="0001356A" w:rsidRPr="00474F35">
        <w:rPr>
          <w:sz w:val="24"/>
        </w:rPr>
        <w:t>and the current regulations</w:t>
      </w:r>
      <w:r w:rsidRPr="00474F35">
        <w:rPr>
          <w:sz w:val="24"/>
        </w:rPr>
        <w:t xml:space="preserve">.  </w:t>
      </w:r>
    </w:p>
    <w:p w:rsidR="005B77F3" w:rsidRDefault="005B77F3">
      <w:pPr>
        <w:pStyle w:val="BodyTextIndent"/>
        <w:keepNext/>
        <w:keepLines/>
        <w:widowControl/>
        <w:spacing w:after="0"/>
        <w:ind w:left="0"/>
        <w:rPr>
          <w:sz w:val="24"/>
        </w:rPr>
      </w:pPr>
    </w:p>
    <w:tbl>
      <w:tblPr>
        <w:tblStyle w:val="TableGrid"/>
        <w:tblW w:w="0" w:type="auto"/>
        <w:tblLook w:val="01E0" w:firstRow="1" w:lastRow="1" w:firstColumn="1" w:lastColumn="1" w:noHBand="0" w:noVBand="0"/>
      </w:tblPr>
      <w:tblGrid>
        <w:gridCol w:w="4878"/>
        <w:gridCol w:w="4698"/>
      </w:tblGrid>
      <w:tr w:rsidR="008241A4" w:rsidRPr="00F4479C" w:rsidTr="008241A4">
        <w:tc>
          <w:tcPr>
            <w:tcW w:w="9576" w:type="dxa"/>
            <w:gridSpan w:val="2"/>
            <w:shd w:val="clear" w:color="auto" w:fill="A6A6A6"/>
          </w:tcPr>
          <w:p w:rsidR="005B77F3" w:rsidRDefault="0086548E">
            <w:pPr>
              <w:pStyle w:val="BodyTextIndent"/>
              <w:keepNext/>
              <w:keepLines/>
              <w:widowControl/>
              <w:spacing w:after="0"/>
              <w:ind w:left="0"/>
              <w:rPr>
                <w:b/>
                <w:sz w:val="24"/>
              </w:rPr>
            </w:pPr>
            <w:r w:rsidRPr="0086548E">
              <w:rPr>
                <w:b/>
                <w:sz w:val="24"/>
              </w:rPr>
              <w:t>Table 1. The Roles of Risk Adjustment/Encounters and Authorizing Legislation/Regulations</w:t>
            </w:r>
          </w:p>
        </w:tc>
      </w:tr>
      <w:tr w:rsidR="008241A4" w:rsidRPr="00F4479C" w:rsidTr="008241A4">
        <w:tc>
          <w:tcPr>
            <w:tcW w:w="4878" w:type="dxa"/>
            <w:shd w:val="clear" w:color="auto" w:fill="A6A6A6"/>
          </w:tcPr>
          <w:p w:rsidR="005B77F3" w:rsidRDefault="0086548E">
            <w:pPr>
              <w:pStyle w:val="BodyTextIndent"/>
              <w:keepNext/>
              <w:keepLines/>
              <w:widowControl/>
              <w:spacing w:after="0"/>
              <w:ind w:left="0"/>
              <w:rPr>
                <w:b/>
                <w:sz w:val="24"/>
              </w:rPr>
            </w:pPr>
            <w:r w:rsidRPr="0086548E">
              <w:rPr>
                <w:b/>
                <w:sz w:val="24"/>
              </w:rPr>
              <w:t>Function</w:t>
            </w:r>
          </w:p>
        </w:tc>
        <w:tc>
          <w:tcPr>
            <w:tcW w:w="4698" w:type="dxa"/>
            <w:shd w:val="clear" w:color="auto" w:fill="A6A6A6"/>
          </w:tcPr>
          <w:p w:rsidR="005B77F3" w:rsidRDefault="0086548E">
            <w:pPr>
              <w:pStyle w:val="BodyTextIndent"/>
              <w:keepNext/>
              <w:keepLines/>
              <w:widowControl/>
              <w:spacing w:after="0"/>
              <w:ind w:left="0"/>
              <w:rPr>
                <w:b/>
                <w:sz w:val="24"/>
              </w:rPr>
            </w:pPr>
            <w:r w:rsidRPr="0086548E">
              <w:rPr>
                <w:b/>
                <w:sz w:val="24"/>
              </w:rPr>
              <w:t xml:space="preserve">Authorizing legislation </w:t>
            </w:r>
          </w:p>
          <w:p w:rsidR="005B77F3" w:rsidRDefault="0086548E">
            <w:pPr>
              <w:pStyle w:val="BodyTextIndent"/>
              <w:keepNext/>
              <w:keepLines/>
              <w:widowControl/>
              <w:spacing w:after="0"/>
              <w:ind w:left="0"/>
              <w:rPr>
                <w:b/>
                <w:sz w:val="24"/>
              </w:rPr>
            </w:pPr>
            <w:r w:rsidRPr="0086548E">
              <w:rPr>
                <w:b/>
                <w:sz w:val="24"/>
              </w:rPr>
              <w:t>(The Social Security Act)</w:t>
            </w:r>
          </w:p>
        </w:tc>
      </w:tr>
      <w:tr w:rsidR="008241A4" w:rsidRPr="00F4479C" w:rsidTr="008241A4">
        <w:tc>
          <w:tcPr>
            <w:tcW w:w="4878" w:type="dxa"/>
          </w:tcPr>
          <w:p w:rsidR="005B77F3" w:rsidRDefault="0086548E">
            <w:pPr>
              <w:pStyle w:val="BodyTextIndent"/>
              <w:keepNext/>
              <w:keepLines/>
              <w:widowControl/>
              <w:spacing w:after="0"/>
              <w:ind w:left="0"/>
              <w:rPr>
                <w:sz w:val="24"/>
              </w:rPr>
            </w:pPr>
            <w:r w:rsidRPr="0086548E">
              <w:rPr>
                <w:sz w:val="24"/>
              </w:rPr>
              <w:t>Risk adjusted Part C payment</w:t>
            </w:r>
          </w:p>
        </w:tc>
        <w:tc>
          <w:tcPr>
            <w:tcW w:w="4698" w:type="dxa"/>
          </w:tcPr>
          <w:p w:rsidR="005B77F3" w:rsidRDefault="0086548E">
            <w:pPr>
              <w:pStyle w:val="BodyTextIndent"/>
              <w:keepNext/>
              <w:keepLines/>
              <w:widowControl/>
              <w:spacing w:after="0"/>
              <w:ind w:left="0"/>
              <w:rPr>
                <w:sz w:val="24"/>
              </w:rPr>
            </w:pPr>
            <w:r w:rsidRPr="0086548E">
              <w:rPr>
                <w:sz w:val="24"/>
              </w:rPr>
              <w:t>§1853(a)(1)(C), 1853(a)(3)</w:t>
            </w:r>
          </w:p>
        </w:tc>
      </w:tr>
      <w:tr w:rsidR="008241A4" w:rsidRPr="00F4479C" w:rsidTr="008241A4">
        <w:tc>
          <w:tcPr>
            <w:tcW w:w="4878" w:type="dxa"/>
          </w:tcPr>
          <w:p w:rsidR="005B77F3" w:rsidRDefault="0086548E">
            <w:pPr>
              <w:pStyle w:val="BodyTextIndent"/>
              <w:keepNext/>
              <w:keepLines/>
              <w:widowControl/>
              <w:spacing w:after="0"/>
              <w:ind w:left="0"/>
              <w:rPr>
                <w:sz w:val="24"/>
              </w:rPr>
            </w:pPr>
            <w:r w:rsidRPr="0086548E">
              <w:rPr>
                <w:sz w:val="24"/>
              </w:rPr>
              <w:t>Data Collection</w:t>
            </w:r>
          </w:p>
        </w:tc>
        <w:tc>
          <w:tcPr>
            <w:tcW w:w="4698" w:type="dxa"/>
          </w:tcPr>
          <w:p w:rsidR="005B77F3" w:rsidRDefault="0086548E">
            <w:pPr>
              <w:pStyle w:val="BodyTextIndent"/>
              <w:keepNext/>
              <w:keepLines/>
              <w:widowControl/>
              <w:spacing w:after="0"/>
              <w:ind w:left="0"/>
              <w:rPr>
                <w:sz w:val="24"/>
              </w:rPr>
            </w:pPr>
            <w:r w:rsidRPr="0086548E">
              <w:rPr>
                <w:sz w:val="24"/>
              </w:rPr>
              <w:t>§1853(a)(3)(B)</w:t>
            </w:r>
          </w:p>
        </w:tc>
      </w:tr>
      <w:tr w:rsidR="008241A4" w:rsidRPr="00F4479C" w:rsidTr="008241A4">
        <w:tc>
          <w:tcPr>
            <w:tcW w:w="4878" w:type="dxa"/>
          </w:tcPr>
          <w:p w:rsidR="005B77F3" w:rsidRDefault="0086548E">
            <w:pPr>
              <w:pStyle w:val="BodyTextIndent"/>
              <w:keepNext/>
              <w:keepLines/>
              <w:widowControl/>
              <w:spacing w:after="0"/>
              <w:ind w:left="0"/>
              <w:rPr>
                <w:sz w:val="24"/>
              </w:rPr>
            </w:pPr>
            <w:r w:rsidRPr="0086548E">
              <w:rPr>
                <w:sz w:val="24"/>
              </w:rPr>
              <w:t>Establishment of risk methodology and factors</w:t>
            </w:r>
          </w:p>
        </w:tc>
        <w:tc>
          <w:tcPr>
            <w:tcW w:w="4698" w:type="dxa"/>
          </w:tcPr>
          <w:p w:rsidR="005B77F3" w:rsidRDefault="0086548E">
            <w:pPr>
              <w:pStyle w:val="BodyTextIndent"/>
              <w:keepNext/>
              <w:keepLines/>
              <w:widowControl/>
              <w:spacing w:after="0"/>
              <w:ind w:left="0"/>
              <w:rPr>
                <w:sz w:val="24"/>
              </w:rPr>
            </w:pPr>
            <w:r w:rsidRPr="0086548E">
              <w:rPr>
                <w:sz w:val="24"/>
              </w:rPr>
              <w:t>§1853(a)(3)(C)(iii)</w:t>
            </w:r>
          </w:p>
        </w:tc>
      </w:tr>
      <w:tr w:rsidR="008241A4" w:rsidRPr="00F4479C" w:rsidTr="008241A4">
        <w:tc>
          <w:tcPr>
            <w:tcW w:w="4878" w:type="dxa"/>
          </w:tcPr>
          <w:p w:rsidR="005B77F3" w:rsidRDefault="0086548E">
            <w:pPr>
              <w:pStyle w:val="BodyTextIndent"/>
              <w:keepNext/>
              <w:keepLines/>
              <w:widowControl/>
              <w:spacing w:after="0"/>
              <w:ind w:left="0"/>
              <w:rPr>
                <w:sz w:val="24"/>
              </w:rPr>
            </w:pPr>
            <w:r w:rsidRPr="0086548E">
              <w:rPr>
                <w:sz w:val="24"/>
              </w:rPr>
              <w:t>Publishing Part C risk factors</w:t>
            </w:r>
          </w:p>
        </w:tc>
        <w:tc>
          <w:tcPr>
            <w:tcW w:w="4698" w:type="dxa"/>
          </w:tcPr>
          <w:p w:rsidR="005B77F3" w:rsidRDefault="0086548E">
            <w:pPr>
              <w:pStyle w:val="BodyTextIndent"/>
              <w:keepNext/>
              <w:keepLines/>
              <w:widowControl/>
              <w:spacing w:after="0"/>
              <w:ind w:left="0"/>
              <w:rPr>
                <w:sz w:val="24"/>
              </w:rPr>
            </w:pPr>
            <w:r w:rsidRPr="0086548E">
              <w:rPr>
                <w:sz w:val="24"/>
              </w:rPr>
              <w:t>§1853(b)(1)(B)</w:t>
            </w:r>
          </w:p>
        </w:tc>
      </w:tr>
      <w:tr w:rsidR="008241A4" w:rsidRPr="00F4479C" w:rsidTr="008241A4">
        <w:tc>
          <w:tcPr>
            <w:tcW w:w="4878" w:type="dxa"/>
          </w:tcPr>
          <w:p w:rsidR="005B77F3" w:rsidRDefault="0086548E">
            <w:pPr>
              <w:pStyle w:val="BodyTextIndent"/>
              <w:keepNext/>
              <w:keepLines/>
              <w:widowControl/>
              <w:spacing w:after="0"/>
              <w:ind w:left="0"/>
              <w:rPr>
                <w:sz w:val="24"/>
              </w:rPr>
            </w:pPr>
            <w:r w:rsidRPr="0086548E">
              <w:rPr>
                <w:sz w:val="24"/>
              </w:rPr>
              <w:t>Risk adjustment in Part C bidding (used in determination of benchmarks and premiums)</w:t>
            </w:r>
          </w:p>
        </w:tc>
        <w:tc>
          <w:tcPr>
            <w:tcW w:w="4698" w:type="dxa"/>
          </w:tcPr>
          <w:p w:rsidR="005B77F3" w:rsidRDefault="0086548E">
            <w:pPr>
              <w:pStyle w:val="BodyTextIndent"/>
              <w:keepNext/>
              <w:keepLines/>
              <w:widowControl/>
              <w:spacing w:after="0"/>
              <w:ind w:left="0"/>
              <w:rPr>
                <w:sz w:val="24"/>
              </w:rPr>
            </w:pPr>
            <w:r w:rsidRPr="0086548E">
              <w:rPr>
                <w:sz w:val="24"/>
              </w:rPr>
              <w:t>§1854(a)(6)(A)(i)</w:t>
            </w:r>
          </w:p>
          <w:p w:rsidR="005B77F3" w:rsidRDefault="0086548E">
            <w:pPr>
              <w:pStyle w:val="BodyTextIndent"/>
              <w:keepNext/>
              <w:keepLines/>
              <w:widowControl/>
              <w:spacing w:after="0"/>
              <w:ind w:left="0"/>
              <w:rPr>
                <w:sz w:val="24"/>
              </w:rPr>
            </w:pPr>
            <w:r w:rsidRPr="0086548E">
              <w:rPr>
                <w:sz w:val="24"/>
              </w:rPr>
              <w:t>1854(b)(3)</w:t>
            </w:r>
          </w:p>
        </w:tc>
      </w:tr>
      <w:tr w:rsidR="008241A4" w:rsidRPr="00F4479C" w:rsidTr="008241A4">
        <w:tc>
          <w:tcPr>
            <w:tcW w:w="4878" w:type="dxa"/>
          </w:tcPr>
          <w:p w:rsidR="005B77F3" w:rsidRDefault="0086548E" w:rsidP="006977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48E">
              <w:rPr>
                <w:sz w:val="24"/>
              </w:rPr>
              <w:t xml:space="preserve">Calculating Medicare DSH percentages, Medicare coverage purposes </w:t>
            </w:r>
          </w:p>
        </w:tc>
        <w:tc>
          <w:tcPr>
            <w:tcW w:w="4698" w:type="dxa"/>
          </w:tcPr>
          <w:p w:rsidR="005B77F3" w:rsidRDefault="0069777D">
            <w:pPr>
              <w:pStyle w:val="BodyTextIndent"/>
              <w:keepNext/>
              <w:keepLines/>
              <w:widowControl/>
              <w:spacing w:after="0"/>
              <w:ind w:left="0"/>
              <w:rPr>
                <w:sz w:val="24"/>
              </w:rPr>
            </w:pPr>
            <w:r>
              <w:rPr>
                <w:sz w:val="24"/>
              </w:rPr>
              <w:t>1886(d)(5)(F)(vi)</w:t>
            </w:r>
          </w:p>
        </w:tc>
      </w:tr>
      <w:tr w:rsidR="0069777D" w:rsidRPr="00F4479C" w:rsidTr="008241A4">
        <w:tc>
          <w:tcPr>
            <w:tcW w:w="4878" w:type="dxa"/>
          </w:tcPr>
          <w:p w:rsidR="0069777D" w:rsidRPr="0086548E" w:rsidRDefault="006977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Quality review and improvement activities</w:t>
            </w:r>
          </w:p>
        </w:tc>
        <w:tc>
          <w:tcPr>
            <w:tcW w:w="4698" w:type="dxa"/>
          </w:tcPr>
          <w:p w:rsidR="0069777D" w:rsidRDefault="0069777D">
            <w:pPr>
              <w:pStyle w:val="BodyTextIndent"/>
              <w:keepNext/>
              <w:keepLines/>
              <w:widowControl/>
              <w:spacing w:after="0"/>
              <w:ind w:left="0"/>
              <w:rPr>
                <w:sz w:val="24"/>
              </w:rPr>
            </w:pPr>
            <w:r>
              <w:rPr>
                <w:sz w:val="24"/>
              </w:rPr>
              <w:t>1852(e)</w:t>
            </w:r>
          </w:p>
        </w:tc>
      </w:tr>
      <w:tr w:rsidR="0015534D" w:rsidRPr="00F4479C" w:rsidTr="008241A4">
        <w:tc>
          <w:tcPr>
            <w:tcW w:w="4878" w:type="dxa"/>
          </w:tcPr>
          <w:p w:rsidR="0015534D" w:rsidRDefault="003303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Payment to §1876 Cost HMOs/CMPs</w:t>
            </w:r>
          </w:p>
        </w:tc>
        <w:tc>
          <w:tcPr>
            <w:tcW w:w="4698" w:type="dxa"/>
          </w:tcPr>
          <w:p w:rsidR="0015534D" w:rsidRDefault="003303B3">
            <w:pPr>
              <w:pStyle w:val="BodyTextIndent"/>
              <w:keepNext/>
              <w:keepLines/>
              <w:widowControl/>
              <w:spacing w:after="0"/>
              <w:ind w:left="0"/>
              <w:rPr>
                <w:sz w:val="24"/>
              </w:rPr>
            </w:pPr>
            <w:r>
              <w:rPr>
                <w:sz w:val="24"/>
              </w:rPr>
              <w:t>1876(h)(3) and 1861(v)</w:t>
            </w:r>
          </w:p>
        </w:tc>
      </w:tr>
      <w:tr w:rsidR="0015534D" w:rsidRPr="00F4479C" w:rsidTr="008241A4">
        <w:tc>
          <w:tcPr>
            <w:tcW w:w="4878" w:type="dxa"/>
          </w:tcPr>
          <w:p w:rsidR="0015534D" w:rsidRDefault="003303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Payment to §1833 HCPPs</w:t>
            </w:r>
          </w:p>
        </w:tc>
        <w:tc>
          <w:tcPr>
            <w:tcW w:w="4698" w:type="dxa"/>
          </w:tcPr>
          <w:p w:rsidR="0015534D" w:rsidRDefault="009C4CD3">
            <w:pPr>
              <w:pStyle w:val="BodyTextIndent"/>
              <w:keepNext/>
              <w:keepLines/>
              <w:widowControl/>
              <w:spacing w:after="0"/>
              <w:ind w:left="0"/>
              <w:rPr>
                <w:sz w:val="24"/>
              </w:rPr>
            </w:pPr>
            <w:r>
              <w:rPr>
                <w:sz w:val="24"/>
              </w:rPr>
              <w:t>1833(a)(1)(A) and 1861(v)</w:t>
            </w:r>
          </w:p>
        </w:tc>
      </w:tr>
      <w:tr w:rsidR="0015534D" w:rsidRPr="00F4479C" w:rsidTr="008241A4">
        <w:tc>
          <w:tcPr>
            <w:tcW w:w="4878" w:type="dxa"/>
          </w:tcPr>
          <w:p w:rsidR="0015534D" w:rsidRDefault="001553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Payment to PACE organizations</w:t>
            </w:r>
          </w:p>
        </w:tc>
        <w:tc>
          <w:tcPr>
            <w:tcW w:w="4698" w:type="dxa"/>
          </w:tcPr>
          <w:p w:rsidR="0015534D" w:rsidRDefault="0015534D">
            <w:pPr>
              <w:pStyle w:val="BodyTextIndent"/>
              <w:keepNext/>
              <w:keepLines/>
              <w:widowControl/>
              <w:spacing w:after="0"/>
              <w:ind w:left="0"/>
              <w:rPr>
                <w:sz w:val="24"/>
              </w:rPr>
            </w:pPr>
            <w:r>
              <w:rPr>
                <w:sz w:val="24"/>
              </w:rPr>
              <w:t>1894(d)</w:t>
            </w:r>
          </w:p>
        </w:tc>
      </w:tr>
    </w:tbl>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2.</w:t>
      </w:r>
      <w:r>
        <w:rPr>
          <w:sz w:val="24"/>
        </w:rPr>
        <w:tab/>
      </w:r>
      <w:r>
        <w:rPr>
          <w:sz w:val="24"/>
          <w:u w:val="single"/>
        </w:rPr>
        <w:t>Information Users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widowControl/>
        <w:rPr>
          <w:sz w:val="24"/>
        </w:rPr>
      </w:pPr>
      <w:r w:rsidRPr="0086548E">
        <w:rPr>
          <w:sz w:val="24"/>
        </w:rPr>
        <w:t xml:space="preserve">Table 1 above also summarizes the purposes for which the encounter data </w:t>
      </w:r>
      <w:r w:rsidR="0069777D">
        <w:rPr>
          <w:sz w:val="24"/>
        </w:rPr>
        <w:t>would</w:t>
      </w:r>
      <w:r w:rsidRPr="0086548E">
        <w:rPr>
          <w:sz w:val="24"/>
        </w:rPr>
        <w:t xml:space="preserve"> be used.  CMS </w:t>
      </w:r>
      <w:r w:rsidR="0069777D">
        <w:rPr>
          <w:sz w:val="24"/>
        </w:rPr>
        <w:t>would</w:t>
      </w:r>
      <w:r w:rsidRPr="0086548E">
        <w:rPr>
          <w:sz w:val="24"/>
        </w:rPr>
        <w:t xml:space="preserve"> use the data to </w:t>
      </w:r>
      <w:r w:rsidR="00B7063A">
        <w:rPr>
          <w:sz w:val="24"/>
        </w:rPr>
        <w:t>develop individual risk scores for</w:t>
      </w:r>
      <w:r w:rsidRPr="0086548E">
        <w:rPr>
          <w:sz w:val="24"/>
        </w:rPr>
        <w:t xml:space="preserve"> risk adjusted payment under Part C.  As required by law, CMS also establishes the risk adjustment methodology and annually publishes the risk adjustment factors for </w:t>
      </w:r>
      <w:r w:rsidR="00147EBF">
        <w:rPr>
          <w:sz w:val="24"/>
        </w:rPr>
        <w:t xml:space="preserve">MA </w:t>
      </w:r>
      <w:r w:rsidR="00F51C29">
        <w:rPr>
          <w:sz w:val="24"/>
        </w:rPr>
        <w:t>organizations</w:t>
      </w:r>
      <w:r w:rsidR="00F51C29" w:rsidRPr="0086548E">
        <w:rPr>
          <w:sz w:val="24"/>
        </w:rPr>
        <w:t xml:space="preserve"> </w:t>
      </w:r>
      <w:r w:rsidRPr="0086548E">
        <w:rPr>
          <w:sz w:val="24"/>
        </w:rPr>
        <w:t xml:space="preserve">and other interested entities in the Advance Notice of Methodological Changes for MA Payment Rates (every February) and the Announcement of Medicare Advantage Payment Rates (every April).  Encounter data in particular could be used to calibrate the CMS-HCC risk adjustment models using MA patterns of diagnoses, utilization, </w:t>
      </w:r>
      <w:r w:rsidRPr="00FD7B4C">
        <w:rPr>
          <w:sz w:val="24"/>
        </w:rPr>
        <w:t>and expenditures.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C751A" w:rsidRDefault="0086548E" w:rsidP="00566C84">
      <w:pPr>
        <w:rPr>
          <w:sz w:val="24"/>
        </w:rPr>
      </w:pPr>
      <w:r w:rsidRPr="00566C84">
        <w:rPr>
          <w:sz w:val="24"/>
        </w:rPr>
        <w:t xml:space="preserve">While establishing a risk adjustment model appropriate for </w:t>
      </w:r>
      <w:r w:rsidR="00FE7141">
        <w:rPr>
          <w:sz w:val="24"/>
        </w:rPr>
        <w:t xml:space="preserve">the </w:t>
      </w:r>
      <w:r w:rsidRPr="00566C84">
        <w:rPr>
          <w:sz w:val="24"/>
        </w:rPr>
        <w:t>MA</w:t>
      </w:r>
      <w:r w:rsidR="00FE7141">
        <w:rPr>
          <w:sz w:val="24"/>
        </w:rPr>
        <w:t xml:space="preserve"> program</w:t>
      </w:r>
      <w:r w:rsidRPr="00566C84">
        <w:rPr>
          <w:sz w:val="24"/>
        </w:rPr>
        <w:t xml:space="preserve"> is the paramount reason for collecting MA encounter data, there are other important uses of the data that will improve other key functions undertaken by CMS</w:t>
      </w:r>
      <w:r w:rsidR="009749FC" w:rsidRPr="00566C84">
        <w:rPr>
          <w:sz w:val="24"/>
        </w:rPr>
        <w:t xml:space="preserve">.  Data may be used for the </w:t>
      </w:r>
      <w:r w:rsidRPr="00566C84">
        <w:rPr>
          <w:sz w:val="24"/>
        </w:rPr>
        <w:t>calculation of Medicare Disproportionate Share Hospital (DSH) payments</w:t>
      </w:r>
      <w:r w:rsidR="009749FC" w:rsidRPr="00566C84">
        <w:rPr>
          <w:sz w:val="24"/>
        </w:rPr>
        <w:t xml:space="preserve">.  </w:t>
      </w:r>
      <w:r w:rsidR="00566C84" w:rsidRPr="00566C84">
        <w:rPr>
          <w:sz w:val="24"/>
        </w:rPr>
        <w:t xml:space="preserve">CMS would collect inpatient stay information for the Medicare managed care enrollees. In particular, we would collect the admission date, discharge date, </w:t>
      </w:r>
      <w:r w:rsidR="00D4542D">
        <w:rPr>
          <w:sz w:val="24"/>
        </w:rPr>
        <w:t>HICN</w:t>
      </w:r>
      <w:r w:rsidR="00566C84" w:rsidRPr="00566C84">
        <w:rPr>
          <w:sz w:val="24"/>
        </w:rPr>
        <w:t xml:space="preserve">, Medicare hospital number/CCN. </w:t>
      </w:r>
      <w:r w:rsidR="001254A0" w:rsidRPr="00566C84">
        <w:rPr>
          <w:sz w:val="24"/>
        </w:rPr>
        <w:t>Further,</w:t>
      </w:r>
      <w:r w:rsidR="00B7063A" w:rsidRPr="00566C84">
        <w:rPr>
          <w:sz w:val="24"/>
        </w:rPr>
        <w:t xml:space="preserve"> </w:t>
      </w:r>
      <w:r w:rsidR="001254A0" w:rsidRPr="00566C84">
        <w:rPr>
          <w:sz w:val="24"/>
        </w:rPr>
        <w:t>w</w:t>
      </w:r>
      <w:r w:rsidR="009749FC" w:rsidRPr="00566C84">
        <w:rPr>
          <w:sz w:val="24"/>
        </w:rPr>
        <w:t xml:space="preserve">e will also use the data for </w:t>
      </w:r>
      <w:r w:rsidRPr="00566C84">
        <w:rPr>
          <w:sz w:val="24"/>
        </w:rPr>
        <w:t>quality review and improvement activities</w:t>
      </w:r>
      <w:r w:rsidR="009749FC" w:rsidRPr="00D4542D">
        <w:rPr>
          <w:sz w:val="24"/>
        </w:rPr>
        <w:t xml:space="preserve">.  </w:t>
      </w:r>
      <w:r w:rsidR="00B7063A" w:rsidRPr="000E6A49">
        <w:rPr>
          <w:sz w:val="24"/>
        </w:rPr>
        <w:t xml:space="preserve">For example, </w:t>
      </w:r>
      <w:r w:rsidR="009749FC" w:rsidRPr="000E6A49">
        <w:rPr>
          <w:sz w:val="24"/>
        </w:rPr>
        <w:t xml:space="preserve">MA </w:t>
      </w:r>
      <w:r w:rsidR="00B44FFC" w:rsidRPr="000E6A49">
        <w:rPr>
          <w:sz w:val="24"/>
        </w:rPr>
        <w:t>encounter</w:t>
      </w:r>
      <w:r w:rsidR="009749FC" w:rsidRPr="000E6A49">
        <w:rPr>
          <w:sz w:val="24"/>
        </w:rPr>
        <w:t xml:space="preserve"> data </w:t>
      </w:r>
      <w:r w:rsidR="00B44FFC" w:rsidRPr="000E6A49">
        <w:rPr>
          <w:sz w:val="24"/>
        </w:rPr>
        <w:t>may</w:t>
      </w:r>
      <w:r w:rsidR="009749FC" w:rsidRPr="000E6A49">
        <w:rPr>
          <w:sz w:val="24"/>
        </w:rPr>
        <w:t xml:space="preserve"> be used </w:t>
      </w:r>
      <w:r w:rsidR="00B44FFC" w:rsidRPr="000E6A49">
        <w:rPr>
          <w:sz w:val="24"/>
        </w:rPr>
        <w:t xml:space="preserve">in the development and calculation of quality measures for MA </w:t>
      </w:r>
      <w:r w:rsidR="00FE7141" w:rsidRPr="000E6A49">
        <w:rPr>
          <w:sz w:val="24"/>
        </w:rPr>
        <w:t>organizations</w:t>
      </w:r>
      <w:r w:rsidR="00B44FFC" w:rsidRPr="000E6A49">
        <w:rPr>
          <w:sz w:val="24"/>
        </w:rPr>
        <w:t xml:space="preserve">.  </w:t>
      </w:r>
      <w:r w:rsidR="009749FC" w:rsidRPr="000E6A49">
        <w:rPr>
          <w:sz w:val="24"/>
        </w:rPr>
        <w:t xml:space="preserve">Finally, as stated in the regulation, we will use the data for </w:t>
      </w:r>
      <w:r w:rsidRPr="000E6A49">
        <w:rPr>
          <w:sz w:val="24"/>
        </w:rPr>
        <w:t>Medicare coverage purposes</w:t>
      </w:r>
      <w:r w:rsidR="009749FC" w:rsidRPr="000E6A49">
        <w:rPr>
          <w:sz w:val="24"/>
        </w:rPr>
        <w:t xml:space="preserve">.  </w:t>
      </w:r>
      <w:r w:rsidR="00E02B6E" w:rsidRPr="000E6A49">
        <w:rPr>
          <w:sz w:val="24"/>
        </w:rPr>
        <w:t xml:space="preserve"> </w:t>
      </w:r>
      <w:r w:rsidR="001254A0" w:rsidRPr="000E6A49">
        <w:rPr>
          <w:sz w:val="24"/>
        </w:rPr>
        <w:t>For example, we can use encounter data for the determination of whether day limits have been exhausted and, if not, how many such days are left.</w:t>
      </w:r>
      <w:r w:rsidRPr="00566C84">
        <w:rPr>
          <w:sz w:val="24"/>
        </w:rPr>
        <w:t xml:space="preserve"> </w:t>
      </w:r>
    </w:p>
    <w:p w:rsidR="00523917" w:rsidRDefault="00523917" w:rsidP="00566C84">
      <w:pPr>
        <w:rPr>
          <w:sz w:val="24"/>
        </w:rPr>
      </w:pPr>
    </w:p>
    <w:p w:rsidR="00523917" w:rsidRPr="00566C84" w:rsidRDefault="00831958" w:rsidP="008319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F4B01">
        <w:rPr>
          <w:sz w:val="24"/>
        </w:rPr>
        <w:t>The commenters on the December 2010 PRA package asked us to address other uses of the data.  Other uses for the data would include geographical acuity studies, utilization trends and detection of abuse as defined in the False Claim Act.</w:t>
      </w:r>
      <w:r>
        <w:rPr>
          <w:sz w:val="24"/>
        </w:rPr>
        <w:t xml:space="preserve">  </w:t>
      </w:r>
      <w:r w:rsidR="00523917" w:rsidRPr="0008026A">
        <w:rPr>
          <w:sz w:val="24"/>
        </w:rPr>
        <w:t xml:space="preserve">Additional uses for the data </w:t>
      </w:r>
      <w:r w:rsidR="00523917">
        <w:rPr>
          <w:sz w:val="24"/>
        </w:rPr>
        <w:t>include</w:t>
      </w:r>
      <w:r w:rsidR="00523917" w:rsidRPr="0008026A">
        <w:rPr>
          <w:sz w:val="24"/>
        </w:rPr>
        <w:t xml:space="preserve"> verifying the accuracy and validity of the </w:t>
      </w:r>
      <w:r w:rsidR="003E3999">
        <w:rPr>
          <w:sz w:val="24"/>
        </w:rPr>
        <w:t xml:space="preserve">reasonable </w:t>
      </w:r>
      <w:r w:rsidR="00523917" w:rsidRPr="0008026A">
        <w:rPr>
          <w:sz w:val="24"/>
        </w:rPr>
        <w:t xml:space="preserve">costs claimed on </w:t>
      </w:r>
      <w:r w:rsidR="00523917">
        <w:rPr>
          <w:sz w:val="24"/>
        </w:rPr>
        <w:t>C</w:t>
      </w:r>
      <w:r w:rsidR="00523917" w:rsidRPr="0008026A">
        <w:rPr>
          <w:sz w:val="24"/>
        </w:rPr>
        <w:t>ost</w:t>
      </w:r>
      <w:r w:rsidR="00523917">
        <w:rPr>
          <w:sz w:val="24"/>
        </w:rPr>
        <w:t xml:space="preserve"> R</w:t>
      </w:r>
      <w:r w:rsidR="00523917" w:rsidRPr="0008026A">
        <w:rPr>
          <w:sz w:val="24"/>
        </w:rPr>
        <w:t>eports</w:t>
      </w:r>
      <w:r w:rsidR="00523917">
        <w:rPr>
          <w:sz w:val="24"/>
        </w:rPr>
        <w:t xml:space="preserve"> submitted by §1876 Cost HMOs/CMPs and §1833 HCPPs</w:t>
      </w:r>
      <w:r w:rsidR="00523917" w:rsidRPr="0008026A">
        <w:rPr>
          <w:sz w:val="24"/>
        </w:rPr>
        <w:t xml:space="preserve">.  </w:t>
      </w:r>
    </w:p>
    <w:p w:rsidR="008C751A" w:rsidRDefault="008C751A">
      <w:pPr>
        <w:pStyle w:val="BodyText"/>
        <w:spacing w:after="0"/>
        <w:rPr>
          <w:color w:val="000000"/>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5B77F3" w:rsidRPr="00030B1A" w:rsidRDefault="00030B1A" w:rsidP="00030B1A">
      <w:pPr>
        <w:pStyle w:val="BodyTextIndent"/>
        <w:tabs>
          <w:tab w:val="left" w:pos="8640"/>
        </w:tabs>
        <w:spacing w:after="0"/>
        <w:ind w:left="0"/>
        <w:rPr>
          <w:sz w:val="23"/>
          <w:szCs w:val="23"/>
        </w:rPr>
      </w:pPr>
      <w:r>
        <w:rPr>
          <w:sz w:val="23"/>
          <w:szCs w:val="23"/>
        </w:rPr>
        <w:t xml:space="preserve">The </w:t>
      </w:r>
      <w:r w:rsidR="00EE262A">
        <w:rPr>
          <w:sz w:val="23"/>
          <w:szCs w:val="23"/>
        </w:rPr>
        <w:t>encounter data</w:t>
      </w:r>
      <w:r>
        <w:rPr>
          <w:sz w:val="23"/>
          <w:szCs w:val="23"/>
        </w:rPr>
        <w:t xml:space="preserve"> </w:t>
      </w:r>
      <w:r w:rsidR="00EE262A">
        <w:rPr>
          <w:sz w:val="23"/>
          <w:szCs w:val="23"/>
        </w:rPr>
        <w:t xml:space="preserve">would be </w:t>
      </w:r>
      <w:r>
        <w:rPr>
          <w:sz w:val="23"/>
          <w:szCs w:val="23"/>
        </w:rPr>
        <w:t xml:space="preserve">collected 100% electronically. </w:t>
      </w:r>
      <w:r w:rsidR="00EE262A">
        <w:rPr>
          <w:sz w:val="23"/>
          <w:szCs w:val="23"/>
        </w:rPr>
        <w:t>Encounter data would be</w:t>
      </w:r>
      <w:r>
        <w:rPr>
          <w:sz w:val="23"/>
          <w:szCs w:val="23"/>
        </w:rPr>
        <w:t xml:space="preserve"> processed through the Encounter Data Systems (EDS). A summary of the data collection/submission process </w:t>
      </w:r>
      <w:r w:rsidR="00EE262A">
        <w:rPr>
          <w:sz w:val="23"/>
          <w:szCs w:val="23"/>
        </w:rPr>
        <w:t xml:space="preserve">is </w:t>
      </w:r>
      <w:r>
        <w:rPr>
          <w:sz w:val="23"/>
          <w:szCs w:val="23"/>
        </w:rPr>
        <w:t>as follows.</w:t>
      </w:r>
    </w:p>
    <w:p w:rsidR="005B77F3" w:rsidRDefault="005B77F3">
      <w:pPr>
        <w:pStyle w:val="BodyTextIndent"/>
        <w:tabs>
          <w:tab w:val="left" w:pos="8640"/>
        </w:tabs>
        <w:spacing w:after="0"/>
        <w:ind w:left="0"/>
        <w:rPr>
          <w:b/>
          <w:sz w:val="24"/>
        </w:rPr>
      </w:pPr>
    </w:p>
    <w:p w:rsidR="005B77F3" w:rsidRDefault="00EE262A">
      <w:pPr>
        <w:pStyle w:val="BodyTextIndent"/>
        <w:tabs>
          <w:tab w:val="left" w:pos="8640"/>
        </w:tabs>
        <w:spacing w:after="0"/>
        <w:ind w:left="0"/>
        <w:rPr>
          <w:b/>
          <w:sz w:val="24"/>
        </w:rPr>
      </w:pPr>
      <w:r>
        <w:rPr>
          <w:b/>
          <w:sz w:val="24"/>
        </w:rPr>
        <w:t>Encounter Data</w:t>
      </w:r>
      <w:r w:rsidR="0086548E" w:rsidRPr="0086548E">
        <w:rPr>
          <w:b/>
          <w:sz w:val="24"/>
        </w:rPr>
        <w:t xml:space="preserve"> Collection/Submission Overview</w:t>
      </w:r>
    </w:p>
    <w:p w:rsidR="00030B1A" w:rsidRDefault="00030B1A" w:rsidP="00030B1A">
      <w:pPr>
        <w:rPr>
          <w:sz w:val="24"/>
        </w:rPr>
      </w:pPr>
      <w:r w:rsidRPr="0086548E">
        <w:rPr>
          <w:sz w:val="24"/>
        </w:rPr>
        <w:t xml:space="preserve">CMS is in the process of building a new suite of systems, the Encounter Data Systems (EDS), to collect and price encounter data for items and services provided to beneficiaries enrolled in </w:t>
      </w:r>
      <w:r w:rsidR="00147EBF">
        <w:rPr>
          <w:sz w:val="24"/>
        </w:rPr>
        <w:t xml:space="preserve">MA </w:t>
      </w:r>
      <w:r w:rsidR="00F75476">
        <w:rPr>
          <w:sz w:val="24"/>
        </w:rPr>
        <w:t>organizations</w:t>
      </w:r>
      <w:r w:rsidR="00FE7141">
        <w:rPr>
          <w:sz w:val="24"/>
        </w:rPr>
        <w:t>, PACE organizations, Cost HMOs/CMPs and HCPPs</w:t>
      </w:r>
      <w:r w:rsidRPr="0086548E">
        <w:rPr>
          <w:sz w:val="24"/>
        </w:rPr>
        <w:t xml:space="preserve">. The EDS </w:t>
      </w:r>
      <w:r w:rsidR="005B2FC8">
        <w:rPr>
          <w:sz w:val="24"/>
        </w:rPr>
        <w:t>would</w:t>
      </w:r>
      <w:r w:rsidRPr="0086548E">
        <w:rPr>
          <w:sz w:val="24"/>
        </w:rPr>
        <w:t xml:space="preserve"> consist of the following new functionalities: </w:t>
      </w:r>
    </w:p>
    <w:p w:rsidR="00C4560B" w:rsidRDefault="00030B1A" w:rsidP="00030B1A">
      <w:pPr>
        <w:pStyle w:val="Default"/>
        <w:numPr>
          <w:ilvl w:val="1"/>
          <w:numId w:val="23"/>
        </w:numPr>
        <w:rPr>
          <w:rFonts w:ascii="Times New Roman" w:hAnsi="Times New Roman" w:cs="Times New Roman"/>
        </w:rPr>
      </w:pPr>
      <w:r w:rsidRPr="00C4560B">
        <w:rPr>
          <w:rFonts w:ascii="Times New Roman" w:hAnsi="Times New Roman" w:cs="Times New Roman"/>
        </w:rPr>
        <w:t xml:space="preserve">capability to receive, edit and process encounter data, </w:t>
      </w:r>
    </w:p>
    <w:p w:rsidR="00C4560B" w:rsidRDefault="00C4560B" w:rsidP="00030B1A">
      <w:pPr>
        <w:pStyle w:val="Default"/>
        <w:numPr>
          <w:ilvl w:val="1"/>
          <w:numId w:val="23"/>
        </w:numPr>
        <w:rPr>
          <w:rFonts w:ascii="Times New Roman" w:hAnsi="Times New Roman" w:cs="Times New Roman"/>
        </w:rPr>
      </w:pPr>
      <w:r>
        <w:rPr>
          <w:rFonts w:ascii="Times New Roman" w:hAnsi="Times New Roman" w:cs="Times New Roman"/>
        </w:rPr>
        <w:t>transaction reporting</w:t>
      </w:r>
    </w:p>
    <w:p w:rsidR="00030B1A" w:rsidRDefault="00030B1A" w:rsidP="00030B1A">
      <w:pPr>
        <w:pStyle w:val="Default"/>
        <w:numPr>
          <w:ilvl w:val="1"/>
          <w:numId w:val="23"/>
        </w:numPr>
        <w:rPr>
          <w:rFonts w:ascii="Times New Roman" w:hAnsi="Times New Roman" w:cs="Times New Roman"/>
        </w:rPr>
      </w:pPr>
      <w:r w:rsidRPr="0086548E">
        <w:rPr>
          <w:rFonts w:ascii="Times New Roman" w:hAnsi="Times New Roman" w:cs="Times New Roman"/>
        </w:rPr>
        <w:t xml:space="preserve">an operational data store, </w:t>
      </w:r>
    </w:p>
    <w:p w:rsidR="00030B1A" w:rsidRDefault="00030B1A" w:rsidP="00030B1A">
      <w:pPr>
        <w:pStyle w:val="Default"/>
        <w:numPr>
          <w:ilvl w:val="1"/>
          <w:numId w:val="23"/>
        </w:numPr>
        <w:rPr>
          <w:rFonts w:ascii="Times New Roman" w:hAnsi="Times New Roman" w:cs="Times New Roman"/>
        </w:rPr>
      </w:pPr>
      <w:r w:rsidRPr="0086548E">
        <w:rPr>
          <w:rFonts w:ascii="Times New Roman" w:hAnsi="Times New Roman" w:cs="Times New Roman"/>
        </w:rPr>
        <w:t>encounter data pricing,</w:t>
      </w:r>
    </w:p>
    <w:p w:rsidR="00030B1A" w:rsidRDefault="00030B1A" w:rsidP="00030B1A">
      <w:pPr>
        <w:pStyle w:val="Default"/>
        <w:numPr>
          <w:ilvl w:val="1"/>
          <w:numId w:val="23"/>
        </w:numPr>
        <w:rPr>
          <w:rFonts w:ascii="Times New Roman" w:hAnsi="Times New Roman" w:cs="Times New Roman"/>
        </w:rPr>
      </w:pPr>
      <w:r w:rsidRPr="0086548E">
        <w:rPr>
          <w:rFonts w:ascii="Times New Roman" w:hAnsi="Times New Roman" w:cs="Times New Roman"/>
        </w:rPr>
        <w:t xml:space="preserve">encounter data analysis and reporting system. </w:t>
      </w:r>
    </w:p>
    <w:p w:rsidR="00030B1A" w:rsidRDefault="00030B1A" w:rsidP="00030B1A">
      <w:pPr>
        <w:pStyle w:val="BodyTextIndent"/>
        <w:tabs>
          <w:tab w:val="left" w:pos="8640"/>
        </w:tabs>
        <w:spacing w:after="0"/>
        <w:ind w:left="0"/>
        <w:rPr>
          <w:sz w:val="24"/>
        </w:rPr>
      </w:pPr>
    </w:p>
    <w:p w:rsidR="00030B1A" w:rsidRPr="00030B1A" w:rsidRDefault="00030B1A" w:rsidP="00030B1A">
      <w:pPr>
        <w:pStyle w:val="BodyTextIndent"/>
        <w:tabs>
          <w:tab w:val="left" w:pos="8640"/>
        </w:tabs>
        <w:spacing w:after="0"/>
        <w:ind w:left="0"/>
        <w:rPr>
          <w:sz w:val="24"/>
        </w:rPr>
      </w:pPr>
      <w:r w:rsidRPr="0086548E">
        <w:rPr>
          <w:sz w:val="24"/>
        </w:rPr>
        <w:t xml:space="preserve">MA organizations </w:t>
      </w:r>
      <w:r w:rsidR="00FE7141">
        <w:rPr>
          <w:sz w:val="24"/>
        </w:rPr>
        <w:t xml:space="preserve">and other entities </w:t>
      </w:r>
      <w:r w:rsidR="00EE262A">
        <w:rPr>
          <w:sz w:val="24"/>
        </w:rPr>
        <w:t xml:space="preserve">would </w:t>
      </w:r>
      <w:r w:rsidRPr="0086548E">
        <w:rPr>
          <w:sz w:val="24"/>
        </w:rPr>
        <w:t xml:space="preserve">use an electronic connection between the organization and CMS to submit </w:t>
      </w:r>
      <w:r w:rsidR="00EE262A">
        <w:rPr>
          <w:sz w:val="24"/>
        </w:rPr>
        <w:t>encounter</w:t>
      </w:r>
      <w:r w:rsidRPr="0086548E">
        <w:rPr>
          <w:sz w:val="24"/>
        </w:rPr>
        <w:t xml:space="preserve"> data and to receive information in return.  Submitters must sign an Electronic Data Interchange (EDI) agreement annually in advance of submission.   MA organizations </w:t>
      </w:r>
      <w:r w:rsidR="00831AC7">
        <w:rPr>
          <w:sz w:val="24"/>
        </w:rPr>
        <w:t xml:space="preserve">and other entities </w:t>
      </w:r>
      <w:r w:rsidR="005B2FC8">
        <w:rPr>
          <w:sz w:val="24"/>
        </w:rPr>
        <w:t>would</w:t>
      </w:r>
      <w:r w:rsidR="00EE262A">
        <w:rPr>
          <w:sz w:val="24"/>
        </w:rPr>
        <w:t xml:space="preserve"> </w:t>
      </w:r>
      <w:r w:rsidRPr="0086548E">
        <w:rPr>
          <w:sz w:val="24"/>
        </w:rPr>
        <w:t xml:space="preserve">have a choice between three connectivity options: CONNECT:DIRECT, File Transfer Protocol (FTP) and Gentran.  </w:t>
      </w:r>
    </w:p>
    <w:p w:rsidR="00030B1A" w:rsidRDefault="00030B1A">
      <w:pPr>
        <w:pStyle w:val="BodyTextIndent"/>
        <w:tabs>
          <w:tab w:val="left" w:pos="8640"/>
        </w:tabs>
        <w:spacing w:after="0"/>
        <w:ind w:left="0"/>
        <w:rPr>
          <w:sz w:val="24"/>
        </w:rPr>
      </w:pPr>
    </w:p>
    <w:p w:rsidR="005B77F3" w:rsidRDefault="0086548E">
      <w:pPr>
        <w:pStyle w:val="BodyTextIndent"/>
        <w:tabs>
          <w:tab w:val="left" w:pos="8640"/>
        </w:tabs>
        <w:spacing w:after="0"/>
        <w:ind w:left="0"/>
        <w:rPr>
          <w:sz w:val="24"/>
        </w:rPr>
      </w:pPr>
      <w:r w:rsidRPr="0086548E">
        <w:rPr>
          <w:b/>
          <w:sz w:val="24"/>
        </w:rPr>
        <w:t xml:space="preserve"> Data Collection</w:t>
      </w:r>
    </w:p>
    <w:p w:rsidR="00030B1A" w:rsidRDefault="00745130">
      <w:pPr>
        <w:pStyle w:val="BodyTextIndent"/>
        <w:tabs>
          <w:tab w:val="left" w:pos="8640"/>
        </w:tabs>
        <w:spacing w:after="0"/>
        <w:ind w:left="0"/>
        <w:rPr>
          <w:sz w:val="24"/>
        </w:rPr>
      </w:pPr>
      <w:r>
        <w:rPr>
          <w:sz w:val="24"/>
        </w:rPr>
        <w:t xml:space="preserve">All </w:t>
      </w:r>
      <w:r w:rsidR="007F08A4">
        <w:rPr>
          <w:sz w:val="24"/>
        </w:rPr>
        <w:t>Medicare Advantage (MA) organizations</w:t>
      </w:r>
      <w:r w:rsidR="00C700A9">
        <w:rPr>
          <w:sz w:val="24"/>
        </w:rPr>
        <w:t xml:space="preserve">, </w:t>
      </w:r>
      <w:r w:rsidR="00573AD5">
        <w:rPr>
          <w:sz w:val="24"/>
        </w:rPr>
        <w:t xml:space="preserve">PACE organizations, </w:t>
      </w:r>
      <w:r w:rsidR="00C700A9">
        <w:rPr>
          <w:sz w:val="24"/>
        </w:rPr>
        <w:t>demonstration plans and cost plans</w:t>
      </w:r>
      <w:r w:rsidR="00030B1A" w:rsidRPr="0086548E">
        <w:rPr>
          <w:sz w:val="24"/>
        </w:rPr>
        <w:t xml:space="preserve"> </w:t>
      </w:r>
      <w:r w:rsidR="00573AD5">
        <w:rPr>
          <w:sz w:val="24"/>
        </w:rPr>
        <w:t xml:space="preserve">(including </w:t>
      </w:r>
      <w:r w:rsidR="00237E1F">
        <w:rPr>
          <w:sz w:val="24"/>
        </w:rPr>
        <w:t xml:space="preserve">both </w:t>
      </w:r>
      <w:r w:rsidR="00573AD5">
        <w:rPr>
          <w:sz w:val="24"/>
        </w:rPr>
        <w:t xml:space="preserve">§1876 Cost HMOs/CMPs and §1833 HCPPs) </w:t>
      </w:r>
      <w:r w:rsidR="00EE262A">
        <w:rPr>
          <w:sz w:val="24"/>
        </w:rPr>
        <w:t xml:space="preserve">would </w:t>
      </w:r>
      <w:r w:rsidR="00030B1A" w:rsidRPr="0086548E">
        <w:rPr>
          <w:sz w:val="24"/>
        </w:rPr>
        <w:t xml:space="preserve">be required to submit </w:t>
      </w:r>
      <w:r w:rsidR="00EE262A">
        <w:rPr>
          <w:sz w:val="24"/>
        </w:rPr>
        <w:t>encounter data</w:t>
      </w:r>
      <w:r w:rsidR="00854089">
        <w:rPr>
          <w:sz w:val="24"/>
        </w:rPr>
        <w:t xml:space="preserve">.  The types of Medicare Advantage </w:t>
      </w:r>
      <w:r w:rsidR="00F75476">
        <w:rPr>
          <w:sz w:val="24"/>
        </w:rPr>
        <w:t xml:space="preserve">organizations </w:t>
      </w:r>
      <w:r w:rsidR="00854089">
        <w:rPr>
          <w:sz w:val="24"/>
        </w:rPr>
        <w:t>are: coordinated care plans</w:t>
      </w:r>
      <w:r w:rsidR="00D83BBC">
        <w:rPr>
          <w:sz w:val="24"/>
        </w:rPr>
        <w:t xml:space="preserve"> (including Special Needs Plans)</w:t>
      </w:r>
      <w:r w:rsidR="00854089">
        <w:rPr>
          <w:sz w:val="24"/>
        </w:rPr>
        <w:t>, private fee for service plans, and Medica</w:t>
      </w:r>
      <w:r w:rsidR="00C700A9">
        <w:rPr>
          <w:sz w:val="24"/>
        </w:rPr>
        <w:t>l</w:t>
      </w:r>
      <w:r w:rsidR="00854089">
        <w:rPr>
          <w:sz w:val="24"/>
        </w:rPr>
        <w:t xml:space="preserve"> Savings Accounts.  </w:t>
      </w:r>
      <w:r w:rsidR="007F08A4">
        <w:rPr>
          <w:sz w:val="24"/>
        </w:rPr>
        <w:t>Th</w:t>
      </w:r>
      <w:r w:rsidR="00D83BBC">
        <w:rPr>
          <w:sz w:val="24"/>
        </w:rPr>
        <w:t>is would include</w:t>
      </w:r>
      <w:r w:rsidR="00BC21FC">
        <w:rPr>
          <w:sz w:val="24"/>
        </w:rPr>
        <w:t xml:space="preserve"> Medicare Advantage-Prescription Drug plans, PACE organizations, </w:t>
      </w:r>
      <w:r w:rsidR="007F08A4">
        <w:rPr>
          <w:sz w:val="24"/>
        </w:rPr>
        <w:t xml:space="preserve">, </w:t>
      </w:r>
      <w:r w:rsidR="00BC21FC">
        <w:rPr>
          <w:sz w:val="24"/>
        </w:rPr>
        <w:t>Employer Group Health Plans</w:t>
      </w:r>
      <w:r w:rsidR="00D83BBC">
        <w:rPr>
          <w:sz w:val="24"/>
        </w:rPr>
        <w:t xml:space="preserve"> (both “direct contract” with an employer group and those that are offered by MA organizations)</w:t>
      </w:r>
      <w:r w:rsidR="00C700A9">
        <w:rPr>
          <w:sz w:val="24"/>
        </w:rPr>
        <w:t xml:space="preserve">, </w:t>
      </w:r>
      <w:r w:rsidR="003D0D35">
        <w:rPr>
          <w:sz w:val="24"/>
        </w:rPr>
        <w:t xml:space="preserve">and cost plans (both §1833 </w:t>
      </w:r>
      <w:r w:rsidR="00C700A9">
        <w:rPr>
          <w:sz w:val="24"/>
        </w:rPr>
        <w:t>HCPPs and §1876 Cost HMOs/CMPs</w:t>
      </w:r>
      <w:r w:rsidR="003D0D35">
        <w:rPr>
          <w:sz w:val="24"/>
        </w:rPr>
        <w:t>)</w:t>
      </w:r>
      <w:r w:rsidR="007F08A4">
        <w:rPr>
          <w:sz w:val="24"/>
        </w:rPr>
        <w:t>.</w:t>
      </w:r>
    </w:p>
    <w:p w:rsidR="00B7063A" w:rsidRDefault="00B7063A">
      <w:pPr>
        <w:pStyle w:val="BodyTextIndent"/>
        <w:tabs>
          <w:tab w:val="left" w:pos="8640"/>
        </w:tabs>
        <w:spacing w:after="0"/>
        <w:ind w:left="0"/>
        <w:rPr>
          <w:sz w:val="24"/>
        </w:rPr>
      </w:pPr>
    </w:p>
    <w:p w:rsidR="005B77F3" w:rsidRDefault="00030B1A">
      <w:pPr>
        <w:pStyle w:val="BodyTextIndent"/>
        <w:tabs>
          <w:tab w:val="left" w:pos="8640"/>
        </w:tabs>
        <w:spacing w:after="0"/>
        <w:ind w:left="0"/>
        <w:rPr>
          <w:sz w:val="24"/>
        </w:rPr>
      </w:pPr>
      <w:r>
        <w:rPr>
          <w:sz w:val="24"/>
        </w:rPr>
        <w:t>MA organizations</w:t>
      </w:r>
      <w:r w:rsidR="003D0D35">
        <w:rPr>
          <w:sz w:val="24"/>
        </w:rPr>
        <w:t>, PACE organizations, and cost plans</w:t>
      </w:r>
      <w:r>
        <w:rPr>
          <w:sz w:val="24"/>
        </w:rPr>
        <w:t xml:space="preserve"> will collect this information from providers.  </w:t>
      </w:r>
      <w:r w:rsidR="0086548E" w:rsidRPr="0086548E">
        <w:rPr>
          <w:sz w:val="24"/>
        </w:rPr>
        <w:t>MA organizations</w:t>
      </w:r>
      <w:r w:rsidR="003D0D35">
        <w:rPr>
          <w:sz w:val="24"/>
        </w:rPr>
        <w:t>, PACE organization and cost plans</w:t>
      </w:r>
      <w:r w:rsidR="0086548E" w:rsidRPr="0086548E">
        <w:rPr>
          <w:sz w:val="24"/>
        </w:rPr>
        <w:t xml:space="preserve"> may choose to collect data from providers in a variety of formats</w:t>
      </w:r>
      <w:r w:rsidR="003668C7">
        <w:rPr>
          <w:sz w:val="24"/>
        </w:rPr>
        <w:t xml:space="preserve"> which include</w:t>
      </w:r>
      <w:r w:rsidR="0086548E" w:rsidRPr="0086548E">
        <w:rPr>
          <w:sz w:val="24"/>
        </w:rPr>
        <w:t>:</w:t>
      </w:r>
    </w:p>
    <w:p w:rsidR="00030B1A" w:rsidRDefault="00030B1A">
      <w:pPr>
        <w:pStyle w:val="BodyTextIndent"/>
        <w:tabs>
          <w:tab w:val="left" w:pos="8640"/>
        </w:tabs>
        <w:spacing w:after="0"/>
        <w:ind w:left="0"/>
        <w:rPr>
          <w:sz w:val="24"/>
        </w:rPr>
      </w:pPr>
    </w:p>
    <w:p w:rsidR="005B77F3" w:rsidRDefault="0086548E">
      <w:pPr>
        <w:pStyle w:val="BodyTextIndent"/>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0"/>
        <w:rPr>
          <w:sz w:val="24"/>
        </w:rPr>
      </w:pPr>
      <w:r w:rsidRPr="0086548E">
        <w:rPr>
          <w:sz w:val="24"/>
        </w:rPr>
        <w:t>Uniform Billing Form (UB-04)</w:t>
      </w:r>
    </w:p>
    <w:p w:rsidR="005B77F3" w:rsidRDefault="0086548E">
      <w:pPr>
        <w:pStyle w:val="BodyTextIndent"/>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0"/>
        <w:rPr>
          <w:sz w:val="24"/>
        </w:rPr>
      </w:pPr>
      <w:r w:rsidRPr="0086548E">
        <w:rPr>
          <w:sz w:val="24"/>
        </w:rPr>
        <w:t>HCFA 1500</w:t>
      </w:r>
    </w:p>
    <w:p w:rsidR="005B77F3" w:rsidRDefault="0086548E">
      <w:pPr>
        <w:pStyle w:val="BodyTextIndent"/>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after="0"/>
        <w:rPr>
          <w:sz w:val="24"/>
        </w:rPr>
      </w:pPr>
      <w:r w:rsidRPr="0086548E">
        <w:rPr>
          <w:sz w:val="24"/>
        </w:rPr>
        <w:t xml:space="preserve">HIPAA compliant </w:t>
      </w:r>
      <w:r w:rsidR="00300257">
        <w:rPr>
          <w:sz w:val="24"/>
        </w:rPr>
        <w:t>standard</w:t>
      </w:r>
      <w:r w:rsidR="00B7063A">
        <w:rPr>
          <w:sz w:val="24"/>
        </w:rPr>
        <w:t xml:space="preserve"> (5010 format)</w:t>
      </w:r>
    </w:p>
    <w:p w:rsidR="005B77F3" w:rsidRDefault="005B77F3">
      <w:pPr>
        <w:pStyle w:val="BodyTextIndent"/>
        <w:tabs>
          <w:tab w:val="left" w:pos="8640"/>
        </w:tabs>
        <w:spacing w:after="0"/>
        <w:ind w:left="0"/>
        <w:rPr>
          <w:sz w:val="24"/>
        </w:rPr>
      </w:pPr>
    </w:p>
    <w:p w:rsidR="005B77F3" w:rsidRDefault="0086548E">
      <w:pPr>
        <w:pStyle w:val="BodyTextIndent"/>
        <w:tabs>
          <w:tab w:val="left" w:pos="8640"/>
        </w:tabs>
        <w:spacing w:after="0"/>
        <w:ind w:left="0"/>
        <w:rPr>
          <w:b/>
          <w:sz w:val="24"/>
        </w:rPr>
      </w:pPr>
      <w:r w:rsidRPr="0086548E">
        <w:rPr>
          <w:b/>
          <w:sz w:val="24"/>
        </w:rPr>
        <w:t xml:space="preserve"> Data Submission</w:t>
      </w:r>
    </w:p>
    <w:p w:rsidR="00030B1A" w:rsidRDefault="00030B1A">
      <w:pPr>
        <w:pStyle w:val="BodyTextIndent"/>
        <w:tabs>
          <w:tab w:val="left" w:pos="8640"/>
        </w:tabs>
        <w:spacing w:after="0"/>
        <w:ind w:left="0"/>
        <w:rPr>
          <w:b/>
          <w:sz w:val="24"/>
        </w:rPr>
      </w:pPr>
    </w:p>
    <w:p w:rsidR="00776ACF" w:rsidRDefault="001C509E" w:rsidP="00776ACF">
      <w:pPr>
        <w:rPr>
          <w:sz w:val="24"/>
        </w:rPr>
      </w:pPr>
      <w:r w:rsidRPr="001C509E">
        <w:rPr>
          <w:sz w:val="24"/>
        </w:rPr>
        <w:t xml:space="preserve">As stated, we </w:t>
      </w:r>
      <w:r w:rsidR="005B2FC8">
        <w:rPr>
          <w:sz w:val="24"/>
        </w:rPr>
        <w:t>would</w:t>
      </w:r>
      <w:r w:rsidRPr="001C509E">
        <w:rPr>
          <w:sz w:val="24"/>
        </w:rPr>
        <w:t xml:space="preserve"> use the electronic, HIPAA compliant </w:t>
      </w:r>
      <w:r w:rsidR="005B2FC8">
        <w:rPr>
          <w:sz w:val="24"/>
        </w:rPr>
        <w:t xml:space="preserve">standard </w:t>
      </w:r>
      <w:r w:rsidRPr="001C509E">
        <w:rPr>
          <w:sz w:val="24"/>
        </w:rPr>
        <w:t xml:space="preserve">professional and institutional version (the 5010 format) as the format for encounter submissions.  The </w:t>
      </w:r>
      <w:r w:rsidRPr="001C509E">
        <w:rPr>
          <w:iCs/>
          <w:sz w:val="24"/>
        </w:rPr>
        <w:t xml:space="preserve">International </w:t>
      </w:r>
      <w:r w:rsidRPr="00661D4B">
        <w:rPr>
          <w:iCs/>
          <w:sz w:val="24"/>
        </w:rPr>
        <w:t>Classification of Diseases, 9</w:t>
      </w:r>
      <w:r w:rsidRPr="00661D4B">
        <w:rPr>
          <w:iCs/>
          <w:sz w:val="24"/>
          <w:vertAlign w:val="superscript"/>
        </w:rPr>
        <w:t>th</w:t>
      </w:r>
      <w:r w:rsidRPr="00661D4B">
        <w:rPr>
          <w:iCs/>
          <w:sz w:val="24"/>
        </w:rPr>
        <w:t xml:space="preserve"> Revision (ICD-9) and the new International Classification of Diseases, 10</w:t>
      </w:r>
      <w:r w:rsidRPr="00661D4B">
        <w:rPr>
          <w:iCs/>
          <w:sz w:val="24"/>
          <w:vertAlign w:val="superscript"/>
        </w:rPr>
        <w:t>th</w:t>
      </w:r>
      <w:r w:rsidRPr="00661D4B">
        <w:rPr>
          <w:iCs/>
          <w:sz w:val="24"/>
        </w:rPr>
        <w:t xml:space="preserve"> Revision (ICD-10) diagnosis codes have been approved for use in the 5010 format.</w:t>
      </w:r>
      <w:r w:rsidR="0009399D" w:rsidRPr="00661D4B">
        <w:rPr>
          <w:iCs/>
          <w:sz w:val="24"/>
        </w:rPr>
        <w:t xml:space="preserve">  Other significant data elements in the 5010 include </w:t>
      </w:r>
      <w:r w:rsidR="00206277" w:rsidRPr="00661D4B">
        <w:rPr>
          <w:iCs/>
          <w:sz w:val="24"/>
        </w:rPr>
        <w:t>claim pricing information, condition information, contact information,</w:t>
      </w:r>
      <w:r w:rsidR="0009399D" w:rsidRPr="00661D4B">
        <w:rPr>
          <w:iCs/>
          <w:sz w:val="24"/>
        </w:rPr>
        <w:t xml:space="preserve"> </w:t>
      </w:r>
      <w:r w:rsidR="00206277" w:rsidRPr="00661D4B">
        <w:rPr>
          <w:iCs/>
          <w:sz w:val="24"/>
        </w:rPr>
        <w:t xml:space="preserve">service provider information, </w:t>
      </w:r>
      <w:r w:rsidR="0009399D" w:rsidRPr="00661D4B">
        <w:rPr>
          <w:iCs/>
          <w:sz w:val="24"/>
        </w:rPr>
        <w:t>revenue center</w:t>
      </w:r>
      <w:r w:rsidR="00F75476">
        <w:rPr>
          <w:iCs/>
          <w:sz w:val="24"/>
        </w:rPr>
        <w:t xml:space="preserve"> codes</w:t>
      </w:r>
      <w:r w:rsidR="0009399D" w:rsidRPr="00661D4B">
        <w:rPr>
          <w:iCs/>
          <w:sz w:val="24"/>
        </w:rPr>
        <w:t xml:space="preserve">, modifiers, </w:t>
      </w:r>
      <w:r w:rsidR="00206277" w:rsidRPr="00661D4B">
        <w:rPr>
          <w:iCs/>
          <w:sz w:val="24"/>
        </w:rPr>
        <w:t xml:space="preserve">HCPCs, </w:t>
      </w:r>
      <w:r w:rsidR="00F75476">
        <w:rPr>
          <w:iCs/>
          <w:sz w:val="24"/>
        </w:rPr>
        <w:t xml:space="preserve"> diagnosis codes, and</w:t>
      </w:r>
      <w:r w:rsidR="0009399D" w:rsidRPr="00661D4B">
        <w:rPr>
          <w:iCs/>
          <w:sz w:val="24"/>
        </w:rPr>
        <w:t xml:space="preserve"> </w:t>
      </w:r>
      <w:r w:rsidR="00F75476">
        <w:rPr>
          <w:iCs/>
          <w:sz w:val="24"/>
        </w:rPr>
        <w:t>CPT</w:t>
      </w:r>
      <w:r w:rsidR="00F75476" w:rsidRPr="00661D4B">
        <w:rPr>
          <w:iCs/>
          <w:sz w:val="24"/>
        </w:rPr>
        <w:t xml:space="preserve"> </w:t>
      </w:r>
      <w:r w:rsidR="0009399D" w:rsidRPr="00661D4B">
        <w:rPr>
          <w:iCs/>
          <w:sz w:val="24"/>
        </w:rPr>
        <w:t xml:space="preserve">codes.  </w:t>
      </w:r>
      <w:r w:rsidR="00914DA6" w:rsidRPr="00661D4B">
        <w:rPr>
          <w:iCs/>
          <w:sz w:val="24"/>
        </w:rPr>
        <w:t xml:space="preserve">We will collect encounters for all services covered by </w:t>
      </w:r>
      <w:r w:rsidR="00E33372">
        <w:rPr>
          <w:iCs/>
          <w:sz w:val="24"/>
        </w:rPr>
        <w:t>affected</w:t>
      </w:r>
      <w:r w:rsidR="00D83BBC">
        <w:rPr>
          <w:iCs/>
          <w:sz w:val="24"/>
        </w:rPr>
        <w:t xml:space="preserve"> entities.</w:t>
      </w:r>
      <w:r w:rsidR="00172C7C">
        <w:rPr>
          <w:iCs/>
          <w:sz w:val="24"/>
        </w:rPr>
        <w:t xml:space="preserve">  In the case of cost plans, only encounter data for services covered by the plans will be collected.</w:t>
      </w:r>
    </w:p>
    <w:p w:rsidR="005B77F3" w:rsidRDefault="005B77F3">
      <w:pPr>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information collection requirements contained in the regulations are not duplicated through any other effort and the information cannot be obtained from any other source.</w:t>
      </w:r>
      <w:r w:rsidR="00172C7C">
        <w:rPr>
          <w:sz w:val="24"/>
        </w:rPr>
        <w:t xml:space="preserve">  In the case of cost plans, we will obtain data from the FFS </w:t>
      </w:r>
      <w:r w:rsidR="00FA453D">
        <w:rPr>
          <w:sz w:val="24"/>
        </w:rPr>
        <w:t xml:space="preserve">claims processing </w:t>
      </w:r>
      <w:r w:rsidR="00172C7C" w:rsidRPr="00172C7C">
        <w:rPr>
          <w:sz w:val="24"/>
        </w:rPr>
        <w:t xml:space="preserve">system </w:t>
      </w:r>
      <w:r w:rsidR="00D53654">
        <w:rPr>
          <w:sz w:val="24"/>
        </w:rPr>
        <w:t>and add it to</w:t>
      </w:r>
      <w:r w:rsidR="00FA453D">
        <w:rPr>
          <w:sz w:val="24"/>
        </w:rPr>
        <w:t xml:space="preserve"> </w:t>
      </w:r>
      <w:r w:rsidR="00172C7C" w:rsidRPr="00172C7C">
        <w:rPr>
          <w:sz w:val="24"/>
        </w:rPr>
        <w:t xml:space="preserve">encounter data </w:t>
      </w:r>
      <w:r w:rsidR="00FA453D">
        <w:rPr>
          <w:sz w:val="24"/>
        </w:rPr>
        <w:t xml:space="preserve">submitted by cost plans for their </w:t>
      </w:r>
      <w:r w:rsidR="00172C7C" w:rsidRPr="00172C7C">
        <w:rPr>
          <w:sz w:val="24"/>
        </w:rPr>
        <w:t xml:space="preserve">cost plan enrollees to ensure correct computation of risk scores for these enrollees.  </w:t>
      </w:r>
      <w:r w:rsidR="00FA453D">
        <w:rPr>
          <w:sz w:val="24"/>
        </w:rPr>
        <w:t>Correct r</w:t>
      </w:r>
      <w:r w:rsidR="00172C7C" w:rsidRPr="00172C7C">
        <w:rPr>
          <w:sz w:val="24"/>
        </w:rPr>
        <w:t xml:space="preserve">isk scores for these individuals </w:t>
      </w:r>
      <w:r w:rsidR="00FA453D">
        <w:rPr>
          <w:sz w:val="24"/>
        </w:rPr>
        <w:t>are</w:t>
      </w:r>
      <w:r w:rsidR="00172C7C" w:rsidRPr="00172C7C">
        <w:rPr>
          <w:sz w:val="24"/>
        </w:rPr>
        <w:t xml:space="preserve"> important because </w:t>
      </w:r>
      <w:r w:rsidR="00FA453D">
        <w:rPr>
          <w:sz w:val="24"/>
        </w:rPr>
        <w:t>they</w:t>
      </w:r>
      <w:r w:rsidR="00172C7C">
        <w:rPr>
          <w:sz w:val="24"/>
        </w:rPr>
        <w:t xml:space="preserve"> </w:t>
      </w:r>
      <w:r w:rsidR="00172C7C" w:rsidRPr="00172C7C">
        <w:rPr>
          <w:sz w:val="24"/>
        </w:rPr>
        <w:t xml:space="preserve">will assist us in calibrating the Part C and Part D risk adjustment models.  </w:t>
      </w:r>
      <w:r w:rsidR="00FA453D">
        <w:rPr>
          <w:sz w:val="24"/>
        </w:rPr>
        <w:t>Additionally</w:t>
      </w:r>
      <w:r w:rsidR="00172C7C" w:rsidRPr="00172C7C">
        <w:rPr>
          <w:sz w:val="24"/>
        </w:rPr>
        <w:t xml:space="preserve">, in the absence of </w:t>
      </w:r>
      <w:r w:rsidR="00172C7C" w:rsidRPr="00172C7C">
        <w:rPr>
          <w:sz w:val="24"/>
        </w:rPr>
        <w:lastRenderedPageBreak/>
        <w:t xml:space="preserve">encounter data for </w:t>
      </w:r>
      <w:r w:rsidR="00FA453D">
        <w:rPr>
          <w:sz w:val="24"/>
        </w:rPr>
        <w:t>cost plan</w:t>
      </w:r>
      <w:r w:rsidR="00172C7C" w:rsidRPr="00172C7C">
        <w:rPr>
          <w:sz w:val="24"/>
        </w:rPr>
        <w:t xml:space="preserve"> enrollees, risk scores for them under Part D would be inaccurate.</w:t>
      </w:r>
      <w:r w:rsidR="00FA453D">
        <w:rPr>
          <w:sz w:val="24"/>
        </w:rPr>
        <w:t xml:space="preserve">  (Many cost plan enrollees, both §1876 Cost HMO/CMP and §1833 HCPP enrollees, are enrolled in Part D – either through their §1876 Cost HMO/CMP, or another Part D sponsor.)</w:t>
      </w:r>
      <w:r w:rsidR="00172C7C" w:rsidRPr="00172C7C">
        <w:rPr>
          <w:sz w:val="24"/>
        </w:rPr>
        <w:t xml:space="preserve">  </w:t>
      </w:r>
      <w:r w:rsidR="00FA453D">
        <w:rPr>
          <w:sz w:val="24"/>
        </w:rPr>
        <w:t>Finally</w:t>
      </w:r>
      <w:r w:rsidR="00172C7C" w:rsidRPr="00172C7C">
        <w:rPr>
          <w:sz w:val="24"/>
        </w:rPr>
        <w:t xml:space="preserve">, should </w:t>
      </w:r>
      <w:r w:rsidR="00172C7C">
        <w:rPr>
          <w:sz w:val="24"/>
        </w:rPr>
        <w:t xml:space="preserve">cost plan </w:t>
      </w:r>
      <w:r w:rsidR="00172C7C" w:rsidRPr="00172C7C">
        <w:rPr>
          <w:sz w:val="24"/>
        </w:rPr>
        <w:t xml:space="preserve">enrollees later join a Part C plan, risk adjusted payments to that </w:t>
      </w:r>
      <w:r w:rsidR="00D53654">
        <w:rPr>
          <w:sz w:val="24"/>
        </w:rPr>
        <w:t xml:space="preserve">new Part C </w:t>
      </w:r>
      <w:r w:rsidR="00172C7C" w:rsidRPr="00172C7C">
        <w:rPr>
          <w:sz w:val="24"/>
        </w:rPr>
        <w:t>plan would be inaccurate</w:t>
      </w:r>
      <w:r w:rsidR="00FA453D">
        <w:rPr>
          <w:sz w:val="24"/>
        </w:rPr>
        <w:t xml:space="preserve"> in the absence of cost plan encounter data</w:t>
      </w:r>
      <w:r w:rsidR="00172C7C" w:rsidRPr="00172C7C">
        <w:rPr>
          <w:sz w:val="24"/>
        </w:rPr>
        <w:t>.</w:t>
      </w:r>
    </w:p>
    <w:p w:rsidR="00D83BBC" w:rsidRDefault="00D83B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83BBC" w:rsidRPr="00D83BBC" w:rsidRDefault="00D83BBC" w:rsidP="00D83B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83BBC">
        <w:rPr>
          <w:sz w:val="24"/>
        </w:rPr>
        <w:t>For §1876 Cost HMOs/CMPs and §1833 HCPPs, CMS will only require submission of encounter data for items/services for which such plans claim costs on their CMS Cost Reports or for items/services not reimbursed by FFS Medicare.</w:t>
      </w:r>
    </w:p>
    <w:p w:rsidR="00D83BBC" w:rsidRDefault="00D83B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48E">
        <w:rPr>
          <w:sz w:val="24"/>
        </w:rPr>
        <w:t xml:space="preserve">The collection of information </w:t>
      </w:r>
      <w:r w:rsidR="005B2FC8">
        <w:rPr>
          <w:sz w:val="24"/>
        </w:rPr>
        <w:t>would</w:t>
      </w:r>
      <w:r w:rsidRPr="0086548E">
        <w:rPr>
          <w:sz w:val="24"/>
        </w:rPr>
        <w:t xml:space="preserve"> have a minimal impact on small businesses or other small organizational entities since the applicants must possess an insurance license and be able to accept risk.  Generally, state statutory licensure requirements effectively prevent small organizations from accepting the level of risk needed to provide the medical benefits required in the Medicare Advantage program.</w:t>
      </w:r>
    </w:p>
    <w:p w:rsidR="00D53654" w:rsidRDefault="00D53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83BBC" w:rsidRPr="00D83BBC" w:rsidRDefault="00D53654" w:rsidP="00D83B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For cost plans (both §1876 Cost HMOs/CMPs and §1833 HCPPs), the average enrollment is over 10,000 Medicare enrollees per cost plan and cost plan sponsors have substantial enrollment in the form of commercial membership</w:t>
      </w:r>
      <w:r w:rsidR="001B220D">
        <w:rPr>
          <w:sz w:val="24"/>
        </w:rPr>
        <w:t xml:space="preserve"> (§1876 Cost HMOs/CMPs) or other employer group members (§</w:t>
      </w:r>
      <w:r w:rsidR="001B220D" w:rsidRPr="001B220D">
        <w:rPr>
          <w:sz w:val="24"/>
        </w:rPr>
        <w:t xml:space="preserve">1833 HCPPs).  While the issue of accepting risk is not germane to cost plans, CMS will mitigate impacts on small businesses by reimbursing 100% of the reasonable costs these plans incur in establishing and maintaining encounter data processes needed to compile and transmit information to CMS.  </w:t>
      </w:r>
      <w:r w:rsidR="001B220D">
        <w:rPr>
          <w:sz w:val="24"/>
        </w:rPr>
        <w:t>CMS</w:t>
      </w:r>
      <w:r w:rsidR="001B220D" w:rsidRPr="001B220D">
        <w:rPr>
          <w:sz w:val="24"/>
        </w:rPr>
        <w:t xml:space="preserve"> will provide payment for the full reasonable cost for gathering an</w:t>
      </w:r>
      <w:r w:rsidR="001B220D">
        <w:rPr>
          <w:sz w:val="24"/>
        </w:rPr>
        <w:t>d transmitting such data to CMS</w:t>
      </w:r>
      <w:r w:rsidR="001B220D" w:rsidRPr="001B220D">
        <w:rPr>
          <w:sz w:val="24"/>
        </w:rPr>
        <w:t>, consistent with 42 CFR 417.550 et seq.  Such full payment for the reasonable costs incurred for gathering and transmitting such data can include reasonable start-up costs incurred in 2011.</w:t>
      </w:r>
      <w:r w:rsidR="00D83BBC" w:rsidRPr="00D83BBC">
        <w:rPr>
          <w:sz w:val="24"/>
        </w:rPr>
        <w:t xml:space="preserve"> Consistent with our long-standing policy, we will not reimburse full cost for the creation or enhancement of data systems that can be used for other purposes.  Reasonable costs for system’s development or enhancement may, however, be claimed (where appropriate) under normal administrative and general cost reimbursement rules found in §417.564.</w:t>
      </w:r>
    </w:p>
    <w:p w:rsidR="00D53654" w:rsidRPr="001B220D" w:rsidRDefault="00D536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Collection Frequency</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35DB" w:rsidRDefault="00254A18" w:rsidP="00254A18">
      <w:pPr>
        <w:pStyle w:val="BodyTextIndent"/>
        <w:tabs>
          <w:tab w:val="left" w:pos="8640"/>
        </w:tabs>
        <w:spacing w:after="0"/>
        <w:ind w:left="0"/>
        <w:rPr>
          <w:sz w:val="24"/>
        </w:rPr>
      </w:pPr>
      <w:r>
        <w:rPr>
          <w:sz w:val="24"/>
        </w:rPr>
        <w:t>We have clarified the submission timeframes here based on the public comments we received on the PRA package published in December 2010, which asked for clarification</w:t>
      </w:r>
      <w:r w:rsidR="00E4099B">
        <w:rPr>
          <w:sz w:val="24"/>
        </w:rPr>
        <w:t>, and our experience with Prescription Drug Event and Risk Adjustment Data</w:t>
      </w:r>
      <w:r>
        <w:rPr>
          <w:sz w:val="24"/>
        </w:rPr>
        <w:t>.  All claim types, including h</w:t>
      </w:r>
      <w:r w:rsidRPr="0086548E">
        <w:rPr>
          <w:sz w:val="24"/>
        </w:rPr>
        <w:t xml:space="preserve">ospital inpatient, hospital outpatient, and physician </w:t>
      </w:r>
      <w:r>
        <w:rPr>
          <w:sz w:val="24"/>
        </w:rPr>
        <w:t>encounter data</w:t>
      </w:r>
      <w:r w:rsidRPr="0086548E">
        <w:rPr>
          <w:sz w:val="24"/>
        </w:rPr>
        <w:t xml:space="preserve"> </w:t>
      </w:r>
      <w:r>
        <w:rPr>
          <w:sz w:val="24"/>
        </w:rPr>
        <w:t>would be required to</w:t>
      </w:r>
      <w:r w:rsidRPr="0086548E">
        <w:rPr>
          <w:sz w:val="24"/>
        </w:rPr>
        <w:t xml:space="preserve"> be submitted </w:t>
      </w:r>
      <w:r>
        <w:rPr>
          <w:sz w:val="24"/>
        </w:rPr>
        <w:t xml:space="preserve">according to a specific schedule that is based on the size of the MA </w:t>
      </w:r>
      <w:r w:rsidR="00FA3225">
        <w:rPr>
          <w:sz w:val="24"/>
        </w:rPr>
        <w:t>(or other entity) contract</w:t>
      </w:r>
      <w:r>
        <w:rPr>
          <w:sz w:val="24"/>
        </w:rPr>
        <w:t>.</w:t>
      </w:r>
      <w:r w:rsidR="00377C4D">
        <w:rPr>
          <w:sz w:val="24"/>
        </w:rPr>
        <w:t xml:space="preserve">  The schedule is shown in the table below.</w:t>
      </w:r>
      <w:r>
        <w:rPr>
          <w:sz w:val="24"/>
        </w:rPr>
        <w:t xml:space="preserve"> </w:t>
      </w:r>
    </w:p>
    <w:p w:rsidR="009E35DB" w:rsidRDefault="009E35DB" w:rsidP="00254A18">
      <w:pPr>
        <w:pStyle w:val="BodyTextIndent"/>
        <w:tabs>
          <w:tab w:val="left" w:pos="8640"/>
        </w:tabs>
        <w:spacing w:after="0"/>
        <w:ind w:left="0"/>
        <w:rPr>
          <w:sz w:val="24"/>
        </w:rPr>
      </w:pPr>
    </w:p>
    <w:tbl>
      <w:tblPr>
        <w:tblStyle w:val="TableGrid"/>
        <w:tblW w:w="0" w:type="auto"/>
        <w:jc w:val="center"/>
        <w:tblInd w:w="198" w:type="dxa"/>
        <w:tblCellMar>
          <w:left w:w="115" w:type="dxa"/>
          <w:right w:w="115" w:type="dxa"/>
        </w:tblCellMar>
        <w:tblLook w:val="04A0" w:firstRow="1" w:lastRow="0" w:firstColumn="1" w:lastColumn="0" w:noHBand="0" w:noVBand="1"/>
      </w:tblPr>
      <w:tblGrid>
        <w:gridCol w:w="3600"/>
        <w:gridCol w:w="3780"/>
      </w:tblGrid>
      <w:tr w:rsidR="009E35DB" w:rsidRPr="00982609" w:rsidTr="009E35DB">
        <w:trPr>
          <w:trHeight w:hRule="exact" w:val="360"/>
          <w:jc w:val="center"/>
        </w:trPr>
        <w:tc>
          <w:tcPr>
            <w:tcW w:w="3600" w:type="dxa"/>
            <w:shd w:val="pct20" w:color="auto" w:fill="auto"/>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Number of Medicare Enrollees</w:t>
            </w:r>
          </w:p>
        </w:tc>
        <w:tc>
          <w:tcPr>
            <w:tcW w:w="3780" w:type="dxa"/>
            <w:shd w:val="pct20" w:color="auto" w:fill="auto"/>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Minimum Submission Frequency</w:t>
            </w:r>
          </w:p>
        </w:tc>
      </w:tr>
      <w:tr w:rsidR="009E35DB" w:rsidRPr="00982609" w:rsidTr="009E35DB">
        <w:trPr>
          <w:trHeight w:hRule="exact" w:val="360"/>
          <w:jc w:val="center"/>
        </w:trPr>
        <w:tc>
          <w:tcPr>
            <w:tcW w:w="360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lastRenderedPageBreak/>
              <w:t>Greater than 100,000</w:t>
            </w:r>
          </w:p>
        </w:tc>
        <w:tc>
          <w:tcPr>
            <w:tcW w:w="378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Weekly</w:t>
            </w:r>
          </w:p>
        </w:tc>
      </w:tr>
      <w:tr w:rsidR="009E35DB" w:rsidRPr="00982609" w:rsidTr="009E35DB">
        <w:trPr>
          <w:trHeight w:hRule="exact" w:val="360"/>
          <w:jc w:val="center"/>
        </w:trPr>
        <w:tc>
          <w:tcPr>
            <w:tcW w:w="360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50,000 – 100,000</w:t>
            </w:r>
          </w:p>
        </w:tc>
        <w:tc>
          <w:tcPr>
            <w:tcW w:w="378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Bi-weekly</w:t>
            </w:r>
          </w:p>
        </w:tc>
      </w:tr>
      <w:tr w:rsidR="009E35DB" w:rsidRPr="00982609" w:rsidTr="009E35DB">
        <w:trPr>
          <w:trHeight w:hRule="exact" w:val="360"/>
          <w:jc w:val="center"/>
        </w:trPr>
        <w:tc>
          <w:tcPr>
            <w:tcW w:w="360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Less than 50,000</w:t>
            </w:r>
          </w:p>
        </w:tc>
        <w:tc>
          <w:tcPr>
            <w:tcW w:w="3780" w:type="dxa"/>
            <w:vAlign w:val="bottom"/>
          </w:tcPr>
          <w:p w:rsidR="009E35DB" w:rsidRPr="00982609" w:rsidRDefault="009E35DB" w:rsidP="009E35DB">
            <w:pPr>
              <w:spacing w:after="200" w:line="276" w:lineRule="auto"/>
              <w:rPr>
                <w:rFonts w:ascii="Book Antiqua" w:hAnsi="Book Antiqua"/>
              </w:rPr>
            </w:pPr>
            <w:r w:rsidRPr="00982609">
              <w:rPr>
                <w:rFonts w:ascii="Book Antiqua" w:hAnsi="Book Antiqua"/>
              </w:rPr>
              <w:t>Monthly</w:t>
            </w:r>
          </w:p>
        </w:tc>
      </w:tr>
    </w:tbl>
    <w:p w:rsidR="009E35DB" w:rsidRDefault="009E35DB" w:rsidP="00254A18">
      <w:pPr>
        <w:pStyle w:val="BodyTextIndent"/>
        <w:tabs>
          <w:tab w:val="left" w:pos="8640"/>
        </w:tabs>
        <w:spacing w:after="0"/>
        <w:ind w:left="0"/>
        <w:rPr>
          <w:sz w:val="24"/>
        </w:rPr>
      </w:pPr>
    </w:p>
    <w:p w:rsidR="005B77F3" w:rsidRDefault="00254A18" w:rsidP="00EF65B8">
      <w:pPr>
        <w:pStyle w:val="BodyTextIndent"/>
        <w:tabs>
          <w:tab w:val="left" w:pos="8640"/>
        </w:tabs>
        <w:spacing w:after="0"/>
        <w:ind w:left="0"/>
        <w:rPr>
          <w:sz w:val="24"/>
        </w:rPr>
      </w:pPr>
      <w:r>
        <w:rPr>
          <w:sz w:val="24"/>
        </w:rPr>
        <w:t xml:space="preserve">This more frequent submission process would mitigate the volume constraints.  PACE organizations and §1876 Cost HMOs/CMPs and §1833 HCPPs would have similar options and requirements.  </w:t>
      </w:r>
      <w:r w:rsidR="0044763E">
        <w:rPr>
          <w:sz w:val="24"/>
        </w:rPr>
        <w:t>Data collection will commence</w:t>
      </w:r>
      <w:r w:rsidR="00C0349B">
        <w:rPr>
          <w:sz w:val="24"/>
        </w:rPr>
        <w:t>, subject to OMB approval,</w:t>
      </w:r>
      <w:r w:rsidR="008867D5">
        <w:rPr>
          <w:sz w:val="24"/>
        </w:rPr>
        <w:t xml:space="preserve"> </w:t>
      </w:r>
      <w:r w:rsidR="005B2FC8">
        <w:rPr>
          <w:sz w:val="24"/>
        </w:rPr>
        <w:t xml:space="preserve">January </w:t>
      </w:r>
      <w:r w:rsidR="0044763E">
        <w:rPr>
          <w:sz w:val="24"/>
        </w:rPr>
        <w:t xml:space="preserve">3, </w:t>
      </w:r>
      <w:r w:rsidR="005B2FC8">
        <w:rPr>
          <w:sz w:val="24"/>
        </w:rPr>
        <w:t>2012</w:t>
      </w:r>
      <w:r w:rsidR="008867D5">
        <w:rPr>
          <w:sz w:val="24"/>
        </w:rPr>
        <w:t xml:space="preserve">.  </w:t>
      </w:r>
      <w:r w:rsidR="00B94CC0">
        <w:rPr>
          <w:sz w:val="24"/>
        </w:rPr>
        <w:t xml:space="preserve">Because of their unique characteristics, data collection for PACE organizations will begin January 2013.  </w:t>
      </w:r>
      <w:r w:rsidR="005B2FC8">
        <w:rPr>
          <w:sz w:val="24"/>
        </w:rPr>
        <w:t>CMS would</w:t>
      </w:r>
      <w:r w:rsidR="008867D5">
        <w:rPr>
          <w:sz w:val="24"/>
        </w:rPr>
        <w:t xml:space="preserve"> publish the final submission deadlines as we do for risk adjustment data in the Call Letter each year.  </w:t>
      </w:r>
      <w:r w:rsidR="0086548E">
        <w:rPr>
          <w:sz w:val="24"/>
        </w:rPr>
        <w:t>MA organizations</w:t>
      </w:r>
      <w:r w:rsidR="00B963C8">
        <w:rPr>
          <w:sz w:val="24"/>
        </w:rPr>
        <w:t xml:space="preserve"> and other entities</w:t>
      </w:r>
      <w:r w:rsidR="0086548E">
        <w:rPr>
          <w:sz w:val="24"/>
        </w:rPr>
        <w:t xml:space="preserve"> are </w:t>
      </w:r>
      <w:r w:rsidR="009E35DB">
        <w:rPr>
          <w:sz w:val="24"/>
        </w:rPr>
        <w:t xml:space="preserve">encouraged to </w:t>
      </w:r>
      <w:r w:rsidR="0086548E">
        <w:rPr>
          <w:sz w:val="24"/>
        </w:rPr>
        <w:t>submit</w:t>
      </w:r>
      <w:r w:rsidR="009E35DB">
        <w:rPr>
          <w:sz w:val="24"/>
        </w:rPr>
        <w:t xml:space="preserve"> </w:t>
      </w:r>
      <w:r w:rsidR="0086548E">
        <w:rPr>
          <w:sz w:val="24"/>
        </w:rPr>
        <w:t xml:space="preserve">data more frequently.  </w:t>
      </w:r>
      <w:r w:rsidR="000B47F8">
        <w:rPr>
          <w:sz w:val="24"/>
        </w:rPr>
        <w:t xml:space="preserve">Medicare Advantage organizations and other entities must submit encounter data within 13 months of the claim’s date of service.  </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special circumstances for this information collection request.</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6C62" w:rsidRDefault="00146C62" w:rsidP="00146C62">
      <w:pPr>
        <w:rPr>
          <w:sz w:val="24"/>
        </w:rPr>
      </w:pPr>
      <w:r w:rsidRPr="00EF65B8">
        <w:rPr>
          <w:sz w:val="24"/>
        </w:rPr>
        <w:t>The 60-day Federal Register notice was published on December 17, 2010.</w:t>
      </w:r>
      <w:r w:rsidRPr="00EF65B8">
        <w:t xml:space="preserve">  </w:t>
      </w:r>
      <w:r w:rsidRPr="00EF65B8">
        <w:rPr>
          <w:sz w:val="24"/>
        </w:rPr>
        <w:t xml:space="preserve">As stated, we received </w:t>
      </w:r>
      <w:r>
        <w:rPr>
          <w:sz w:val="24"/>
        </w:rPr>
        <w:t>comments requesting that we expand the submission deadlines for encounter data, more accurately address the burden of implementing encounter data, provide sufficient detail on the use of encounter data, and clarify the applicability to non-MA plans.  We have made changes throughout the PRA package to address these comments.</w:t>
      </w:r>
    </w:p>
    <w:p w:rsidR="00146C62" w:rsidRDefault="00146C62" w:rsidP="00BE4BC6">
      <w:pPr>
        <w:rPr>
          <w:color w:val="1F497D"/>
        </w:rPr>
      </w:pPr>
    </w:p>
    <w:p w:rsidR="00955357" w:rsidRPr="00146C62" w:rsidRDefault="0086548E" w:rsidP="00BE4BC6">
      <w:pPr>
        <w:rPr>
          <w:color w:val="1F497D"/>
        </w:rPr>
      </w:pPr>
      <w:r>
        <w:rPr>
          <w:sz w:val="24"/>
        </w:rPr>
        <w:t>CMS has consulted with industry through regular user group conference calls, plan interviews</w:t>
      </w:r>
      <w:r w:rsidR="00C3549F">
        <w:rPr>
          <w:sz w:val="24"/>
        </w:rPr>
        <w:t>, work groups and meetings with trade associations</w:t>
      </w:r>
      <w:r>
        <w:rPr>
          <w:sz w:val="24"/>
        </w:rPr>
        <w:t>.</w:t>
      </w:r>
      <w:r w:rsidR="00B44FFC">
        <w:rPr>
          <w:sz w:val="24"/>
        </w:rPr>
        <w:t xml:space="preserve">  CMS conduct</w:t>
      </w:r>
      <w:r w:rsidR="009E35DB">
        <w:rPr>
          <w:sz w:val="24"/>
        </w:rPr>
        <w:t>ed</w:t>
      </w:r>
      <w:r w:rsidR="004D22E2">
        <w:rPr>
          <w:sz w:val="24"/>
        </w:rPr>
        <w:t xml:space="preserve"> a national meeting in October </w:t>
      </w:r>
      <w:r w:rsidR="009E35DB">
        <w:rPr>
          <w:sz w:val="24"/>
        </w:rPr>
        <w:t xml:space="preserve">2010 </w:t>
      </w:r>
      <w:r w:rsidR="004D22E2">
        <w:rPr>
          <w:sz w:val="24"/>
        </w:rPr>
        <w:t xml:space="preserve">and </w:t>
      </w:r>
      <w:r w:rsidR="009E35DB">
        <w:rPr>
          <w:sz w:val="24"/>
        </w:rPr>
        <w:t>conduct</w:t>
      </w:r>
      <w:r w:rsidR="009E02C8">
        <w:rPr>
          <w:sz w:val="24"/>
        </w:rPr>
        <w:t>ed</w:t>
      </w:r>
      <w:r w:rsidR="009E35DB">
        <w:rPr>
          <w:sz w:val="24"/>
        </w:rPr>
        <w:t xml:space="preserve"> </w:t>
      </w:r>
      <w:r w:rsidR="004D22E2">
        <w:rPr>
          <w:sz w:val="24"/>
        </w:rPr>
        <w:t xml:space="preserve">regional </w:t>
      </w:r>
      <w:r w:rsidR="009E35DB">
        <w:rPr>
          <w:sz w:val="24"/>
        </w:rPr>
        <w:t xml:space="preserve">IT Technical Assistance </w:t>
      </w:r>
      <w:r w:rsidR="004D22E2">
        <w:rPr>
          <w:sz w:val="24"/>
        </w:rPr>
        <w:t>sessions.</w:t>
      </w:r>
      <w:r>
        <w:rPr>
          <w:sz w:val="24"/>
        </w:rPr>
        <w:t xml:space="preserve"> </w:t>
      </w:r>
      <w:r w:rsidRPr="00CB7F46">
        <w:rPr>
          <w:sz w:val="24"/>
        </w:rPr>
        <w:t xml:space="preserve"> </w:t>
      </w:r>
    </w:p>
    <w:p w:rsidR="00955357" w:rsidRDefault="00955357" w:rsidP="00BE4BC6">
      <w:pPr>
        <w:rPr>
          <w:sz w:val="24"/>
        </w:rPr>
      </w:pPr>
    </w:p>
    <w:p w:rsidR="00BE4BC6" w:rsidRPr="00BE4BC6" w:rsidRDefault="00BE4BC6" w:rsidP="00BE4BC6">
      <w:pPr>
        <w:rPr>
          <w:sz w:val="24"/>
        </w:rPr>
      </w:pPr>
      <w:r w:rsidRPr="00BE4BC6">
        <w:rPr>
          <w:sz w:val="24"/>
        </w:rPr>
        <w:t>We received several comments on the burden the new encounter data system will place on plans</w:t>
      </w:r>
      <w:r w:rsidR="00BF2FF7">
        <w:rPr>
          <w:sz w:val="24"/>
        </w:rPr>
        <w:t xml:space="preserve"> in response to our December 2010 posting of this PRA package</w:t>
      </w:r>
      <w:r w:rsidRPr="00BE4BC6">
        <w:rPr>
          <w:sz w:val="24"/>
        </w:rPr>
        <w:t xml:space="preserve">.  CMS appreciates that the system implementation timeline for encounter data and ICD-10 may place additional burden on some of the Medicare Advantage Organizations (MAO) and Third Party Administrators (TPA).  The Plans </w:t>
      </w:r>
      <w:r w:rsidR="00E173B9">
        <w:rPr>
          <w:sz w:val="24"/>
        </w:rPr>
        <w:t>were</w:t>
      </w:r>
      <w:r w:rsidRPr="00BE4BC6">
        <w:rPr>
          <w:sz w:val="24"/>
        </w:rPr>
        <w:t xml:space="preserve"> informed of the implementation of Encounter Data through the Advanced Notice published February 2010, technical requirements were provided in the April 2010 Rate Announcement, and additional information regarding the implementation schedule and requirements were discussed during the National Encounter Data meeting held on October 29, 2010</w:t>
      </w:r>
      <w:r w:rsidR="00955357">
        <w:rPr>
          <w:sz w:val="24"/>
        </w:rPr>
        <w:t xml:space="preserve"> and the 2012 Advance Notice and Rate Announcement</w:t>
      </w:r>
      <w:r w:rsidRPr="00BE4BC6">
        <w:rPr>
          <w:sz w:val="24"/>
        </w:rPr>
        <w:t>.  In December 2010, CMS began hosting multiple Encounter Data Work Groups and Industry Update meetings to further define requirements and address solutions to known concerns.</w:t>
      </w:r>
      <w:r w:rsidRPr="00BE4BC6">
        <w:rPr>
          <w:rFonts w:eastAsia="+mn-ea" w:cs="+mn-cs"/>
          <w:i/>
          <w:iCs/>
          <w:color w:val="000000"/>
          <w:kern w:val="24"/>
          <w:sz w:val="24"/>
        </w:rPr>
        <w:t xml:space="preserve"> </w:t>
      </w:r>
      <w:r w:rsidR="00955357">
        <w:rPr>
          <w:sz w:val="24"/>
        </w:rPr>
        <w:t xml:space="preserve">CMS also hosted Regional IT Technical Assistance Sessions throughout the summer of 2011.  </w:t>
      </w:r>
      <w:r w:rsidRPr="00BE4BC6">
        <w:rPr>
          <w:iCs/>
          <w:sz w:val="24"/>
        </w:rPr>
        <w:t xml:space="preserve">This forum for communication between CMS, Medicare Advantage Organizations (MAOs), Third Party Administrators </w:t>
      </w:r>
      <w:r w:rsidR="00955357">
        <w:rPr>
          <w:iCs/>
          <w:sz w:val="24"/>
        </w:rPr>
        <w:t xml:space="preserve">and others </w:t>
      </w:r>
      <w:r w:rsidRPr="00BE4BC6">
        <w:rPr>
          <w:iCs/>
          <w:sz w:val="24"/>
        </w:rPr>
        <w:t xml:space="preserve">have been invaluable in finalizing requirements to support a successful implementation of the collection of encounter data. </w:t>
      </w:r>
    </w:p>
    <w:p w:rsidR="00BE4BC6" w:rsidRDefault="00BE4BC6" w:rsidP="00CB7F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F46" w:rsidRPr="00CB7F46" w:rsidRDefault="00CB7F46" w:rsidP="00CB7F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7F46">
        <w:rPr>
          <w:sz w:val="24"/>
        </w:rPr>
        <w:t>The following table provides a detailed schedule of all events hosted by CMS providing information and updates on the implementation of the Encounter Data System.</w:t>
      </w:r>
    </w:p>
    <w:p w:rsidR="00CB7F46" w:rsidRPr="00CB7F46" w:rsidRDefault="00CB7F46" w:rsidP="00CB7F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F46" w:rsidRPr="00CB7F46" w:rsidRDefault="00CB7F46" w:rsidP="00CB7F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B7F46" w:rsidRDefault="00CB7F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320" w:type="dxa"/>
        <w:jc w:val="center"/>
        <w:tblInd w:w="94" w:type="dxa"/>
        <w:tblLook w:val="04A0" w:firstRow="1" w:lastRow="0" w:firstColumn="1" w:lastColumn="0" w:noHBand="0" w:noVBand="1"/>
      </w:tblPr>
      <w:tblGrid>
        <w:gridCol w:w="1860"/>
        <w:gridCol w:w="3460"/>
      </w:tblGrid>
      <w:tr w:rsidR="009E35DB" w:rsidRPr="009E35DB" w:rsidTr="009E35DB">
        <w:trPr>
          <w:trHeight w:val="300"/>
          <w:jc w:val="center"/>
        </w:trPr>
        <w:tc>
          <w:tcPr>
            <w:tcW w:w="1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b/>
                <w:bCs/>
                <w:color w:val="000000"/>
                <w:sz w:val="22"/>
                <w:szCs w:val="22"/>
                <w:u w:val="single"/>
              </w:rPr>
            </w:pPr>
            <w:r w:rsidRPr="009E35DB">
              <w:rPr>
                <w:b/>
                <w:bCs/>
                <w:color w:val="000000"/>
                <w:sz w:val="22"/>
                <w:szCs w:val="22"/>
                <w:u w:val="single"/>
              </w:rPr>
              <w:t>Date</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b/>
                <w:bCs/>
                <w:color w:val="000000"/>
                <w:sz w:val="22"/>
                <w:szCs w:val="22"/>
                <w:u w:val="single"/>
              </w:rPr>
            </w:pPr>
            <w:r w:rsidRPr="009E35DB">
              <w:rPr>
                <w:b/>
                <w:bCs/>
                <w:color w:val="000000"/>
                <w:sz w:val="22"/>
                <w:szCs w:val="22"/>
                <w:u w:val="single"/>
              </w:rPr>
              <w:t>Event</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10/29/2010</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Encounter Data National Meeting</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12/8/2010</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Third Party Submitter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12/15/2010</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Chart Review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1/12/2011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Editing &amp; Reporting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1/19/2011</w:t>
            </w:r>
          </w:p>
        </w:tc>
        <w:tc>
          <w:tcPr>
            <w:tcW w:w="3460" w:type="dxa"/>
            <w:tcBorders>
              <w:top w:val="nil"/>
              <w:left w:val="nil"/>
              <w:bottom w:val="nil"/>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Industry Wide Update</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1/26/2011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PACE Organization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2/9/2011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Collection Strategies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2/16/2011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Chart Review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2/23/2011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Third Party Submitter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3/2/2011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Editing &amp; Reporting Workgroup</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3/16/2011</w:t>
            </w:r>
          </w:p>
        </w:tc>
        <w:tc>
          <w:tcPr>
            <w:tcW w:w="3460" w:type="dxa"/>
            <w:tcBorders>
              <w:top w:val="nil"/>
              <w:left w:val="nil"/>
              <w:bottom w:val="nil"/>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Industry Wide Update</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4/20/2011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Encounter Data Call</w:t>
            </w:r>
          </w:p>
        </w:tc>
      </w:tr>
      <w:tr w:rsidR="009E35DB" w:rsidRPr="009E35DB" w:rsidTr="009E35DB">
        <w:trPr>
          <w:trHeight w:val="300"/>
          <w:jc w:val="center"/>
        </w:trPr>
        <w:tc>
          <w:tcPr>
            <w:tcW w:w="1860" w:type="dxa"/>
            <w:tcBorders>
              <w:top w:val="nil"/>
              <w:left w:val="single" w:sz="4" w:space="0" w:color="auto"/>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5/25/2011</w:t>
            </w:r>
          </w:p>
        </w:tc>
        <w:tc>
          <w:tcPr>
            <w:tcW w:w="3460"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Industry Wide Update</w:t>
            </w:r>
          </w:p>
        </w:tc>
      </w:tr>
    </w:tbl>
    <w:p w:rsidR="009E35DB" w:rsidRDefault="009E3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In these forums, CMS discusses the need for </w:t>
      </w:r>
      <w:r w:rsidR="00EE262A">
        <w:rPr>
          <w:sz w:val="24"/>
        </w:rPr>
        <w:t>encounter data</w:t>
      </w:r>
      <w:r>
        <w:rPr>
          <w:sz w:val="24"/>
        </w:rPr>
        <w:t xml:space="preserve"> submission, provides technical assistance, listens to concerns, invites feedback, gathers information, and </w:t>
      </w:r>
      <w:r w:rsidR="004A3F4C">
        <w:rPr>
          <w:sz w:val="24"/>
        </w:rPr>
        <w:t>provides operational guidance</w:t>
      </w:r>
      <w:r>
        <w:rPr>
          <w:sz w:val="24"/>
        </w:rPr>
        <w:t xml:space="preserve"> for stakeholders.  </w:t>
      </w:r>
    </w:p>
    <w:p w:rsidR="004D22E2" w:rsidRDefault="004D22E2" w:rsidP="00EE1D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66BE" w:rsidRPr="004D22E2" w:rsidRDefault="00B44FFC" w:rsidP="006066BE">
      <w:pPr>
        <w:rPr>
          <w:sz w:val="24"/>
        </w:rPr>
      </w:pPr>
      <w:r>
        <w:rPr>
          <w:sz w:val="24"/>
        </w:rPr>
        <w:t xml:space="preserve">As noted above, </w:t>
      </w:r>
      <w:r w:rsidR="004D22E2" w:rsidRPr="004D22E2">
        <w:rPr>
          <w:sz w:val="24"/>
        </w:rPr>
        <w:t xml:space="preserve">CMS </w:t>
      </w:r>
      <w:r w:rsidR="001A36DC">
        <w:rPr>
          <w:sz w:val="24"/>
        </w:rPr>
        <w:t>held</w:t>
      </w:r>
      <w:r w:rsidR="004D22E2" w:rsidRPr="004D22E2">
        <w:rPr>
          <w:sz w:val="24"/>
        </w:rPr>
        <w:t xml:space="preserve"> a national meeting to discuss encounter</w:t>
      </w:r>
      <w:r w:rsidR="009E35DB">
        <w:rPr>
          <w:sz w:val="24"/>
        </w:rPr>
        <w:t xml:space="preserve"> data</w:t>
      </w:r>
      <w:r w:rsidR="004D22E2" w:rsidRPr="004D22E2">
        <w:rPr>
          <w:sz w:val="24"/>
        </w:rPr>
        <w:t xml:space="preserve"> in October</w:t>
      </w:r>
      <w:r w:rsidR="009E35DB">
        <w:rPr>
          <w:sz w:val="24"/>
        </w:rPr>
        <w:t xml:space="preserve"> 2010</w:t>
      </w:r>
      <w:r w:rsidR="004D22E2" w:rsidRPr="004D22E2">
        <w:rPr>
          <w:sz w:val="24"/>
        </w:rPr>
        <w:t xml:space="preserve">.  </w:t>
      </w:r>
      <w:r w:rsidR="006066BE" w:rsidRPr="004D22E2">
        <w:rPr>
          <w:sz w:val="24"/>
        </w:rPr>
        <w:t xml:space="preserve">The goal of this meeting </w:t>
      </w:r>
      <w:r w:rsidR="001A36DC">
        <w:rPr>
          <w:sz w:val="24"/>
        </w:rPr>
        <w:t>was</w:t>
      </w:r>
      <w:r w:rsidR="001A36DC" w:rsidRPr="004D22E2">
        <w:rPr>
          <w:sz w:val="24"/>
        </w:rPr>
        <w:t xml:space="preserve"> </w:t>
      </w:r>
      <w:r w:rsidR="006066BE" w:rsidRPr="004D22E2">
        <w:rPr>
          <w:sz w:val="24"/>
        </w:rPr>
        <w:t xml:space="preserve">to discuss </w:t>
      </w:r>
      <w:r w:rsidR="004D22E2" w:rsidRPr="004D22E2">
        <w:rPr>
          <w:sz w:val="24"/>
        </w:rPr>
        <w:t>the approach to encounter data collection, provide the implementation schedule, and provide system</w:t>
      </w:r>
      <w:r w:rsidR="004079D2">
        <w:rPr>
          <w:sz w:val="24"/>
        </w:rPr>
        <w:t xml:space="preserve"> requirement</w:t>
      </w:r>
      <w:r w:rsidR="004D22E2" w:rsidRPr="004D22E2">
        <w:rPr>
          <w:sz w:val="24"/>
        </w:rPr>
        <w:t xml:space="preserve"> information.</w:t>
      </w:r>
      <w:r w:rsidR="006066BE" w:rsidRPr="004D22E2">
        <w:rPr>
          <w:sz w:val="24"/>
        </w:rPr>
        <w:t xml:space="preserve">  Additionally, this meeting provide</w:t>
      </w:r>
      <w:r w:rsidR="001A36DC">
        <w:rPr>
          <w:sz w:val="24"/>
        </w:rPr>
        <w:t>d</w:t>
      </w:r>
      <w:r w:rsidR="006066BE" w:rsidRPr="004D22E2">
        <w:rPr>
          <w:sz w:val="24"/>
        </w:rPr>
        <w:t xml:space="preserve"> an opportunity for managed care organizations to ask questio</w:t>
      </w:r>
      <w:r w:rsidR="008C653B">
        <w:rPr>
          <w:sz w:val="24"/>
        </w:rPr>
        <w:t>ns regarding the collection of e</w:t>
      </w:r>
      <w:r w:rsidR="006066BE" w:rsidRPr="004D22E2">
        <w:rPr>
          <w:sz w:val="24"/>
        </w:rPr>
        <w:t>nc</w:t>
      </w:r>
      <w:r w:rsidR="008C653B">
        <w:rPr>
          <w:sz w:val="24"/>
        </w:rPr>
        <w:t>ounter d</w:t>
      </w:r>
      <w:r w:rsidR="006066BE" w:rsidRPr="004D22E2">
        <w:rPr>
          <w:sz w:val="24"/>
        </w:rPr>
        <w:t>ata.</w:t>
      </w:r>
    </w:p>
    <w:p w:rsidR="00F9448C" w:rsidRDefault="00F9448C" w:rsidP="008C6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9448C" w:rsidRDefault="00F944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1A36DC" w:rsidRPr="001A36DC">
        <w:rPr>
          <w:sz w:val="24"/>
        </w:rPr>
        <w:t xml:space="preserve">have provided and continue to provide technical assistance </w:t>
      </w:r>
      <w:r w:rsidR="0086548E">
        <w:rPr>
          <w:sz w:val="24"/>
        </w:rPr>
        <w:t xml:space="preserve">sessions </w:t>
      </w:r>
      <w:r>
        <w:rPr>
          <w:sz w:val="24"/>
        </w:rPr>
        <w:t xml:space="preserve">that </w:t>
      </w:r>
      <w:r w:rsidR="00FD21E4">
        <w:rPr>
          <w:sz w:val="24"/>
        </w:rPr>
        <w:t>would</w:t>
      </w:r>
      <w:r w:rsidR="0086548E">
        <w:rPr>
          <w:sz w:val="24"/>
        </w:rPr>
        <w:t xml:space="preserve"> provide detailed information and instruction on the latest dat</w:t>
      </w:r>
      <w:r w:rsidR="008C653B">
        <w:rPr>
          <w:sz w:val="24"/>
        </w:rPr>
        <w:t>a collection requirements.  These sessions</w:t>
      </w:r>
      <w:r w:rsidR="0086548E">
        <w:rPr>
          <w:sz w:val="24"/>
        </w:rPr>
        <w:t xml:space="preserve"> </w:t>
      </w:r>
      <w:r w:rsidR="00BE668A">
        <w:rPr>
          <w:sz w:val="24"/>
        </w:rPr>
        <w:t>were</w:t>
      </w:r>
      <w:r>
        <w:rPr>
          <w:sz w:val="24"/>
        </w:rPr>
        <w:t xml:space="preserve"> </w:t>
      </w:r>
      <w:r w:rsidR="0086548E">
        <w:rPr>
          <w:sz w:val="24"/>
        </w:rPr>
        <w:t>designed for MA</w:t>
      </w:r>
      <w:r w:rsidR="009E35DB">
        <w:rPr>
          <w:sz w:val="24"/>
        </w:rPr>
        <w:t xml:space="preserve"> organizations</w:t>
      </w:r>
      <w:r w:rsidR="009C07E1">
        <w:rPr>
          <w:sz w:val="24"/>
        </w:rPr>
        <w:t>, PACE, and cost plan</w:t>
      </w:r>
      <w:r w:rsidR="0086548E">
        <w:rPr>
          <w:sz w:val="24"/>
        </w:rPr>
        <w:t xml:space="preserve"> staff involved in data submission in various capacities from executive management to operations and IT systems.  </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35DB" w:rsidRDefault="009E3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table below provides the dates and locations for the Regional IT Technical Assistance sessions held in the summer of 2011.  </w:t>
      </w:r>
    </w:p>
    <w:p w:rsidR="009E35DB" w:rsidRDefault="009E3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5320" w:type="dxa"/>
        <w:jc w:val="center"/>
        <w:tblInd w:w="89" w:type="dxa"/>
        <w:tblLook w:val="04A0" w:firstRow="1" w:lastRow="0" w:firstColumn="1" w:lastColumn="0" w:noHBand="0" w:noVBand="1"/>
      </w:tblPr>
      <w:tblGrid>
        <w:gridCol w:w="2588"/>
        <w:gridCol w:w="2732"/>
      </w:tblGrid>
      <w:tr w:rsidR="009E35DB" w:rsidRPr="009E35DB" w:rsidTr="009E35DB">
        <w:trPr>
          <w:trHeight w:val="300"/>
          <w:jc w:val="center"/>
        </w:trPr>
        <w:tc>
          <w:tcPr>
            <w:tcW w:w="53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E35DB" w:rsidRPr="009E35DB" w:rsidRDefault="009E35DB" w:rsidP="009E35DB">
            <w:pPr>
              <w:widowControl/>
              <w:autoSpaceDE/>
              <w:autoSpaceDN/>
              <w:adjustRightInd/>
              <w:jc w:val="center"/>
              <w:rPr>
                <w:b/>
                <w:bCs/>
                <w:color w:val="000000"/>
                <w:sz w:val="22"/>
                <w:szCs w:val="22"/>
                <w:u w:val="single"/>
              </w:rPr>
            </w:pPr>
            <w:r w:rsidRPr="009E35DB">
              <w:rPr>
                <w:b/>
                <w:bCs/>
                <w:color w:val="000000"/>
                <w:sz w:val="22"/>
                <w:szCs w:val="22"/>
                <w:u w:val="single"/>
              </w:rPr>
              <w:t>Regional IT T</w:t>
            </w:r>
            <w:r>
              <w:rPr>
                <w:b/>
                <w:bCs/>
                <w:color w:val="000000"/>
                <w:sz w:val="22"/>
                <w:szCs w:val="22"/>
                <w:u w:val="single"/>
              </w:rPr>
              <w:t xml:space="preserve">echnical </w:t>
            </w:r>
            <w:r w:rsidRPr="009E35DB">
              <w:rPr>
                <w:b/>
                <w:bCs/>
                <w:color w:val="000000"/>
                <w:sz w:val="22"/>
                <w:szCs w:val="22"/>
                <w:u w:val="single"/>
              </w:rPr>
              <w:t>A</w:t>
            </w:r>
            <w:r>
              <w:rPr>
                <w:b/>
                <w:bCs/>
                <w:color w:val="000000"/>
                <w:sz w:val="22"/>
                <w:szCs w:val="22"/>
                <w:u w:val="single"/>
              </w:rPr>
              <w:t>ssistance</w:t>
            </w:r>
            <w:r w:rsidRPr="009E35DB">
              <w:rPr>
                <w:b/>
                <w:bCs/>
                <w:color w:val="000000"/>
                <w:sz w:val="22"/>
                <w:szCs w:val="22"/>
                <w:u w:val="single"/>
              </w:rPr>
              <w:t xml:space="preserve"> Sessions</w:t>
            </w:r>
          </w:p>
        </w:tc>
      </w:tr>
      <w:tr w:rsidR="009E35DB" w:rsidRPr="009E35DB" w:rsidTr="009E35DB">
        <w:trPr>
          <w:trHeight w:val="300"/>
          <w:jc w:val="center"/>
        </w:trPr>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9E35DB" w:rsidRPr="009E35DB" w:rsidRDefault="009E35DB" w:rsidP="009E35DB">
            <w:pPr>
              <w:widowControl/>
              <w:autoSpaceDE/>
              <w:autoSpaceDN/>
              <w:adjustRightInd/>
              <w:jc w:val="center"/>
              <w:rPr>
                <w:b/>
                <w:bCs/>
                <w:color w:val="000000"/>
                <w:sz w:val="22"/>
                <w:szCs w:val="22"/>
                <w:u w:val="single"/>
              </w:rPr>
            </w:pPr>
            <w:r w:rsidRPr="009E35DB">
              <w:rPr>
                <w:b/>
                <w:bCs/>
                <w:color w:val="000000"/>
                <w:sz w:val="22"/>
                <w:szCs w:val="22"/>
                <w:u w:val="single"/>
              </w:rPr>
              <w:t>Date</w:t>
            </w:r>
          </w:p>
        </w:tc>
        <w:tc>
          <w:tcPr>
            <w:tcW w:w="2732"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b/>
                <w:bCs/>
                <w:color w:val="000000"/>
                <w:sz w:val="22"/>
                <w:szCs w:val="22"/>
                <w:u w:val="single"/>
              </w:rPr>
            </w:pPr>
            <w:r w:rsidRPr="009E35DB">
              <w:rPr>
                <w:b/>
                <w:bCs/>
                <w:color w:val="000000"/>
                <w:sz w:val="22"/>
                <w:szCs w:val="22"/>
                <w:u w:val="single"/>
              </w:rPr>
              <w:t>Event</w:t>
            </w:r>
          </w:p>
        </w:tc>
      </w:tr>
      <w:tr w:rsidR="009E35DB" w:rsidRPr="009E35DB" w:rsidTr="009E35DB">
        <w:trPr>
          <w:trHeight w:val="300"/>
          <w:jc w:val="center"/>
        </w:trPr>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9E35DB" w:rsidRPr="009E35DB" w:rsidRDefault="009E35DB" w:rsidP="009E35DB">
            <w:pPr>
              <w:widowControl/>
              <w:autoSpaceDE/>
              <w:autoSpaceDN/>
              <w:adjustRightInd/>
              <w:rPr>
                <w:color w:val="000000"/>
                <w:sz w:val="22"/>
                <w:szCs w:val="22"/>
                <w:u w:val="single"/>
              </w:rPr>
            </w:pPr>
            <w:r w:rsidRPr="009E35DB">
              <w:rPr>
                <w:color w:val="000000"/>
                <w:sz w:val="22"/>
                <w:szCs w:val="22"/>
                <w:u w:val="single"/>
              </w:rPr>
              <w:t>June 20 - Jun 24, 2011</w:t>
            </w:r>
          </w:p>
        </w:tc>
        <w:tc>
          <w:tcPr>
            <w:tcW w:w="2732"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Orlando, FL</w:t>
            </w:r>
          </w:p>
        </w:tc>
      </w:tr>
      <w:tr w:rsidR="009E35DB" w:rsidRPr="009E35DB" w:rsidTr="009E35DB">
        <w:trPr>
          <w:trHeight w:val="300"/>
          <w:jc w:val="center"/>
        </w:trPr>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9E35DB" w:rsidRPr="009E35DB" w:rsidRDefault="009E35DB" w:rsidP="009E35DB">
            <w:pPr>
              <w:widowControl/>
              <w:autoSpaceDE/>
              <w:autoSpaceDN/>
              <w:adjustRightInd/>
              <w:rPr>
                <w:color w:val="000000"/>
                <w:sz w:val="22"/>
                <w:szCs w:val="22"/>
                <w:u w:val="single"/>
              </w:rPr>
            </w:pPr>
            <w:r w:rsidRPr="009E35DB">
              <w:rPr>
                <w:color w:val="000000"/>
                <w:sz w:val="22"/>
                <w:szCs w:val="22"/>
                <w:u w:val="single"/>
              </w:rPr>
              <w:lastRenderedPageBreak/>
              <w:t>July 11 - 15, 2011</w:t>
            </w:r>
          </w:p>
        </w:tc>
        <w:tc>
          <w:tcPr>
            <w:tcW w:w="2732"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San Diego, CA</w:t>
            </w:r>
          </w:p>
        </w:tc>
      </w:tr>
      <w:tr w:rsidR="009E35DB" w:rsidRPr="009E35DB" w:rsidTr="009E35DB">
        <w:trPr>
          <w:trHeight w:val="300"/>
          <w:jc w:val="center"/>
        </w:trPr>
        <w:tc>
          <w:tcPr>
            <w:tcW w:w="2588" w:type="dxa"/>
            <w:tcBorders>
              <w:top w:val="nil"/>
              <w:left w:val="single" w:sz="4" w:space="0" w:color="auto"/>
              <w:bottom w:val="single" w:sz="4" w:space="0" w:color="auto"/>
              <w:right w:val="single" w:sz="4" w:space="0" w:color="auto"/>
            </w:tcBorders>
            <w:shd w:val="clear" w:color="auto" w:fill="auto"/>
            <w:noWrap/>
            <w:vAlign w:val="bottom"/>
            <w:hideMark/>
          </w:tcPr>
          <w:p w:rsidR="009E35DB" w:rsidRPr="009E35DB" w:rsidRDefault="009E35DB" w:rsidP="009E35DB">
            <w:pPr>
              <w:widowControl/>
              <w:autoSpaceDE/>
              <w:autoSpaceDN/>
              <w:adjustRightInd/>
              <w:rPr>
                <w:color w:val="000000"/>
                <w:sz w:val="22"/>
                <w:szCs w:val="22"/>
                <w:u w:val="single"/>
              </w:rPr>
            </w:pPr>
            <w:r w:rsidRPr="009E35DB">
              <w:rPr>
                <w:color w:val="000000"/>
                <w:sz w:val="22"/>
                <w:szCs w:val="22"/>
                <w:u w:val="single"/>
              </w:rPr>
              <w:t>August 1 - 5, 2011</w:t>
            </w:r>
          </w:p>
        </w:tc>
        <w:tc>
          <w:tcPr>
            <w:tcW w:w="2732" w:type="dxa"/>
            <w:tcBorders>
              <w:top w:val="nil"/>
              <w:left w:val="nil"/>
              <w:bottom w:val="single" w:sz="4" w:space="0" w:color="auto"/>
              <w:right w:val="single" w:sz="4" w:space="0" w:color="auto"/>
            </w:tcBorders>
            <w:shd w:val="clear" w:color="auto" w:fill="auto"/>
            <w:vAlign w:val="center"/>
            <w:hideMark/>
          </w:tcPr>
          <w:p w:rsidR="009E35DB" w:rsidRPr="009E35DB" w:rsidRDefault="009E35DB" w:rsidP="009E35DB">
            <w:pPr>
              <w:widowControl/>
              <w:autoSpaceDE/>
              <w:autoSpaceDN/>
              <w:adjustRightInd/>
              <w:jc w:val="center"/>
              <w:rPr>
                <w:color w:val="000000"/>
                <w:sz w:val="22"/>
                <w:szCs w:val="22"/>
                <w:u w:val="single"/>
              </w:rPr>
            </w:pPr>
            <w:r w:rsidRPr="009E35DB">
              <w:rPr>
                <w:color w:val="000000"/>
                <w:sz w:val="22"/>
                <w:szCs w:val="22"/>
                <w:u w:val="single"/>
              </w:rPr>
              <w:t>Chicago, IL</w:t>
            </w:r>
          </w:p>
        </w:tc>
      </w:tr>
    </w:tbl>
    <w:p w:rsidR="009E35DB" w:rsidRDefault="009E3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E35DB" w:rsidRDefault="009E35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Pr>
          <w:color w:val="000000" w:themeColor="text1"/>
          <w:sz w:val="24"/>
        </w:rPr>
        <w:t>Many conditions must be met for payment.  This is just one requirement for participation in MA</w:t>
      </w:r>
      <w:r w:rsidR="009C07E1">
        <w:rPr>
          <w:color w:val="000000" w:themeColor="text1"/>
          <w:sz w:val="24"/>
        </w:rPr>
        <w:t>, PACE and cost plans</w:t>
      </w:r>
      <w:r>
        <w:rPr>
          <w:color w:val="000000" w:themeColor="text1"/>
          <w:sz w:val="24"/>
        </w:rPr>
        <w:t xml:space="preserve">.  </w:t>
      </w:r>
      <w:r>
        <w:rPr>
          <w:color w:val="000000"/>
          <w:sz w:val="24"/>
        </w:rPr>
        <w:t>There are no gifts to respondents.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sidRPr="006C7E17">
        <w:rPr>
          <w:sz w:val="24"/>
          <w:u w:val="single"/>
        </w:rPr>
        <w:t>Confidentiality</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B77F3" w:rsidRDefault="0086548E">
      <w:pPr>
        <w:pStyle w:val="BodyTextIndent"/>
        <w:spacing w:after="0"/>
        <w:ind w:left="0"/>
        <w:rPr>
          <w:sz w:val="24"/>
        </w:rPr>
      </w:pPr>
      <w:r w:rsidRPr="0086548E">
        <w:rPr>
          <w:sz w:val="24"/>
        </w:rPr>
        <w:t>The data are protected and kept confidential under System of Record (SOR) #09-70-0005.</w:t>
      </w:r>
    </w:p>
    <w:p w:rsidR="005B77F3" w:rsidRDefault="0086548E" w:rsidP="0015594B">
      <w:pPr>
        <w:pStyle w:val="NormalWeb"/>
      </w:pPr>
      <w:r w:rsidRPr="0086548E">
        <w:t>We also note that any electronic claims or encounter data sent from providers (hospitals and physicians) to MA</w:t>
      </w:r>
      <w:r w:rsidR="009C07E1">
        <w:t xml:space="preserve"> and PACE</w:t>
      </w:r>
      <w:r w:rsidRPr="0086548E">
        <w:t xml:space="preserve"> organization</w:t>
      </w:r>
      <w:r w:rsidR="009C07E1">
        <w:t>s and cost plans</w:t>
      </w:r>
      <w:r w:rsidRPr="0086548E">
        <w:t xml:space="preserve"> are HIPAA-covered transactions.  </w:t>
      </w:r>
      <w:r w:rsidR="0015594B">
        <w:t>The HIPAA Privacy Rule (45 CFR Part 160 and Subparts A and E of Part 164) provides federal protections for personal health information held by covered entities and gives patients an array of rights with respect to that information.  The Security Rule (45 CFR Part 160 and Subparts A and C of Part 164) specifies a series of administrative, physical, and technical safeguards for covered entities to use to assure the confidentiality, integrity, and availability of electronic protected health information. </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sensitive questions included in this collection effort.</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6C7E17">
        <w:rPr>
          <w:sz w:val="24"/>
          <w:u w:val="single"/>
        </w:rPr>
        <w:t>Burden Estimates (Hours &amp; Wages)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0009A" w:rsidRPr="00D420CB" w:rsidRDefault="00E0009A" w:rsidP="00FD21E4">
      <w:pPr>
        <w:pStyle w:val="BodyTextIndent"/>
        <w:tabs>
          <w:tab w:val="left" w:pos="360"/>
          <w:tab w:val="left" w:pos="720"/>
        </w:tabs>
        <w:ind w:left="0"/>
        <w:rPr>
          <w:sz w:val="24"/>
        </w:rPr>
      </w:pPr>
      <w:r w:rsidRPr="00D420CB">
        <w:rPr>
          <w:sz w:val="24"/>
        </w:rPr>
        <w:t>The burden placed on MA and MA-PD plans (contracts)</w:t>
      </w:r>
      <w:r w:rsidR="00BC21E6">
        <w:rPr>
          <w:sz w:val="24"/>
        </w:rPr>
        <w:t>, PACE organizations and cost plans (§1876 Cost HMOs/CMPs and §1833 HCPPs)</w:t>
      </w:r>
      <w:r w:rsidRPr="00D420CB">
        <w:rPr>
          <w:sz w:val="24"/>
        </w:rPr>
        <w:t xml:space="preserve"> associated with submitted encounter data is predicated upon the following factors:  a) the amount of data that must be submitted; b) the number of plans submitting data; and c) the time required to complete the data processing and transmission transactions.</w:t>
      </w:r>
      <w:r w:rsidR="00660BA5">
        <w:rPr>
          <w:sz w:val="24"/>
        </w:rPr>
        <w:t xml:space="preserve">  We have updated the </w:t>
      </w:r>
      <w:r w:rsidR="00C62CC9">
        <w:rPr>
          <w:sz w:val="24"/>
        </w:rPr>
        <w:t xml:space="preserve">cost </w:t>
      </w:r>
      <w:r w:rsidR="00660BA5">
        <w:rPr>
          <w:sz w:val="24"/>
        </w:rPr>
        <w:t xml:space="preserve">information below </w:t>
      </w:r>
      <w:r w:rsidR="00881CCE">
        <w:rPr>
          <w:sz w:val="24"/>
        </w:rPr>
        <w:t xml:space="preserve">based on </w:t>
      </w:r>
      <w:r w:rsidR="00660BA5">
        <w:rPr>
          <w:sz w:val="24"/>
        </w:rPr>
        <w:t>the public comments we received on the December 17, 2010 PRA package.</w:t>
      </w:r>
      <w:r w:rsidR="00881CCE">
        <w:rPr>
          <w:sz w:val="24"/>
        </w:rPr>
        <w:t xml:space="preserve">  We have also updated the information to include PACE organizations and cost plans.</w:t>
      </w:r>
    </w:p>
    <w:p w:rsidR="00E0009A" w:rsidRPr="00D420CB" w:rsidRDefault="00E0009A" w:rsidP="00E0009A">
      <w:pPr>
        <w:pStyle w:val="BodyTextIndent"/>
        <w:tabs>
          <w:tab w:val="left" w:pos="360"/>
          <w:tab w:val="left" w:pos="720"/>
        </w:tabs>
        <w:ind w:left="0"/>
        <w:rPr>
          <w:sz w:val="24"/>
        </w:rPr>
      </w:pPr>
    </w:p>
    <w:p w:rsidR="000E6EDF" w:rsidRPr="000E6EDF" w:rsidRDefault="00E0009A" w:rsidP="000E6EDF">
      <w:pPr>
        <w:pStyle w:val="ListParagraph"/>
        <w:numPr>
          <w:ilvl w:val="0"/>
          <w:numId w:val="37"/>
        </w:numPr>
      </w:pPr>
      <w:r w:rsidRPr="000E6EDF">
        <w:rPr>
          <w:u w:val="single"/>
        </w:rPr>
        <w:t>Encounter Data Submission</w:t>
      </w:r>
      <w:r w:rsidRPr="000E6EDF">
        <w:t>: The amount of data that must be submitted is a function of the number of encounters per beneficiary and the numbe</w:t>
      </w:r>
      <w:r w:rsidR="008B6FC6" w:rsidRPr="000E6EDF">
        <w:t>r of data elements per encounter</w:t>
      </w:r>
      <w:r w:rsidRPr="000E6EDF">
        <w:t xml:space="preserve">. </w:t>
      </w:r>
      <w:r w:rsidR="008B6FC6" w:rsidRPr="000E6EDF">
        <w:t xml:space="preserve"> </w:t>
      </w:r>
      <w:r w:rsidR="00E73397" w:rsidRPr="000E6EDF">
        <w:t>Plans should have most of the encounter data, as this transaction format is required by HIPAA.</w:t>
      </w:r>
      <w:r w:rsidR="008B6FC6" w:rsidRPr="000E6EDF">
        <w:t xml:space="preserve">  In order to estimate the number of encounters we must use FFS claims data as plans have not begun encounter data submission.  </w:t>
      </w:r>
      <w:r w:rsidR="00441C58" w:rsidRPr="000E6EDF">
        <w:t xml:space="preserve">FFS claims are similar to encounters, in that they are also based on a beneficiary’s </w:t>
      </w:r>
      <w:r w:rsidR="00133695" w:rsidRPr="000E6EDF">
        <w:t>interaction</w:t>
      </w:r>
      <w:r w:rsidR="00441C58" w:rsidRPr="000E6EDF">
        <w:t xml:space="preserve"> with a health care provider.  </w:t>
      </w:r>
      <w:r w:rsidRPr="000E6EDF">
        <w:t xml:space="preserve">Based on </w:t>
      </w:r>
      <w:r w:rsidR="00E73397" w:rsidRPr="000E6EDF">
        <w:t>2008 enrollment data</w:t>
      </w:r>
      <w:r w:rsidRPr="000E6EDF">
        <w:t xml:space="preserve">, CMS estimates that </w:t>
      </w:r>
      <w:r w:rsidR="00155B78" w:rsidRPr="000E6EDF">
        <w:t>35,554,955</w:t>
      </w:r>
      <w:r w:rsidR="007E2734" w:rsidRPr="000E6EDF">
        <w:t xml:space="preserve"> </w:t>
      </w:r>
      <w:r w:rsidRPr="000E6EDF">
        <w:lastRenderedPageBreak/>
        <w:t>Medicare beneficiaries enroll</w:t>
      </w:r>
      <w:r w:rsidR="00661D4B">
        <w:t>ed</w:t>
      </w:r>
      <w:r w:rsidRPr="000E6EDF">
        <w:t xml:space="preserve"> in </w:t>
      </w:r>
      <w:r w:rsidR="008B6FC6" w:rsidRPr="000E6EDF">
        <w:t>FFS</w:t>
      </w:r>
      <w:r w:rsidRPr="000E6EDF">
        <w:t xml:space="preserve">.  In 2008, the number of FFS claims was 1,162,310,929.  </w:t>
      </w:r>
      <w:r w:rsidR="008B6FC6" w:rsidRPr="000E6EDF">
        <w:t xml:space="preserve">The </w:t>
      </w:r>
      <w:r w:rsidR="00133695" w:rsidRPr="000E6EDF">
        <w:t>minimum</w:t>
      </w:r>
      <w:r w:rsidR="008B6FC6" w:rsidRPr="000E6EDF">
        <w:t xml:space="preserve"> beneficiary claim count was 0.  The maximum </w:t>
      </w:r>
      <w:r w:rsidR="00661D4B" w:rsidRPr="000E6EDF">
        <w:t>claims per beneficiary were</w:t>
      </w:r>
      <w:r w:rsidR="008B6FC6" w:rsidRPr="000E6EDF">
        <w:t xml:space="preserve"> 1,501.  </w:t>
      </w:r>
      <w:r w:rsidRPr="000E6EDF">
        <w:t xml:space="preserve">To compute the average number of </w:t>
      </w:r>
      <w:r w:rsidR="008B6FC6" w:rsidRPr="000E6EDF">
        <w:t>encounters</w:t>
      </w:r>
      <w:r w:rsidRPr="000E6EDF">
        <w:t xml:space="preserve"> per </w:t>
      </w:r>
      <w:r w:rsidR="008A587E">
        <w:t xml:space="preserve">FFS </w:t>
      </w:r>
      <w:r w:rsidRPr="000E6EDF">
        <w:t xml:space="preserve">beneficiary, we divide the number of </w:t>
      </w:r>
      <w:r w:rsidR="008A587E">
        <w:t xml:space="preserve">FFS </w:t>
      </w:r>
      <w:r w:rsidR="008B6FC6" w:rsidRPr="000E6EDF">
        <w:t>claims</w:t>
      </w:r>
      <w:r w:rsidRPr="000E6EDF">
        <w:t xml:space="preserve"> per year by the number of </w:t>
      </w:r>
      <w:r w:rsidR="008A587E">
        <w:t xml:space="preserve">FFS </w:t>
      </w:r>
      <w:r w:rsidRPr="000E6EDF">
        <w:t xml:space="preserve">beneficiaries enrolled </w:t>
      </w:r>
      <w:r w:rsidR="008B6FC6" w:rsidRPr="000E6EDF">
        <w:t>in that year</w:t>
      </w:r>
      <w:r w:rsidRPr="000E6EDF">
        <w:t xml:space="preserve">.  This computation leads to an average of </w:t>
      </w:r>
      <w:r w:rsidR="00F639DD" w:rsidRPr="000E6EDF">
        <w:t>32.</w:t>
      </w:r>
      <w:r w:rsidR="00155B78" w:rsidRPr="000E6EDF">
        <w:t>7</w:t>
      </w:r>
      <w:r w:rsidR="008B6FC6" w:rsidRPr="000E6EDF">
        <w:t xml:space="preserve"> </w:t>
      </w:r>
      <w:r w:rsidR="008A587E">
        <w:t>FFS claims</w:t>
      </w:r>
      <w:r w:rsidR="008A587E" w:rsidRPr="000E6EDF">
        <w:t xml:space="preserve"> </w:t>
      </w:r>
      <w:r w:rsidRPr="000E6EDF">
        <w:t>per beneficiary per year.</w:t>
      </w:r>
      <w:r w:rsidR="008A587E">
        <w:t xml:space="preserve">  </w:t>
      </w:r>
      <w:r w:rsidR="00881CCE">
        <w:t xml:space="preserve">We have increased the frequency of response by 30% to include the chart reviews that plans complete.  </w:t>
      </w:r>
      <w:r w:rsidR="008A587E">
        <w:t xml:space="preserve">To compute the number of projected MA encounters per year, we multiply the average FFS claims per beneficiary per year by the number of Medicare beneficiaries enrolled in MA and MA-PD plans </w:t>
      </w:r>
      <w:r w:rsidR="00A21DA2">
        <w:t>per</w:t>
      </w:r>
      <w:r w:rsidR="008A587E">
        <w:t xml:space="preserve"> year.  The number of projected </w:t>
      </w:r>
      <w:r w:rsidR="006C2DE6">
        <w:t>Medicare managed care</w:t>
      </w:r>
      <w:r w:rsidR="008A587E">
        <w:t xml:space="preserve"> encounters per year is</w:t>
      </w:r>
      <w:r w:rsidR="00FE1C21">
        <w:t xml:space="preserve"> </w:t>
      </w:r>
      <w:r w:rsidR="006C2DE6">
        <w:t>398,396,363</w:t>
      </w:r>
      <w:r w:rsidR="008A587E">
        <w:t>.</w:t>
      </w:r>
    </w:p>
    <w:p w:rsidR="008A587E" w:rsidRDefault="008A587E" w:rsidP="00E0009A">
      <w:pPr>
        <w:pStyle w:val="BodyTextIndent"/>
        <w:tabs>
          <w:tab w:val="left" w:pos="360"/>
          <w:tab w:val="left" w:pos="720"/>
        </w:tabs>
        <w:ind w:left="0"/>
        <w:rPr>
          <w:sz w:val="24"/>
        </w:rPr>
      </w:pPr>
    </w:p>
    <w:tbl>
      <w:tblPr>
        <w:tblW w:w="10260" w:type="dxa"/>
        <w:tblInd w:w="93" w:type="dxa"/>
        <w:tblLook w:val="0000" w:firstRow="0" w:lastRow="0" w:firstColumn="0" w:lastColumn="0" w:noHBand="0" w:noVBand="0"/>
      </w:tblPr>
      <w:tblGrid>
        <w:gridCol w:w="430"/>
        <w:gridCol w:w="3247"/>
        <w:gridCol w:w="3737"/>
        <w:gridCol w:w="2846"/>
      </w:tblGrid>
      <w:tr w:rsidR="004E5C5C" w:rsidRPr="00D420CB" w:rsidTr="00167AEA">
        <w:trPr>
          <w:trHeight w:val="255"/>
        </w:trPr>
        <w:tc>
          <w:tcPr>
            <w:tcW w:w="10260" w:type="dxa"/>
            <w:gridSpan w:val="4"/>
            <w:tcBorders>
              <w:top w:val="single" w:sz="8" w:space="0" w:color="auto"/>
              <w:left w:val="single" w:sz="8" w:space="0" w:color="auto"/>
              <w:bottom w:val="nil"/>
              <w:right w:val="single" w:sz="8" w:space="0" w:color="000000"/>
            </w:tcBorders>
            <w:shd w:val="clear" w:color="auto" w:fill="auto"/>
            <w:noWrap/>
            <w:vAlign w:val="bottom"/>
          </w:tcPr>
          <w:p w:rsidR="004E5C5C" w:rsidRPr="00D420CB" w:rsidRDefault="004E5C5C" w:rsidP="00167AEA">
            <w:pPr>
              <w:jc w:val="center"/>
              <w:rPr>
                <w:b/>
                <w:sz w:val="24"/>
              </w:rPr>
            </w:pPr>
            <w:r>
              <w:rPr>
                <w:b/>
                <w:sz w:val="24"/>
              </w:rPr>
              <w:t xml:space="preserve">TABLE </w:t>
            </w:r>
            <w:r w:rsidR="00167AEA">
              <w:rPr>
                <w:b/>
                <w:sz w:val="24"/>
              </w:rPr>
              <w:t>1</w:t>
            </w:r>
          </w:p>
        </w:tc>
      </w:tr>
      <w:tr w:rsidR="004E5C5C" w:rsidRPr="00D420CB" w:rsidTr="004E5C5C">
        <w:trPr>
          <w:trHeight w:val="255"/>
        </w:trPr>
        <w:tc>
          <w:tcPr>
            <w:tcW w:w="430" w:type="dxa"/>
            <w:tcBorders>
              <w:top w:val="single" w:sz="4" w:space="0" w:color="auto"/>
              <w:left w:val="single" w:sz="8" w:space="0" w:color="auto"/>
              <w:bottom w:val="single" w:sz="4" w:space="0" w:color="auto"/>
              <w:right w:val="single" w:sz="4" w:space="0" w:color="auto"/>
            </w:tcBorders>
            <w:shd w:val="clear" w:color="auto" w:fill="auto"/>
            <w:noWrap/>
            <w:vAlign w:val="bottom"/>
          </w:tcPr>
          <w:p w:rsidR="004E5C5C" w:rsidRPr="00D420CB" w:rsidRDefault="004E5C5C" w:rsidP="00167AEA">
            <w:pPr>
              <w:rPr>
                <w:sz w:val="24"/>
              </w:rPr>
            </w:pPr>
            <w:r w:rsidRPr="00D420CB">
              <w:rPr>
                <w:sz w:val="24"/>
              </w:rPr>
              <w:t> </w:t>
            </w:r>
          </w:p>
        </w:tc>
        <w:tc>
          <w:tcPr>
            <w:tcW w:w="3247" w:type="dxa"/>
            <w:tcBorders>
              <w:top w:val="single" w:sz="4" w:space="0" w:color="auto"/>
              <w:left w:val="nil"/>
              <w:bottom w:val="single" w:sz="4" w:space="0" w:color="auto"/>
              <w:right w:val="single" w:sz="4" w:space="0" w:color="auto"/>
            </w:tcBorders>
            <w:shd w:val="clear" w:color="auto" w:fill="auto"/>
            <w:vAlign w:val="bottom"/>
          </w:tcPr>
          <w:p w:rsidR="004E5C5C" w:rsidRPr="00D420CB" w:rsidRDefault="004E5C5C" w:rsidP="00167AEA">
            <w:pPr>
              <w:rPr>
                <w:sz w:val="24"/>
              </w:rPr>
            </w:pPr>
            <w:r w:rsidRPr="00D420CB">
              <w:rPr>
                <w:sz w:val="24"/>
              </w:rPr>
              <w:t> </w:t>
            </w:r>
          </w:p>
        </w:tc>
        <w:tc>
          <w:tcPr>
            <w:tcW w:w="3737" w:type="dxa"/>
            <w:tcBorders>
              <w:top w:val="single" w:sz="4" w:space="0" w:color="auto"/>
              <w:left w:val="nil"/>
              <w:bottom w:val="single" w:sz="4" w:space="0" w:color="auto"/>
              <w:right w:val="single" w:sz="4" w:space="0" w:color="auto"/>
            </w:tcBorders>
            <w:shd w:val="clear" w:color="auto" w:fill="auto"/>
            <w:noWrap/>
            <w:vAlign w:val="bottom"/>
          </w:tcPr>
          <w:p w:rsidR="004E5C5C" w:rsidRPr="00D420CB" w:rsidRDefault="004E5C5C" w:rsidP="00167AEA">
            <w:pPr>
              <w:rPr>
                <w:sz w:val="24"/>
              </w:rPr>
            </w:pPr>
            <w:r w:rsidRPr="00D420CB">
              <w:rPr>
                <w:sz w:val="24"/>
              </w:rPr>
              <w:t> </w:t>
            </w:r>
          </w:p>
        </w:tc>
        <w:tc>
          <w:tcPr>
            <w:tcW w:w="2846" w:type="dxa"/>
            <w:tcBorders>
              <w:top w:val="single" w:sz="4" w:space="0" w:color="auto"/>
              <w:left w:val="nil"/>
              <w:bottom w:val="single" w:sz="4" w:space="0" w:color="auto"/>
              <w:right w:val="single" w:sz="8" w:space="0" w:color="auto"/>
            </w:tcBorders>
            <w:shd w:val="clear" w:color="auto" w:fill="auto"/>
            <w:vAlign w:val="bottom"/>
          </w:tcPr>
          <w:p w:rsidR="004E5C5C" w:rsidRPr="00D420CB" w:rsidRDefault="004E5C5C" w:rsidP="00167AEA">
            <w:pPr>
              <w:jc w:val="center"/>
              <w:rPr>
                <w:sz w:val="24"/>
              </w:rPr>
            </w:pPr>
            <w:r w:rsidRPr="00D420CB">
              <w:rPr>
                <w:sz w:val="24"/>
              </w:rPr>
              <w:t>NOTES</w:t>
            </w:r>
          </w:p>
        </w:tc>
      </w:tr>
      <w:tr w:rsidR="004E5C5C" w:rsidRPr="00D420CB" w:rsidTr="004E5C5C">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4E5C5C" w:rsidRPr="00D420CB" w:rsidRDefault="00EA5890" w:rsidP="00167AEA">
            <w:pPr>
              <w:rPr>
                <w:sz w:val="24"/>
              </w:rPr>
            </w:pPr>
            <w:r>
              <w:rPr>
                <w:sz w:val="24"/>
              </w:rPr>
              <w:t>A</w:t>
            </w:r>
          </w:p>
        </w:tc>
        <w:tc>
          <w:tcPr>
            <w:tcW w:w="3247" w:type="dxa"/>
            <w:tcBorders>
              <w:top w:val="nil"/>
              <w:left w:val="nil"/>
              <w:bottom w:val="single" w:sz="4" w:space="0" w:color="auto"/>
              <w:right w:val="single" w:sz="4" w:space="0" w:color="auto"/>
            </w:tcBorders>
            <w:shd w:val="clear" w:color="auto" w:fill="auto"/>
            <w:vAlign w:val="bottom"/>
          </w:tcPr>
          <w:p w:rsidR="004E5C5C" w:rsidRPr="00D420CB" w:rsidRDefault="004E5C5C" w:rsidP="00167AEA">
            <w:pPr>
              <w:rPr>
                <w:caps/>
                <w:sz w:val="24"/>
              </w:rPr>
            </w:pPr>
            <w:r w:rsidRPr="00D420CB">
              <w:rPr>
                <w:caps/>
                <w:sz w:val="24"/>
              </w:rPr>
              <w:t>Number of ffs claims per year</w:t>
            </w:r>
          </w:p>
        </w:tc>
        <w:tc>
          <w:tcPr>
            <w:tcW w:w="3737" w:type="dxa"/>
            <w:tcBorders>
              <w:top w:val="nil"/>
              <w:left w:val="nil"/>
              <w:bottom w:val="single" w:sz="4" w:space="0" w:color="auto"/>
              <w:right w:val="single" w:sz="4" w:space="0" w:color="auto"/>
            </w:tcBorders>
            <w:shd w:val="clear" w:color="auto" w:fill="auto"/>
            <w:noWrap/>
            <w:vAlign w:val="bottom"/>
          </w:tcPr>
          <w:p w:rsidR="004E5C5C" w:rsidRPr="00172415" w:rsidRDefault="004E5C5C" w:rsidP="00167AEA">
            <w:pPr>
              <w:rPr>
                <w:sz w:val="24"/>
              </w:rPr>
            </w:pPr>
            <w:r w:rsidRPr="00172415">
              <w:rPr>
                <w:sz w:val="24"/>
              </w:rPr>
              <w:t>1,162,310,929</w:t>
            </w:r>
          </w:p>
        </w:tc>
        <w:tc>
          <w:tcPr>
            <w:tcW w:w="2846" w:type="dxa"/>
            <w:tcBorders>
              <w:top w:val="nil"/>
              <w:left w:val="nil"/>
              <w:bottom w:val="single" w:sz="4" w:space="0" w:color="auto"/>
              <w:right w:val="single" w:sz="8" w:space="0" w:color="auto"/>
            </w:tcBorders>
            <w:shd w:val="clear" w:color="auto" w:fill="auto"/>
            <w:vAlign w:val="bottom"/>
          </w:tcPr>
          <w:p w:rsidR="004E5C5C" w:rsidRPr="00D420CB" w:rsidRDefault="004E5C5C" w:rsidP="00167AEA">
            <w:pPr>
              <w:rPr>
                <w:sz w:val="24"/>
              </w:rPr>
            </w:pPr>
            <w:r w:rsidRPr="00D420CB">
              <w:rPr>
                <w:sz w:val="24"/>
              </w:rPr>
              <w:t xml:space="preserve">The </w:t>
            </w:r>
            <w:r>
              <w:rPr>
                <w:sz w:val="24"/>
              </w:rPr>
              <w:t>number</w:t>
            </w:r>
            <w:r w:rsidRPr="00D420CB">
              <w:rPr>
                <w:sz w:val="24"/>
              </w:rPr>
              <w:t xml:space="preserve"> is based on FFS claims in 2008 </w:t>
            </w:r>
          </w:p>
        </w:tc>
      </w:tr>
      <w:tr w:rsidR="004E5C5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4E5C5C" w:rsidRPr="00D420CB" w:rsidRDefault="00EA5890" w:rsidP="00167AEA">
            <w:pPr>
              <w:rPr>
                <w:sz w:val="24"/>
              </w:rPr>
            </w:pPr>
            <w:r>
              <w:rPr>
                <w:sz w:val="24"/>
              </w:rPr>
              <w:t>B</w:t>
            </w:r>
          </w:p>
        </w:tc>
        <w:tc>
          <w:tcPr>
            <w:tcW w:w="3247" w:type="dxa"/>
            <w:tcBorders>
              <w:top w:val="nil"/>
              <w:left w:val="nil"/>
              <w:bottom w:val="single" w:sz="4" w:space="0" w:color="auto"/>
              <w:right w:val="single" w:sz="4" w:space="0" w:color="auto"/>
            </w:tcBorders>
            <w:shd w:val="clear" w:color="auto" w:fill="auto"/>
            <w:vAlign w:val="bottom"/>
          </w:tcPr>
          <w:p w:rsidR="004E5C5C" w:rsidRPr="00D420CB" w:rsidRDefault="004E5C5C" w:rsidP="00167AEA">
            <w:pPr>
              <w:rPr>
                <w:caps/>
                <w:sz w:val="24"/>
              </w:rPr>
            </w:pPr>
            <w:r w:rsidRPr="00D420CB">
              <w:rPr>
                <w:caps/>
                <w:sz w:val="24"/>
              </w:rPr>
              <w:t>number of ffs enrollees per year</w:t>
            </w:r>
          </w:p>
        </w:tc>
        <w:tc>
          <w:tcPr>
            <w:tcW w:w="3737" w:type="dxa"/>
            <w:tcBorders>
              <w:top w:val="nil"/>
              <w:left w:val="nil"/>
              <w:bottom w:val="single" w:sz="4" w:space="0" w:color="auto"/>
              <w:right w:val="single" w:sz="4" w:space="0" w:color="auto"/>
            </w:tcBorders>
            <w:shd w:val="clear" w:color="auto" w:fill="auto"/>
            <w:noWrap/>
            <w:vAlign w:val="bottom"/>
          </w:tcPr>
          <w:p w:rsidR="004E5C5C" w:rsidRPr="00172415" w:rsidRDefault="004E5C5C" w:rsidP="00167AEA">
            <w:pPr>
              <w:rPr>
                <w:sz w:val="24"/>
              </w:rPr>
            </w:pPr>
            <w:r w:rsidRPr="00172415">
              <w:rPr>
                <w:sz w:val="24"/>
              </w:rPr>
              <w:t>35,554,955</w:t>
            </w:r>
          </w:p>
        </w:tc>
        <w:tc>
          <w:tcPr>
            <w:tcW w:w="2846" w:type="dxa"/>
            <w:tcBorders>
              <w:top w:val="nil"/>
              <w:left w:val="nil"/>
              <w:bottom w:val="single" w:sz="4" w:space="0" w:color="auto"/>
              <w:right w:val="single" w:sz="8" w:space="0" w:color="auto"/>
            </w:tcBorders>
            <w:shd w:val="clear" w:color="auto" w:fill="auto"/>
            <w:vAlign w:val="bottom"/>
          </w:tcPr>
          <w:p w:rsidR="004E5C5C" w:rsidRPr="00D420CB" w:rsidRDefault="00CF22BF" w:rsidP="00167AEA">
            <w:pPr>
              <w:rPr>
                <w:sz w:val="24"/>
              </w:rPr>
            </w:pPr>
            <w:r>
              <w:rPr>
                <w:sz w:val="24"/>
              </w:rPr>
              <w:t>Based on 2008 enrollment data</w:t>
            </w:r>
          </w:p>
        </w:tc>
      </w:tr>
      <w:tr w:rsidR="004E5C5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4E5C5C" w:rsidRPr="00D420CB" w:rsidRDefault="00EA5890" w:rsidP="00167AEA">
            <w:pPr>
              <w:rPr>
                <w:sz w:val="24"/>
              </w:rPr>
            </w:pPr>
            <w:r>
              <w:rPr>
                <w:sz w:val="24"/>
              </w:rPr>
              <w:t>C</w:t>
            </w:r>
          </w:p>
        </w:tc>
        <w:tc>
          <w:tcPr>
            <w:tcW w:w="3247" w:type="dxa"/>
            <w:tcBorders>
              <w:top w:val="nil"/>
              <w:left w:val="nil"/>
              <w:bottom w:val="single" w:sz="4" w:space="0" w:color="auto"/>
              <w:right w:val="single" w:sz="4" w:space="0" w:color="auto"/>
            </w:tcBorders>
            <w:shd w:val="clear" w:color="auto" w:fill="auto"/>
            <w:vAlign w:val="bottom"/>
          </w:tcPr>
          <w:p w:rsidR="004E5C5C" w:rsidRPr="00D420CB" w:rsidRDefault="004E5C5C" w:rsidP="00167AEA">
            <w:pPr>
              <w:rPr>
                <w:caps/>
                <w:sz w:val="24"/>
              </w:rPr>
            </w:pPr>
            <w:r w:rsidRPr="00D420CB">
              <w:rPr>
                <w:caps/>
                <w:sz w:val="24"/>
              </w:rPr>
              <w:t>Frequency of Response</w:t>
            </w:r>
          </w:p>
        </w:tc>
        <w:tc>
          <w:tcPr>
            <w:tcW w:w="3737" w:type="dxa"/>
            <w:tcBorders>
              <w:top w:val="nil"/>
              <w:left w:val="nil"/>
              <w:bottom w:val="single" w:sz="4" w:space="0" w:color="auto"/>
              <w:right w:val="single" w:sz="4" w:space="0" w:color="auto"/>
            </w:tcBorders>
            <w:shd w:val="clear" w:color="auto" w:fill="auto"/>
            <w:noWrap/>
            <w:vAlign w:val="bottom"/>
          </w:tcPr>
          <w:p w:rsidR="004E5C5C" w:rsidRPr="00172415" w:rsidRDefault="00881CCE" w:rsidP="00167AEA">
            <w:pPr>
              <w:rPr>
                <w:sz w:val="24"/>
              </w:rPr>
            </w:pPr>
            <w:r>
              <w:rPr>
                <w:sz w:val="24"/>
              </w:rPr>
              <w:t>42.5</w:t>
            </w:r>
          </w:p>
        </w:tc>
        <w:tc>
          <w:tcPr>
            <w:tcW w:w="2846" w:type="dxa"/>
            <w:tcBorders>
              <w:top w:val="nil"/>
              <w:left w:val="nil"/>
              <w:bottom w:val="single" w:sz="4" w:space="0" w:color="auto"/>
              <w:right w:val="single" w:sz="8" w:space="0" w:color="auto"/>
            </w:tcBorders>
            <w:shd w:val="clear" w:color="auto" w:fill="auto"/>
            <w:vAlign w:val="bottom"/>
          </w:tcPr>
          <w:p w:rsidR="004E5C5C" w:rsidRPr="00D420CB" w:rsidRDefault="00CF22BF" w:rsidP="00167AEA">
            <w:pPr>
              <w:rPr>
                <w:sz w:val="24"/>
              </w:rPr>
            </w:pPr>
            <w:r>
              <w:rPr>
                <w:sz w:val="24"/>
              </w:rPr>
              <w:t>A</w:t>
            </w:r>
            <w:r w:rsidR="004E5C5C" w:rsidRPr="00D420CB">
              <w:rPr>
                <w:sz w:val="24"/>
              </w:rPr>
              <w:t>verage encounte</w:t>
            </w:r>
            <w:r w:rsidR="00EA5890">
              <w:rPr>
                <w:sz w:val="24"/>
              </w:rPr>
              <w:t>rs per beneficiary per year = (A) divided by (B</w:t>
            </w:r>
            <w:r w:rsidR="004E5C5C" w:rsidRPr="00D420CB">
              <w:rPr>
                <w:sz w:val="24"/>
              </w:rPr>
              <w:t>)</w:t>
            </w:r>
            <w:r w:rsidR="00881CCE">
              <w:rPr>
                <w:sz w:val="24"/>
              </w:rPr>
              <w:t>, Add 30% for chart review</w:t>
            </w:r>
          </w:p>
        </w:tc>
      </w:tr>
      <w:tr w:rsidR="004E5C5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4E5C5C" w:rsidRPr="00D420CB" w:rsidRDefault="00EA5890" w:rsidP="00167AEA">
            <w:pPr>
              <w:rPr>
                <w:sz w:val="24"/>
              </w:rPr>
            </w:pPr>
            <w:r>
              <w:rPr>
                <w:sz w:val="24"/>
              </w:rPr>
              <w:t>D</w:t>
            </w:r>
          </w:p>
        </w:tc>
        <w:tc>
          <w:tcPr>
            <w:tcW w:w="3247" w:type="dxa"/>
            <w:tcBorders>
              <w:top w:val="nil"/>
              <w:left w:val="nil"/>
              <w:bottom w:val="single" w:sz="4" w:space="0" w:color="auto"/>
              <w:right w:val="single" w:sz="4" w:space="0" w:color="auto"/>
            </w:tcBorders>
            <w:shd w:val="clear" w:color="auto" w:fill="auto"/>
            <w:vAlign w:val="bottom"/>
          </w:tcPr>
          <w:p w:rsidR="004E5C5C" w:rsidRPr="00D420CB" w:rsidRDefault="004E5C5C" w:rsidP="00167AEA">
            <w:pPr>
              <w:rPr>
                <w:caps/>
                <w:sz w:val="24"/>
              </w:rPr>
            </w:pPr>
            <w:r w:rsidRPr="00D420CB">
              <w:rPr>
                <w:caps/>
                <w:sz w:val="24"/>
              </w:rPr>
              <w:t xml:space="preserve">Number of Medicare Beneficiaries enrolled in MA and MA-PD plans per year </w:t>
            </w:r>
          </w:p>
        </w:tc>
        <w:tc>
          <w:tcPr>
            <w:tcW w:w="3737" w:type="dxa"/>
            <w:tcBorders>
              <w:top w:val="nil"/>
              <w:left w:val="nil"/>
              <w:bottom w:val="single" w:sz="4" w:space="0" w:color="auto"/>
              <w:right w:val="single" w:sz="4" w:space="0" w:color="auto"/>
            </w:tcBorders>
            <w:shd w:val="clear" w:color="auto" w:fill="auto"/>
            <w:noWrap/>
            <w:vAlign w:val="bottom"/>
          </w:tcPr>
          <w:p w:rsidR="004E5C5C" w:rsidRPr="00172415" w:rsidRDefault="004E6D3C" w:rsidP="00167AEA">
            <w:pPr>
              <w:rPr>
                <w:sz w:val="24"/>
              </w:rPr>
            </w:pPr>
            <w:r>
              <w:rPr>
                <w:sz w:val="24"/>
              </w:rPr>
              <w:t>11,744,375</w:t>
            </w:r>
          </w:p>
        </w:tc>
        <w:tc>
          <w:tcPr>
            <w:tcW w:w="2846" w:type="dxa"/>
            <w:tcBorders>
              <w:top w:val="nil"/>
              <w:left w:val="nil"/>
              <w:bottom w:val="single" w:sz="4" w:space="0" w:color="auto"/>
              <w:right w:val="single" w:sz="8" w:space="0" w:color="auto"/>
            </w:tcBorders>
            <w:shd w:val="clear" w:color="auto" w:fill="auto"/>
            <w:vAlign w:val="bottom"/>
          </w:tcPr>
          <w:p w:rsidR="004E5C5C" w:rsidRPr="00D420CB" w:rsidRDefault="004E5C5C" w:rsidP="00167AEA">
            <w:pPr>
              <w:rPr>
                <w:sz w:val="24"/>
              </w:rPr>
            </w:pPr>
            <w:r>
              <w:rPr>
                <w:sz w:val="24"/>
              </w:rPr>
              <w:t>N</w:t>
            </w:r>
            <w:r w:rsidRPr="00D420CB">
              <w:rPr>
                <w:sz w:val="24"/>
              </w:rPr>
              <w:t>umber of Medicare beneficiaries enrolled in Part C</w:t>
            </w:r>
          </w:p>
        </w:tc>
      </w:tr>
      <w:tr w:rsidR="008D4E2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8D4E2C" w:rsidRDefault="008D4E2C" w:rsidP="00167AEA">
            <w:pPr>
              <w:rPr>
                <w:sz w:val="24"/>
              </w:rPr>
            </w:pPr>
            <w:r>
              <w:rPr>
                <w:sz w:val="24"/>
              </w:rPr>
              <w:t>E</w:t>
            </w:r>
          </w:p>
        </w:tc>
        <w:tc>
          <w:tcPr>
            <w:tcW w:w="3247" w:type="dxa"/>
            <w:tcBorders>
              <w:top w:val="nil"/>
              <w:left w:val="nil"/>
              <w:bottom w:val="single" w:sz="4" w:space="0" w:color="auto"/>
              <w:right w:val="single" w:sz="4" w:space="0" w:color="auto"/>
            </w:tcBorders>
            <w:shd w:val="clear" w:color="auto" w:fill="auto"/>
            <w:vAlign w:val="bottom"/>
          </w:tcPr>
          <w:p w:rsidR="008D4E2C" w:rsidRDefault="008D4E2C" w:rsidP="00167AEA">
            <w:pPr>
              <w:rPr>
                <w:caps/>
                <w:sz w:val="24"/>
              </w:rPr>
            </w:pPr>
            <w:r>
              <w:rPr>
                <w:caps/>
                <w:sz w:val="24"/>
              </w:rPr>
              <w:t>Number of Medicare beneficiaries in pace organization per year</w:t>
            </w:r>
          </w:p>
        </w:tc>
        <w:tc>
          <w:tcPr>
            <w:tcW w:w="3737" w:type="dxa"/>
            <w:tcBorders>
              <w:top w:val="nil"/>
              <w:left w:val="nil"/>
              <w:bottom w:val="single" w:sz="4" w:space="0" w:color="auto"/>
              <w:right w:val="single" w:sz="4" w:space="0" w:color="auto"/>
            </w:tcBorders>
            <w:shd w:val="clear" w:color="auto" w:fill="auto"/>
            <w:noWrap/>
            <w:vAlign w:val="bottom"/>
          </w:tcPr>
          <w:p w:rsidR="008D4E2C" w:rsidRDefault="008D4E2C" w:rsidP="00167AEA">
            <w:pPr>
              <w:rPr>
                <w:sz w:val="24"/>
              </w:rPr>
            </w:pPr>
            <w:r>
              <w:rPr>
                <w:sz w:val="24"/>
              </w:rPr>
              <w:t>20,000</w:t>
            </w:r>
          </w:p>
        </w:tc>
        <w:tc>
          <w:tcPr>
            <w:tcW w:w="2846" w:type="dxa"/>
            <w:tcBorders>
              <w:top w:val="nil"/>
              <w:left w:val="nil"/>
              <w:bottom w:val="single" w:sz="4" w:space="0" w:color="auto"/>
              <w:right w:val="single" w:sz="8" w:space="0" w:color="auto"/>
            </w:tcBorders>
            <w:shd w:val="clear" w:color="auto" w:fill="auto"/>
            <w:vAlign w:val="bottom"/>
          </w:tcPr>
          <w:p w:rsidR="008D4E2C" w:rsidRDefault="008D4E2C" w:rsidP="008D4E2C">
            <w:pPr>
              <w:rPr>
                <w:sz w:val="24"/>
              </w:rPr>
            </w:pPr>
            <w:r>
              <w:rPr>
                <w:sz w:val="24"/>
              </w:rPr>
              <w:t>Number of Medicare beneficiaries enrolled in PACE</w:t>
            </w:r>
          </w:p>
        </w:tc>
      </w:tr>
      <w:tr w:rsidR="008D4E2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8D4E2C" w:rsidRDefault="008D4E2C" w:rsidP="00167AEA">
            <w:pPr>
              <w:rPr>
                <w:sz w:val="24"/>
              </w:rPr>
            </w:pPr>
            <w:r>
              <w:rPr>
                <w:sz w:val="24"/>
              </w:rPr>
              <w:t>F</w:t>
            </w:r>
          </w:p>
        </w:tc>
        <w:tc>
          <w:tcPr>
            <w:tcW w:w="3247" w:type="dxa"/>
            <w:tcBorders>
              <w:top w:val="nil"/>
              <w:left w:val="nil"/>
              <w:bottom w:val="single" w:sz="4" w:space="0" w:color="auto"/>
              <w:right w:val="single" w:sz="4" w:space="0" w:color="auto"/>
            </w:tcBorders>
            <w:shd w:val="clear" w:color="auto" w:fill="auto"/>
            <w:vAlign w:val="bottom"/>
          </w:tcPr>
          <w:p w:rsidR="008D4E2C" w:rsidRDefault="008D4E2C" w:rsidP="008D4E2C">
            <w:pPr>
              <w:rPr>
                <w:caps/>
                <w:sz w:val="24"/>
              </w:rPr>
            </w:pPr>
            <w:r>
              <w:rPr>
                <w:caps/>
                <w:sz w:val="24"/>
              </w:rPr>
              <w:t>number of medicare beneficiaries in Cost HMO</w:t>
            </w:r>
            <w:r w:rsidRPr="00D420CB">
              <w:rPr>
                <w:sz w:val="24"/>
              </w:rPr>
              <w:t>s</w:t>
            </w:r>
            <w:r>
              <w:rPr>
                <w:caps/>
                <w:sz w:val="24"/>
              </w:rPr>
              <w:t>/CMP</w:t>
            </w:r>
            <w:r w:rsidRPr="00D420CB">
              <w:rPr>
                <w:sz w:val="24"/>
              </w:rPr>
              <w:t>s</w:t>
            </w:r>
          </w:p>
        </w:tc>
        <w:tc>
          <w:tcPr>
            <w:tcW w:w="3737" w:type="dxa"/>
            <w:tcBorders>
              <w:top w:val="nil"/>
              <w:left w:val="nil"/>
              <w:bottom w:val="single" w:sz="4" w:space="0" w:color="auto"/>
              <w:right w:val="single" w:sz="4" w:space="0" w:color="auto"/>
            </w:tcBorders>
            <w:shd w:val="clear" w:color="auto" w:fill="auto"/>
            <w:noWrap/>
            <w:vAlign w:val="bottom"/>
          </w:tcPr>
          <w:p w:rsidR="008D4E2C" w:rsidRDefault="003C1D1B" w:rsidP="00167AEA">
            <w:pPr>
              <w:rPr>
                <w:sz w:val="24"/>
              </w:rPr>
            </w:pPr>
            <w:r>
              <w:rPr>
                <w:sz w:val="24"/>
              </w:rPr>
              <w:t>358,000</w:t>
            </w:r>
          </w:p>
        </w:tc>
        <w:tc>
          <w:tcPr>
            <w:tcW w:w="2846" w:type="dxa"/>
            <w:tcBorders>
              <w:top w:val="nil"/>
              <w:left w:val="nil"/>
              <w:bottom w:val="single" w:sz="4" w:space="0" w:color="auto"/>
              <w:right w:val="single" w:sz="8" w:space="0" w:color="auto"/>
            </w:tcBorders>
            <w:shd w:val="clear" w:color="auto" w:fill="auto"/>
            <w:vAlign w:val="bottom"/>
          </w:tcPr>
          <w:p w:rsidR="008D4E2C" w:rsidRDefault="008D4E2C" w:rsidP="00167AEA">
            <w:pPr>
              <w:rPr>
                <w:sz w:val="24"/>
              </w:rPr>
            </w:pPr>
            <w:r>
              <w:rPr>
                <w:sz w:val="24"/>
              </w:rPr>
              <w:t>Number of Medicare beneficiaries enrolled in Cost HMOs/CMPs</w:t>
            </w:r>
          </w:p>
        </w:tc>
      </w:tr>
      <w:tr w:rsidR="008D4E2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8D4E2C" w:rsidRDefault="008D4E2C" w:rsidP="00167AEA">
            <w:pPr>
              <w:rPr>
                <w:sz w:val="24"/>
              </w:rPr>
            </w:pPr>
            <w:r>
              <w:rPr>
                <w:sz w:val="24"/>
              </w:rPr>
              <w:t>G</w:t>
            </w:r>
          </w:p>
        </w:tc>
        <w:tc>
          <w:tcPr>
            <w:tcW w:w="3247" w:type="dxa"/>
            <w:tcBorders>
              <w:top w:val="nil"/>
              <w:left w:val="nil"/>
              <w:bottom w:val="single" w:sz="4" w:space="0" w:color="auto"/>
              <w:right w:val="single" w:sz="4" w:space="0" w:color="auto"/>
            </w:tcBorders>
            <w:shd w:val="clear" w:color="auto" w:fill="auto"/>
            <w:vAlign w:val="bottom"/>
          </w:tcPr>
          <w:p w:rsidR="008D4E2C" w:rsidRDefault="008D4E2C" w:rsidP="00167AEA">
            <w:pPr>
              <w:rPr>
                <w:caps/>
                <w:sz w:val="24"/>
              </w:rPr>
            </w:pPr>
            <w:r>
              <w:rPr>
                <w:caps/>
                <w:sz w:val="24"/>
              </w:rPr>
              <w:t>NUMBER OF MEDICARE BENEFICIARIES IN HCPP</w:t>
            </w:r>
            <w:r w:rsidRPr="00D420CB">
              <w:rPr>
                <w:sz w:val="24"/>
              </w:rPr>
              <w:t>s</w:t>
            </w:r>
          </w:p>
        </w:tc>
        <w:tc>
          <w:tcPr>
            <w:tcW w:w="3737" w:type="dxa"/>
            <w:tcBorders>
              <w:top w:val="nil"/>
              <w:left w:val="nil"/>
              <w:bottom w:val="single" w:sz="4" w:space="0" w:color="auto"/>
              <w:right w:val="single" w:sz="4" w:space="0" w:color="auto"/>
            </w:tcBorders>
            <w:shd w:val="clear" w:color="auto" w:fill="auto"/>
            <w:noWrap/>
            <w:vAlign w:val="bottom"/>
          </w:tcPr>
          <w:p w:rsidR="008D4E2C" w:rsidRDefault="008D4E2C" w:rsidP="00167AEA">
            <w:pPr>
              <w:rPr>
                <w:sz w:val="24"/>
              </w:rPr>
            </w:pPr>
            <w:r>
              <w:rPr>
                <w:sz w:val="24"/>
              </w:rPr>
              <w:t>61,000</w:t>
            </w:r>
          </w:p>
        </w:tc>
        <w:tc>
          <w:tcPr>
            <w:tcW w:w="2846" w:type="dxa"/>
            <w:tcBorders>
              <w:top w:val="nil"/>
              <w:left w:val="nil"/>
              <w:bottom w:val="single" w:sz="4" w:space="0" w:color="auto"/>
              <w:right w:val="single" w:sz="8" w:space="0" w:color="auto"/>
            </w:tcBorders>
            <w:shd w:val="clear" w:color="auto" w:fill="auto"/>
            <w:vAlign w:val="bottom"/>
          </w:tcPr>
          <w:p w:rsidR="008D4E2C" w:rsidRDefault="008D4E2C" w:rsidP="00167AEA">
            <w:pPr>
              <w:rPr>
                <w:sz w:val="24"/>
              </w:rPr>
            </w:pPr>
            <w:r>
              <w:rPr>
                <w:sz w:val="24"/>
              </w:rPr>
              <w:t>Number of Medicare beneficiaries enrolled in HCPPs</w:t>
            </w:r>
          </w:p>
        </w:tc>
      </w:tr>
      <w:tr w:rsidR="004E5C5C" w:rsidRPr="00D420CB" w:rsidTr="004E5C5C">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4E5C5C" w:rsidRPr="00D420CB" w:rsidRDefault="008D4E2C" w:rsidP="00167AEA">
            <w:pPr>
              <w:rPr>
                <w:sz w:val="24"/>
              </w:rPr>
            </w:pPr>
            <w:r>
              <w:rPr>
                <w:sz w:val="24"/>
              </w:rPr>
              <w:t>H</w:t>
            </w:r>
          </w:p>
        </w:tc>
        <w:tc>
          <w:tcPr>
            <w:tcW w:w="3247" w:type="dxa"/>
            <w:tcBorders>
              <w:top w:val="nil"/>
              <w:left w:val="nil"/>
              <w:bottom w:val="single" w:sz="4" w:space="0" w:color="auto"/>
              <w:right w:val="single" w:sz="4" w:space="0" w:color="auto"/>
            </w:tcBorders>
            <w:shd w:val="clear" w:color="auto" w:fill="auto"/>
            <w:vAlign w:val="bottom"/>
          </w:tcPr>
          <w:p w:rsidR="004E5C5C" w:rsidRPr="00D420CB" w:rsidRDefault="004E5C5C" w:rsidP="00167AEA">
            <w:pPr>
              <w:rPr>
                <w:caps/>
                <w:sz w:val="24"/>
              </w:rPr>
            </w:pPr>
            <w:r>
              <w:rPr>
                <w:caps/>
                <w:sz w:val="24"/>
              </w:rPr>
              <w:t>Number of projected MA encounters per year</w:t>
            </w:r>
          </w:p>
        </w:tc>
        <w:tc>
          <w:tcPr>
            <w:tcW w:w="3737" w:type="dxa"/>
            <w:tcBorders>
              <w:top w:val="nil"/>
              <w:left w:val="nil"/>
              <w:bottom w:val="single" w:sz="4" w:space="0" w:color="auto"/>
              <w:right w:val="single" w:sz="4" w:space="0" w:color="auto"/>
            </w:tcBorders>
            <w:shd w:val="clear" w:color="auto" w:fill="auto"/>
            <w:noWrap/>
            <w:vAlign w:val="bottom"/>
          </w:tcPr>
          <w:p w:rsidR="004E5C5C" w:rsidRPr="00172415" w:rsidRDefault="000E4A0A" w:rsidP="008F6C23">
            <w:pPr>
              <w:rPr>
                <w:sz w:val="24"/>
              </w:rPr>
            </w:pPr>
            <w:r>
              <w:rPr>
                <w:sz w:val="24"/>
              </w:rPr>
              <w:t>517,793,438</w:t>
            </w:r>
          </w:p>
        </w:tc>
        <w:tc>
          <w:tcPr>
            <w:tcW w:w="2846" w:type="dxa"/>
            <w:tcBorders>
              <w:top w:val="nil"/>
              <w:left w:val="nil"/>
              <w:bottom w:val="single" w:sz="4" w:space="0" w:color="auto"/>
              <w:right w:val="single" w:sz="8" w:space="0" w:color="auto"/>
            </w:tcBorders>
            <w:shd w:val="clear" w:color="auto" w:fill="auto"/>
            <w:vAlign w:val="bottom"/>
          </w:tcPr>
          <w:p w:rsidR="004E5C5C" w:rsidRPr="00D420CB" w:rsidRDefault="00EA5890" w:rsidP="00167AEA">
            <w:pPr>
              <w:rPr>
                <w:sz w:val="24"/>
              </w:rPr>
            </w:pPr>
            <w:r>
              <w:rPr>
                <w:sz w:val="24"/>
              </w:rPr>
              <w:t>C</w:t>
            </w:r>
            <w:r w:rsidR="004E5C5C">
              <w:rPr>
                <w:sz w:val="24"/>
              </w:rPr>
              <w:t xml:space="preserve"> multiplied by </w:t>
            </w:r>
            <w:r w:rsidR="003C1D1B">
              <w:rPr>
                <w:sz w:val="24"/>
              </w:rPr>
              <w:t>(</w:t>
            </w:r>
            <w:r>
              <w:rPr>
                <w:sz w:val="24"/>
              </w:rPr>
              <w:t>D</w:t>
            </w:r>
            <w:r w:rsidR="008D4E2C">
              <w:rPr>
                <w:sz w:val="24"/>
              </w:rPr>
              <w:t>+</w:t>
            </w:r>
            <w:r w:rsidR="003C1D1B">
              <w:rPr>
                <w:sz w:val="24"/>
              </w:rPr>
              <w:t>E+F+G)*</w:t>
            </w:r>
          </w:p>
        </w:tc>
      </w:tr>
    </w:tbl>
    <w:p w:rsidR="004E5C5C" w:rsidRDefault="003C1D1B" w:rsidP="00E0009A">
      <w:pPr>
        <w:pStyle w:val="BodyTextIndent"/>
        <w:tabs>
          <w:tab w:val="left" w:pos="360"/>
          <w:tab w:val="left" w:pos="720"/>
        </w:tabs>
        <w:ind w:left="0"/>
        <w:rPr>
          <w:sz w:val="24"/>
        </w:rPr>
      </w:pPr>
      <w:r>
        <w:rPr>
          <w:sz w:val="24"/>
        </w:rPr>
        <w:t>*We made no adjustment to account for lower volume of encounters expected from “billing option (1)” Cost HMOs/CMPs and HCPPs - which will not submit Part A claims.  Impact estimated at less than</w:t>
      </w:r>
      <w:r w:rsidR="007205DF">
        <w:rPr>
          <w:sz w:val="24"/>
        </w:rPr>
        <w:t xml:space="preserve"> .3%</w:t>
      </w:r>
      <w:r>
        <w:rPr>
          <w:sz w:val="24"/>
        </w:rPr>
        <w:t xml:space="preserve"> </w:t>
      </w:r>
      <w:r w:rsidR="007205DF">
        <w:rPr>
          <w:sz w:val="24"/>
        </w:rPr>
        <w:t>.</w:t>
      </w:r>
    </w:p>
    <w:p w:rsidR="004E5C5C" w:rsidRPr="00D420CB" w:rsidRDefault="004E5C5C" w:rsidP="00E0009A">
      <w:pPr>
        <w:pStyle w:val="BodyTextIndent"/>
        <w:tabs>
          <w:tab w:val="left" w:pos="360"/>
          <w:tab w:val="left" w:pos="720"/>
        </w:tabs>
        <w:ind w:left="0"/>
        <w:rPr>
          <w:sz w:val="24"/>
        </w:rPr>
      </w:pPr>
    </w:p>
    <w:p w:rsidR="000E6EDF" w:rsidRPr="000E6EDF" w:rsidRDefault="00E0009A" w:rsidP="000E6EDF">
      <w:pPr>
        <w:pStyle w:val="BodyTextIndent"/>
        <w:numPr>
          <w:ilvl w:val="0"/>
          <w:numId w:val="27"/>
        </w:numPr>
        <w:tabs>
          <w:tab w:val="left" w:pos="360"/>
          <w:tab w:val="left" w:pos="720"/>
        </w:tabs>
        <w:rPr>
          <w:sz w:val="24"/>
        </w:rPr>
      </w:pPr>
      <w:r w:rsidRPr="00D420CB">
        <w:rPr>
          <w:sz w:val="24"/>
          <w:u w:val="single"/>
        </w:rPr>
        <w:t xml:space="preserve">Number of </w:t>
      </w:r>
      <w:r w:rsidR="008B6FC6" w:rsidRPr="00D420CB">
        <w:rPr>
          <w:sz w:val="24"/>
          <w:u w:val="single"/>
        </w:rPr>
        <w:t>MA/MA-PD</w:t>
      </w:r>
      <w:r w:rsidR="007205DF">
        <w:rPr>
          <w:sz w:val="24"/>
          <w:u w:val="single"/>
        </w:rPr>
        <w:t>, PACE, and Cost Plan</w:t>
      </w:r>
      <w:r w:rsidRPr="00D420CB">
        <w:rPr>
          <w:sz w:val="24"/>
          <w:u w:val="single"/>
        </w:rPr>
        <w:t xml:space="preserve"> Contracts (Respondents)</w:t>
      </w:r>
      <w:r w:rsidRPr="00D420CB">
        <w:rPr>
          <w:sz w:val="24"/>
        </w:rPr>
        <w:t xml:space="preserve">:  The number </w:t>
      </w:r>
      <w:r w:rsidRPr="00D420CB">
        <w:rPr>
          <w:sz w:val="24"/>
        </w:rPr>
        <w:lastRenderedPageBreak/>
        <w:t xml:space="preserve">of </w:t>
      </w:r>
      <w:r w:rsidR="008B6FC6" w:rsidRPr="00D420CB">
        <w:rPr>
          <w:sz w:val="24"/>
        </w:rPr>
        <w:t>MA/MA-PD</w:t>
      </w:r>
      <w:r w:rsidR="007205DF">
        <w:rPr>
          <w:sz w:val="24"/>
        </w:rPr>
        <w:t>, PACE and Cost Plan</w:t>
      </w:r>
      <w:r w:rsidR="000E6EDF">
        <w:rPr>
          <w:sz w:val="24"/>
        </w:rPr>
        <w:t xml:space="preserve"> </w:t>
      </w:r>
      <w:r w:rsidRPr="00D420CB">
        <w:rPr>
          <w:sz w:val="24"/>
        </w:rPr>
        <w:t xml:space="preserve">contracts per year is </w:t>
      </w:r>
      <w:r w:rsidR="007205DF">
        <w:rPr>
          <w:sz w:val="24"/>
        </w:rPr>
        <w:t>827</w:t>
      </w:r>
      <w:r w:rsidR="004E6D3C" w:rsidRPr="00D420CB">
        <w:rPr>
          <w:sz w:val="24"/>
        </w:rPr>
        <w:t xml:space="preserve"> </w:t>
      </w:r>
      <w:r w:rsidRPr="00D420CB">
        <w:rPr>
          <w:sz w:val="24"/>
        </w:rPr>
        <w:t>(based on 20</w:t>
      </w:r>
      <w:r w:rsidR="004E6D3C">
        <w:rPr>
          <w:sz w:val="24"/>
        </w:rPr>
        <w:t>11</w:t>
      </w:r>
      <w:r w:rsidRPr="00D420CB">
        <w:rPr>
          <w:sz w:val="24"/>
        </w:rPr>
        <w:t xml:space="preserve"> data). </w:t>
      </w:r>
    </w:p>
    <w:p w:rsidR="00E0009A" w:rsidRDefault="00E0009A" w:rsidP="00E0009A">
      <w:pPr>
        <w:pStyle w:val="BodyTextIndent"/>
        <w:tabs>
          <w:tab w:val="left" w:pos="360"/>
          <w:tab w:val="left" w:pos="720"/>
        </w:tabs>
        <w:ind w:left="0"/>
        <w:rPr>
          <w:sz w:val="24"/>
        </w:rPr>
      </w:pPr>
    </w:p>
    <w:tbl>
      <w:tblPr>
        <w:tblW w:w="10260" w:type="dxa"/>
        <w:tblInd w:w="93" w:type="dxa"/>
        <w:tblLook w:val="0000" w:firstRow="0" w:lastRow="0" w:firstColumn="0" w:lastColumn="0" w:noHBand="0" w:noVBand="0"/>
      </w:tblPr>
      <w:tblGrid>
        <w:gridCol w:w="390"/>
        <w:gridCol w:w="3247"/>
        <w:gridCol w:w="3737"/>
        <w:gridCol w:w="2886"/>
      </w:tblGrid>
      <w:tr w:rsidR="00167AEA" w:rsidRPr="00D420CB" w:rsidTr="00167AEA">
        <w:trPr>
          <w:trHeight w:val="255"/>
        </w:trPr>
        <w:tc>
          <w:tcPr>
            <w:tcW w:w="10260" w:type="dxa"/>
            <w:gridSpan w:val="4"/>
            <w:tcBorders>
              <w:top w:val="single" w:sz="8" w:space="0" w:color="auto"/>
              <w:left w:val="single" w:sz="8" w:space="0" w:color="auto"/>
              <w:bottom w:val="nil"/>
              <w:right w:val="single" w:sz="8" w:space="0" w:color="000000"/>
            </w:tcBorders>
            <w:shd w:val="clear" w:color="auto" w:fill="auto"/>
            <w:noWrap/>
            <w:vAlign w:val="bottom"/>
          </w:tcPr>
          <w:p w:rsidR="00167AEA" w:rsidRPr="00D420CB" w:rsidRDefault="00167AEA" w:rsidP="00167AEA">
            <w:pPr>
              <w:jc w:val="center"/>
              <w:rPr>
                <w:b/>
                <w:sz w:val="24"/>
              </w:rPr>
            </w:pPr>
            <w:r>
              <w:rPr>
                <w:b/>
                <w:sz w:val="24"/>
              </w:rPr>
              <w:t>TABLE 2</w:t>
            </w:r>
          </w:p>
        </w:tc>
      </w:tr>
      <w:tr w:rsidR="00167AEA" w:rsidRPr="00D420CB" w:rsidTr="00167AEA">
        <w:trPr>
          <w:trHeight w:val="255"/>
        </w:trPr>
        <w:tc>
          <w:tcPr>
            <w:tcW w:w="283" w:type="dxa"/>
            <w:tcBorders>
              <w:top w:val="single" w:sz="4" w:space="0" w:color="auto"/>
              <w:left w:val="single" w:sz="8" w:space="0" w:color="auto"/>
              <w:bottom w:val="single" w:sz="4" w:space="0" w:color="auto"/>
              <w:right w:val="single" w:sz="4" w:space="0" w:color="auto"/>
            </w:tcBorders>
            <w:shd w:val="clear" w:color="auto" w:fill="auto"/>
            <w:noWrap/>
            <w:vAlign w:val="bottom"/>
          </w:tcPr>
          <w:p w:rsidR="00167AEA" w:rsidRPr="00D420CB" w:rsidRDefault="00167AEA" w:rsidP="00167AEA">
            <w:pPr>
              <w:rPr>
                <w:sz w:val="24"/>
              </w:rPr>
            </w:pPr>
            <w:r w:rsidRPr="00D420CB">
              <w:rPr>
                <w:sz w:val="24"/>
              </w:rPr>
              <w:t> </w:t>
            </w:r>
          </w:p>
        </w:tc>
        <w:tc>
          <w:tcPr>
            <w:tcW w:w="3247" w:type="dxa"/>
            <w:tcBorders>
              <w:top w:val="single" w:sz="4" w:space="0" w:color="auto"/>
              <w:left w:val="nil"/>
              <w:bottom w:val="single" w:sz="4" w:space="0" w:color="auto"/>
              <w:right w:val="single" w:sz="4" w:space="0" w:color="auto"/>
            </w:tcBorders>
            <w:shd w:val="clear" w:color="auto" w:fill="auto"/>
            <w:vAlign w:val="bottom"/>
          </w:tcPr>
          <w:p w:rsidR="00167AEA" w:rsidRPr="00D420CB" w:rsidRDefault="00167AEA" w:rsidP="00167AEA">
            <w:pPr>
              <w:rPr>
                <w:sz w:val="24"/>
              </w:rPr>
            </w:pPr>
            <w:r w:rsidRPr="00D420CB">
              <w:rPr>
                <w:sz w:val="24"/>
              </w:rPr>
              <w:t> </w:t>
            </w:r>
          </w:p>
        </w:tc>
        <w:tc>
          <w:tcPr>
            <w:tcW w:w="3737" w:type="dxa"/>
            <w:tcBorders>
              <w:top w:val="single" w:sz="4" w:space="0" w:color="auto"/>
              <w:left w:val="nil"/>
              <w:bottom w:val="single" w:sz="4" w:space="0" w:color="auto"/>
              <w:right w:val="single" w:sz="4" w:space="0" w:color="auto"/>
            </w:tcBorders>
            <w:shd w:val="clear" w:color="auto" w:fill="auto"/>
            <w:noWrap/>
            <w:vAlign w:val="bottom"/>
          </w:tcPr>
          <w:p w:rsidR="00167AEA" w:rsidRPr="00D420CB" w:rsidRDefault="00167AEA" w:rsidP="00167AEA">
            <w:pPr>
              <w:rPr>
                <w:sz w:val="24"/>
              </w:rPr>
            </w:pPr>
            <w:r w:rsidRPr="00D420CB">
              <w:rPr>
                <w:sz w:val="24"/>
              </w:rPr>
              <w:t> </w:t>
            </w:r>
          </w:p>
        </w:tc>
        <w:tc>
          <w:tcPr>
            <w:tcW w:w="2993" w:type="dxa"/>
            <w:tcBorders>
              <w:top w:val="single" w:sz="4" w:space="0" w:color="auto"/>
              <w:left w:val="nil"/>
              <w:bottom w:val="single" w:sz="4" w:space="0" w:color="auto"/>
              <w:right w:val="single" w:sz="8" w:space="0" w:color="auto"/>
            </w:tcBorders>
            <w:shd w:val="clear" w:color="auto" w:fill="auto"/>
            <w:vAlign w:val="bottom"/>
          </w:tcPr>
          <w:p w:rsidR="00167AEA" w:rsidRPr="00D420CB" w:rsidRDefault="00167AEA" w:rsidP="00167AEA">
            <w:pPr>
              <w:jc w:val="center"/>
              <w:rPr>
                <w:sz w:val="24"/>
              </w:rPr>
            </w:pPr>
            <w:r w:rsidRPr="00D420CB">
              <w:rPr>
                <w:sz w:val="24"/>
              </w:rPr>
              <w:t>NOTES</w:t>
            </w:r>
          </w:p>
        </w:tc>
      </w:tr>
      <w:tr w:rsidR="00167AEA" w:rsidRPr="00D420CB" w:rsidTr="00167AEA">
        <w:trPr>
          <w:trHeight w:val="765"/>
        </w:trPr>
        <w:tc>
          <w:tcPr>
            <w:tcW w:w="283" w:type="dxa"/>
            <w:tcBorders>
              <w:top w:val="nil"/>
              <w:left w:val="single" w:sz="8" w:space="0" w:color="auto"/>
              <w:bottom w:val="single" w:sz="4" w:space="0" w:color="auto"/>
              <w:right w:val="single" w:sz="4" w:space="0" w:color="auto"/>
            </w:tcBorders>
            <w:shd w:val="clear" w:color="auto" w:fill="auto"/>
            <w:noWrap/>
            <w:vAlign w:val="bottom"/>
          </w:tcPr>
          <w:p w:rsidR="00167AEA" w:rsidRPr="00D420CB" w:rsidRDefault="00167AEA" w:rsidP="00167AEA">
            <w:pPr>
              <w:rPr>
                <w:sz w:val="24"/>
              </w:rPr>
            </w:pPr>
            <w:r w:rsidRPr="00D420CB">
              <w:rPr>
                <w:sz w:val="24"/>
              </w:rPr>
              <w:t>A</w:t>
            </w:r>
          </w:p>
        </w:tc>
        <w:tc>
          <w:tcPr>
            <w:tcW w:w="3247" w:type="dxa"/>
            <w:tcBorders>
              <w:top w:val="nil"/>
              <w:left w:val="nil"/>
              <w:bottom w:val="single" w:sz="4" w:space="0" w:color="auto"/>
              <w:right w:val="single" w:sz="4" w:space="0" w:color="auto"/>
            </w:tcBorders>
            <w:shd w:val="clear" w:color="auto" w:fill="auto"/>
            <w:vAlign w:val="bottom"/>
          </w:tcPr>
          <w:p w:rsidR="00167AEA" w:rsidRPr="00D420CB" w:rsidRDefault="00167AEA" w:rsidP="00167AEA">
            <w:pPr>
              <w:rPr>
                <w:caps/>
                <w:sz w:val="24"/>
              </w:rPr>
            </w:pPr>
            <w:r w:rsidRPr="00D420CB">
              <w:rPr>
                <w:caps/>
                <w:sz w:val="24"/>
              </w:rPr>
              <w:t>Number of Respondents</w:t>
            </w:r>
          </w:p>
        </w:tc>
        <w:tc>
          <w:tcPr>
            <w:tcW w:w="3737" w:type="dxa"/>
            <w:tcBorders>
              <w:top w:val="nil"/>
              <w:left w:val="nil"/>
              <w:bottom w:val="single" w:sz="4" w:space="0" w:color="auto"/>
              <w:right w:val="single" w:sz="4" w:space="0" w:color="auto"/>
            </w:tcBorders>
            <w:shd w:val="clear" w:color="auto" w:fill="auto"/>
            <w:noWrap/>
            <w:vAlign w:val="bottom"/>
          </w:tcPr>
          <w:p w:rsidR="00167AEA" w:rsidRPr="00172415" w:rsidRDefault="007205DF" w:rsidP="00167AEA">
            <w:pPr>
              <w:rPr>
                <w:sz w:val="24"/>
              </w:rPr>
            </w:pPr>
            <w:r>
              <w:rPr>
                <w:sz w:val="24"/>
              </w:rPr>
              <w:t>827</w:t>
            </w:r>
          </w:p>
        </w:tc>
        <w:tc>
          <w:tcPr>
            <w:tcW w:w="2993" w:type="dxa"/>
            <w:tcBorders>
              <w:top w:val="nil"/>
              <w:left w:val="nil"/>
              <w:bottom w:val="single" w:sz="4" w:space="0" w:color="auto"/>
              <w:right w:val="single" w:sz="8" w:space="0" w:color="auto"/>
            </w:tcBorders>
            <w:shd w:val="clear" w:color="auto" w:fill="auto"/>
            <w:vAlign w:val="bottom"/>
          </w:tcPr>
          <w:p w:rsidR="00167AEA" w:rsidRPr="00D420CB" w:rsidRDefault="007205DF" w:rsidP="00881CCE">
            <w:pPr>
              <w:rPr>
                <w:sz w:val="24"/>
              </w:rPr>
            </w:pPr>
            <w:r>
              <w:rPr>
                <w:sz w:val="24"/>
              </w:rPr>
              <w:t>827</w:t>
            </w:r>
            <w:r w:rsidRPr="00D420CB">
              <w:rPr>
                <w:sz w:val="24"/>
              </w:rPr>
              <w:t xml:space="preserve"> </w:t>
            </w:r>
            <w:r w:rsidR="00167AEA" w:rsidRPr="00D420CB">
              <w:rPr>
                <w:sz w:val="24"/>
              </w:rPr>
              <w:t>is the number of Part C</w:t>
            </w:r>
            <w:r w:rsidR="00881CCE">
              <w:rPr>
                <w:sz w:val="24"/>
              </w:rPr>
              <w:t>,</w:t>
            </w:r>
            <w:r w:rsidR="00167AEA" w:rsidRPr="00D420CB">
              <w:rPr>
                <w:sz w:val="24"/>
              </w:rPr>
              <w:t xml:space="preserve"> </w:t>
            </w:r>
            <w:r>
              <w:rPr>
                <w:sz w:val="24"/>
              </w:rPr>
              <w:t xml:space="preserve">PACE </w:t>
            </w:r>
            <w:r w:rsidR="00167AEA" w:rsidRPr="00D420CB">
              <w:rPr>
                <w:sz w:val="24"/>
              </w:rPr>
              <w:t>contracts</w:t>
            </w:r>
            <w:r>
              <w:rPr>
                <w:sz w:val="24"/>
              </w:rPr>
              <w:t>, and cost plans</w:t>
            </w:r>
            <w:r w:rsidR="00167AEA" w:rsidRPr="00D420CB">
              <w:rPr>
                <w:sz w:val="24"/>
              </w:rPr>
              <w:t xml:space="preserve"> from </w:t>
            </w:r>
            <w:r w:rsidR="004E6D3C">
              <w:rPr>
                <w:sz w:val="24"/>
              </w:rPr>
              <w:t>2011</w:t>
            </w:r>
          </w:p>
        </w:tc>
      </w:tr>
    </w:tbl>
    <w:p w:rsidR="00167AEA" w:rsidRDefault="00167AEA" w:rsidP="00E0009A">
      <w:pPr>
        <w:pStyle w:val="BodyTextIndent"/>
        <w:tabs>
          <w:tab w:val="left" w:pos="360"/>
          <w:tab w:val="left" w:pos="720"/>
        </w:tabs>
        <w:ind w:left="0"/>
        <w:rPr>
          <w:sz w:val="24"/>
        </w:rPr>
      </w:pPr>
    </w:p>
    <w:p w:rsidR="00167AEA" w:rsidRPr="00D420CB" w:rsidRDefault="00167AEA" w:rsidP="00E0009A">
      <w:pPr>
        <w:pStyle w:val="BodyTextIndent"/>
        <w:tabs>
          <w:tab w:val="left" w:pos="360"/>
          <w:tab w:val="left" w:pos="720"/>
        </w:tabs>
        <w:ind w:left="0"/>
        <w:rPr>
          <w:sz w:val="24"/>
        </w:rPr>
      </w:pPr>
    </w:p>
    <w:p w:rsidR="00881CCE" w:rsidRPr="00D420CB" w:rsidRDefault="007B00F3" w:rsidP="00A0497D">
      <w:pPr>
        <w:pStyle w:val="BodyTextIndent"/>
        <w:tabs>
          <w:tab w:val="left" w:pos="360"/>
          <w:tab w:val="left" w:pos="720"/>
        </w:tabs>
        <w:ind w:left="0"/>
        <w:rPr>
          <w:sz w:val="24"/>
        </w:rPr>
      </w:pPr>
      <w:r>
        <w:rPr>
          <w:sz w:val="24"/>
          <w:u w:val="single"/>
        </w:rPr>
        <w:t xml:space="preserve">c)  </w:t>
      </w:r>
      <w:r w:rsidR="00E0009A" w:rsidRPr="007D284F">
        <w:rPr>
          <w:sz w:val="24"/>
          <w:u w:val="single"/>
        </w:rPr>
        <w:t>Time Required to Process Data</w:t>
      </w:r>
      <w:r w:rsidR="00E0009A" w:rsidRPr="007D284F">
        <w:rPr>
          <w:sz w:val="24"/>
        </w:rPr>
        <w:t xml:space="preserve">:  The third factor that contributes to the burden estimate for submitting </w:t>
      </w:r>
      <w:r w:rsidR="00833E76" w:rsidRPr="007D284F">
        <w:rPr>
          <w:sz w:val="24"/>
        </w:rPr>
        <w:t xml:space="preserve">encounter </w:t>
      </w:r>
      <w:r w:rsidR="00E0009A" w:rsidRPr="007D284F">
        <w:rPr>
          <w:sz w:val="24"/>
        </w:rPr>
        <w:t xml:space="preserve">data depends upon the time and effort necessary to complete data transaction activities. Since our regulations require plans/sponsors to submit </w:t>
      </w:r>
      <w:r w:rsidR="00833E76" w:rsidRPr="007D284F">
        <w:rPr>
          <w:sz w:val="24"/>
        </w:rPr>
        <w:t>encounter d</w:t>
      </w:r>
      <w:r w:rsidR="00E0009A" w:rsidRPr="007D284F">
        <w:rPr>
          <w:sz w:val="24"/>
        </w:rPr>
        <w:t xml:space="preserve">ata to CMS that can be linked at the individual level to Part A and Part B data in a form and manner similar to the </w:t>
      </w:r>
      <w:r w:rsidR="00534261" w:rsidRPr="007D284F">
        <w:rPr>
          <w:sz w:val="24"/>
        </w:rPr>
        <w:t>current processes for risk adjustment and prescription drug event data</w:t>
      </w:r>
      <w:r w:rsidR="00E0009A" w:rsidRPr="007D284F">
        <w:rPr>
          <w:color w:val="000000"/>
          <w:sz w:val="24"/>
        </w:rPr>
        <w:t>, the data transaction timeframes will be based on risk adjustment (Part C) and prescription drug industry experiences.  Moreover, o</w:t>
      </w:r>
      <w:r w:rsidR="00E0009A" w:rsidRPr="007D284F">
        <w:rPr>
          <w:sz w:val="24"/>
        </w:rPr>
        <w:t xml:space="preserve">ur </w:t>
      </w:r>
      <w:r w:rsidR="00534261" w:rsidRPr="007D284F">
        <w:rPr>
          <w:sz w:val="24"/>
        </w:rPr>
        <w:t xml:space="preserve">encounter </w:t>
      </w:r>
      <w:r w:rsidR="00E0009A" w:rsidRPr="007D284F">
        <w:rPr>
          <w:sz w:val="24"/>
        </w:rPr>
        <w:t xml:space="preserve">data submission format will only support electronic formats. The industry’s estimated average processing time for electronic data submission is </w:t>
      </w:r>
      <w:r w:rsidR="008F6C23">
        <w:rPr>
          <w:sz w:val="24"/>
        </w:rPr>
        <w:t>15,000</w:t>
      </w:r>
      <w:r w:rsidR="00E0009A" w:rsidRPr="007D284F">
        <w:rPr>
          <w:sz w:val="24"/>
        </w:rPr>
        <w:t xml:space="preserve"> records</w:t>
      </w:r>
      <w:r w:rsidR="00ED3018">
        <w:rPr>
          <w:sz w:val="24"/>
        </w:rPr>
        <w:t xml:space="preserve"> or transactions</w:t>
      </w:r>
      <w:r w:rsidR="00CA073E">
        <w:rPr>
          <w:sz w:val="24"/>
        </w:rPr>
        <w:t xml:space="preserve"> per hour</w:t>
      </w:r>
      <w:r w:rsidR="00E0009A" w:rsidRPr="007D284F">
        <w:rPr>
          <w:sz w:val="24"/>
        </w:rPr>
        <w:t xml:space="preserve">.  </w:t>
      </w:r>
      <w:r w:rsidR="007D284F">
        <w:rPr>
          <w:sz w:val="24"/>
        </w:rPr>
        <w:t xml:space="preserve">Since we project </w:t>
      </w:r>
      <w:r w:rsidR="008F6C23">
        <w:rPr>
          <w:sz w:val="24"/>
        </w:rPr>
        <w:t>517,793,438</w:t>
      </w:r>
      <w:r w:rsidR="007D284F">
        <w:rPr>
          <w:sz w:val="24"/>
        </w:rPr>
        <w:t xml:space="preserve"> transactions, we expect </w:t>
      </w:r>
      <w:r w:rsidR="008F6C23">
        <w:rPr>
          <w:sz w:val="24"/>
        </w:rPr>
        <w:t>34,520</w:t>
      </w:r>
      <w:r w:rsidR="007D284F">
        <w:rPr>
          <w:sz w:val="24"/>
        </w:rPr>
        <w:t xml:space="preserve"> transaction hours</w:t>
      </w:r>
      <w:r w:rsidR="008F6C23">
        <w:rPr>
          <w:sz w:val="24"/>
        </w:rPr>
        <w:t xml:space="preserve"> for the industry</w:t>
      </w:r>
      <w:r w:rsidR="007D284F">
        <w:rPr>
          <w:sz w:val="24"/>
        </w:rPr>
        <w:t>.</w:t>
      </w:r>
      <w:r w:rsidR="007D284F" w:rsidRPr="00D420CB">
        <w:rPr>
          <w:sz w:val="24"/>
        </w:rPr>
        <w:t xml:space="preserve">   </w:t>
      </w:r>
      <w:r w:rsidR="00ED3018" w:rsidRPr="007D284F">
        <w:rPr>
          <w:sz w:val="24"/>
        </w:rPr>
        <w:t>The risk adjustment estimated average annual electronic processing time cost per hour is $15.00.</w:t>
      </w:r>
      <w:r w:rsidR="00ED3018" w:rsidRPr="007D284F">
        <w:rPr>
          <w:color w:val="000000"/>
          <w:sz w:val="24"/>
        </w:rPr>
        <w:t xml:space="preserve">  </w:t>
      </w:r>
      <w:r w:rsidR="008F6C23">
        <w:rPr>
          <w:color w:val="000000"/>
          <w:sz w:val="24"/>
        </w:rPr>
        <w:t>We have doubled th</w:t>
      </w:r>
      <w:r w:rsidR="00A0497D">
        <w:rPr>
          <w:color w:val="000000"/>
          <w:sz w:val="24"/>
        </w:rPr>
        <w:t xml:space="preserve">is cost for encounters, because of the increased amount of data that must be processed.  This brings the estimated annual electronic processing time cost per hour to $30.00.  </w:t>
      </w:r>
      <w:r w:rsidR="00ED3018" w:rsidRPr="007D284F">
        <w:rPr>
          <w:sz w:val="24"/>
        </w:rPr>
        <w:t xml:space="preserve">Thus, the estimated </w:t>
      </w:r>
      <w:r w:rsidR="00ED3018">
        <w:rPr>
          <w:sz w:val="24"/>
        </w:rPr>
        <w:t xml:space="preserve">cost of transaction hours is </w:t>
      </w:r>
      <w:r w:rsidR="00A0497D">
        <w:rPr>
          <w:sz w:val="24"/>
        </w:rPr>
        <w:t>$1,035,600</w:t>
      </w:r>
      <w:r w:rsidR="00ED3018">
        <w:rPr>
          <w:sz w:val="24"/>
        </w:rPr>
        <w:t xml:space="preserve">.  We divided this by the number of </w:t>
      </w:r>
      <w:r w:rsidR="007205DF">
        <w:rPr>
          <w:sz w:val="24"/>
        </w:rPr>
        <w:t>managed care</w:t>
      </w:r>
      <w:r w:rsidR="00ED3018">
        <w:rPr>
          <w:sz w:val="24"/>
        </w:rPr>
        <w:t xml:space="preserve"> beneficiaries to get the cost of encounter transactions per beneficiary and multiply this by the average number of beneficiaries in the plan to get the cost per plan.</w:t>
      </w:r>
      <w:r w:rsidR="00ED3018" w:rsidRPr="007D284F">
        <w:rPr>
          <w:sz w:val="24"/>
        </w:rPr>
        <w:t xml:space="preserve"> </w:t>
      </w:r>
      <w:r w:rsidR="00ED3018">
        <w:rPr>
          <w:sz w:val="24"/>
        </w:rPr>
        <w:t xml:space="preserve"> </w:t>
      </w:r>
      <w:r w:rsidR="007D284F">
        <w:rPr>
          <w:sz w:val="24"/>
        </w:rPr>
        <w:t>T</w:t>
      </w:r>
      <w:r w:rsidR="00E0009A" w:rsidRPr="007D284F">
        <w:rPr>
          <w:sz w:val="24"/>
        </w:rPr>
        <w:t>he estimated cost for that effort is $</w:t>
      </w:r>
      <w:r w:rsidR="00C07DEA" w:rsidRPr="00C07DEA">
        <w:rPr>
          <w:sz w:val="24"/>
        </w:rPr>
        <w:t xml:space="preserve"> </w:t>
      </w:r>
      <w:r w:rsidR="00A0497D">
        <w:rPr>
          <w:sz w:val="24"/>
        </w:rPr>
        <w:t xml:space="preserve">1,325.88 </w:t>
      </w:r>
      <w:r w:rsidR="00C07DEA">
        <w:rPr>
          <w:sz w:val="24"/>
        </w:rPr>
        <w:t xml:space="preserve"> </w:t>
      </w:r>
      <w:r w:rsidR="00EB2E65" w:rsidRPr="007D284F">
        <w:rPr>
          <w:sz w:val="24"/>
        </w:rPr>
        <w:t>per plan per year</w:t>
      </w:r>
      <w:r w:rsidR="00E0009A" w:rsidRPr="007D284F">
        <w:rPr>
          <w:sz w:val="24"/>
        </w:rPr>
        <w:t>.</w:t>
      </w:r>
      <w:r w:rsidR="00B241A4">
        <w:rPr>
          <w:sz w:val="24"/>
        </w:rPr>
        <w:t xml:space="preserve">  These calculations are illustrated in Table 3 below.</w:t>
      </w:r>
      <w:r w:rsidR="007D284F" w:rsidRPr="007D284F">
        <w:rPr>
          <w:sz w:val="24"/>
        </w:rPr>
        <w:t xml:space="preserve">  </w:t>
      </w:r>
    </w:p>
    <w:tbl>
      <w:tblPr>
        <w:tblW w:w="10260" w:type="dxa"/>
        <w:tblInd w:w="93" w:type="dxa"/>
        <w:tblLook w:val="0000" w:firstRow="0" w:lastRow="0" w:firstColumn="0" w:lastColumn="0" w:noHBand="0" w:noVBand="0"/>
      </w:tblPr>
      <w:tblGrid>
        <w:gridCol w:w="430"/>
        <w:gridCol w:w="3247"/>
        <w:gridCol w:w="3737"/>
        <w:gridCol w:w="2846"/>
      </w:tblGrid>
      <w:tr w:rsidR="00167AEA" w:rsidRPr="00D420CB" w:rsidTr="00167AEA">
        <w:trPr>
          <w:trHeight w:val="255"/>
        </w:trPr>
        <w:tc>
          <w:tcPr>
            <w:tcW w:w="10260" w:type="dxa"/>
            <w:gridSpan w:val="4"/>
            <w:tcBorders>
              <w:top w:val="single" w:sz="8" w:space="0" w:color="auto"/>
              <w:left w:val="single" w:sz="8" w:space="0" w:color="auto"/>
              <w:bottom w:val="nil"/>
              <w:right w:val="single" w:sz="8" w:space="0" w:color="000000"/>
            </w:tcBorders>
            <w:shd w:val="clear" w:color="auto" w:fill="auto"/>
            <w:noWrap/>
            <w:vAlign w:val="bottom"/>
          </w:tcPr>
          <w:p w:rsidR="00167AEA" w:rsidRPr="00D420CB" w:rsidRDefault="00167AEA" w:rsidP="00167AEA">
            <w:pPr>
              <w:jc w:val="center"/>
              <w:rPr>
                <w:b/>
                <w:sz w:val="24"/>
              </w:rPr>
            </w:pPr>
            <w:r>
              <w:rPr>
                <w:b/>
                <w:sz w:val="24"/>
              </w:rPr>
              <w:t>TABLE 3</w:t>
            </w:r>
          </w:p>
        </w:tc>
      </w:tr>
      <w:tr w:rsidR="00167AEA" w:rsidRPr="00D420CB" w:rsidTr="00167AEA">
        <w:trPr>
          <w:trHeight w:val="255"/>
        </w:trPr>
        <w:tc>
          <w:tcPr>
            <w:tcW w:w="43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67AEA" w:rsidRPr="00D420CB" w:rsidRDefault="00167AEA" w:rsidP="00167AEA">
            <w:pPr>
              <w:rPr>
                <w:sz w:val="24"/>
              </w:rPr>
            </w:pPr>
            <w:r w:rsidRPr="00D420CB">
              <w:rPr>
                <w:sz w:val="24"/>
              </w:rPr>
              <w:t> </w:t>
            </w:r>
          </w:p>
        </w:tc>
        <w:tc>
          <w:tcPr>
            <w:tcW w:w="3247" w:type="dxa"/>
            <w:tcBorders>
              <w:top w:val="single" w:sz="4" w:space="0" w:color="auto"/>
              <w:left w:val="nil"/>
              <w:bottom w:val="single" w:sz="4" w:space="0" w:color="auto"/>
              <w:right w:val="single" w:sz="4" w:space="0" w:color="auto"/>
            </w:tcBorders>
            <w:shd w:val="clear" w:color="auto" w:fill="auto"/>
            <w:vAlign w:val="bottom"/>
          </w:tcPr>
          <w:p w:rsidR="00167AEA" w:rsidRPr="00D420CB" w:rsidRDefault="00167AEA" w:rsidP="00167AEA">
            <w:pPr>
              <w:rPr>
                <w:sz w:val="24"/>
              </w:rPr>
            </w:pPr>
            <w:r w:rsidRPr="00D420CB">
              <w:rPr>
                <w:sz w:val="24"/>
              </w:rPr>
              <w:t> </w:t>
            </w:r>
          </w:p>
        </w:tc>
        <w:tc>
          <w:tcPr>
            <w:tcW w:w="3737" w:type="dxa"/>
            <w:tcBorders>
              <w:top w:val="single" w:sz="4" w:space="0" w:color="auto"/>
              <w:left w:val="nil"/>
              <w:bottom w:val="single" w:sz="4" w:space="0" w:color="auto"/>
              <w:right w:val="single" w:sz="4" w:space="0" w:color="auto"/>
            </w:tcBorders>
            <w:shd w:val="clear" w:color="auto" w:fill="auto"/>
            <w:noWrap/>
            <w:vAlign w:val="bottom"/>
          </w:tcPr>
          <w:p w:rsidR="00167AEA" w:rsidRPr="00D420CB" w:rsidRDefault="00167AEA" w:rsidP="00167AEA">
            <w:pPr>
              <w:rPr>
                <w:sz w:val="24"/>
              </w:rPr>
            </w:pPr>
            <w:r w:rsidRPr="00D420CB">
              <w:rPr>
                <w:sz w:val="24"/>
              </w:rPr>
              <w:t> </w:t>
            </w:r>
          </w:p>
        </w:tc>
        <w:tc>
          <w:tcPr>
            <w:tcW w:w="2846" w:type="dxa"/>
            <w:tcBorders>
              <w:top w:val="single" w:sz="4" w:space="0" w:color="auto"/>
              <w:left w:val="nil"/>
              <w:bottom w:val="single" w:sz="4" w:space="0" w:color="auto"/>
              <w:right w:val="single" w:sz="8" w:space="0" w:color="auto"/>
            </w:tcBorders>
            <w:shd w:val="clear" w:color="auto" w:fill="auto"/>
            <w:vAlign w:val="bottom"/>
          </w:tcPr>
          <w:p w:rsidR="00167AEA" w:rsidRPr="00D420CB" w:rsidRDefault="00167AEA" w:rsidP="00167AEA">
            <w:pPr>
              <w:jc w:val="center"/>
              <w:rPr>
                <w:sz w:val="24"/>
              </w:rPr>
            </w:pPr>
            <w:r w:rsidRPr="00D420CB">
              <w:rPr>
                <w:sz w:val="24"/>
              </w:rPr>
              <w:t>NOTES</w:t>
            </w:r>
          </w:p>
        </w:tc>
      </w:tr>
      <w:tr w:rsidR="005D572A"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5D572A" w:rsidRPr="00D420CB" w:rsidRDefault="005D572A" w:rsidP="00167AEA">
            <w:pPr>
              <w:rPr>
                <w:sz w:val="24"/>
              </w:rPr>
            </w:pPr>
            <w:r w:rsidRPr="00D420CB">
              <w:rPr>
                <w:sz w:val="24"/>
              </w:rPr>
              <w:t>A</w:t>
            </w:r>
          </w:p>
        </w:tc>
        <w:tc>
          <w:tcPr>
            <w:tcW w:w="3247" w:type="dxa"/>
            <w:tcBorders>
              <w:top w:val="nil"/>
              <w:left w:val="nil"/>
              <w:bottom w:val="single" w:sz="4" w:space="0" w:color="auto"/>
              <w:right w:val="single" w:sz="4" w:space="0" w:color="auto"/>
            </w:tcBorders>
            <w:shd w:val="clear" w:color="auto" w:fill="auto"/>
            <w:vAlign w:val="bottom"/>
          </w:tcPr>
          <w:p w:rsidR="005D572A" w:rsidRPr="00D420CB" w:rsidRDefault="005D572A" w:rsidP="00167AEA">
            <w:pPr>
              <w:rPr>
                <w:caps/>
                <w:sz w:val="24"/>
              </w:rPr>
            </w:pPr>
            <w:r w:rsidRPr="00D420CB">
              <w:rPr>
                <w:caps/>
                <w:sz w:val="24"/>
              </w:rPr>
              <w:t>Number of Respondents</w:t>
            </w:r>
          </w:p>
        </w:tc>
        <w:tc>
          <w:tcPr>
            <w:tcW w:w="3737" w:type="dxa"/>
            <w:tcBorders>
              <w:top w:val="nil"/>
              <w:left w:val="nil"/>
              <w:bottom w:val="single" w:sz="4" w:space="0" w:color="auto"/>
              <w:right w:val="single" w:sz="4" w:space="0" w:color="auto"/>
            </w:tcBorders>
            <w:shd w:val="clear" w:color="auto" w:fill="auto"/>
            <w:noWrap/>
            <w:vAlign w:val="bottom"/>
          </w:tcPr>
          <w:p w:rsidR="005D572A" w:rsidRPr="00172415" w:rsidRDefault="00881CCE" w:rsidP="000E4A0A">
            <w:pPr>
              <w:rPr>
                <w:sz w:val="24"/>
              </w:rPr>
            </w:pPr>
            <w:r>
              <w:rPr>
                <w:sz w:val="24"/>
              </w:rPr>
              <w:t>827</w:t>
            </w:r>
          </w:p>
        </w:tc>
        <w:tc>
          <w:tcPr>
            <w:tcW w:w="2846" w:type="dxa"/>
            <w:tcBorders>
              <w:top w:val="nil"/>
              <w:left w:val="nil"/>
              <w:bottom w:val="single" w:sz="4" w:space="0" w:color="auto"/>
              <w:right w:val="single" w:sz="8" w:space="0" w:color="auto"/>
            </w:tcBorders>
            <w:shd w:val="clear" w:color="auto" w:fill="auto"/>
            <w:vAlign w:val="bottom"/>
          </w:tcPr>
          <w:p w:rsidR="005D572A" w:rsidRPr="00D420CB" w:rsidRDefault="00881CCE" w:rsidP="007205DF">
            <w:pPr>
              <w:rPr>
                <w:sz w:val="24"/>
              </w:rPr>
            </w:pPr>
            <w:r>
              <w:rPr>
                <w:sz w:val="24"/>
              </w:rPr>
              <w:t>827</w:t>
            </w:r>
            <w:r w:rsidR="004E6D3C" w:rsidRPr="00D420CB">
              <w:rPr>
                <w:sz w:val="24"/>
              </w:rPr>
              <w:t xml:space="preserve"> is the number of </w:t>
            </w:r>
            <w:r w:rsidR="007205DF">
              <w:rPr>
                <w:sz w:val="24"/>
              </w:rPr>
              <w:t xml:space="preserve">managed care </w:t>
            </w:r>
            <w:r w:rsidR="004E6D3C" w:rsidRPr="00D420CB">
              <w:rPr>
                <w:sz w:val="24"/>
              </w:rPr>
              <w:t xml:space="preserve">contracts from </w:t>
            </w:r>
            <w:r w:rsidR="004E6D3C">
              <w:rPr>
                <w:sz w:val="24"/>
              </w:rPr>
              <w:t>2011</w:t>
            </w:r>
          </w:p>
        </w:tc>
      </w:tr>
      <w:tr w:rsidR="005D572A"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5D572A" w:rsidRPr="00D420CB" w:rsidRDefault="005D572A" w:rsidP="00167AEA">
            <w:pPr>
              <w:rPr>
                <w:sz w:val="24"/>
              </w:rPr>
            </w:pPr>
            <w:r w:rsidRPr="00D420CB">
              <w:rPr>
                <w:sz w:val="24"/>
              </w:rPr>
              <w:t>B</w:t>
            </w:r>
          </w:p>
        </w:tc>
        <w:tc>
          <w:tcPr>
            <w:tcW w:w="3247" w:type="dxa"/>
            <w:tcBorders>
              <w:top w:val="nil"/>
              <w:left w:val="nil"/>
              <w:bottom w:val="single" w:sz="4" w:space="0" w:color="auto"/>
              <w:right w:val="single" w:sz="4" w:space="0" w:color="auto"/>
            </w:tcBorders>
            <w:shd w:val="clear" w:color="auto" w:fill="auto"/>
            <w:vAlign w:val="bottom"/>
          </w:tcPr>
          <w:p w:rsidR="005D572A" w:rsidRPr="00D420CB" w:rsidRDefault="005D572A" w:rsidP="006C2DE6">
            <w:pPr>
              <w:rPr>
                <w:caps/>
                <w:sz w:val="24"/>
              </w:rPr>
            </w:pPr>
            <w:r w:rsidRPr="00D420CB">
              <w:rPr>
                <w:caps/>
                <w:sz w:val="24"/>
              </w:rPr>
              <w:t xml:space="preserve">Number of Medicare Beneficiaries enrolled in </w:t>
            </w:r>
            <w:r w:rsidR="006C2DE6">
              <w:rPr>
                <w:caps/>
                <w:sz w:val="24"/>
              </w:rPr>
              <w:t>Medicare managed care</w:t>
            </w:r>
            <w:r w:rsidRPr="00D420CB">
              <w:rPr>
                <w:caps/>
                <w:sz w:val="24"/>
              </w:rPr>
              <w:t xml:space="preserve"> plans per year </w:t>
            </w:r>
          </w:p>
        </w:tc>
        <w:tc>
          <w:tcPr>
            <w:tcW w:w="3737" w:type="dxa"/>
            <w:tcBorders>
              <w:top w:val="nil"/>
              <w:left w:val="nil"/>
              <w:bottom w:val="single" w:sz="4" w:space="0" w:color="auto"/>
              <w:right w:val="single" w:sz="4" w:space="0" w:color="auto"/>
            </w:tcBorders>
            <w:shd w:val="clear" w:color="auto" w:fill="auto"/>
            <w:noWrap/>
            <w:vAlign w:val="bottom"/>
          </w:tcPr>
          <w:p w:rsidR="005D572A" w:rsidRPr="00172415" w:rsidRDefault="006C2DE6" w:rsidP="00167AEA">
            <w:pPr>
              <w:rPr>
                <w:sz w:val="24"/>
              </w:rPr>
            </w:pPr>
            <w:r>
              <w:rPr>
                <w:sz w:val="24"/>
              </w:rPr>
              <w:t>12,183,375</w:t>
            </w:r>
          </w:p>
        </w:tc>
        <w:tc>
          <w:tcPr>
            <w:tcW w:w="2846" w:type="dxa"/>
            <w:tcBorders>
              <w:top w:val="nil"/>
              <w:left w:val="nil"/>
              <w:bottom w:val="single" w:sz="4" w:space="0" w:color="auto"/>
              <w:right w:val="single" w:sz="8" w:space="0" w:color="auto"/>
            </w:tcBorders>
            <w:shd w:val="clear" w:color="auto" w:fill="auto"/>
            <w:vAlign w:val="bottom"/>
          </w:tcPr>
          <w:p w:rsidR="005D572A" w:rsidRPr="00D420CB" w:rsidRDefault="005D572A" w:rsidP="006C2DE6">
            <w:pPr>
              <w:rPr>
                <w:sz w:val="24"/>
              </w:rPr>
            </w:pPr>
            <w:r>
              <w:rPr>
                <w:sz w:val="24"/>
              </w:rPr>
              <w:t>N</w:t>
            </w:r>
            <w:r w:rsidRPr="00D420CB">
              <w:rPr>
                <w:sz w:val="24"/>
              </w:rPr>
              <w:t xml:space="preserve">umber of Medicare </w:t>
            </w:r>
            <w:r w:rsidR="006C2DE6">
              <w:rPr>
                <w:sz w:val="24"/>
              </w:rPr>
              <w:t>managed care enrollees</w:t>
            </w:r>
            <w:r w:rsidRPr="00D420CB">
              <w:rPr>
                <w:sz w:val="24"/>
              </w:rPr>
              <w:t xml:space="preserve"> in Part C</w:t>
            </w:r>
            <w:r w:rsidR="006C2DE6">
              <w:rPr>
                <w:sz w:val="24"/>
              </w:rPr>
              <w:t>, PACE, Cost HMOs/CMPs and HCPPs</w:t>
            </w:r>
          </w:p>
        </w:tc>
      </w:tr>
      <w:tr w:rsidR="005D572A"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5D572A" w:rsidRPr="00D420CB" w:rsidRDefault="005D572A" w:rsidP="00167AEA">
            <w:pPr>
              <w:rPr>
                <w:sz w:val="24"/>
              </w:rPr>
            </w:pPr>
            <w:r w:rsidRPr="00D420CB">
              <w:rPr>
                <w:sz w:val="24"/>
              </w:rPr>
              <w:t>C</w:t>
            </w:r>
          </w:p>
        </w:tc>
        <w:tc>
          <w:tcPr>
            <w:tcW w:w="3247" w:type="dxa"/>
            <w:tcBorders>
              <w:top w:val="nil"/>
              <w:left w:val="nil"/>
              <w:bottom w:val="single" w:sz="4" w:space="0" w:color="auto"/>
              <w:right w:val="single" w:sz="4" w:space="0" w:color="auto"/>
            </w:tcBorders>
            <w:shd w:val="clear" w:color="auto" w:fill="auto"/>
            <w:vAlign w:val="bottom"/>
          </w:tcPr>
          <w:p w:rsidR="005D572A" w:rsidRPr="00D420CB" w:rsidRDefault="005D572A" w:rsidP="00167AEA">
            <w:pPr>
              <w:rPr>
                <w:caps/>
                <w:sz w:val="24"/>
              </w:rPr>
            </w:pPr>
            <w:r w:rsidRPr="00D420CB">
              <w:rPr>
                <w:caps/>
                <w:sz w:val="24"/>
              </w:rPr>
              <w:t>Average Number of ma and ma-pd Beneficiaries Per Plan</w:t>
            </w:r>
          </w:p>
        </w:tc>
        <w:tc>
          <w:tcPr>
            <w:tcW w:w="3737" w:type="dxa"/>
            <w:tcBorders>
              <w:top w:val="nil"/>
              <w:left w:val="nil"/>
              <w:bottom w:val="single" w:sz="4" w:space="0" w:color="auto"/>
              <w:right w:val="single" w:sz="4" w:space="0" w:color="auto"/>
            </w:tcBorders>
            <w:shd w:val="clear" w:color="auto" w:fill="auto"/>
            <w:noWrap/>
            <w:vAlign w:val="bottom"/>
          </w:tcPr>
          <w:p w:rsidR="005D572A" w:rsidRPr="00172415" w:rsidRDefault="000E4A0A" w:rsidP="00167AEA">
            <w:pPr>
              <w:rPr>
                <w:sz w:val="24"/>
              </w:rPr>
            </w:pPr>
            <w:r>
              <w:rPr>
                <w:sz w:val="24"/>
              </w:rPr>
              <w:t>14,732</w:t>
            </w:r>
          </w:p>
        </w:tc>
        <w:tc>
          <w:tcPr>
            <w:tcW w:w="2846" w:type="dxa"/>
            <w:tcBorders>
              <w:top w:val="nil"/>
              <w:left w:val="nil"/>
              <w:bottom w:val="single" w:sz="4" w:space="0" w:color="auto"/>
              <w:right w:val="single" w:sz="8" w:space="0" w:color="auto"/>
            </w:tcBorders>
            <w:shd w:val="clear" w:color="auto" w:fill="auto"/>
            <w:vAlign w:val="bottom"/>
          </w:tcPr>
          <w:p w:rsidR="005D572A" w:rsidRPr="00D420CB" w:rsidRDefault="005D572A" w:rsidP="00167AEA">
            <w:pPr>
              <w:rPr>
                <w:sz w:val="24"/>
              </w:rPr>
            </w:pPr>
            <w:r w:rsidRPr="00D420CB">
              <w:rPr>
                <w:sz w:val="24"/>
              </w:rPr>
              <w:t>(B) divided by (A)</w:t>
            </w:r>
          </w:p>
        </w:tc>
      </w:tr>
      <w:tr w:rsidR="00246A42"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246A42" w:rsidRDefault="00246A42" w:rsidP="00167AEA">
            <w:pPr>
              <w:rPr>
                <w:sz w:val="24"/>
              </w:rPr>
            </w:pPr>
            <w:r>
              <w:rPr>
                <w:sz w:val="24"/>
              </w:rPr>
              <w:t>D</w:t>
            </w:r>
          </w:p>
        </w:tc>
        <w:tc>
          <w:tcPr>
            <w:tcW w:w="3247" w:type="dxa"/>
            <w:tcBorders>
              <w:top w:val="nil"/>
              <w:left w:val="nil"/>
              <w:bottom w:val="single" w:sz="4" w:space="0" w:color="auto"/>
              <w:right w:val="single" w:sz="4" w:space="0" w:color="auto"/>
            </w:tcBorders>
            <w:shd w:val="clear" w:color="auto" w:fill="auto"/>
            <w:vAlign w:val="bottom"/>
          </w:tcPr>
          <w:p w:rsidR="00246A42" w:rsidRDefault="00246A42" w:rsidP="00167AEA">
            <w:pPr>
              <w:rPr>
                <w:caps/>
                <w:sz w:val="24"/>
              </w:rPr>
            </w:pPr>
            <w:r w:rsidRPr="00D420CB">
              <w:rPr>
                <w:caps/>
                <w:sz w:val="24"/>
              </w:rPr>
              <w:t>Frequency of Response</w:t>
            </w:r>
          </w:p>
        </w:tc>
        <w:tc>
          <w:tcPr>
            <w:tcW w:w="3737" w:type="dxa"/>
            <w:tcBorders>
              <w:top w:val="nil"/>
              <w:left w:val="nil"/>
              <w:bottom w:val="single" w:sz="4" w:space="0" w:color="auto"/>
              <w:right w:val="single" w:sz="4" w:space="0" w:color="auto"/>
            </w:tcBorders>
            <w:shd w:val="clear" w:color="auto" w:fill="auto"/>
            <w:noWrap/>
            <w:vAlign w:val="bottom"/>
          </w:tcPr>
          <w:p w:rsidR="00246A42" w:rsidRDefault="000E4A0A" w:rsidP="00167AEA">
            <w:pPr>
              <w:rPr>
                <w:sz w:val="24"/>
              </w:rPr>
            </w:pPr>
            <w:r>
              <w:rPr>
                <w:sz w:val="24"/>
              </w:rPr>
              <w:t>42.5</w:t>
            </w:r>
          </w:p>
        </w:tc>
        <w:tc>
          <w:tcPr>
            <w:tcW w:w="2846" w:type="dxa"/>
            <w:tcBorders>
              <w:top w:val="nil"/>
              <w:left w:val="nil"/>
              <w:bottom w:val="single" w:sz="4" w:space="0" w:color="auto"/>
              <w:right w:val="single" w:sz="8" w:space="0" w:color="auto"/>
            </w:tcBorders>
            <w:shd w:val="clear" w:color="auto" w:fill="auto"/>
            <w:vAlign w:val="bottom"/>
          </w:tcPr>
          <w:p w:rsidR="00246A42" w:rsidRDefault="002B2AD3" w:rsidP="00813858">
            <w:pPr>
              <w:rPr>
                <w:sz w:val="24"/>
              </w:rPr>
            </w:pPr>
            <w:r>
              <w:rPr>
                <w:sz w:val="24"/>
              </w:rPr>
              <w:t>A</w:t>
            </w:r>
            <w:r w:rsidR="00246A42" w:rsidRPr="00D420CB">
              <w:rPr>
                <w:sz w:val="24"/>
              </w:rPr>
              <w:t>verage encounte</w:t>
            </w:r>
            <w:r w:rsidR="00246A42">
              <w:rPr>
                <w:sz w:val="24"/>
              </w:rPr>
              <w:t xml:space="preserve">rs per beneficiary per year </w:t>
            </w:r>
            <w:r w:rsidR="00813858">
              <w:rPr>
                <w:sz w:val="24"/>
              </w:rPr>
              <w:t>from Table 1</w:t>
            </w:r>
          </w:p>
        </w:tc>
      </w:tr>
      <w:tr w:rsidR="00BE1E0D"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Default="00246A42" w:rsidP="00167AEA">
            <w:pPr>
              <w:rPr>
                <w:sz w:val="24"/>
              </w:rPr>
            </w:pPr>
            <w:r>
              <w:rPr>
                <w:sz w:val="24"/>
              </w:rPr>
              <w:lastRenderedPageBreak/>
              <w:t>E</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Pr>
                <w:caps/>
                <w:sz w:val="24"/>
              </w:rPr>
              <w:t>Number of projected MA encounters per year</w:t>
            </w:r>
            <w:r w:rsidR="006E4F45">
              <w:rPr>
                <w:caps/>
                <w:sz w:val="24"/>
              </w:rPr>
              <w:t xml:space="preserve"> </w:t>
            </w:r>
            <w:r w:rsidR="00D70F7F">
              <w:rPr>
                <w:caps/>
                <w:sz w:val="24"/>
              </w:rPr>
              <w:t>for industry</w:t>
            </w:r>
          </w:p>
        </w:tc>
        <w:tc>
          <w:tcPr>
            <w:tcW w:w="3737" w:type="dxa"/>
            <w:tcBorders>
              <w:top w:val="nil"/>
              <w:left w:val="nil"/>
              <w:bottom w:val="single" w:sz="4" w:space="0" w:color="auto"/>
              <w:right w:val="single" w:sz="4" w:space="0" w:color="auto"/>
            </w:tcBorders>
            <w:shd w:val="clear" w:color="auto" w:fill="auto"/>
            <w:noWrap/>
            <w:vAlign w:val="bottom"/>
          </w:tcPr>
          <w:p w:rsidR="00BE1E0D" w:rsidRPr="00172415" w:rsidRDefault="000E4A0A" w:rsidP="000E4A0A">
            <w:pPr>
              <w:rPr>
                <w:sz w:val="24"/>
              </w:rPr>
            </w:pPr>
            <w:r>
              <w:rPr>
                <w:sz w:val="24"/>
              </w:rPr>
              <w:t>517,793,438</w:t>
            </w: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246A42" w:rsidP="00167AEA">
            <w:pPr>
              <w:rPr>
                <w:sz w:val="24"/>
              </w:rPr>
            </w:pPr>
            <w:r>
              <w:rPr>
                <w:sz w:val="24"/>
              </w:rPr>
              <w:t>D</w:t>
            </w:r>
            <w:r w:rsidR="00BE1E0D">
              <w:rPr>
                <w:sz w:val="24"/>
              </w:rPr>
              <w:t xml:space="preserve"> multiplied by B</w:t>
            </w:r>
          </w:p>
        </w:tc>
      </w:tr>
      <w:tr w:rsidR="00BE1E0D" w:rsidRPr="00D420CB" w:rsidTr="00167AEA">
        <w:trPr>
          <w:trHeight w:val="510"/>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Pr="00D420CB" w:rsidRDefault="00246A42" w:rsidP="00167AEA">
            <w:pPr>
              <w:rPr>
                <w:sz w:val="24"/>
              </w:rPr>
            </w:pPr>
            <w:r>
              <w:rPr>
                <w:sz w:val="24"/>
              </w:rPr>
              <w:t>F</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Number of Transactions per Hour</w:t>
            </w:r>
          </w:p>
        </w:tc>
        <w:tc>
          <w:tcPr>
            <w:tcW w:w="3737" w:type="dxa"/>
            <w:tcBorders>
              <w:top w:val="nil"/>
              <w:left w:val="nil"/>
              <w:bottom w:val="single" w:sz="4" w:space="0" w:color="auto"/>
              <w:right w:val="single" w:sz="4" w:space="0" w:color="auto"/>
            </w:tcBorders>
            <w:shd w:val="clear" w:color="auto" w:fill="auto"/>
            <w:noWrap/>
            <w:vAlign w:val="bottom"/>
          </w:tcPr>
          <w:p w:rsidR="00BE1E0D" w:rsidRPr="00172415" w:rsidRDefault="000E4A0A" w:rsidP="00167AEA">
            <w:pPr>
              <w:rPr>
                <w:sz w:val="24"/>
              </w:rPr>
            </w:pPr>
            <w:r>
              <w:rPr>
                <w:sz w:val="24"/>
              </w:rPr>
              <w:t>15,000</w:t>
            </w: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BE1E0D" w:rsidP="00167AEA">
            <w:pPr>
              <w:rPr>
                <w:sz w:val="24"/>
              </w:rPr>
            </w:pPr>
            <w:r w:rsidRPr="00D420CB">
              <w:rPr>
                <w:sz w:val="24"/>
              </w:rPr>
              <w:t>Industry's estimated average processing volume per hour</w:t>
            </w:r>
          </w:p>
        </w:tc>
      </w:tr>
      <w:tr w:rsidR="00BE1E0D" w:rsidRPr="00D420CB" w:rsidTr="00167AEA">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Pr="00D420CB" w:rsidRDefault="00246A42" w:rsidP="00167AEA">
            <w:pPr>
              <w:rPr>
                <w:sz w:val="24"/>
              </w:rPr>
            </w:pPr>
            <w:r>
              <w:rPr>
                <w:sz w:val="24"/>
              </w:rPr>
              <w:t>G</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Total Annual Transaction Hours</w:t>
            </w:r>
          </w:p>
        </w:tc>
        <w:tc>
          <w:tcPr>
            <w:tcW w:w="3737" w:type="dxa"/>
            <w:tcBorders>
              <w:top w:val="nil"/>
              <w:left w:val="nil"/>
              <w:bottom w:val="single" w:sz="4" w:space="0" w:color="auto"/>
              <w:right w:val="single" w:sz="4" w:space="0" w:color="auto"/>
            </w:tcBorders>
            <w:shd w:val="clear" w:color="auto" w:fill="auto"/>
            <w:noWrap/>
            <w:vAlign w:val="bottom"/>
          </w:tcPr>
          <w:p w:rsidR="00BE1E0D" w:rsidRPr="00172415" w:rsidRDefault="000E4A0A" w:rsidP="006E4F45">
            <w:pPr>
              <w:rPr>
                <w:sz w:val="24"/>
              </w:rPr>
            </w:pPr>
            <w:r>
              <w:rPr>
                <w:sz w:val="24"/>
              </w:rPr>
              <w:t>34,520</w:t>
            </w: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BE1E0D" w:rsidP="00167AEA">
            <w:pPr>
              <w:rPr>
                <w:sz w:val="24"/>
              </w:rPr>
            </w:pPr>
            <w:r w:rsidRPr="00D420CB">
              <w:rPr>
                <w:sz w:val="24"/>
              </w:rPr>
              <w:t>(</w:t>
            </w:r>
            <w:r w:rsidR="00246A42">
              <w:rPr>
                <w:sz w:val="24"/>
              </w:rPr>
              <w:t>E</w:t>
            </w:r>
            <w:r w:rsidRPr="00D420CB">
              <w:rPr>
                <w:sz w:val="24"/>
              </w:rPr>
              <w:t>) divided by (</w:t>
            </w:r>
            <w:r w:rsidR="00246A42">
              <w:rPr>
                <w:sz w:val="24"/>
              </w:rPr>
              <w:t>F</w:t>
            </w:r>
            <w:r w:rsidRPr="00D420CB">
              <w:rPr>
                <w:sz w:val="24"/>
              </w:rPr>
              <w:t>)</w:t>
            </w:r>
          </w:p>
        </w:tc>
      </w:tr>
      <w:tr w:rsidR="00BE1E0D" w:rsidRPr="00D420CB" w:rsidTr="00167AEA">
        <w:trPr>
          <w:trHeight w:val="765"/>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Pr="00D420CB" w:rsidRDefault="00246A42" w:rsidP="00167AEA">
            <w:pPr>
              <w:rPr>
                <w:sz w:val="24"/>
              </w:rPr>
            </w:pPr>
            <w:r>
              <w:rPr>
                <w:sz w:val="24"/>
              </w:rPr>
              <w:t>H</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Average Electronic Cost Per Hour</w:t>
            </w:r>
          </w:p>
        </w:tc>
        <w:tc>
          <w:tcPr>
            <w:tcW w:w="3737" w:type="dxa"/>
            <w:tcBorders>
              <w:top w:val="single" w:sz="4" w:space="0" w:color="auto"/>
              <w:left w:val="nil"/>
              <w:bottom w:val="single" w:sz="4" w:space="0" w:color="auto"/>
              <w:right w:val="single" w:sz="4" w:space="0" w:color="auto"/>
            </w:tcBorders>
            <w:shd w:val="clear" w:color="auto" w:fill="auto"/>
            <w:noWrap/>
            <w:vAlign w:val="bottom"/>
          </w:tcPr>
          <w:p w:rsidR="00BE1E0D" w:rsidRPr="00172415" w:rsidRDefault="00C77888" w:rsidP="00C77888">
            <w:pPr>
              <w:rPr>
                <w:sz w:val="24"/>
              </w:rPr>
            </w:pPr>
            <w:r>
              <w:rPr>
                <w:sz w:val="24"/>
              </w:rPr>
              <w:t>$30.00</w:t>
            </w: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BE1E0D" w:rsidP="00C77888">
            <w:pPr>
              <w:rPr>
                <w:sz w:val="24"/>
              </w:rPr>
            </w:pPr>
            <w:r w:rsidRPr="00D420CB">
              <w:rPr>
                <w:sz w:val="24"/>
              </w:rPr>
              <w:t>Based on $</w:t>
            </w:r>
            <w:r w:rsidR="00C77888">
              <w:rPr>
                <w:sz w:val="24"/>
              </w:rPr>
              <w:t>30</w:t>
            </w:r>
            <w:r w:rsidRPr="00D420CB">
              <w:rPr>
                <w:sz w:val="24"/>
              </w:rPr>
              <w:t>.00 per hour, the current risk adjustment estimated average annual electronic processing cost per hour</w:t>
            </w:r>
            <w:r w:rsidR="00C77888">
              <w:rPr>
                <w:sz w:val="24"/>
              </w:rPr>
              <w:t xml:space="preserve"> doubled because of increased data</w:t>
            </w:r>
          </w:p>
        </w:tc>
      </w:tr>
      <w:tr w:rsidR="00BE1E0D" w:rsidRPr="00D420CB" w:rsidTr="00167AEA">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Pr="00D420CB" w:rsidRDefault="00246A42" w:rsidP="00167AEA">
            <w:pPr>
              <w:rPr>
                <w:sz w:val="24"/>
              </w:rPr>
            </w:pPr>
            <w:r>
              <w:rPr>
                <w:sz w:val="24"/>
              </w:rPr>
              <w:t>I</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Cost of Annual Transaction Hours</w:t>
            </w:r>
          </w:p>
        </w:tc>
        <w:tc>
          <w:tcPr>
            <w:tcW w:w="3737" w:type="dxa"/>
            <w:tcBorders>
              <w:top w:val="nil"/>
              <w:left w:val="nil"/>
              <w:bottom w:val="single" w:sz="4" w:space="0" w:color="auto"/>
              <w:right w:val="single" w:sz="4" w:space="0" w:color="auto"/>
            </w:tcBorders>
            <w:shd w:val="clear" w:color="auto" w:fill="auto"/>
            <w:noWrap/>
            <w:vAlign w:val="bottom"/>
          </w:tcPr>
          <w:p w:rsidR="00BE1E0D" w:rsidRPr="00172415" w:rsidRDefault="006C2DE6" w:rsidP="00167AEA">
            <w:pPr>
              <w:rPr>
                <w:sz w:val="24"/>
              </w:rPr>
            </w:pPr>
            <w:r>
              <w:rPr>
                <w:sz w:val="24"/>
              </w:rPr>
              <w:t>$</w:t>
            </w:r>
            <w:r w:rsidR="00C77888">
              <w:rPr>
                <w:sz w:val="24"/>
              </w:rPr>
              <w:t>1,035,600</w:t>
            </w:r>
          </w:p>
          <w:p w:rsidR="00BE1E0D" w:rsidRPr="00172415" w:rsidRDefault="00BE1E0D" w:rsidP="00167AEA">
            <w:pPr>
              <w:rPr>
                <w:sz w:val="24"/>
              </w:rPr>
            </w:pP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BE1E0D" w:rsidP="00167AEA">
            <w:pPr>
              <w:rPr>
                <w:sz w:val="24"/>
              </w:rPr>
            </w:pPr>
            <w:r w:rsidRPr="00D420CB">
              <w:rPr>
                <w:sz w:val="24"/>
              </w:rPr>
              <w:t>(</w:t>
            </w:r>
            <w:r w:rsidR="00246A42">
              <w:rPr>
                <w:sz w:val="24"/>
              </w:rPr>
              <w:t>G</w:t>
            </w:r>
            <w:r w:rsidRPr="00D420CB">
              <w:rPr>
                <w:sz w:val="24"/>
              </w:rPr>
              <w:t xml:space="preserve">) multiplied by ( </w:t>
            </w:r>
            <w:r w:rsidR="00246A42">
              <w:rPr>
                <w:sz w:val="24"/>
              </w:rPr>
              <w:t>H</w:t>
            </w:r>
            <w:r w:rsidRPr="00D420CB">
              <w:rPr>
                <w:sz w:val="24"/>
              </w:rPr>
              <w:t>)</w:t>
            </w:r>
          </w:p>
        </w:tc>
      </w:tr>
      <w:tr w:rsidR="00BE1E0D" w:rsidRPr="00D420CB" w:rsidTr="00167AEA">
        <w:trPr>
          <w:trHeight w:val="255"/>
        </w:trPr>
        <w:tc>
          <w:tcPr>
            <w:tcW w:w="430" w:type="dxa"/>
            <w:tcBorders>
              <w:top w:val="nil"/>
              <w:left w:val="single" w:sz="8" w:space="0" w:color="auto"/>
              <w:bottom w:val="single" w:sz="4" w:space="0" w:color="auto"/>
              <w:right w:val="single" w:sz="4" w:space="0" w:color="auto"/>
            </w:tcBorders>
            <w:shd w:val="clear" w:color="auto" w:fill="auto"/>
            <w:noWrap/>
            <w:vAlign w:val="bottom"/>
          </w:tcPr>
          <w:p w:rsidR="00BE1E0D" w:rsidRPr="00D420CB" w:rsidRDefault="00246A42" w:rsidP="00167AEA">
            <w:pPr>
              <w:rPr>
                <w:sz w:val="24"/>
              </w:rPr>
            </w:pPr>
            <w:r>
              <w:rPr>
                <w:sz w:val="24"/>
              </w:rPr>
              <w:t>J</w:t>
            </w:r>
          </w:p>
        </w:tc>
        <w:tc>
          <w:tcPr>
            <w:tcW w:w="3247" w:type="dxa"/>
            <w:tcBorders>
              <w:top w:val="nil"/>
              <w:left w:val="nil"/>
              <w:bottom w:val="single" w:sz="4"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Average Cost Per Part c Beneficiary</w:t>
            </w:r>
          </w:p>
        </w:tc>
        <w:tc>
          <w:tcPr>
            <w:tcW w:w="3737" w:type="dxa"/>
            <w:tcBorders>
              <w:top w:val="nil"/>
              <w:left w:val="nil"/>
              <w:bottom w:val="single" w:sz="4" w:space="0" w:color="auto"/>
              <w:right w:val="single" w:sz="4" w:space="0" w:color="auto"/>
            </w:tcBorders>
            <w:shd w:val="clear" w:color="auto" w:fill="auto"/>
            <w:noWrap/>
            <w:vAlign w:val="bottom"/>
          </w:tcPr>
          <w:p w:rsidR="00BE1E0D" w:rsidRPr="00172415" w:rsidRDefault="00BE1E0D" w:rsidP="00C77888">
            <w:pPr>
              <w:rPr>
                <w:sz w:val="24"/>
              </w:rPr>
            </w:pPr>
            <w:r w:rsidRPr="00172415">
              <w:rPr>
                <w:sz w:val="24"/>
              </w:rPr>
              <w:t>$</w:t>
            </w:r>
            <w:r w:rsidR="00C77888">
              <w:rPr>
                <w:sz w:val="24"/>
              </w:rPr>
              <w:t>.09</w:t>
            </w:r>
          </w:p>
        </w:tc>
        <w:tc>
          <w:tcPr>
            <w:tcW w:w="2846" w:type="dxa"/>
            <w:tcBorders>
              <w:top w:val="nil"/>
              <w:left w:val="nil"/>
              <w:bottom w:val="single" w:sz="4" w:space="0" w:color="auto"/>
              <w:right w:val="single" w:sz="8" w:space="0" w:color="auto"/>
            </w:tcBorders>
            <w:shd w:val="clear" w:color="auto" w:fill="auto"/>
            <w:vAlign w:val="bottom"/>
          </w:tcPr>
          <w:p w:rsidR="00BE1E0D" w:rsidRPr="00D420CB" w:rsidRDefault="00BE1E0D" w:rsidP="00167AEA">
            <w:pPr>
              <w:rPr>
                <w:sz w:val="24"/>
              </w:rPr>
            </w:pPr>
            <w:r w:rsidRPr="00D420CB">
              <w:rPr>
                <w:sz w:val="24"/>
              </w:rPr>
              <w:t> (</w:t>
            </w:r>
            <w:r w:rsidR="00246A42">
              <w:rPr>
                <w:sz w:val="24"/>
              </w:rPr>
              <w:t>I</w:t>
            </w:r>
            <w:r w:rsidRPr="00D420CB">
              <w:rPr>
                <w:sz w:val="24"/>
              </w:rPr>
              <w:t>) divided by (B)</w:t>
            </w:r>
          </w:p>
        </w:tc>
      </w:tr>
      <w:tr w:rsidR="00BE1E0D" w:rsidRPr="00D420CB" w:rsidTr="00167AEA">
        <w:trPr>
          <w:trHeight w:val="270"/>
        </w:trPr>
        <w:tc>
          <w:tcPr>
            <w:tcW w:w="430" w:type="dxa"/>
            <w:tcBorders>
              <w:top w:val="nil"/>
              <w:left w:val="single" w:sz="8" w:space="0" w:color="auto"/>
              <w:bottom w:val="single" w:sz="8" w:space="0" w:color="auto"/>
              <w:right w:val="single" w:sz="4" w:space="0" w:color="auto"/>
            </w:tcBorders>
            <w:shd w:val="clear" w:color="auto" w:fill="auto"/>
            <w:noWrap/>
            <w:vAlign w:val="bottom"/>
          </w:tcPr>
          <w:p w:rsidR="00BE1E0D" w:rsidRPr="00D420CB" w:rsidRDefault="00246A42" w:rsidP="00167AEA">
            <w:pPr>
              <w:rPr>
                <w:sz w:val="24"/>
              </w:rPr>
            </w:pPr>
            <w:r>
              <w:rPr>
                <w:sz w:val="24"/>
              </w:rPr>
              <w:t>K</w:t>
            </w:r>
          </w:p>
        </w:tc>
        <w:tc>
          <w:tcPr>
            <w:tcW w:w="3247" w:type="dxa"/>
            <w:tcBorders>
              <w:top w:val="nil"/>
              <w:left w:val="nil"/>
              <w:bottom w:val="single" w:sz="8" w:space="0" w:color="auto"/>
              <w:right w:val="single" w:sz="4" w:space="0" w:color="auto"/>
            </w:tcBorders>
            <w:shd w:val="clear" w:color="auto" w:fill="auto"/>
            <w:vAlign w:val="bottom"/>
          </w:tcPr>
          <w:p w:rsidR="00BE1E0D" w:rsidRPr="00D420CB" w:rsidRDefault="00BE1E0D" w:rsidP="00167AEA">
            <w:pPr>
              <w:rPr>
                <w:caps/>
                <w:sz w:val="24"/>
              </w:rPr>
            </w:pPr>
            <w:r w:rsidRPr="00D420CB">
              <w:rPr>
                <w:caps/>
                <w:sz w:val="24"/>
              </w:rPr>
              <w:t>Annual Cost to Respondents</w:t>
            </w:r>
          </w:p>
        </w:tc>
        <w:tc>
          <w:tcPr>
            <w:tcW w:w="3737" w:type="dxa"/>
            <w:tcBorders>
              <w:top w:val="nil"/>
              <w:left w:val="nil"/>
              <w:bottom w:val="single" w:sz="8" w:space="0" w:color="auto"/>
              <w:right w:val="single" w:sz="4" w:space="0" w:color="auto"/>
            </w:tcBorders>
            <w:shd w:val="clear" w:color="auto" w:fill="auto"/>
            <w:noWrap/>
            <w:vAlign w:val="bottom"/>
          </w:tcPr>
          <w:p w:rsidR="00BE1E0D" w:rsidRPr="00172415" w:rsidRDefault="00BC2FDF" w:rsidP="00C77888">
            <w:pPr>
              <w:rPr>
                <w:sz w:val="24"/>
              </w:rPr>
            </w:pPr>
            <w:r>
              <w:rPr>
                <w:sz w:val="24"/>
              </w:rPr>
              <w:t>$</w:t>
            </w:r>
            <w:r w:rsidR="00C77888">
              <w:rPr>
                <w:sz w:val="24"/>
              </w:rPr>
              <w:t>1,325.88</w:t>
            </w:r>
          </w:p>
        </w:tc>
        <w:tc>
          <w:tcPr>
            <w:tcW w:w="2846" w:type="dxa"/>
            <w:tcBorders>
              <w:top w:val="nil"/>
              <w:left w:val="nil"/>
              <w:bottom w:val="single" w:sz="8" w:space="0" w:color="auto"/>
              <w:right w:val="single" w:sz="8" w:space="0" w:color="auto"/>
            </w:tcBorders>
            <w:shd w:val="clear" w:color="auto" w:fill="auto"/>
            <w:vAlign w:val="bottom"/>
          </w:tcPr>
          <w:p w:rsidR="00BE1E0D" w:rsidRPr="00D420CB" w:rsidRDefault="00BE1E0D" w:rsidP="00167AEA">
            <w:pPr>
              <w:rPr>
                <w:sz w:val="24"/>
              </w:rPr>
            </w:pPr>
            <w:r w:rsidRPr="00D420CB">
              <w:rPr>
                <w:sz w:val="24"/>
              </w:rPr>
              <w:t>(</w:t>
            </w:r>
            <w:r w:rsidR="00246A42">
              <w:rPr>
                <w:sz w:val="24"/>
              </w:rPr>
              <w:t>J</w:t>
            </w:r>
            <w:r w:rsidRPr="00D420CB">
              <w:rPr>
                <w:sz w:val="24"/>
              </w:rPr>
              <w:t>) multiplied by ( C)</w:t>
            </w:r>
          </w:p>
        </w:tc>
      </w:tr>
    </w:tbl>
    <w:p w:rsidR="005B77F3" w:rsidRDefault="0086548E" w:rsidP="005909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05657" w:rsidRDefault="0086548E" w:rsidP="00CF2D2B">
      <w:pPr>
        <w:widowControl/>
        <w:rPr>
          <w:sz w:val="24"/>
        </w:rPr>
      </w:pPr>
      <w:r w:rsidRPr="0086548E">
        <w:rPr>
          <w:sz w:val="24"/>
        </w:rPr>
        <w:t>We do not anticipate significant start-up costs for any new MA plans</w:t>
      </w:r>
      <w:r w:rsidR="0037320B">
        <w:rPr>
          <w:sz w:val="24"/>
        </w:rPr>
        <w:t>,</w:t>
      </w:r>
      <w:r w:rsidRPr="0086548E">
        <w:rPr>
          <w:sz w:val="24"/>
        </w:rPr>
        <w:t xml:space="preserve"> </w:t>
      </w:r>
      <w:r w:rsidR="003E3999">
        <w:rPr>
          <w:sz w:val="24"/>
        </w:rPr>
        <w:t>PACE organizations</w:t>
      </w:r>
      <w:r w:rsidR="00F62DEE">
        <w:rPr>
          <w:sz w:val="24"/>
        </w:rPr>
        <w:t>, and other entities</w:t>
      </w:r>
      <w:r w:rsidR="003E3999">
        <w:rPr>
          <w:sz w:val="24"/>
        </w:rPr>
        <w:t xml:space="preserve"> </w:t>
      </w:r>
      <w:r w:rsidRPr="0086548E">
        <w:rPr>
          <w:sz w:val="24"/>
        </w:rPr>
        <w:t xml:space="preserve">submitting data.  The capital and operational costs for this data collection that may be incurred by MA organizations should be part of their customary and reasonable business practices.  Health plans </w:t>
      </w:r>
      <w:r w:rsidR="00C80D85">
        <w:rPr>
          <w:sz w:val="24"/>
        </w:rPr>
        <w:t>will be required</w:t>
      </w:r>
      <w:r w:rsidRPr="0086548E">
        <w:rPr>
          <w:sz w:val="24"/>
        </w:rPr>
        <w:t xml:space="preserve"> use the 5010 format for electronic transactions </w:t>
      </w:r>
      <w:r w:rsidR="00C80D85">
        <w:rPr>
          <w:sz w:val="24"/>
        </w:rPr>
        <w:t xml:space="preserve">with the submission of ICD-10 data, </w:t>
      </w:r>
      <w:r w:rsidRPr="0086548E">
        <w:rPr>
          <w:sz w:val="24"/>
        </w:rPr>
        <w:t>so it is likely they already collect these data in this format</w:t>
      </w:r>
      <w:r w:rsidR="00F62DEE">
        <w:rPr>
          <w:sz w:val="24"/>
        </w:rPr>
        <w:t xml:space="preserve"> and have communication protocols in place with CMS</w:t>
      </w:r>
      <w:r w:rsidRPr="0086548E">
        <w:rPr>
          <w:sz w:val="24"/>
        </w:rPr>
        <w:t xml:space="preserve">.  Also, these entities have sufficient capital assets in place to address reporting encounter data.  </w:t>
      </w:r>
    </w:p>
    <w:p w:rsidR="00B05657" w:rsidRDefault="00B05657" w:rsidP="00CF2D2B">
      <w:pPr>
        <w:widowControl/>
        <w:rPr>
          <w:sz w:val="24"/>
        </w:rPr>
      </w:pPr>
    </w:p>
    <w:p w:rsidR="003E3999" w:rsidRDefault="00B963C8" w:rsidP="00CF2D2B">
      <w:pPr>
        <w:widowControl/>
        <w:rPr>
          <w:sz w:val="24"/>
        </w:rPr>
      </w:pPr>
      <w:r>
        <w:rPr>
          <w:sz w:val="24"/>
        </w:rPr>
        <w:t xml:space="preserve">MA organizations and other entities </w:t>
      </w:r>
      <w:r w:rsidR="00665FED">
        <w:rPr>
          <w:sz w:val="24"/>
        </w:rPr>
        <w:t xml:space="preserve">will </w:t>
      </w:r>
      <w:r>
        <w:rPr>
          <w:sz w:val="24"/>
        </w:rPr>
        <w:t>need to rework the 5010 to an appropriate outbound file format and certain fields may need to be reformatted</w:t>
      </w:r>
      <w:r w:rsidR="00665FED">
        <w:rPr>
          <w:sz w:val="24"/>
        </w:rPr>
        <w:t xml:space="preserve"> according to the MA Encounter Data specifications</w:t>
      </w:r>
      <w:r>
        <w:rPr>
          <w:sz w:val="24"/>
        </w:rPr>
        <w:t xml:space="preserve">.  MA organizations and other entities may choose to participate in our </w:t>
      </w:r>
      <w:r w:rsidR="00D45B69">
        <w:rPr>
          <w:sz w:val="24"/>
        </w:rPr>
        <w:t xml:space="preserve">encounter data </w:t>
      </w:r>
      <w:r w:rsidR="004A3F4C">
        <w:rPr>
          <w:sz w:val="24"/>
        </w:rPr>
        <w:t>technical assistance</w:t>
      </w:r>
      <w:r w:rsidR="00D45B69">
        <w:rPr>
          <w:sz w:val="24"/>
        </w:rPr>
        <w:t xml:space="preserve"> program for which they are only responsible for the cost of travel</w:t>
      </w:r>
      <w:r>
        <w:rPr>
          <w:sz w:val="24"/>
        </w:rPr>
        <w:t xml:space="preserve">.  MA organizations and other </w:t>
      </w:r>
      <w:r w:rsidR="00F62DEE">
        <w:rPr>
          <w:sz w:val="24"/>
        </w:rPr>
        <w:t>entities</w:t>
      </w:r>
      <w:r>
        <w:rPr>
          <w:sz w:val="24"/>
        </w:rPr>
        <w:t xml:space="preserve"> will need to interface with our new front end</w:t>
      </w:r>
      <w:r w:rsidR="0037320B">
        <w:rPr>
          <w:sz w:val="24"/>
        </w:rPr>
        <w:t>,</w:t>
      </w:r>
      <w:r w:rsidR="00366687">
        <w:rPr>
          <w:sz w:val="24"/>
        </w:rPr>
        <w:t xml:space="preserve"> have the capability to send CMS more data and resolve more errors.  </w:t>
      </w:r>
      <w:r>
        <w:rPr>
          <w:sz w:val="24"/>
        </w:rPr>
        <w:t xml:space="preserve">MA organizations and other entities will need to participate in testing to ensure </w:t>
      </w:r>
      <w:r w:rsidR="00F62DEE">
        <w:rPr>
          <w:sz w:val="24"/>
        </w:rPr>
        <w:t>a clean transmission to CMS and internal t</w:t>
      </w:r>
      <w:r w:rsidR="00366687">
        <w:rPr>
          <w:sz w:val="24"/>
        </w:rPr>
        <w:t>esting to ensure inbound data maps to the outbound data correctly prior to the time they begin to send data to CMS</w:t>
      </w:r>
      <w:r>
        <w:rPr>
          <w:sz w:val="24"/>
        </w:rPr>
        <w:t xml:space="preserve">.  They will need to test and certify claims of each type.  </w:t>
      </w:r>
      <w:r w:rsidR="00366687">
        <w:rPr>
          <w:sz w:val="24"/>
        </w:rPr>
        <w:t xml:space="preserve">We expect the cost of these activities to be less than $10,000.  </w:t>
      </w:r>
      <w:r w:rsidR="00CA073E">
        <w:rPr>
          <w:sz w:val="24"/>
        </w:rPr>
        <w:t>The cost</w:t>
      </w:r>
      <w:r w:rsidR="00D221C8">
        <w:rPr>
          <w:sz w:val="24"/>
        </w:rPr>
        <w:t xml:space="preserve"> </w:t>
      </w:r>
      <w:r w:rsidR="00D221C8" w:rsidRPr="00CA073E">
        <w:rPr>
          <w:sz w:val="24"/>
        </w:rPr>
        <w:t>to purchase each</w:t>
      </w:r>
      <w:r w:rsidR="00D221C8" w:rsidRPr="00CA073E">
        <w:rPr>
          <w:color w:val="000000"/>
          <w:sz w:val="24"/>
        </w:rPr>
        <w:t xml:space="preserve"> standard ANSI ASC X12N format from the Washington Publishing Company at </w:t>
      </w:r>
      <w:hyperlink r:id="rId12" w:history="1">
        <w:r w:rsidR="006A22FA">
          <w:rPr>
            <w:rStyle w:val="Hyperlink"/>
            <w:sz w:val="24"/>
          </w:rPr>
          <w:t>http://www.wpc-edi.com/</w:t>
        </w:r>
      </w:hyperlink>
      <w:r w:rsidR="00CF2D2B" w:rsidRPr="00CF2D2B">
        <w:rPr>
          <w:sz w:val="24"/>
        </w:rPr>
        <w:t xml:space="preserve"> is currently $525.</w:t>
      </w:r>
      <w:r w:rsidR="00B05657">
        <w:rPr>
          <w:sz w:val="24"/>
        </w:rPr>
        <w:t xml:space="preserve"> We also expect that plans will need to add about </w:t>
      </w:r>
      <w:r w:rsidR="008B09FC">
        <w:rPr>
          <w:sz w:val="24"/>
        </w:rPr>
        <w:t>.5</w:t>
      </w:r>
      <w:r w:rsidR="00B05657">
        <w:rPr>
          <w:sz w:val="24"/>
        </w:rPr>
        <w:t xml:space="preserve"> FTE for responding to reports received from the Encounter Data Processing System and other manual interventions.  This is based on the average plan size.  The number of FTEs that a plan will need to add </w:t>
      </w:r>
      <w:r w:rsidR="008B09FC">
        <w:rPr>
          <w:sz w:val="24"/>
        </w:rPr>
        <w:t>vary depending</w:t>
      </w:r>
      <w:r w:rsidR="00B05657">
        <w:rPr>
          <w:sz w:val="24"/>
        </w:rPr>
        <w:t xml:space="preserve"> on the size of the plan and the number of claims </w:t>
      </w:r>
      <w:r w:rsidR="00B05657">
        <w:rPr>
          <w:sz w:val="24"/>
        </w:rPr>
        <w:lastRenderedPageBreak/>
        <w:t xml:space="preserve">received.  </w:t>
      </w:r>
      <w:r w:rsidR="008B09FC">
        <w:rPr>
          <w:sz w:val="24"/>
        </w:rPr>
        <w:t>We expect that the addition of .5 FTE will cost approximately $</w:t>
      </w:r>
      <w:r w:rsidR="00C62CC9">
        <w:rPr>
          <w:sz w:val="24"/>
        </w:rPr>
        <w:t>25</w:t>
      </w:r>
      <w:r w:rsidR="008B09FC">
        <w:rPr>
          <w:sz w:val="24"/>
        </w:rPr>
        <w:t xml:space="preserve">,000.  This is based on a salary of $50,000.  </w:t>
      </w:r>
    </w:p>
    <w:p w:rsidR="00EF65B8" w:rsidRDefault="00EF65B8" w:rsidP="00CF2D2B">
      <w:pPr>
        <w:widowControl/>
        <w:rPr>
          <w:color w:val="000000"/>
          <w:sz w:val="24"/>
        </w:rPr>
      </w:pPr>
    </w:p>
    <w:p w:rsidR="003E3999" w:rsidRPr="00CF2D2B" w:rsidRDefault="003E3999" w:rsidP="00CF2D2B">
      <w:pPr>
        <w:widowControl/>
        <w:rPr>
          <w:color w:val="000000"/>
          <w:sz w:val="24"/>
        </w:rPr>
      </w:pPr>
      <w:r>
        <w:rPr>
          <w:color w:val="000000"/>
          <w:sz w:val="24"/>
        </w:rPr>
        <w:t>For cost plans – both §1876 Cost HMOs/CMPs and §1833 HCPPs – although there may be start-up costs, as we have said, we will reimburse the full reasonable cost under our authority in 42 C.F.R. §417.550, including those reasonable start-up costs incurred in 2011.  We believe for cost plans this will represent less than $10,000/plan.  As there are currently 11 HCPPs and 20 Cost HMOs/CMPs, this would amount to, at most, $310,000 – which costs are all also captured below, under Costs to the Federal Government.</w:t>
      </w:r>
    </w:p>
    <w:p w:rsidR="005B77F3" w:rsidRDefault="005B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B77F3" w:rsidRDefault="000115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For MA and PACE organizations, note </w:t>
      </w:r>
      <w:r w:rsidR="002B00E0">
        <w:rPr>
          <w:sz w:val="24"/>
        </w:rPr>
        <w:t>that a</w:t>
      </w:r>
      <w:r w:rsidR="002B00E0" w:rsidRPr="002B00E0">
        <w:rPr>
          <w:sz w:val="24"/>
        </w:rPr>
        <w:t>ny administrative and/or capital costs incurred will be recouped through the bidding process</w:t>
      </w:r>
      <w:r w:rsidR="002B00E0">
        <w:rPr>
          <w:sz w:val="24"/>
        </w:rPr>
        <w:t>.</w:t>
      </w:r>
    </w:p>
    <w:p w:rsidR="002B00E0" w:rsidRDefault="002B00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Pr="002D419E"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sidRPr="002D419E">
        <w:rPr>
          <w:sz w:val="24"/>
          <w:u w:val="single"/>
        </w:rPr>
        <w:t>Cost to Federal Government</w:t>
      </w:r>
    </w:p>
    <w:p w:rsidR="005B77F3" w:rsidRPr="002D419E" w:rsidRDefault="005B7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5B77F3" w:rsidRDefault="00865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D419E">
        <w:rPr>
          <w:sz w:val="24"/>
        </w:rPr>
        <w:t xml:space="preserve">The costs to the Federal Government for data collection can best be described as the total costs of </w:t>
      </w:r>
      <w:r w:rsidRPr="002D419E">
        <w:rPr>
          <w:bCs/>
          <w:sz w:val="24"/>
        </w:rPr>
        <w:t>acquiring</w:t>
      </w:r>
      <w:r w:rsidRPr="002D419E">
        <w:rPr>
          <w:sz w:val="24"/>
        </w:rPr>
        <w:t xml:space="preserve"> </w:t>
      </w:r>
      <w:r w:rsidRPr="002D419E">
        <w:rPr>
          <w:bCs/>
          <w:sz w:val="24"/>
        </w:rPr>
        <w:t xml:space="preserve">and preparing </w:t>
      </w:r>
      <w:r w:rsidRPr="002D419E">
        <w:rPr>
          <w:sz w:val="24"/>
        </w:rPr>
        <w:t xml:space="preserve">the required data for </w:t>
      </w:r>
      <w:r w:rsidRPr="002D419E">
        <w:rPr>
          <w:bCs/>
          <w:sz w:val="24"/>
        </w:rPr>
        <w:t>MA</w:t>
      </w:r>
      <w:r w:rsidRPr="002D419E">
        <w:rPr>
          <w:sz w:val="24"/>
        </w:rPr>
        <w:t xml:space="preserve"> organization payment calculation.  Calculation of the precise costs </w:t>
      </w:r>
      <w:r w:rsidRPr="002D419E">
        <w:rPr>
          <w:bCs/>
          <w:sz w:val="24"/>
        </w:rPr>
        <w:t xml:space="preserve">for all processes involved in </w:t>
      </w:r>
      <w:r w:rsidRPr="002D419E">
        <w:rPr>
          <w:sz w:val="24"/>
        </w:rPr>
        <w:t xml:space="preserve">the data collection is not feasible for the purposes of the Paperwork Reduction Act without conducting a costly study.  </w:t>
      </w:r>
      <w:r w:rsidRPr="002D419E">
        <w:rPr>
          <w:bCs/>
          <w:sz w:val="24"/>
        </w:rPr>
        <w:t xml:space="preserve">It is also difficult to disaggregate efforts and resources used for </w:t>
      </w:r>
      <w:r w:rsidR="00276687" w:rsidRPr="002D419E">
        <w:rPr>
          <w:bCs/>
          <w:sz w:val="24"/>
        </w:rPr>
        <w:t>encounter</w:t>
      </w:r>
      <w:r w:rsidRPr="002D419E">
        <w:rPr>
          <w:bCs/>
          <w:sz w:val="24"/>
        </w:rPr>
        <w:t xml:space="preserve"> data collection and preparation from other MA payment processes and data collection efforts.  </w:t>
      </w:r>
      <w:r w:rsidRPr="002D419E">
        <w:rPr>
          <w:sz w:val="24"/>
        </w:rPr>
        <w:t xml:space="preserve">Therefore, aggregate costs have been </w:t>
      </w:r>
      <w:r w:rsidRPr="002D419E">
        <w:rPr>
          <w:bCs/>
          <w:sz w:val="24"/>
        </w:rPr>
        <w:t>estimated</w:t>
      </w:r>
      <w:r w:rsidRPr="002D419E">
        <w:rPr>
          <w:sz w:val="24"/>
        </w:rPr>
        <w:t xml:space="preserve"> taking into consideration programming, software, </w:t>
      </w:r>
      <w:r w:rsidR="004A3F4C">
        <w:rPr>
          <w:sz w:val="24"/>
        </w:rPr>
        <w:t>technical assistance</w:t>
      </w:r>
      <w:r w:rsidRPr="002D419E">
        <w:rPr>
          <w:sz w:val="24"/>
        </w:rPr>
        <w:t xml:space="preserve">, tapes, overhead costs, etc.  </w:t>
      </w:r>
      <w:r w:rsidRPr="002D419E">
        <w:rPr>
          <w:bCs/>
          <w:sz w:val="24"/>
        </w:rPr>
        <w:t xml:space="preserve">CMS's total cost for implementing </w:t>
      </w:r>
      <w:r w:rsidR="00276687" w:rsidRPr="002D419E">
        <w:rPr>
          <w:bCs/>
          <w:sz w:val="24"/>
        </w:rPr>
        <w:t>encounter</w:t>
      </w:r>
      <w:r w:rsidRPr="002D419E">
        <w:rPr>
          <w:bCs/>
          <w:sz w:val="24"/>
        </w:rPr>
        <w:t xml:space="preserve"> data collection is expected to be approximately $</w:t>
      </w:r>
      <w:r w:rsidR="00276687" w:rsidRPr="002D419E">
        <w:rPr>
          <w:bCs/>
          <w:sz w:val="24"/>
        </w:rPr>
        <w:t>24.7</w:t>
      </w:r>
      <w:r w:rsidRPr="002D419E">
        <w:rPr>
          <w:bCs/>
          <w:sz w:val="24"/>
        </w:rPr>
        <w:t xml:space="preserve"> million</w:t>
      </w:r>
      <w:r w:rsidR="00276687" w:rsidRPr="002D419E">
        <w:rPr>
          <w:bCs/>
          <w:sz w:val="24"/>
        </w:rPr>
        <w:t>.</w:t>
      </w:r>
      <w:r w:rsidR="00276687">
        <w:rPr>
          <w:bCs/>
          <w:sz w:val="24"/>
        </w:rPr>
        <w:t xml:space="preserve">  </w:t>
      </w:r>
      <w:r w:rsidR="003E3999">
        <w:rPr>
          <w:bCs/>
          <w:sz w:val="24"/>
        </w:rPr>
        <w:t>Costs to the Federal Government also include reasonable costs CMS will reimburse to Cost plans under our authority in 42 C.F.R. 417.550.</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3240"/>
      </w:tblGrid>
      <w:tr w:rsidR="00276687" w:rsidRPr="00F4479C" w:rsidTr="00105603">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Cost</w:t>
            </w:r>
          </w:p>
        </w:tc>
      </w:tr>
      <w:tr w:rsidR="00276687" w:rsidRPr="00F4479C" w:rsidTr="00105603">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Software Development</w:t>
            </w:r>
          </w:p>
        </w:tc>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$20 million</w:t>
            </w:r>
          </w:p>
        </w:tc>
      </w:tr>
      <w:tr w:rsidR="00276687" w:rsidRPr="00F4479C" w:rsidTr="00105603">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Technical Support</w:t>
            </w:r>
          </w:p>
        </w:tc>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$4 million</w:t>
            </w:r>
          </w:p>
        </w:tc>
      </w:tr>
      <w:tr w:rsidR="00276687" w:rsidRPr="00F4479C" w:rsidTr="00105603">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FTE</w:t>
            </w:r>
          </w:p>
        </w:tc>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$700,000</w:t>
            </w:r>
          </w:p>
        </w:tc>
      </w:tr>
      <w:tr w:rsidR="003E3999" w:rsidRPr="00F4479C" w:rsidTr="00105603">
        <w:tc>
          <w:tcPr>
            <w:tcW w:w="3240" w:type="dxa"/>
          </w:tcPr>
          <w:p w:rsidR="003E3999" w:rsidRDefault="003E3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Cost plan start-up costs</w:t>
            </w:r>
          </w:p>
        </w:tc>
        <w:tc>
          <w:tcPr>
            <w:tcW w:w="3240" w:type="dxa"/>
          </w:tcPr>
          <w:p w:rsidR="003E3999" w:rsidRDefault="003E3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$310,000</w:t>
            </w:r>
          </w:p>
        </w:tc>
      </w:tr>
      <w:tr w:rsidR="00276687" w:rsidRPr="00F4479C" w:rsidTr="00105603">
        <w:tc>
          <w:tcPr>
            <w:tcW w:w="3240" w:type="dxa"/>
          </w:tcPr>
          <w:p w:rsidR="00276687" w:rsidRDefault="00276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6548E">
              <w:rPr>
                <w:sz w:val="24"/>
              </w:rPr>
              <w:t>Totals</w:t>
            </w:r>
          </w:p>
        </w:tc>
        <w:tc>
          <w:tcPr>
            <w:tcW w:w="3240" w:type="dxa"/>
          </w:tcPr>
          <w:p w:rsidR="00276687" w:rsidRDefault="003E39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25.01</w:t>
            </w:r>
            <w:r w:rsidR="00276687">
              <w:rPr>
                <w:sz w:val="24"/>
              </w:rPr>
              <w:t xml:space="preserve"> million</w:t>
            </w:r>
          </w:p>
        </w:tc>
      </w:tr>
    </w:tbl>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385A" w:rsidRDefault="00A5385A" w:rsidP="00A5385A">
      <w:pPr>
        <w:rPr>
          <w:sz w:val="24"/>
        </w:rPr>
      </w:pPr>
      <w:r w:rsidRPr="00146C62">
        <w:rPr>
          <w:color w:val="1F497D"/>
          <w:sz w:val="24"/>
        </w:rPr>
        <w:t>The 60-day Federal Register notice was published on December 17, 2010</w:t>
      </w:r>
      <w:r>
        <w:rPr>
          <w:color w:val="1F497D"/>
          <w:sz w:val="24"/>
        </w:rPr>
        <w:t>.  We received comments on that package</w:t>
      </w:r>
      <w:r w:rsidR="00DB7F44">
        <w:rPr>
          <w:color w:val="1F497D"/>
          <w:sz w:val="24"/>
        </w:rPr>
        <w:t>,</w:t>
      </w:r>
      <w:r>
        <w:rPr>
          <w:color w:val="1F497D"/>
          <w:sz w:val="24"/>
        </w:rPr>
        <w:t xml:space="preserve"> asking that we</w:t>
      </w:r>
      <w:r>
        <w:rPr>
          <w:sz w:val="24"/>
        </w:rPr>
        <w:t xml:space="preserve"> more accurately address the burden of implementing encounter data.   We have made changes to B.12, B.13, and B.14 in order to address these comments.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purpose of this data submission request is to support the payment of Medicare Advantage for beneficiaries who are members of Part C plans</w:t>
      </w:r>
      <w:r w:rsidR="003E3999">
        <w:rPr>
          <w:sz w:val="24"/>
        </w:rPr>
        <w:t xml:space="preserve"> and to </w:t>
      </w:r>
      <w:r w:rsidR="003E3999" w:rsidRPr="0008026A">
        <w:rPr>
          <w:sz w:val="24"/>
        </w:rPr>
        <w:t xml:space="preserve">verify the accuracy and validity of the </w:t>
      </w:r>
      <w:r w:rsidR="003E3999">
        <w:rPr>
          <w:sz w:val="24"/>
        </w:rPr>
        <w:t xml:space="preserve">reasonable </w:t>
      </w:r>
      <w:r w:rsidR="003E3999" w:rsidRPr="0008026A">
        <w:rPr>
          <w:sz w:val="24"/>
        </w:rPr>
        <w:t xml:space="preserve">costs claimed on </w:t>
      </w:r>
      <w:r w:rsidR="003E3999">
        <w:rPr>
          <w:sz w:val="24"/>
        </w:rPr>
        <w:t>C</w:t>
      </w:r>
      <w:r w:rsidR="003E3999" w:rsidRPr="0008026A">
        <w:rPr>
          <w:sz w:val="24"/>
        </w:rPr>
        <w:t>ost</w:t>
      </w:r>
      <w:r w:rsidR="003E3999">
        <w:rPr>
          <w:sz w:val="24"/>
        </w:rPr>
        <w:t xml:space="preserve"> R</w:t>
      </w:r>
      <w:r w:rsidR="003E3999" w:rsidRPr="0008026A">
        <w:rPr>
          <w:sz w:val="24"/>
        </w:rPr>
        <w:t>eports</w:t>
      </w:r>
      <w:r w:rsidR="003E3999">
        <w:rPr>
          <w:sz w:val="24"/>
        </w:rPr>
        <w:t xml:space="preserve"> submitted by §1876 Cost HMOs/CMPs and §1833 </w:t>
      </w:r>
      <w:r w:rsidR="003E3999">
        <w:rPr>
          <w:sz w:val="24"/>
        </w:rPr>
        <w:lastRenderedPageBreak/>
        <w:t>HCPPs</w:t>
      </w:r>
      <w:r>
        <w:rPr>
          <w:sz w:val="24"/>
        </w:rPr>
        <w:t xml:space="preserve">.  There are no publication and tabulation dates. </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This information collection effort does not involve a data collection instrument (i.e. Survey or form).  The display of an expiration date is not applicable.</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B77F3" w:rsidRDefault="008654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18.</w:t>
      </w:r>
      <w:r>
        <w:rPr>
          <w:sz w:val="24"/>
        </w:rPr>
        <w:tab/>
      </w:r>
      <w:r>
        <w:rPr>
          <w:sz w:val="24"/>
          <w:u w:val="single"/>
        </w:rPr>
        <w:t>Certification Statement</w:t>
      </w:r>
    </w:p>
    <w:p w:rsidR="005B77F3" w:rsidRDefault="005B77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5B77F3" w:rsidRDefault="0086548E" w:rsidP="002D4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bCs/>
          <w:sz w:val="24"/>
        </w:rPr>
        <w:t>CMS has no exceptions to Item 19, “Certification for Paperwork Reduction Act Submissions” of OMB Form 83-1.</w:t>
      </w:r>
    </w:p>
    <w:sectPr w:rsidR="005B77F3" w:rsidSect="000D0C17">
      <w:footerReference w:type="default" r:id="rId13"/>
      <w:endnotePr>
        <w:numFmt w:val="decimal"/>
      </w:endnotePr>
      <w:type w:val="continuous"/>
      <w:pgSz w:w="12240" w:h="15840"/>
      <w:pgMar w:top="1530" w:right="1296"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FC5" w:rsidRDefault="00C25FC5">
      <w:r>
        <w:separator/>
      </w:r>
    </w:p>
  </w:endnote>
  <w:endnote w:type="continuationSeparator" w:id="0">
    <w:p w:rsidR="00C25FC5" w:rsidRDefault="00C2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4DC" w:rsidRDefault="004444DC">
    <w:pPr>
      <w:spacing w:line="240" w:lineRule="exact"/>
    </w:pPr>
  </w:p>
  <w:p w:rsidR="004444DC" w:rsidRDefault="00571DE2">
    <w:pPr>
      <w:framePr w:w="9505" w:wrap="notBeside" w:vAnchor="text" w:hAnchor="text" w:x="1" w:y="1"/>
      <w:jc w:val="center"/>
      <w:rPr>
        <w:sz w:val="24"/>
      </w:rPr>
    </w:pPr>
    <w:r>
      <w:rPr>
        <w:sz w:val="24"/>
      </w:rPr>
      <w:fldChar w:fldCharType="begin"/>
    </w:r>
    <w:r w:rsidR="004444DC">
      <w:rPr>
        <w:sz w:val="24"/>
      </w:rPr>
      <w:instrText xml:space="preserve">PAGE </w:instrText>
    </w:r>
    <w:r>
      <w:rPr>
        <w:sz w:val="24"/>
      </w:rPr>
      <w:fldChar w:fldCharType="separate"/>
    </w:r>
    <w:r w:rsidR="00272FE6">
      <w:rPr>
        <w:noProof/>
        <w:sz w:val="24"/>
      </w:rPr>
      <w:t>1</w:t>
    </w:r>
    <w:r>
      <w:rPr>
        <w:sz w:val="24"/>
      </w:rPr>
      <w:fldChar w:fldCharType="end"/>
    </w:r>
  </w:p>
  <w:p w:rsidR="004444DC" w:rsidRDefault="004444D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FC5" w:rsidRDefault="00C25FC5">
      <w:r>
        <w:separator/>
      </w:r>
    </w:p>
  </w:footnote>
  <w:footnote w:type="continuationSeparator" w:id="0">
    <w:p w:rsidR="00C25FC5" w:rsidRDefault="00C25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142"/>
    <w:multiLevelType w:val="hybridMultilevel"/>
    <w:tmpl w:val="6906967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82234BC"/>
    <w:multiLevelType w:val="hybridMultilevel"/>
    <w:tmpl w:val="E2DCB874"/>
    <w:lvl w:ilvl="0" w:tplc="24229FE6">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C0B2A79"/>
    <w:multiLevelType w:val="hybridMultilevel"/>
    <w:tmpl w:val="EE1C3C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62755E"/>
    <w:multiLevelType w:val="hybridMultilevel"/>
    <w:tmpl w:val="D586314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F600C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19D77803"/>
    <w:multiLevelType w:val="hybridMultilevel"/>
    <w:tmpl w:val="CEA29E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C47195F"/>
    <w:multiLevelType w:val="hybridMultilevel"/>
    <w:tmpl w:val="1F80CA1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22C51"/>
    <w:multiLevelType w:val="hybridMultilevel"/>
    <w:tmpl w:val="C29EDE2E"/>
    <w:lvl w:ilvl="0" w:tplc="B1268CE4">
      <w:start w:val="1"/>
      <w:numFmt w:val="bullet"/>
      <w:pStyle w:val="Bullet-indentonce"/>
      <w:lvlText w:val="­"/>
      <w:lvlJc w:val="left"/>
      <w:pPr>
        <w:tabs>
          <w:tab w:val="num" w:pos="720"/>
        </w:tabs>
        <w:ind w:left="720" w:hanging="360"/>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7574EF"/>
    <w:multiLevelType w:val="hybridMultilevel"/>
    <w:tmpl w:val="2818AA3A"/>
    <w:lvl w:ilvl="0" w:tplc="9428526C">
      <w:start w:val="1"/>
      <w:numFmt w:val="bullet"/>
      <w:lvlText w:val=""/>
      <w:lvlJc w:val="left"/>
      <w:pPr>
        <w:ind w:left="360" w:hanging="360"/>
      </w:pPr>
      <w:rPr>
        <w:rFonts w:ascii="Symbol" w:hAnsi="Symbol" w:hint="default"/>
        <w:color w:val="auto"/>
      </w:rPr>
    </w:lvl>
    <w:lvl w:ilvl="1" w:tplc="E3ACC364">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B471B0"/>
    <w:multiLevelType w:val="hybridMultilevel"/>
    <w:tmpl w:val="778E0A36"/>
    <w:lvl w:ilvl="0" w:tplc="FBE295E6">
      <w:start w:val="1"/>
      <w:numFmt w:val="bullet"/>
      <w:lvlText w:val="•"/>
      <w:lvlJc w:val="left"/>
      <w:pPr>
        <w:tabs>
          <w:tab w:val="num" w:pos="720"/>
        </w:tabs>
        <w:ind w:left="720" w:hanging="360"/>
      </w:pPr>
      <w:rPr>
        <w:rFonts w:ascii="Times New Roman" w:hAnsi="Times New Roman" w:hint="default"/>
      </w:rPr>
    </w:lvl>
    <w:lvl w:ilvl="1" w:tplc="41F245C0" w:tentative="1">
      <w:start w:val="1"/>
      <w:numFmt w:val="bullet"/>
      <w:lvlText w:val="•"/>
      <w:lvlJc w:val="left"/>
      <w:pPr>
        <w:tabs>
          <w:tab w:val="num" w:pos="1440"/>
        </w:tabs>
        <w:ind w:left="1440" w:hanging="360"/>
      </w:pPr>
      <w:rPr>
        <w:rFonts w:ascii="Times New Roman" w:hAnsi="Times New Roman" w:hint="default"/>
      </w:rPr>
    </w:lvl>
    <w:lvl w:ilvl="2" w:tplc="4A1ECD20" w:tentative="1">
      <w:start w:val="1"/>
      <w:numFmt w:val="bullet"/>
      <w:lvlText w:val="•"/>
      <w:lvlJc w:val="left"/>
      <w:pPr>
        <w:tabs>
          <w:tab w:val="num" w:pos="2160"/>
        </w:tabs>
        <w:ind w:left="2160" w:hanging="360"/>
      </w:pPr>
      <w:rPr>
        <w:rFonts w:ascii="Times New Roman" w:hAnsi="Times New Roman" w:hint="default"/>
      </w:rPr>
    </w:lvl>
    <w:lvl w:ilvl="3" w:tplc="F8880C82" w:tentative="1">
      <w:start w:val="1"/>
      <w:numFmt w:val="bullet"/>
      <w:lvlText w:val="•"/>
      <w:lvlJc w:val="left"/>
      <w:pPr>
        <w:tabs>
          <w:tab w:val="num" w:pos="2880"/>
        </w:tabs>
        <w:ind w:left="2880" w:hanging="360"/>
      </w:pPr>
      <w:rPr>
        <w:rFonts w:ascii="Times New Roman" w:hAnsi="Times New Roman" w:hint="default"/>
      </w:rPr>
    </w:lvl>
    <w:lvl w:ilvl="4" w:tplc="12905DC2" w:tentative="1">
      <w:start w:val="1"/>
      <w:numFmt w:val="bullet"/>
      <w:lvlText w:val="•"/>
      <w:lvlJc w:val="left"/>
      <w:pPr>
        <w:tabs>
          <w:tab w:val="num" w:pos="3600"/>
        </w:tabs>
        <w:ind w:left="3600" w:hanging="360"/>
      </w:pPr>
      <w:rPr>
        <w:rFonts w:ascii="Times New Roman" w:hAnsi="Times New Roman" w:hint="default"/>
      </w:rPr>
    </w:lvl>
    <w:lvl w:ilvl="5" w:tplc="5D32DCE0" w:tentative="1">
      <w:start w:val="1"/>
      <w:numFmt w:val="bullet"/>
      <w:lvlText w:val="•"/>
      <w:lvlJc w:val="left"/>
      <w:pPr>
        <w:tabs>
          <w:tab w:val="num" w:pos="4320"/>
        </w:tabs>
        <w:ind w:left="4320" w:hanging="360"/>
      </w:pPr>
      <w:rPr>
        <w:rFonts w:ascii="Times New Roman" w:hAnsi="Times New Roman" w:hint="default"/>
      </w:rPr>
    </w:lvl>
    <w:lvl w:ilvl="6" w:tplc="17768D4A" w:tentative="1">
      <w:start w:val="1"/>
      <w:numFmt w:val="bullet"/>
      <w:lvlText w:val="•"/>
      <w:lvlJc w:val="left"/>
      <w:pPr>
        <w:tabs>
          <w:tab w:val="num" w:pos="5040"/>
        </w:tabs>
        <w:ind w:left="5040" w:hanging="360"/>
      </w:pPr>
      <w:rPr>
        <w:rFonts w:ascii="Times New Roman" w:hAnsi="Times New Roman" w:hint="default"/>
      </w:rPr>
    </w:lvl>
    <w:lvl w:ilvl="7" w:tplc="D944B3C2" w:tentative="1">
      <w:start w:val="1"/>
      <w:numFmt w:val="bullet"/>
      <w:lvlText w:val="•"/>
      <w:lvlJc w:val="left"/>
      <w:pPr>
        <w:tabs>
          <w:tab w:val="num" w:pos="5760"/>
        </w:tabs>
        <w:ind w:left="5760" w:hanging="360"/>
      </w:pPr>
      <w:rPr>
        <w:rFonts w:ascii="Times New Roman" w:hAnsi="Times New Roman" w:hint="default"/>
      </w:rPr>
    </w:lvl>
    <w:lvl w:ilvl="8" w:tplc="BD3ADA2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8D10317"/>
    <w:multiLevelType w:val="hybridMultilevel"/>
    <w:tmpl w:val="724090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CB5587F"/>
    <w:multiLevelType w:val="hybridMultilevel"/>
    <w:tmpl w:val="9D426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F80A20"/>
    <w:multiLevelType w:val="hybridMultilevel"/>
    <w:tmpl w:val="24D8F3EC"/>
    <w:lvl w:ilvl="0" w:tplc="35B277B2">
      <w:start w:val="1"/>
      <w:numFmt w:val="bullet"/>
      <w:lvlText w:val="•"/>
      <w:lvlJc w:val="left"/>
      <w:pPr>
        <w:tabs>
          <w:tab w:val="num" w:pos="720"/>
        </w:tabs>
        <w:ind w:left="720" w:hanging="360"/>
      </w:pPr>
      <w:rPr>
        <w:rFonts w:ascii="Times New Roman" w:hAnsi="Times New Roman" w:hint="default"/>
      </w:rPr>
    </w:lvl>
    <w:lvl w:ilvl="1" w:tplc="592AF5BA">
      <w:start w:val="1"/>
      <w:numFmt w:val="bullet"/>
      <w:lvlText w:val="•"/>
      <w:lvlJc w:val="left"/>
      <w:pPr>
        <w:tabs>
          <w:tab w:val="num" w:pos="1440"/>
        </w:tabs>
        <w:ind w:left="1440" w:hanging="360"/>
      </w:pPr>
      <w:rPr>
        <w:rFonts w:ascii="Times New Roman" w:hAnsi="Times New Roman" w:hint="default"/>
      </w:rPr>
    </w:lvl>
    <w:lvl w:ilvl="2" w:tplc="799E1340" w:tentative="1">
      <w:start w:val="1"/>
      <w:numFmt w:val="bullet"/>
      <w:lvlText w:val="•"/>
      <w:lvlJc w:val="left"/>
      <w:pPr>
        <w:tabs>
          <w:tab w:val="num" w:pos="2160"/>
        </w:tabs>
        <w:ind w:left="2160" w:hanging="360"/>
      </w:pPr>
      <w:rPr>
        <w:rFonts w:ascii="Times New Roman" w:hAnsi="Times New Roman" w:hint="default"/>
      </w:rPr>
    </w:lvl>
    <w:lvl w:ilvl="3" w:tplc="D5C2132E" w:tentative="1">
      <w:start w:val="1"/>
      <w:numFmt w:val="bullet"/>
      <w:lvlText w:val="•"/>
      <w:lvlJc w:val="left"/>
      <w:pPr>
        <w:tabs>
          <w:tab w:val="num" w:pos="2880"/>
        </w:tabs>
        <w:ind w:left="2880" w:hanging="360"/>
      </w:pPr>
      <w:rPr>
        <w:rFonts w:ascii="Times New Roman" w:hAnsi="Times New Roman" w:hint="default"/>
      </w:rPr>
    </w:lvl>
    <w:lvl w:ilvl="4" w:tplc="28A8FB48" w:tentative="1">
      <w:start w:val="1"/>
      <w:numFmt w:val="bullet"/>
      <w:lvlText w:val="•"/>
      <w:lvlJc w:val="left"/>
      <w:pPr>
        <w:tabs>
          <w:tab w:val="num" w:pos="3600"/>
        </w:tabs>
        <w:ind w:left="3600" w:hanging="360"/>
      </w:pPr>
      <w:rPr>
        <w:rFonts w:ascii="Times New Roman" w:hAnsi="Times New Roman" w:hint="default"/>
      </w:rPr>
    </w:lvl>
    <w:lvl w:ilvl="5" w:tplc="BD3C5C5E" w:tentative="1">
      <w:start w:val="1"/>
      <w:numFmt w:val="bullet"/>
      <w:lvlText w:val="•"/>
      <w:lvlJc w:val="left"/>
      <w:pPr>
        <w:tabs>
          <w:tab w:val="num" w:pos="4320"/>
        </w:tabs>
        <w:ind w:left="4320" w:hanging="360"/>
      </w:pPr>
      <w:rPr>
        <w:rFonts w:ascii="Times New Roman" w:hAnsi="Times New Roman" w:hint="default"/>
      </w:rPr>
    </w:lvl>
    <w:lvl w:ilvl="6" w:tplc="16D2DDEE" w:tentative="1">
      <w:start w:val="1"/>
      <w:numFmt w:val="bullet"/>
      <w:lvlText w:val="•"/>
      <w:lvlJc w:val="left"/>
      <w:pPr>
        <w:tabs>
          <w:tab w:val="num" w:pos="5040"/>
        </w:tabs>
        <w:ind w:left="5040" w:hanging="360"/>
      </w:pPr>
      <w:rPr>
        <w:rFonts w:ascii="Times New Roman" w:hAnsi="Times New Roman" w:hint="default"/>
      </w:rPr>
    </w:lvl>
    <w:lvl w:ilvl="7" w:tplc="98CE8C28" w:tentative="1">
      <w:start w:val="1"/>
      <w:numFmt w:val="bullet"/>
      <w:lvlText w:val="•"/>
      <w:lvlJc w:val="left"/>
      <w:pPr>
        <w:tabs>
          <w:tab w:val="num" w:pos="5760"/>
        </w:tabs>
        <w:ind w:left="5760" w:hanging="360"/>
      </w:pPr>
      <w:rPr>
        <w:rFonts w:ascii="Times New Roman" w:hAnsi="Times New Roman" w:hint="default"/>
      </w:rPr>
    </w:lvl>
    <w:lvl w:ilvl="8" w:tplc="4012655E"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4560498"/>
    <w:multiLevelType w:val="hybridMultilevel"/>
    <w:tmpl w:val="70223D84"/>
    <w:lvl w:ilvl="0" w:tplc="63B0C822">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A3F2A"/>
    <w:multiLevelType w:val="hybridMultilevel"/>
    <w:tmpl w:val="BDFE59E0"/>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A7F8B"/>
    <w:multiLevelType w:val="hybridMultilevel"/>
    <w:tmpl w:val="7AB87BBA"/>
    <w:lvl w:ilvl="0" w:tplc="9B9AFBC8">
      <w:start w:val="1"/>
      <w:numFmt w:val="bullet"/>
      <w:pStyle w:val="ResourceBookBullet"/>
      <w:lvlText w:val=""/>
      <w:lvlJc w:val="left"/>
      <w:pPr>
        <w:tabs>
          <w:tab w:val="num" w:pos="720"/>
        </w:tabs>
        <w:ind w:left="720" w:hanging="72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F206D"/>
    <w:multiLevelType w:val="hybridMultilevel"/>
    <w:tmpl w:val="75CCAD46"/>
    <w:lvl w:ilvl="0" w:tplc="08ECC9D2">
      <w:start w:val="1"/>
      <w:numFmt w:val="bullet"/>
      <w:lvlText w:val="•"/>
      <w:lvlJc w:val="left"/>
      <w:pPr>
        <w:tabs>
          <w:tab w:val="num" w:pos="720"/>
        </w:tabs>
        <w:ind w:left="720" w:hanging="360"/>
      </w:pPr>
      <w:rPr>
        <w:rFonts w:ascii="Times New Roman" w:hAnsi="Times New Roman" w:hint="default"/>
      </w:rPr>
    </w:lvl>
    <w:lvl w:ilvl="1" w:tplc="FB325EF2" w:tentative="1">
      <w:start w:val="1"/>
      <w:numFmt w:val="bullet"/>
      <w:lvlText w:val="•"/>
      <w:lvlJc w:val="left"/>
      <w:pPr>
        <w:tabs>
          <w:tab w:val="num" w:pos="1440"/>
        </w:tabs>
        <w:ind w:left="1440" w:hanging="360"/>
      </w:pPr>
      <w:rPr>
        <w:rFonts w:ascii="Times New Roman" w:hAnsi="Times New Roman" w:hint="default"/>
      </w:rPr>
    </w:lvl>
    <w:lvl w:ilvl="2" w:tplc="064014C8" w:tentative="1">
      <w:start w:val="1"/>
      <w:numFmt w:val="bullet"/>
      <w:lvlText w:val="•"/>
      <w:lvlJc w:val="left"/>
      <w:pPr>
        <w:tabs>
          <w:tab w:val="num" w:pos="2160"/>
        </w:tabs>
        <w:ind w:left="2160" w:hanging="360"/>
      </w:pPr>
      <w:rPr>
        <w:rFonts w:ascii="Times New Roman" w:hAnsi="Times New Roman" w:hint="default"/>
      </w:rPr>
    </w:lvl>
    <w:lvl w:ilvl="3" w:tplc="92AC5F34" w:tentative="1">
      <w:start w:val="1"/>
      <w:numFmt w:val="bullet"/>
      <w:lvlText w:val="•"/>
      <w:lvlJc w:val="left"/>
      <w:pPr>
        <w:tabs>
          <w:tab w:val="num" w:pos="2880"/>
        </w:tabs>
        <w:ind w:left="2880" w:hanging="360"/>
      </w:pPr>
      <w:rPr>
        <w:rFonts w:ascii="Times New Roman" w:hAnsi="Times New Roman" w:hint="default"/>
      </w:rPr>
    </w:lvl>
    <w:lvl w:ilvl="4" w:tplc="ABC0729E" w:tentative="1">
      <w:start w:val="1"/>
      <w:numFmt w:val="bullet"/>
      <w:lvlText w:val="•"/>
      <w:lvlJc w:val="left"/>
      <w:pPr>
        <w:tabs>
          <w:tab w:val="num" w:pos="3600"/>
        </w:tabs>
        <w:ind w:left="3600" w:hanging="360"/>
      </w:pPr>
      <w:rPr>
        <w:rFonts w:ascii="Times New Roman" w:hAnsi="Times New Roman" w:hint="default"/>
      </w:rPr>
    </w:lvl>
    <w:lvl w:ilvl="5" w:tplc="9454EBC2" w:tentative="1">
      <w:start w:val="1"/>
      <w:numFmt w:val="bullet"/>
      <w:lvlText w:val="•"/>
      <w:lvlJc w:val="left"/>
      <w:pPr>
        <w:tabs>
          <w:tab w:val="num" w:pos="4320"/>
        </w:tabs>
        <w:ind w:left="4320" w:hanging="360"/>
      </w:pPr>
      <w:rPr>
        <w:rFonts w:ascii="Times New Roman" w:hAnsi="Times New Roman" w:hint="default"/>
      </w:rPr>
    </w:lvl>
    <w:lvl w:ilvl="6" w:tplc="0C627252" w:tentative="1">
      <w:start w:val="1"/>
      <w:numFmt w:val="bullet"/>
      <w:lvlText w:val="•"/>
      <w:lvlJc w:val="left"/>
      <w:pPr>
        <w:tabs>
          <w:tab w:val="num" w:pos="5040"/>
        </w:tabs>
        <w:ind w:left="5040" w:hanging="360"/>
      </w:pPr>
      <w:rPr>
        <w:rFonts w:ascii="Times New Roman" w:hAnsi="Times New Roman" w:hint="default"/>
      </w:rPr>
    </w:lvl>
    <w:lvl w:ilvl="7" w:tplc="537E817E" w:tentative="1">
      <w:start w:val="1"/>
      <w:numFmt w:val="bullet"/>
      <w:lvlText w:val="•"/>
      <w:lvlJc w:val="left"/>
      <w:pPr>
        <w:tabs>
          <w:tab w:val="num" w:pos="5760"/>
        </w:tabs>
        <w:ind w:left="5760" w:hanging="360"/>
      </w:pPr>
      <w:rPr>
        <w:rFonts w:ascii="Times New Roman" w:hAnsi="Times New Roman" w:hint="default"/>
      </w:rPr>
    </w:lvl>
    <w:lvl w:ilvl="8" w:tplc="3E9081C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47450F7"/>
    <w:multiLevelType w:val="hybridMultilevel"/>
    <w:tmpl w:val="B096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851FE"/>
    <w:multiLevelType w:val="hybridMultilevel"/>
    <w:tmpl w:val="E006E796"/>
    <w:lvl w:ilvl="0" w:tplc="0EA88E62">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9B0CB6"/>
    <w:multiLevelType w:val="hybridMultilevel"/>
    <w:tmpl w:val="ED86E810"/>
    <w:lvl w:ilvl="0" w:tplc="023275E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7E26186"/>
    <w:multiLevelType w:val="hybridMultilevel"/>
    <w:tmpl w:val="4274E7F0"/>
    <w:lvl w:ilvl="0" w:tplc="9428526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E86270"/>
    <w:multiLevelType w:val="hybridMultilevel"/>
    <w:tmpl w:val="BFE4287E"/>
    <w:lvl w:ilvl="0" w:tplc="9428526C">
      <w:start w:val="1"/>
      <w:numFmt w:val="bullet"/>
      <w:lvlText w:val=""/>
      <w:lvlJc w:val="left"/>
      <w:pPr>
        <w:ind w:left="360" w:hanging="360"/>
      </w:pPr>
      <w:rPr>
        <w:rFonts w:ascii="Symbol" w:hAnsi="Symbol" w:hint="default"/>
        <w:color w:val="auto"/>
      </w:rPr>
    </w:lvl>
    <w:lvl w:ilvl="1" w:tplc="443CFEF4">
      <w:start w:val="1"/>
      <w:numFmt w:val="bullet"/>
      <w:lvlText w:val="o"/>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0D3D3E"/>
    <w:multiLevelType w:val="hybridMultilevel"/>
    <w:tmpl w:val="64765E5E"/>
    <w:lvl w:ilvl="0" w:tplc="443CFEF4">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D0F7A"/>
    <w:multiLevelType w:val="hybridMultilevel"/>
    <w:tmpl w:val="C7745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F12A7"/>
    <w:multiLevelType w:val="hybridMultilevel"/>
    <w:tmpl w:val="EE4C5CE8"/>
    <w:lvl w:ilvl="0" w:tplc="443CFEF4">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C23B6E"/>
    <w:multiLevelType w:val="hybridMultilevel"/>
    <w:tmpl w:val="C9A0AC4E"/>
    <w:lvl w:ilvl="0" w:tplc="C8BC51FA">
      <w:start w:val="1"/>
      <w:numFmt w:val="bullet"/>
      <w:lvlText w:val=""/>
      <w:lvlJc w:val="left"/>
      <w:pPr>
        <w:tabs>
          <w:tab w:val="num" w:pos="1080"/>
        </w:tabs>
        <w:ind w:left="1080" w:hanging="360"/>
      </w:pPr>
      <w:rPr>
        <w:rFonts w:ascii="Symbol" w:hAnsi="Symbol" w:hint="default"/>
        <w:sz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61812DD"/>
    <w:multiLevelType w:val="hybridMultilevel"/>
    <w:tmpl w:val="E1F4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324F98"/>
    <w:multiLevelType w:val="hybridMultilevel"/>
    <w:tmpl w:val="750A881A"/>
    <w:lvl w:ilvl="0" w:tplc="04090001">
      <w:start w:val="1"/>
      <w:numFmt w:val="bullet"/>
      <w:lvlText w:val=""/>
      <w:lvlJc w:val="left"/>
      <w:pPr>
        <w:tabs>
          <w:tab w:val="num" w:pos="300"/>
        </w:tabs>
        <w:ind w:left="30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8">
    <w:nsid w:val="57366F9B"/>
    <w:multiLevelType w:val="hybridMultilevel"/>
    <w:tmpl w:val="A40CD3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CE514D6"/>
    <w:multiLevelType w:val="hybridMultilevel"/>
    <w:tmpl w:val="361668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05432FC"/>
    <w:multiLevelType w:val="hybridMultilevel"/>
    <w:tmpl w:val="44DCF9DA"/>
    <w:lvl w:ilvl="0" w:tplc="35B277B2">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9401AE6"/>
    <w:multiLevelType w:val="hybridMultilevel"/>
    <w:tmpl w:val="ED86E810"/>
    <w:lvl w:ilvl="0" w:tplc="023275E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A143E9B"/>
    <w:multiLevelType w:val="hybridMultilevel"/>
    <w:tmpl w:val="0AC6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C4643A"/>
    <w:multiLevelType w:val="hybridMultilevel"/>
    <w:tmpl w:val="C362339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718E225C"/>
    <w:multiLevelType w:val="hybridMultilevel"/>
    <w:tmpl w:val="C0F05962"/>
    <w:lvl w:ilvl="0" w:tplc="04090001">
      <w:start w:val="1"/>
      <w:numFmt w:val="bullet"/>
      <w:lvlText w:val=""/>
      <w:lvlJc w:val="left"/>
      <w:pPr>
        <w:ind w:left="5917" w:hanging="360"/>
      </w:pPr>
      <w:rPr>
        <w:rFonts w:ascii="Symbol" w:hAnsi="Symbol" w:hint="default"/>
      </w:rPr>
    </w:lvl>
    <w:lvl w:ilvl="1" w:tplc="04090003" w:tentative="1">
      <w:start w:val="1"/>
      <w:numFmt w:val="bullet"/>
      <w:lvlText w:val="o"/>
      <w:lvlJc w:val="left"/>
      <w:pPr>
        <w:ind w:left="6637" w:hanging="360"/>
      </w:pPr>
      <w:rPr>
        <w:rFonts w:ascii="Courier New" w:hAnsi="Courier New" w:cs="Courier New" w:hint="default"/>
      </w:rPr>
    </w:lvl>
    <w:lvl w:ilvl="2" w:tplc="04090005" w:tentative="1">
      <w:start w:val="1"/>
      <w:numFmt w:val="bullet"/>
      <w:lvlText w:val=""/>
      <w:lvlJc w:val="left"/>
      <w:pPr>
        <w:ind w:left="7357" w:hanging="360"/>
      </w:pPr>
      <w:rPr>
        <w:rFonts w:ascii="Wingdings" w:hAnsi="Wingdings" w:hint="default"/>
      </w:rPr>
    </w:lvl>
    <w:lvl w:ilvl="3" w:tplc="04090001" w:tentative="1">
      <w:start w:val="1"/>
      <w:numFmt w:val="bullet"/>
      <w:lvlText w:val=""/>
      <w:lvlJc w:val="left"/>
      <w:pPr>
        <w:ind w:left="8077" w:hanging="360"/>
      </w:pPr>
      <w:rPr>
        <w:rFonts w:ascii="Symbol" w:hAnsi="Symbol" w:hint="default"/>
      </w:rPr>
    </w:lvl>
    <w:lvl w:ilvl="4" w:tplc="04090003" w:tentative="1">
      <w:start w:val="1"/>
      <w:numFmt w:val="bullet"/>
      <w:lvlText w:val="o"/>
      <w:lvlJc w:val="left"/>
      <w:pPr>
        <w:ind w:left="8797" w:hanging="360"/>
      </w:pPr>
      <w:rPr>
        <w:rFonts w:ascii="Courier New" w:hAnsi="Courier New" w:cs="Courier New" w:hint="default"/>
      </w:rPr>
    </w:lvl>
    <w:lvl w:ilvl="5" w:tplc="04090005" w:tentative="1">
      <w:start w:val="1"/>
      <w:numFmt w:val="bullet"/>
      <w:lvlText w:val=""/>
      <w:lvlJc w:val="left"/>
      <w:pPr>
        <w:ind w:left="9517" w:hanging="360"/>
      </w:pPr>
      <w:rPr>
        <w:rFonts w:ascii="Wingdings" w:hAnsi="Wingdings" w:hint="default"/>
      </w:rPr>
    </w:lvl>
    <w:lvl w:ilvl="6" w:tplc="04090001" w:tentative="1">
      <w:start w:val="1"/>
      <w:numFmt w:val="bullet"/>
      <w:lvlText w:val=""/>
      <w:lvlJc w:val="left"/>
      <w:pPr>
        <w:ind w:left="10237" w:hanging="360"/>
      </w:pPr>
      <w:rPr>
        <w:rFonts w:ascii="Symbol" w:hAnsi="Symbol" w:hint="default"/>
      </w:rPr>
    </w:lvl>
    <w:lvl w:ilvl="7" w:tplc="04090003" w:tentative="1">
      <w:start w:val="1"/>
      <w:numFmt w:val="bullet"/>
      <w:lvlText w:val="o"/>
      <w:lvlJc w:val="left"/>
      <w:pPr>
        <w:ind w:left="10957" w:hanging="360"/>
      </w:pPr>
      <w:rPr>
        <w:rFonts w:ascii="Courier New" w:hAnsi="Courier New" w:cs="Courier New" w:hint="default"/>
      </w:rPr>
    </w:lvl>
    <w:lvl w:ilvl="8" w:tplc="04090005" w:tentative="1">
      <w:start w:val="1"/>
      <w:numFmt w:val="bullet"/>
      <w:lvlText w:val=""/>
      <w:lvlJc w:val="left"/>
      <w:pPr>
        <w:ind w:left="11677" w:hanging="360"/>
      </w:pPr>
      <w:rPr>
        <w:rFonts w:ascii="Wingdings" w:hAnsi="Wingdings" w:hint="default"/>
      </w:rPr>
    </w:lvl>
  </w:abstractNum>
  <w:abstractNum w:abstractNumId="35">
    <w:nsid w:val="752B3336"/>
    <w:multiLevelType w:val="hybridMultilevel"/>
    <w:tmpl w:val="DDCEA336"/>
    <w:lvl w:ilvl="0" w:tplc="04090001">
      <w:start w:val="1"/>
      <w:numFmt w:val="bullet"/>
      <w:lvlText w:val=""/>
      <w:lvlJc w:val="left"/>
      <w:pPr>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36">
    <w:nsid w:val="790C0CBC"/>
    <w:multiLevelType w:val="hybridMultilevel"/>
    <w:tmpl w:val="4EBE6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644BAE"/>
    <w:multiLevelType w:val="hybridMultilevel"/>
    <w:tmpl w:val="0D967C6C"/>
    <w:lvl w:ilvl="0" w:tplc="4FBC4F12">
      <w:start w:val="1"/>
      <w:numFmt w:val="bullet"/>
      <w:pStyle w:val="Bullet-flushleft"/>
      <w:lvlText w:val=""/>
      <w:lvlJc w:val="left"/>
      <w:pPr>
        <w:tabs>
          <w:tab w:val="num" w:pos="540"/>
        </w:tabs>
        <w:ind w:left="54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F180940"/>
    <w:multiLevelType w:val="hybridMultilevel"/>
    <w:tmpl w:val="2B2CB8C4"/>
    <w:lvl w:ilvl="0" w:tplc="9428526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6"/>
  </w:num>
  <w:num w:numId="4">
    <w:abstractNumId w:val="11"/>
  </w:num>
  <w:num w:numId="5">
    <w:abstractNumId w:val="10"/>
  </w:num>
  <w:num w:numId="6">
    <w:abstractNumId w:val="35"/>
  </w:num>
  <w:num w:numId="7">
    <w:abstractNumId w:val="37"/>
  </w:num>
  <w:num w:numId="8">
    <w:abstractNumId w:val="7"/>
  </w:num>
  <w:num w:numId="9">
    <w:abstractNumId w:val="15"/>
  </w:num>
  <w:num w:numId="10">
    <w:abstractNumId w:val="2"/>
  </w:num>
  <w:num w:numId="11">
    <w:abstractNumId w:val="25"/>
  </w:num>
  <w:num w:numId="12">
    <w:abstractNumId w:val="30"/>
  </w:num>
  <w:num w:numId="13">
    <w:abstractNumId w:val="14"/>
  </w:num>
  <w:num w:numId="14">
    <w:abstractNumId w:val="6"/>
  </w:num>
  <w:num w:numId="15">
    <w:abstractNumId w:val="0"/>
  </w:num>
  <w:num w:numId="16">
    <w:abstractNumId w:val="3"/>
  </w:num>
  <w:num w:numId="17">
    <w:abstractNumId w:val="34"/>
  </w:num>
  <w:num w:numId="18">
    <w:abstractNumId w:val="28"/>
  </w:num>
  <w:num w:numId="19">
    <w:abstractNumId w:val="27"/>
  </w:num>
  <w:num w:numId="20">
    <w:abstractNumId w:val="36"/>
  </w:num>
  <w:num w:numId="21">
    <w:abstractNumId w:val="5"/>
  </w:num>
  <w:num w:numId="22">
    <w:abstractNumId w:val="1"/>
  </w:num>
  <w:num w:numId="23">
    <w:abstractNumId w:val="23"/>
  </w:num>
  <w:num w:numId="24">
    <w:abstractNumId w:val="4"/>
  </w:num>
  <w:num w:numId="25">
    <w:abstractNumId w:val="29"/>
  </w:num>
  <w:num w:numId="26">
    <w:abstractNumId w:val="33"/>
  </w:num>
  <w:num w:numId="27">
    <w:abstractNumId w:val="31"/>
  </w:num>
  <w:num w:numId="28">
    <w:abstractNumId w:val="32"/>
  </w:num>
  <w:num w:numId="29">
    <w:abstractNumId w:val="26"/>
  </w:num>
  <w:num w:numId="30">
    <w:abstractNumId w:val="17"/>
  </w:num>
  <w:num w:numId="31">
    <w:abstractNumId w:val="38"/>
  </w:num>
  <w:num w:numId="32">
    <w:abstractNumId w:val="8"/>
  </w:num>
  <w:num w:numId="33">
    <w:abstractNumId w:val="21"/>
  </w:num>
  <w:num w:numId="34">
    <w:abstractNumId w:val="24"/>
  </w:num>
  <w:num w:numId="35">
    <w:abstractNumId w:val="22"/>
  </w:num>
  <w:num w:numId="36">
    <w:abstractNumId w:val="20"/>
  </w:num>
  <w:num w:numId="37">
    <w:abstractNumId w:val="13"/>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0F3AF4"/>
    <w:rsid w:val="00004EF4"/>
    <w:rsid w:val="00011569"/>
    <w:rsid w:val="0001356A"/>
    <w:rsid w:val="00015982"/>
    <w:rsid w:val="000232C9"/>
    <w:rsid w:val="000255D8"/>
    <w:rsid w:val="00030B1A"/>
    <w:rsid w:val="00040B95"/>
    <w:rsid w:val="00042026"/>
    <w:rsid w:val="00042D22"/>
    <w:rsid w:val="00046B3D"/>
    <w:rsid w:val="00047B95"/>
    <w:rsid w:val="00050918"/>
    <w:rsid w:val="0005383D"/>
    <w:rsid w:val="00056ABC"/>
    <w:rsid w:val="00064224"/>
    <w:rsid w:val="00066BDA"/>
    <w:rsid w:val="00072FF8"/>
    <w:rsid w:val="0007724A"/>
    <w:rsid w:val="0008026A"/>
    <w:rsid w:val="00081DEC"/>
    <w:rsid w:val="00083E7C"/>
    <w:rsid w:val="000870B6"/>
    <w:rsid w:val="0009399D"/>
    <w:rsid w:val="00093D9E"/>
    <w:rsid w:val="00094F74"/>
    <w:rsid w:val="0009719E"/>
    <w:rsid w:val="000B0D7B"/>
    <w:rsid w:val="000B112A"/>
    <w:rsid w:val="000B3C18"/>
    <w:rsid w:val="000B47F8"/>
    <w:rsid w:val="000B5E5A"/>
    <w:rsid w:val="000C1522"/>
    <w:rsid w:val="000C33D5"/>
    <w:rsid w:val="000C4D49"/>
    <w:rsid w:val="000D0C17"/>
    <w:rsid w:val="000E07F5"/>
    <w:rsid w:val="000E4A0A"/>
    <w:rsid w:val="000E683B"/>
    <w:rsid w:val="000E6A49"/>
    <w:rsid w:val="000E6EDF"/>
    <w:rsid w:val="000F1CBE"/>
    <w:rsid w:val="000F3AF4"/>
    <w:rsid w:val="00102732"/>
    <w:rsid w:val="00103DAE"/>
    <w:rsid w:val="00105603"/>
    <w:rsid w:val="00107C59"/>
    <w:rsid w:val="00115F2B"/>
    <w:rsid w:val="00120177"/>
    <w:rsid w:val="001254A0"/>
    <w:rsid w:val="00125CEA"/>
    <w:rsid w:val="00131DC2"/>
    <w:rsid w:val="00133695"/>
    <w:rsid w:val="00140D7E"/>
    <w:rsid w:val="00140F93"/>
    <w:rsid w:val="0014190F"/>
    <w:rsid w:val="00142200"/>
    <w:rsid w:val="00142595"/>
    <w:rsid w:val="00146C62"/>
    <w:rsid w:val="00147EBF"/>
    <w:rsid w:val="00154127"/>
    <w:rsid w:val="0015534D"/>
    <w:rsid w:val="0015594B"/>
    <w:rsid w:val="00155B78"/>
    <w:rsid w:val="00162B03"/>
    <w:rsid w:val="00167AEA"/>
    <w:rsid w:val="00171BAB"/>
    <w:rsid w:val="00172415"/>
    <w:rsid w:val="00172C7C"/>
    <w:rsid w:val="00172E2E"/>
    <w:rsid w:val="001777DD"/>
    <w:rsid w:val="00181A6F"/>
    <w:rsid w:val="001863A7"/>
    <w:rsid w:val="00190B44"/>
    <w:rsid w:val="0019598F"/>
    <w:rsid w:val="0019653E"/>
    <w:rsid w:val="001A09C0"/>
    <w:rsid w:val="001A36DC"/>
    <w:rsid w:val="001A60A3"/>
    <w:rsid w:val="001A77BC"/>
    <w:rsid w:val="001B220D"/>
    <w:rsid w:val="001B551C"/>
    <w:rsid w:val="001B652F"/>
    <w:rsid w:val="001C15AF"/>
    <w:rsid w:val="001C1F00"/>
    <w:rsid w:val="001C4145"/>
    <w:rsid w:val="001C509E"/>
    <w:rsid w:val="001C7044"/>
    <w:rsid w:val="001D1C56"/>
    <w:rsid w:val="001D277C"/>
    <w:rsid w:val="001D3D1B"/>
    <w:rsid w:val="001D6533"/>
    <w:rsid w:val="001E43D2"/>
    <w:rsid w:val="001E6931"/>
    <w:rsid w:val="001F23CE"/>
    <w:rsid w:val="001F4A81"/>
    <w:rsid w:val="0020023B"/>
    <w:rsid w:val="00206277"/>
    <w:rsid w:val="00211585"/>
    <w:rsid w:val="00211B52"/>
    <w:rsid w:val="00217B7E"/>
    <w:rsid w:val="002340D5"/>
    <w:rsid w:val="002342C1"/>
    <w:rsid w:val="00237E1F"/>
    <w:rsid w:val="00245FE0"/>
    <w:rsid w:val="00246A42"/>
    <w:rsid w:val="00253E1E"/>
    <w:rsid w:val="00254A18"/>
    <w:rsid w:val="0026386C"/>
    <w:rsid w:val="00272FE6"/>
    <w:rsid w:val="002765DB"/>
    <w:rsid w:val="00276687"/>
    <w:rsid w:val="0028318C"/>
    <w:rsid w:val="00283A91"/>
    <w:rsid w:val="00285625"/>
    <w:rsid w:val="00285AFD"/>
    <w:rsid w:val="00292713"/>
    <w:rsid w:val="00292ABD"/>
    <w:rsid w:val="002A1BF8"/>
    <w:rsid w:val="002A4DBA"/>
    <w:rsid w:val="002A635D"/>
    <w:rsid w:val="002B00E0"/>
    <w:rsid w:val="002B010F"/>
    <w:rsid w:val="002B267F"/>
    <w:rsid w:val="002B2AD3"/>
    <w:rsid w:val="002B4DE6"/>
    <w:rsid w:val="002C076E"/>
    <w:rsid w:val="002C4002"/>
    <w:rsid w:val="002C4D02"/>
    <w:rsid w:val="002D3898"/>
    <w:rsid w:val="002D419E"/>
    <w:rsid w:val="002E21CF"/>
    <w:rsid w:val="002F2E7A"/>
    <w:rsid w:val="002F4CDC"/>
    <w:rsid w:val="002F7DB8"/>
    <w:rsid w:val="002F7FB5"/>
    <w:rsid w:val="00300257"/>
    <w:rsid w:val="00301965"/>
    <w:rsid w:val="00304A1D"/>
    <w:rsid w:val="00304C28"/>
    <w:rsid w:val="003072AE"/>
    <w:rsid w:val="00307B0F"/>
    <w:rsid w:val="003216B6"/>
    <w:rsid w:val="003244B2"/>
    <w:rsid w:val="003303B3"/>
    <w:rsid w:val="003341C8"/>
    <w:rsid w:val="00336935"/>
    <w:rsid w:val="003404C3"/>
    <w:rsid w:val="00351024"/>
    <w:rsid w:val="003525DA"/>
    <w:rsid w:val="00352792"/>
    <w:rsid w:val="00366687"/>
    <w:rsid w:val="003668C7"/>
    <w:rsid w:val="0037320B"/>
    <w:rsid w:val="00377843"/>
    <w:rsid w:val="00377C4D"/>
    <w:rsid w:val="00381CA0"/>
    <w:rsid w:val="00390A06"/>
    <w:rsid w:val="00395478"/>
    <w:rsid w:val="00397221"/>
    <w:rsid w:val="003A5DBB"/>
    <w:rsid w:val="003A6686"/>
    <w:rsid w:val="003B2727"/>
    <w:rsid w:val="003B31A6"/>
    <w:rsid w:val="003B49DE"/>
    <w:rsid w:val="003C0156"/>
    <w:rsid w:val="003C1D1B"/>
    <w:rsid w:val="003D0D35"/>
    <w:rsid w:val="003D2841"/>
    <w:rsid w:val="003E3999"/>
    <w:rsid w:val="003E46AE"/>
    <w:rsid w:val="003E5D67"/>
    <w:rsid w:val="003E6A06"/>
    <w:rsid w:val="003F06E1"/>
    <w:rsid w:val="003F104C"/>
    <w:rsid w:val="003F4B01"/>
    <w:rsid w:val="003F68C2"/>
    <w:rsid w:val="003F7B61"/>
    <w:rsid w:val="004052EB"/>
    <w:rsid w:val="00405C39"/>
    <w:rsid w:val="004079D2"/>
    <w:rsid w:val="00425D9C"/>
    <w:rsid w:val="00430D83"/>
    <w:rsid w:val="00432B3B"/>
    <w:rsid w:val="00436762"/>
    <w:rsid w:val="00441C58"/>
    <w:rsid w:val="00442BBB"/>
    <w:rsid w:val="00443ED9"/>
    <w:rsid w:val="004444DC"/>
    <w:rsid w:val="0044763E"/>
    <w:rsid w:val="0045114D"/>
    <w:rsid w:val="00454E6B"/>
    <w:rsid w:val="004577B0"/>
    <w:rsid w:val="004671F9"/>
    <w:rsid w:val="00467DBB"/>
    <w:rsid w:val="00474F35"/>
    <w:rsid w:val="00476ED8"/>
    <w:rsid w:val="00490EEB"/>
    <w:rsid w:val="00496E0C"/>
    <w:rsid w:val="004A18F2"/>
    <w:rsid w:val="004A1C8F"/>
    <w:rsid w:val="004A256B"/>
    <w:rsid w:val="004A3F4C"/>
    <w:rsid w:val="004A59C0"/>
    <w:rsid w:val="004B2F67"/>
    <w:rsid w:val="004D22E2"/>
    <w:rsid w:val="004D388B"/>
    <w:rsid w:val="004D6DE7"/>
    <w:rsid w:val="004E10A0"/>
    <w:rsid w:val="004E3800"/>
    <w:rsid w:val="004E3DEC"/>
    <w:rsid w:val="004E5C5C"/>
    <w:rsid w:val="004E62E4"/>
    <w:rsid w:val="004E6A1B"/>
    <w:rsid w:val="004E6BD2"/>
    <w:rsid w:val="004E6D3C"/>
    <w:rsid w:val="004E7C7E"/>
    <w:rsid w:val="004F4AA2"/>
    <w:rsid w:val="004F62EF"/>
    <w:rsid w:val="004F7587"/>
    <w:rsid w:val="0050108F"/>
    <w:rsid w:val="00502AFF"/>
    <w:rsid w:val="005038B5"/>
    <w:rsid w:val="00504F52"/>
    <w:rsid w:val="005057F2"/>
    <w:rsid w:val="00507F78"/>
    <w:rsid w:val="00514B11"/>
    <w:rsid w:val="00515FF9"/>
    <w:rsid w:val="005167E7"/>
    <w:rsid w:val="00523917"/>
    <w:rsid w:val="00526EAA"/>
    <w:rsid w:val="005304DF"/>
    <w:rsid w:val="005328C9"/>
    <w:rsid w:val="00532F10"/>
    <w:rsid w:val="00533625"/>
    <w:rsid w:val="00533A77"/>
    <w:rsid w:val="00534261"/>
    <w:rsid w:val="0053497C"/>
    <w:rsid w:val="00537149"/>
    <w:rsid w:val="005421F5"/>
    <w:rsid w:val="00543216"/>
    <w:rsid w:val="00553CAE"/>
    <w:rsid w:val="00556097"/>
    <w:rsid w:val="005613B3"/>
    <w:rsid w:val="00566C84"/>
    <w:rsid w:val="005711CB"/>
    <w:rsid w:val="00571DE2"/>
    <w:rsid w:val="00572350"/>
    <w:rsid w:val="00573AD5"/>
    <w:rsid w:val="00574546"/>
    <w:rsid w:val="00587168"/>
    <w:rsid w:val="00590209"/>
    <w:rsid w:val="00590985"/>
    <w:rsid w:val="00594989"/>
    <w:rsid w:val="005949A6"/>
    <w:rsid w:val="005953DF"/>
    <w:rsid w:val="00595CBC"/>
    <w:rsid w:val="0059705E"/>
    <w:rsid w:val="005972F8"/>
    <w:rsid w:val="0059752F"/>
    <w:rsid w:val="005B03EF"/>
    <w:rsid w:val="005B0E10"/>
    <w:rsid w:val="005B2FC8"/>
    <w:rsid w:val="005B71A0"/>
    <w:rsid w:val="005B77F3"/>
    <w:rsid w:val="005C0798"/>
    <w:rsid w:val="005C32E0"/>
    <w:rsid w:val="005D37C1"/>
    <w:rsid w:val="005D459A"/>
    <w:rsid w:val="005D572A"/>
    <w:rsid w:val="005D6789"/>
    <w:rsid w:val="005F2F70"/>
    <w:rsid w:val="005F681D"/>
    <w:rsid w:val="006025DF"/>
    <w:rsid w:val="0060387A"/>
    <w:rsid w:val="006066BE"/>
    <w:rsid w:val="006071CC"/>
    <w:rsid w:val="006115D1"/>
    <w:rsid w:val="00611986"/>
    <w:rsid w:val="006276C5"/>
    <w:rsid w:val="006279F9"/>
    <w:rsid w:val="0063030B"/>
    <w:rsid w:val="00632A92"/>
    <w:rsid w:val="006348AF"/>
    <w:rsid w:val="0063663E"/>
    <w:rsid w:val="006527E8"/>
    <w:rsid w:val="00656C71"/>
    <w:rsid w:val="00660BA5"/>
    <w:rsid w:val="00661D4B"/>
    <w:rsid w:val="00664337"/>
    <w:rsid w:val="00665FED"/>
    <w:rsid w:val="00671382"/>
    <w:rsid w:val="0067476E"/>
    <w:rsid w:val="00675C0A"/>
    <w:rsid w:val="00677055"/>
    <w:rsid w:val="006800A7"/>
    <w:rsid w:val="00682EA2"/>
    <w:rsid w:val="00684408"/>
    <w:rsid w:val="00687755"/>
    <w:rsid w:val="006941C6"/>
    <w:rsid w:val="0069777D"/>
    <w:rsid w:val="006A0019"/>
    <w:rsid w:val="006A006D"/>
    <w:rsid w:val="006A16E7"/>
    <w:rsid w:val="006A22FA"/>
    <w:rsid w:val="006A61AE"/>
    <w:rsid w:val="006B14D6"/>
    <w:rsid w:val="006B797F"/>
    <w:rsid w:val="006C2DE6"/>
    <w:rsid w:val="006C67C9"/>
    <w:rsid w:val="006C7646"/>
    <w:rsid w:val="006C7E17"/>
    <w:rsid w:val="006D5113"/>
    <w:rsid w:val="006D7006"/>
    <w:rsid w:val="006E45D8"/>
    <w:rsid w:val="006E4F45"/>
    <w:rsid w:val="006E57D6"/>
    <w:rsid w:val="006E78CF"/>
    <w:rsid w:val="006F0E0A"/>
    <w:rsid w:val="006F170E"/>
    <w:rsid w:val="006F32B6"/>
    <w:rsid w:val="007006A6"/>
    <w:rsid w:val="0070178B"/>
    <w:rsid w:val="007049A7"/>
    <w:rsid w:val="007049EB"/>
    <w:rsid w:val="00704E37"/>
    <w:rsid w:val="00713455"/>
    <w:rsid w:val="0071407E"/>
    <w:rsid w:val="00714989"/>
    <w:rsid w:val="00714BAE"/>
    <w:rsid w:val="00716BDA"/>
    <w:rsid w:val="007205DF"/>
    <w:rsid w:val="00730727"/>
    <w:rsid w:val="0073692D"/>
    <w:rsid w:val="007407B4"/>
    <w:rsid w:val="007442D7"/>
    <w:rsid w:val="00745130"/>
    <w:rsid w:val="007474E9"/>
    <w:rsid w:val="00752CAA"/>
    <w:rsid w:val="0075350A"/>
    <w:rsid w:val="00756723"/>
    <w:rsid w:val="00756CE3"/>
    <w:rsid w:val="00761A10"/>
    <w:rsid w:val="007621D7"/>
    <w:rsid w:val="007721AA"/>
    <w:rsid w:val="00776ACF"/>
    <w:rsid w:val="00777D1D"/>
    <w:rsid w:val="00782740"/>
    <w:rsid w:val="00783A85"/>
    <w:rsid w:val="00783BB3"/>
    <w:rsid w:val="007869B9"/>
    <w:rsid w:val="00791871"/>
    <w:rsid w:val="00793EC6"/>
    <w:rsid w:val="00797FB2"/>
    <w:rsid w:val="007A4101"/>
    <w:rsid w:val="007B00F3"/>
    <w:rsid w:val="007B2233"/>
    <w:rsid w:val="007B79CE"/>
    <w:rsid w:val="007D284F"/>
    <w:rsid w:val="007D4DD6"/>
    <w:rsid w:val="007D5819"/>
    <w:rsid w:val="007D5FD6"/>
    <w:rsid w:val="007D7E55"/>
    <w:rsid w:val="007E0D55"/>
    <w:rsid w:val="007E2734"/>
    <w:rsid w:val="007E4117"/>
    <w:rsid w:val="007E439E"/>
    <w:rsid w:val="007F08A4"/>
    <w:rsid w:val="007F3B8A"/>
    <w:rsid w:val="007F6E32"/>
    <w:rsid w:val="007F7906"/>
    <w:rsid w:val="008008E9"/>
    <w:rsid w:val="008013F1"/>
    <w:rsid w:val="00811E89"/>
    <w:rsid w:val="00813858"/>
    <w:rsid w:val="008241A4"/>
    <w:rsid w:val="0082737D"/>
    <w:rsid w:val="00831137"/>
    <w:rsid w:val="00831958"/>
    <w:rsid w:val="00831AC7"/>
    <w:rsid w:val="0083269D"/>
    <w:rsid w:val="00833E76"/>
    <w:rsid w:val="00846BDC"/>
    <w:rsid w:val="00854089"/>
    <w:rsid w:val="0086487A"/>
    <w:rsid w:val="0086548E"/>
    <w:rsid w:val="00870D59"/>
    <w:rsid w:val="00871D5D"/>
    <w:rsid w:val="00881CCE"/>
    <w:rsid w:val="008867D5"/>
    <w:rsid w:val="008867E5"/>
    <w:rsid w:val="00887001"/>
    <w:rsid w:val="00892789"/>
    <w:rsid w:val="008A26C3"/>
    <w:rsid w:val="008A587E"/>
    <w:rsid w:val="008B057C"/>
    <w:rsid w:val="008B09FC"/>
    <w:rsid w:val="008B22CA"/>
    <w:rsid w:val="008B398E"/>
    <w:rsid w:val="008B6E02"/>
    <w:rsid w:val="008B6FC6"/>
    <w:rsid w:val="008B76A6"/>
    <w:rsid w:val="008C0181"/>
    <w:rsid w:val="008C653B"/>
    <w:rsid w:val="008C751A"/>
    <w:rsid w:val="008D4E2C"/>
    <w:rsid w:val="008E0F28"/>
    <w:rsid w:val="008E6967"/>
    <w:rsid w:val="008F1EB4"/>
    <w:rsid w:val="008F5E91"/>
    <w:rsid w:val="008F60F2"/>
    <w:rsid w:val="008F6A42"/>
    <w:rsid w:val="008F6C23"/>
    <w:rsid w:val="00900967"/>
    <w:rsid w:val="00900D1B"/>
    <w:rsid w:val="00901400"/>
    <w:rsid w:val="00914DA6"/>
    <w:rsid w:val="00917A7B"/>
    <w:rsid w:val="0092221E"/>
    <w:rsid w:val="00922AA0"/>
    <w:rsid w:val="009364D9"/>
    <w:rsid w:val="00944B5F"/>
    <w:rsid w:val="00950BB2"/>
    <w:rsid w:val="009513F8"/>
    <w:rsid w:val="00955357"/>
    <w:rsid w:val="009553F5"/>
    <w:rsid w:val="00960095"/>
    <w:rsid w:val="009749FC"/>
    <w:rsid w:val="00982F51"/>
    <w:rsid w:val="00985580"/>
    <w:rsid w:val="009857C3"/>
    <w:rsid w:val="00992899"/>
    <w:rsid w:val="009A389C"/>
    <w:rsid w:val="009A71D3"/>
    <w:rsid w:val="009A736B"/>
    <w:rsid w:val="009C07E1"/>
    <w:rsid w:val="009C0FA1"/>
    <w:rsid w:val="009C4CD3"/>
    <w:rsid w:val="009C6ADF"/>
    <w:rsid w:val="009D0DCF"/>
    <w:rsid w:val="009D573C"/>
    <w:rsid w:val="009D7C6B"/>
    <w:rsid w:val="009E02C8"/>
    <w:rsid w:val="009E084F"/>
    <w:rsid w:val="009E0ADB"/>
    <w:rsid w:val="009E0DCC"/>
    <w:rsid w:val="009E35DB"/>
    <w:rsid w:val="009F4CB0"/>
    <w:rsid w:val="009F595E"/>
    <w:rsid w:val="009F5E92"/>
    <w:rsid w:val="009F68DC"/>
    <w:rsid w:val="009F7895"/>
    <w:rsid w:val="00A02B4E"/>
    <w:rsid w:val="00A02E90"/>
    <w:rsid w:val="00A03899"/>
    <w:rsid w:val="00A0412F"/>
    <w:rsid w:val="00A0497D"/>
    <w:rsid w:val="00A05385"/>
    <w:rsid w:val="00A14452"/>
    <w:rsid w:val="00A16B93"/>
    <w:rsid w:val="00A21DA2"/>
    <w:rsid w:val="00A42F35"/>
    <w:rsid w:val="00A46D20"/>
    <w:rsid w:val="00A47FF7"/>
    <w:rsid w:val="00A5385A"/>
    <w:rsid w:val="00A60B74"/>
    <w:rsid w:val="00A627E3"/>
    <w:rsid w:val="00A62BF4"/>
    <w:rsid w:val="00A62DE9"/>
    <w:rsid w:val="00A73CCF"/>
    <w:rsid w:val="00A752DC"/>
    <w:rsid w:val="00A8572B"/>
    <w:rsid w:val="00A912BD"/>
    <w:rsid w:val="00AA6B28"/>
    <w:rsid w:val="00AB0C56"/>
    <w:rsid w:val="00AB0CE6"/>
    <w:rsid w:val="00AB6D0C"/>
    <w:rsid w:val="00AC4523"/>
    <w:rsid w:val="00AC53B2"/>
    <w:rsid w:val="00AD0148"/>
    <w:rsid w:val="00AD10D5"/>
    <w:rsid w:val="00AD44DC"/>
    <w:rsid w:val="00AD49AE"/>
    <w:rsid w:val="00AE024E"/>
    <w:rsid w:val="00AE4820"/>
    <w:rsid w:val="00AE58CD"/>
    <w:rsid w:val="00AE7D8E"/>
    <w:rsid w:val="00AF348E"/>
    <w:rsid w:val="00AF556C"/>
    <w:rsid w:val="00AF57C8"/>
    <w:rsid w:val="00B05657"/>
    <w:rsid w:val="00B07559"/>
    <w:rsid w:val="00B104E4"/>
    <w:rsid w:val="00B10AD0"/>
    <w:rsid w:val="00B10F7B"/>
    <w:rsid w:val="00B14C3B"/>
    <w:rsid w:val="00B21258"/>
    <w:rsid w:val="00B241A4"/>
    <w:rsid w:val="00B25CDA"/>
    <w:rsid w:val="00B35259"/>
    <w:rsid w:val="00B40758"/>
    <w:rsid w:val="00B4481F"/>
    <w:rsid w:val="00B44FFC"/>
    <w:rsid w:val="00B45FB8"/>
    <w:rsid w:val="00B47B92"/>
    <w:rsid w:val="00B50B79"/>
    <w:rsid w:val="00B53C32"/>
    <w:rsid w:val="00B548C9"/>
    <w:rsid w:val="00B561DC"/>
    <w:rsid w:val="00B56EA9"/>
    <w:rsid w:val="00B63E01"/>
    <w:rsid w:val="00B6635C"/>
    <w:rsid w:val="00B7063A"/>
    <w:rsid w:val="00B71E15"/>
    <w:rsid w:val="00B74677"/>
    <w:rsid w:val="00B75023"/>
    <w:rsid w:val="00B8323D"/>
    <w:rsid w:val="00B94CC0"/>
    <w:rsid w:val="00B9564C"/>
    <w:rsid w:val="00B963C8"/>
    <w:rsid w:val="00BB366E"/>
    <w:rsid w:val="00BB5715"/>
    <w:rsid w:val="00BC0822"/>
    <w:rsid w:val="00BC21E6"/>
    <w:rsid w:val="00BC21FC"/>
    <w:rsid w:val="00BC2FDF"/>
    <w:rsid w:val="00BC5208"/>
    <w:rsid w:val="00BC68C5"/>
    <w:rsid w:val="00BD24CB"/>
    <w:rsid w:val="00BD46CB"/>
    <w:rsid w:val="00BD4F82"/>
    <w:rsid w:val="00BD6E50"/>
    <w:rsid w:val="00BD75FB"/>
    <w:rsid w:val="00BE0A6D"/>
    <w:rsid w:val="00BE1E0D"/>
    <w:rsid w:val="00BE34F1"/>
    <w:rsid w:val="00BE4BC6"/>
    <w:rsid w:val="00BE668A"/>
    <w:rsid w:val="00BF2FF7"/>
    <w:rsid w:val="00BF48CB"/>
    <w:rsid w:val="00BF4B4F"/>
    <w:rsid w:val="00C0349B"/>
    <w:rsid w:val="00C07DEA"/>
    <w:rsid w:val="00C21DDC"/>
    <w:rsid w:val="00C22FD4"/>
    <w:rsid w:val="00C23686"/>
    <w:rsid w:val="00C25FC5"/>
    <w:rsid w:val="00C27A0B"/>
    <w:rsid w:val="00C3351C"/>
    <w:rsid w:val="00C3549F"/>
    <w:rsid w:val="00C360CC"/>
    <w:rsid w:val="00C36409"/>
    <w:rsid w:val="00C37192"/>
    <w:rsid w:val="00C41E5A"/>
    <w:rsid w:val="00C420B5"/>
    <w:rsid w:val="00C42EA6"/>
    <w:rsid w:val="00C4560B"/>
    <w:rsid w:val="00C521E5"/>
    <w:rsid w:val="00C53B32"/>
    <w:rsid w:val="00C54C09"/>
    <w:rsid w:val="00C558B6"/>
    <w:rsid w:val="00C55F65"/>
    <w:rsid w:val="00C62CC9"/>
    <w:rsid w:val="00C62F57"/>
    <w:rsid w:val="00C700A9"/>
    <w:rsid w:val="00C7632F"/>
    <w:rsid w:val="00C77888"/>
    <w:rsid w:val="00C80D85"/>
    <w:rsid w:val="00C849AA"/>
    <w:rsid w:val="00C85E5A"/>
    <w:rsid w:val="00C90219"/>
    <w:rsid w:val="00C93B52"/>
    <w:rsid w:val="00C95397"/>
    <w:rsid w:val="00C95612"/>
    <w:rsid w:val="00CA02D2"/>
    <w:rsid w:val="00CA073E"/>
    <w:rsid w:val="00CA13A9"/>
    <w:rsid w:val="00CA228D"/>
    <w:rsid w:val="00CA30F8"/>
    <w:rsid w:val="00CA4130"/>
    <w:rsid w:val="00CB50B0"/>
    <w:rsid w:val="00CB6B6B"/>
    <w:rsid w:val="00CB7836"/>
    <w:rsid w:val="00CB7F46"/>
    <w:rsid w:val="00CC0E6E"/>
    <w:rsid w:val="00CC3558"/>
    <w:rsid w:val="00CD100D"/>
    <w:rsid w:val="00CD16D8"/>
    <w:rsid w:val="00CE0FC8"/>
    <w:rsid w:val="00CE7D90"/>
    <w:rsid w:val="00CF22BF"/>
    <w:rsid w:val="00CF2D2B"/>
    <w:rsid w:val="00D035AE"/>
    <w:rsid w:val="00D03BB3"/>
    <w:rsid w:val="00D06F69"/>
    <w:rsid w:val="00D11989"/>
    <w:rsid w:val="00D1583F"/>
    <w:rsid w:val="00D221C8"/>
    <w:rsid w:val="00D23875"/>
    <w:rsid w:val="00D420CB"/>
    <w:rsid w:val="00D4300A"/>
    <w:rsid w:val="00D43CA1"/>
    <w:rsid w:val="00D4542D"/>
    <w:rsid w:val="00D45B69"/>
    <w:rsid w:val="00D53654"/>
    <w:rsid w:val="00D54E20"/>
    <w:rsid w:val="00D558BF"/>
    <w:rsid w:val="00D60341"/>
    <w:rsid w:val="00D70F7F"/>
    <w:rsid w:val="00D73FF5"/>
    <w:rsid w:val="00D75354"/>
    <w:rsid w:val="00D770A8"/>
    <w:rsid w:val="00D825C7"/>
    <w:rsid w:val="00D82ECD"/>
    <w:rsid w:val="00D830C7"/>
    <w:rsid w:val="00D83BBC"/>
    <w:rsid w:val="00D9243B"/>
    <w:rsid w:val="00D96A9B"/>
    <w:rsid w:val="00D9720A"/>
    <w:rsid w:val="00D97FDF"/>
    <w:rsid w:val="00DA15D6"/>
    <w:rsid w:val="00DA30F3"/>
    <w:rsid w:val="00DA3BB3"/>
    <w:rsid w:val="00DB0692"/>
    <w:rsid w:val="00DB753A"/>
    <w:rsid w:val="00DB7F44"/>
    <w:rsid w:val="00DD3176"/>
    <w:rsid w:val="00DD363C"/>
    <w:rsid w:val="00DD6516"/>
    <w:rsid w:val="00DD71F2"/>
    <w:rsid w:val="00DE0B9B"/>
    <w:rsid w:val="00DE21DC"/>
    <w:rsid w:val="00DE3A97"/>
    <w:rsid w:val="00DE7359"/>
    <w:rsid w:val="00DF080F"/>
    <w:rsid w:val="00DF0884"/>
    <w:rsid w:val="00DF40ED"/>
    <w:rsid w:val="00DF5524"/>
    <w:rsid w:val="00E0009A"/>
    <w:rsid w:val="00E02B6E"/>
    <w:rsid w:val="00E03B4A"/>
    <w:rsid w:val="00E04814"/>
    <w:rsid w:val="00E07A80"/>
    <w:rsid w:val="00E100A4"/>
    <w:rsid w:val="00E11CE6"/>
    <w:rsid w:val="00E143F4"/>
    <w:rsid w:val="00E168CB"/>
    <w:rsid w:val="00E173B9"/>
    <w:rsid w:val="00E22E67"/>
    <w:rsid w:val="00E33372"/>
    <w:rsid w:val="00E335A2"/>
    <w:rsid w:val="00E36780"/>
    <w:rsid w:val="00E4099B"/>
    <w:rsid w:val="00E429C9"/>
    <w:rsid w:val="00E44FA1"/>
    <w:rsid w:val="00E46FF8"/>
    <w:rsid w:val="00E6396C"/>
    <w:rsid w:val="00E6404E"/>
    <w:rsid w:val="00E650DF"/>
    <w:rsid w:val="00E65DF6"/>
    <w:rsid w:val="00E717D5"/>
    <w:rsid w:val="00E73397"/>
    <w:rsid w:val="00E80A33"/>
    <w:rsid w:val="00E8104E"/>
    <w:rsid w:val="00E81B38"/>
    <w:rsid w:val="00E857B5"/>
    <w:rsid w:val="00E9006B"/>
    <w:rsid w:val="00E90293"/>
    <w:rsid w:val="00E91FFF"/>
    <w:rsid w:val="00E964D7"/>
    <w:rsid w:val="00EA236D"/>
    <w:rsid w:val="00EA5430"/>
    <w:rsid w:val="00EA5890"/>
    <w:rsid w:val="00EA6C27"/>
    <w:rsid w:val="00EA7D76"/>
    <w:rsid w:val="00EA7D7F"/>
    <w:rsid w:val="00EB2E65"/>
    <w:rsid w:val="00EB552B"/>
    <w:rsid w:val="00EC47ED"/>
    <w:rsid w:val="00ED3018"/>
    <w:rsid w:val="00ED7846"/>
    <w:rsid w:val="00EE000B"/>
    <w:rsid w:val="00EE17E1"/>
    <w:rsid w:val="00EE1DAC"/>
    <w:rsid w:val="00EE262A"/>
    <w:rsid w:val="00EF53B6"/>
    <w:rsid w:val="00EF65B8"/>
    <w:rsid w:val="00F05D47"/>
    <w:rsid w:val="00F1102C"/>
    <w:rsid w:val="00F137C9"/>
    <w:rsid w:val="00F13C79"/>
    <w:rsid w:val="00F147E8"/>
    <w:rsid w:val="00F205B6"/>
    <w:rsid w:val="00F218DC"/>
    <w:rsid w:val="00F24306"/>
    <w:rsid w:val="00F352A9"/>
    <w:rsid w:val="00F377D6"/>
    <w:rsid w:val="00F42884"/>
    <w:rsid w:val="00F4479C"/>
    <w:rsid w:val="00F47B5E"/>
    <w:rsid w:val="00F51C29"/>
    <w:rsid w:val="00F56A45"/>
    <w:rsid w:val="00F61C28"/>
    <w:rsid w:val="00F62DEE"/>
    <w:rsid w:val="00F639DD"/>
    <w:rsid w:val="00F658D7"/>
    <w:rsid w:val="00F71868"/>
    <w:rsid w:val="00F75476"/>
    <w:rsid w:val="00F76504"/>
    <w:rsid w:val="00F82C86"/>
    <w:rsid w:val="00F91816"/>
    <w:rsid w:val="00F9448C"/>
    <w:rsid w:val="00F975FA"/>
    <w:rsid w:val="00FA3225"/>
    <w:rsid w:val="00FA453D"/>
    <w:rsid w:val="00FA640F"/>
    <w:rsid w:val="00FB67A8"/>
    <w:rsid w:val="00FC0E85"/>
    <w:rsid w:val="00FC3487"/>
    <w:rsid w:val="00FC4F53"/>
    <w:rsid w:val="00FC5601"/>
    <w:rsid w:val="00FD1135"/>
    <w:rsid w:val="00FD21E4"/>
    <w:rsid w:val="00FD625E"/>
    <w:rsid w:val="00FD69E9"/>
    <w:rsid w:val="00FD7B4C"/>
    <w:rsid w:val="00FE1C21"/>
    <w:rsid w:val="00FE58C5"/>
    <w:rsid w:val="00FE7141"/>
    <w:rsid w:val="00FF0646"/>
    <w:rsid w:val="00FF33E5"/>
    <w:rsid w:val="00FF5916"/>
    <w:rsid w:val="00FF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7A7B"/>
    <w:pPr>
      <w:widowControl w:val="0"/>
      <w:autoSpaceDE w:val="0"/>
      <w:autoSpaceDN w:val="0"/>
      <w:adjustRightInd w:val="0"/>
    </w:pPr>
    <w:rPr>
      <w:szCs w:val="24"/>
    </w:rPr>
  </w:style>
  <w:style w:type="paragraph" w:styleId="Heading1">
    <w:name w:val="heading 1"/>
    <w:basedOn w:val="Normal"/>
    <w:next w:val="Normal"/>
    <w:link w:val="Heading1Char"/>
    <w:qFormat/>
    <w:rsid w:val="00C85E5A"/>
    <w:pPr>
      <w:keepNext/>
      <w:widowControl/>
      <w:autoSpaceDE/>
      <w:autoSpaceDN/>
      <w:adjustRightInd/>
      <w:outlineLvl w:val="0"/>
    </w:pPr>
    <w:rPr>
      <w:b/>
      <w:bCs/>
      <w:sz w:val="24"/>
    </w:rPr>
  </w:style>
  <w:style w:type="paragraph" w:styleId="Heading6">
    <w:name w:val="heading 6"/>
    <w:basedOn w:val="Normal"/>
    <w:next w:val="Normal"/>
    <w:link w:val="Heading6Char"/>
    <w:semiHidden/>
    <w:unhideWhenUsed/>
    <w:qFormat/>
    <w:rsid w:val="00E80A3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17A7B"/>
  </w:style>
  <w:style w:type="table" w:styleId="TableGrid">
    <w:name w:val="Table Grid"/>
    <w:basedOn w:val="TableNormal"/>
    <w:uiPriority w:val="59"/>
    <w:rsid w:val="00190B4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graphChar">
    <w:name w:val="paragraph Char"/>
    <w:basedOn w:val="Normal"/>
    <w:rsid w:val="0082737D"/>
    <w:pPr>
      <w:widowControl/>
      <w:autoSpaceDE/>
      <w:autoSpaceDN/>
      <w:adjustRightInd/>
      <w:spacing w:before="120" w:after="120"/>
    </w:pPr>
    <w:rPr>
      <w:rFonts w:ascii="Arial" w:hAnsi="Arial"/>
      <w:sz w:val="22"/>
      <w:szCs w:val="20"/>
    </w:rPr>
  </w:style>
  <w:style w:type="paragraph" w:customStyle="1" w:styleId="InfoBlue">
    <w:name w:val="InfoBlue"/>
    <w:basedOn w:val="Normal"/>
    <w:next w:val="BodyText"/>
    <w:rsid w:val="000F1CBE"/>
    <w:pPr>
      <w:autoSpaceDE/>
      <w:autoSpaceDN/>
      <w:adjustRightInd/>
      <w:spacing w:after="120" w:line="240" w:lineRule="atLeast"/>
      <w:ind w:left="576"/>
      <w:jc w:val="both"/>
    </w:pPr>
    <w:rPr>
      <w:i/>
      <w:color w:val="0000FF"/>
      <w:sz w:val="24"/>
      <w:szCs w:val="20"/>
    </w:rPr>
  </w:style>
  <w:style w:type="paragraph" w:styleId="BodyText">
    <w:name w:val="Body Text"/>
    <w:basedOn w:val="Normal"/>
    <w:link w:val="BodyTextChar"/>
    <w:rsid w:val="000F1CBE"/>
    <w:pPr>
      <w:spacing w:after="120"/>
    </w:pPr>
  </w:style>
  <w:style w:type="character" w:customStyle="1" w:styleId="BodyTextChar">
    <w:name w:val="Body Text Char"/>
    <w:basedOn w:val="DefaultParagraphFont"/>
    <w:link w:val="BodyText"/>
    <w:rsid w:val="000F1CBE"/>
    <w:rPr>
      <w:szCs w:val="24"/>
    </w:rPr>
  </w:style>
  <w:style w:type="paragraph" w:styleId="ListParagraph">
    <w:name w:val="List Paragraph"/>
    <w:basedOn w:val="Normal"/>
    <w:uiPriority w:val="34"/>
    <w:qFormat/>
    <w:rsid w:val="00D43CA1"/>
    <w:pPr>
      <w:widowControl/>
      <w:autoSpaceDE/>
      <w:autoSpaceDN/>
      <w:adjustRightInd/>
      <w:ind w:left="720"/>
      <w:contextualSpacing/>
    </w:pPr>
    <w:rPr>
      <w:color w:val="000000"/>
      <w:sz w:val="24"/>
      <w:szCs w:val="20"/>
    </w:rPr>
  </w:style>
  <w:style w:type="paragraph" w:customStyle="1" w:styleId="Bullet-flushleft">
    <w:name w:val="Bullet-flush left"/>
    <w:basedOn w:val="Normal"/>
    <w:rsid w:val="006B797F"/>
    <w:pPr>
      <w:widowControl/>
      <w:numPr>
        <w:numId w:val="7"/>
      </w:numPr>
      <w:tabs>
        <w:tab w:val="clear" w:pos="540"/>
        <w:tab w:val="num" w:pos="360"/>
      </w:tabs>
      <w:autoSpaceDE/>
      <w:autoSpaceDN/>
      <w:adjustRightInd/>
      <w:ind w:left="360"/>
    </w:pPr>
    <w:rPr>
      <w:rFonts w:ascii="Tahoma" w:hAnsi="Tahoma"/>
    </w:rPr>
  </w:style>
  <w:style w:type="paragraph" w:customStyle="1" w:styleId="Bullet-indentonce">
    <w:name w:val="Bullet - indent once"/>
    <w:basedOn w:val="Bullet-flushleft"/>
    <w:rsid w:val="006B797F"/>
    <w:pPr>
      <w:numPr>
        <w:numId w:val="8"/>
      </w:numPr>
    </w:pPr>
  </w:style>
  <w:style w:type="paragraph" w:customStyle="1" w:styleId="Bodytext0">
    <w:name w:val="Bodytext"/>
    <w:basedOn w:val="Normal"/>
    <w:link w:val="BodytextChar0"/>
    <w:rsid w:val="006B797F"/>
    <w:pPr>
      <w:widowControl/>
      <w:autoSpaceDE/>
      <w:autoSpaceDN/>
      <w:adjustRightInd/>
    </w:pPr>
    <w:rPr>
      <w:rFonts w:ascii="Tahoma" w:hAnsi="Tahoma"/>
    </w:rPr>
  </w:style>
  <w:style w:type="paragraph" w:customStyle="1" w:styleId="ResourceBookBullet">
    <w:name w:val="Resource Book Bullet"/>
    <w:rsid w:val="006B797F"/>
    <w:pPr>
      <w:numPr>
        <w:numId w:val="9"/>
      </w:numPr>
    </w:pPr>
    <w:rPr>
      <w:rFonts w:ascii="Tahoma" w:hAnsi="Tahoma"/>
    </w:rPr>
  </w:style>
  <w:style w:type="character" w:styleId="Hyperlink">
    <w:name w:val="Hyperlink"/>
    <w:basedOn w:val="DefaultParagraphFont"/>
    <w:rsid w:val="006B797F"/>
    <w:rPr>
      <w:color w:val="0000FF"/>
      <w:u w:val="single"/>
    </w:rPr>
  </w:style>
  <w:style w:type="character" w:customStyle="1" w:styleId="BodytextChar0">
    <w:name w:val="Bodytext Char"/>
    <w:basedOn w:val="DefaultParagraphFont"/>
    <w:link w:val="Bodytext0"/>
    <w:rsid w:val="006B797F"/>
    <w:rPr>
      <w:rFonts w:ascii="Tahoma" w:hAnsi="Tahoma"/>
      <w:szCs w:val="24"/>
    </w:rPr>
  </w:style>
  <w:style w:type="paragraph" w:styleId="Header">
    <w:name w:val="header"/>
    <w:basedOn w:val="Normal"/>
    <w:link w:val="HeaderChar"/>
    <w:rsid w:val="009D7C6B"/>
    <w:pPr>
      <w:tabs>
        <w:tab w:val="center" w:pos="4680"/>
        <w:tab w:val="right" w:pos="9360"/>
      </w:tabs>
    </w:pPr>
  </w:style>
  <w:style w:type="character" w:customStyle="1" w:styleId="HeaderChar">
    <w:name w:val="Header Char"/>
    <w:basedOn w:val="DefaultParagraphFont"/>
    <w:link w:val="Header"/>
    <w:rsid w:val="009D7C6B"/>
    <w:rPr>
      <w:szCs w:val="24"/>
    </w:rPr>
  </w:style>
  <w:style w:type="paragraph" w:styleId="Footer">
    <w:name w:val="footer"/>
    <w:basedOn w:val="Normal"/>
    <w:link w:val="FooterChar"/>
    <w:rsid w:val="009D7C6B"/>
    <w:pPr>
      <w:tabs>
        <w:tab w:val="center" w:pos="4680"/>
        <w:tab w:val="right" w:pos="9360"/>
      </w:tabs>
    </w:pPr>
  </w:style>
  <w:style w:type="character" w:customStyle="1" w:styleId="FooterChar">
    <w:name w:val="Footer Char"/>
    <w:basedOn w:val="DefaultParagraphFont"/>
    <w:link w:val="Footer"/>
    <w:rsid w:val="009D7C6B"/>
    <w:rPr>
      <w:szCs w:val="24"/>
    </w:rPr>
  </w:style>
  <w:style w:type="paragraph" w:styleId="BalloonText">
    <w:name w:val="Balloon Text"/>
    <w:basedOn w:val="Normal"/>
    <w:link w:val="BalloonTextChar"/>
    <w:rsid w:val="00507F78"/>
    <w:rPr>
      <w:rFonts w:ascii="Tahoma" w:hAnsi="Tahoma" w:cs="Tahoma"/>
      <w:sz w:val="16"/>
      <w:szCs w:val="16"/>
    </w:rPr>
  </w:style>
  <w:style w:type="character" w:customStyle="1" w:styleId="BalloonTextChar">
    <w:name w:val="Balloon Text Char"/>
    <w:basedOn w:val="DefaultParagraphFont"/>
    <w:link w:val="BalloonText"/>
    <w:rsid w:val="00507F78"/>
    <w:rPr>
      <w:rFonts w:ascii="Tahoma" w:hAnsi="Tahoma" w:cs="Tahoma"/>
      <w:sz w:val="16"/>
      <w:szCs w:val="16"/>
    </w:rPr>
  </w:style>
  <w:style w:type="character" w:styleId="CommentReference">
    <w:name w:val="annotation reference"/>
    <w:basedOn w:val="DefaultParagraphFont"/>
    <w:rsid w:val="00507F78"/>
    <w:rPr>
      <w:sz w:val="16"/>
      <w:szCs w:val="16"/>
    </w:rPr>
  </w:style>
  <w:style w:type="paragraph" w:styleId="CommentText">
    <w:name w:val="annotation text"/>
    <w:basedOn w:val="Normal"/>
    <w:link w:val="CommentTextChar"/>
    <w:rsid w:val="00507F78"/>
    <w:rPr>
      <w:szCs w:val="20"/>
    </w:rPr>
  </w:style>
  <w:style w:type="character" w:customStyle="1" w:styleId="CommentTextChar">
    <w:name w:val="Comment Text Char"/>
    <w:basedOn w:val="DefaultParagraphFont"/>
    <w:link w:val="CommentText"/>
    <w:rsid w:val="00507F78"/>
  </w:style>
  <w:style w:type="paragraph" w:styleId="CommentSubject">
    <w:name w:val="annotation subject"/>
    <w:basedOn w:val="CommentText"/>
    <w:next w:val="CommentText"/>
    <w:link w:val="CommentSubjectChar"/>
    <w:rsid w:val="00507F78"/>
    <w:rPr>
      <w:b/>
      <w:bCs/>
    </w:rPr>
  </w:style>
  <w:style w:type="character" w:customStyle="1" w:styleId="CommentSubjectChar">
    <w:name w:val="Comment Subject Char"/>
    <w:basedOn w:val="CommentTextChar"/>
    <w:link w:val="CommentSubject"/>
    <w:rsid w:val="00507F78"/>
    <w:rPr>
      <w:b/>
      <w:bCs/>
    </w:rPr>
  </w:style>
  <w:style w:type="character" w:customStyle="1" w:styleId="Heading1Char">
    <w:name w:val="Heading 1 Char"/>
    <w:basedOn w:val="DefaultParagraphFont"/>
    <w:link w:val="Heading1"/>
    <w:rsid w:val="00C85E5A"/>
    <w:rPr>
      <w:b/>
      <w:bCs/>
      <w:sz w:val="24"/>
      <w:szCs w:val="24"/>
    </w:rPr>
  </w:style>
  <w:style w:type="character" w:styleId="FollowedHyperlink">
    <w:name w:val="FollowedHyperlink"/>
    <w:basedOn w:val="DefaultParagraphFont"/>
    <w:rsid w:val="00C85E5A"/>
    <w:rPr>
      <w:color w:val="800080" w:themeColor="followedHyperlink"/>
      <w:u w:val="single"/>
    </w:rPr>
  </w:style>
  <w:style w:type="character" w:customStyle="1" w:styleId="Heading6Char">
    <w:name w:val="Heading 6 Char"/>
    <w:basedOn w:val="DefaultParagraphFont"/>
    <w:link w:val="Heading6"/>
    <w:semiHidden/>
    <w:rsid w:val="00E80A33"/>
    <w:rPr>
      <w:rFonts w:asciiTheme="majorHAnsi" w:eastAsiaTheme="majorEastAsia" w:hAnsiTheme="majorHAnsi" w:cstheme="majorBidi"/>
      <w:i/>
      <w:iCs/>
      <w:color w:val="243F60" w:themeColor="accent1" w:themeShade="7F"/>
      <w:szCs w:val="24"/>
    </w:rPr>
  </w:style>
  <w:style w:type="paragraph" w:customStyle="1" w:styleId="Default">
    <w:name w:val="Default"/>
    <w:rsid w:val="001C4145"/>
    <w:pPr>
      <w:autoSpaceDE w:val="0"/>
      <w:autoSpaceDN w:val="0"/>
      <w:adjustRightInd w:val="0"/>
    </w:pPr>
    <w:rPr>
      <w:rFonts w:ascii="Verdana" w:hAnsi="Verdana" w:cs="Verdana"/>
      <w:color w:val="000000"/>
      <w:sz w:val="24"/>
      <w:szCs w:val="24"/>
    </w:rPr>
  </w:style>
  <w:style w:type="paragraph" w:styleId="BodyTextIndent">
    <w:name w:val="Body Text Indent"/>
    <w:basedOn w:val="Normal"/>
    <w:link w:val="BodyTextIndentChar"/>
    <w:rsid w:val="00454E6B"/>
    <w:pPr>
      <w:spacing w:after="120"/>
      <w:ind w:left="360"/>
    </w:pPr>
  </w:style>
  <w:style w:type="character" w:customStyle="1" w:styleId="BodyTextIndentChar">
    <w:name w:val="Body Text Indent Char"/>
    <w:basedOn w:val="DefaultParagraphFont"/>
    <w:link w:val="BodyTextIndent"/>
    <w:rsid w:val="00454E6B"/>
    <w:rPr>
      <w:szCs w:val="24"/>
    </w:rPr>
  </w:style>
  <w:style w:type="paragraph" w:customStyle="1" w:styleId="a">
    <w:name w:val="_"/>
    <w:basedOn w:val="Normal"/>
    <w:rsid w:val="00042D22"/>
    <w:pPr>
      <w:autoSpaceDE/>
      <w:autoSpaceDN/>
      <w:adjustRightInd/>
      <w:ind w:left="720" w:hanging="720"/>
    </w:pPr>
    <w:rPr>
      <w:snapToGrid w:val="0"/>
      <w:sz w:val="24"/>
      <w:szCs w:val="20"/>
    </w:rPr>
  </w:style>
  <w:style w:type="paragraph" w:styleId="NormalWeb">
    <w:name w:val="Normal (Web)"/>
    <w:basedOn w:val="Normal"/>
    <w:uiPriority w:val="99"/>
    <w:unhideWhenUsed/>
    <w:rsid w:val="00474F35"/>
    <w:pPr>
      <w:widowControl/>
      <w:autoSpaceDE/>
      <w:autoSpaceDN/>
      <w:adjustRightInd/>
      <w:spacing w:before="100" w:beforeAutospacing="1" w:after="100" w:afterAutospacing="1"/>
    </w:pPr>
    <w:rPr>
      <w:sz w:val="24"/>
    </w:rPr>
  </w:style>
  <w:style w:type="character" w:customStyle="1" w:styleId="st1">
    <w:name w:val="st1"/>
    <w:basedOn w:val="DefaultParagraphFont"/>
    <w:rsid w:val="00474F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73691">
      <w:bodyDiv w:val="1"/>
      <w:marLeft w:val="0"/>
      <w:marRight w:val="0"/>
      <w:marTop w:val="0"/>
      <w:marBottom w:val="0"/>
      <w:divBdr>
        <w:top w:val="none" w:sz="0" w:space="0" w:color="auto"/>
        <w:left w:val="none" w:sz="0" w:space="0" w:color="auto"/>
        <w:bottom w:val="none" w:sz="0" w:space="0" w:color="auto"/>
        <w:right w:val="none" w:sz="0" w:space="0" w:color="auto"/>
      </w:divBdr>
    </w:div>
    <w:div w:id="285550911">
      <w:bodyDiv w:val="1"/>
      <w:marLeft w:val="0"/>
      <w:marRight w:val="0"/>
      <w:marTop w:val="0"/>
      <w:marBottom w:val="0"/>
      <w:divBdr>
        <w:top w:val="none" w:sz="0" w:space="0" w:color="auto"/>
        <w:left w:val="none" w:sz="0" w:space="0" w:color="auto"/>
        <w:bottom w:val="none" w:sz="0" w:space="0" w:color="auto"/>
        <w:right w:val="none" w:sz="0" w:space="0" w:color="auto"/>
      </w:divBdr>
    </w:div>
    <w:div w:id="600575295">
      <w:bodyDiv w:val="1"/>
      <w:marLeft w:val="0"/>
      <w:marRight w:val="0"/>
      <w:marTop w:val="0"/>
      <w:marBottom w:val="0"/>
      <w:divBdr>
        <w:top w:val="none" w:sz="0" w:space="0" w:color="auto"/>
        <w:left w:val="none" w:sz="0" w:space="0" w:color="auto"/>
        <w:bottom w:val="none" w:sz="0" w:space="0" w:color="auto"/>
        <w:right w:val="none" w:sz="0" w:space="0" w:color="auto"/>
      </w:divBdr>
    </w:div>
    <w:div w:id="911744569">
      <w:bodyDiv w:val="1"/>
      <w:marLeft w:val="0"/>
      <w:marRight w:val="0"/>
      <w:marTop w:val="0"/>
      <w:marBottom w:val="0"/>
      <w:divBdr>
        <w:top w:val="none" w:sz="0" w:space="0" w:color="auto"/>
        <w:left w:val="none" w:sz="0" w:space="0" w:color="auto"/>
        <w:bottom w:val="none" w:sz="0" w:space="0" w:color="auto"/>
        <w:right w:val="none" w:sz="0" w:space="0" w:color="auto"/>
      </w:divBdr>
    </w:div>
    <w:div w:id="1486319912">
      <w:bodyDiv w:val="1"/>
      <w:marLeft w:val="0"/>
      <w:marRight w:val="0"/>
      <w:marTop w:val="0"/>
      <w:marBottom w:val="0"/>
      <w:divBdr>
        <w:top w:val="none" w:sz="0" w:space="0" w:color="auto"/>
        <w:left w:val="none" w:sz="0" w:space="0" w:color="auto"/>
        <w:bottom w:val="none" w:sz="0" w:space="0" w:color="auto"/>
        <w:right w:val="none" w:sz="0" w:space="0" w:color="auto"/>
      </w:divBdr>
    </w:div>
    <w:div w:id="1627004319">
      <w:bodyDiv w:val="1"/>
      <w:marLeft w:val="0"/>
      <w:marRight w:val="0"/>
      <w:marTop w:val="0"/>
      <w:marBottom w:val="0"/>
      <w:divBdr>
        <w:top w:val="none" w:sz="0" w:space="0" w:color="auto"/>
        <w:left w:val="none" w:sz="0" w:space="0" w:color="auto"/>
        <w:bottom w:val="none" w:sz="0" w:space="0" w:color="auto"/>
        <w:right w:val="none" w:sz="0" w:space="0" w:color="auto"/>
      </w:divBdr>
      <w:divsChild>
        <w:div w:id="479883948">
          <w:marLeft w:val="1166"/>
          <w:marRight w:val="0"/>
          <w:marTop w:val="96"/>
          <w:marBottom w:val="0"/>
          <w:divBdr>
            <w:top w:val="none" w:sz="0" w:space="0" w:color="auto"/>
            <w:left w:val="none" w:sz="0" w:space="0" w:color="auto"/>
            <w:bottom w:val="none" w:sz="0" w:space="0" w:color="auto"/>
            <w:right w:val="none" w:sz="0" w:space="0" w:color="auto"/>
          </w:divBdr>
        </w:div>
      </w:divsChild>
    </w:div>
    <w:div w:id="1734280215">
      <w:bodyDiv w:val="1"/>
      <w:marLeft w:val="0"/>
      <w:marRight w:val="0"/>
      <w:marTop w:val="0"/>
      <w:marBottom w:val="0"/>
      <w:divBdr>
        <w:top w:val="none" w:sz="0" w:space="0" w:color="auto"/>
        <w:left w:val="none" w:sz="0" w:space="0" w:color="auto"/>
        <w:bottom w:val="none" w:sz="0" w:space="0" w:color="auto"/>
        <w:right w:val="none" w:sz="0" w:space="0" w:color="auto"/>
      </w:divBdr>
      <w:divsChild>
        <w:div w:id="3331662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c-ed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c-edi.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scoperations.com" TargetMode="External"/><Relationship Id="rId4" Type="http://schemas.microsoft.com/office/2007/relationships/stylesWithEffects" Target="stylesWithEffects.xml"/><Relationship Id="rId9" Type="http://schemas.openxmlformats.org/officeDocument/2006/relationships/hyperlink" Target="https://www.cms.gov/ElectronicBillingEDITrans/18_5010D0.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A292E-B320-4FD9-9A53-EC1BEE4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5837</Words>
  <Characters>33275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39034</CharactersWithSpaces>
  <SharedDoc>false</SharedDoc>
  <HLinks>
    <vt:vector size="60" baseType="variant">
      <vt:variant>
        <vt:i4>4194371</vt:i4>
      </vt:variant>
      <vt:variant>
        <vt:i4>27</vt:i4>
      </vt:variant>
      <vt:variant>
        <vt:i4>0</vt:i4>
      </vt:variant>
      <vt:variant>
        <vt:i4>5</vt:i4>
      </vt:variant>
      <vt:variant>
        <vt:lpwstr>http://www.cms.hhs.gov/MedicareAdvtgSpecRateStats/Downloads/Announcement2009.pdf</vt:lpwstr>
      </vt:variant>
      <vt:variant>
        <vt:lpwstr/>
      </vt:variant>
      <vt:variant>
        <vt:i4>4259907</vt:i4>
      </vt:variant>
      <vt:variant>
        <vt:i4>24</vt:i4>
      </vt:variant>
      <vt:variant>
        <vt:i4>0</vt:i4>
      </vt:variant>
      <vt:variant>
        <vt:i4>5</vt:i4>
      </vt:variant>
      <vt:variant>
        <vt:lpwstr>http://www.cms.hhs.gov/MedicareAdvtgSpecRateStats/Downloads/Announcement2008.pdf</vt:lpwstr>
      </vt:variant>
      <vt:variant>
        <vt:lpwstr/>
      </vt:variant>
      <vt:variant>
        <vt:i4>5111875</vt:i4>
      </vt:variant>
      <vt:variant>
        <vt:i4>21</vt:i4>
      </vt:variant>
      <vt:variant>
        <vt:i4>0</vt:i4>
      </vt:variant>
      <vt:variant>
        <vt:i4>5</vt:i4>
      </vt:variant>
      <vt:variant>
        <vt:lpwstr>http://www.cms.hhs.gov/MedicareAdvtgSpecRateStats/Downloads/Announcement2007.pdf</vt:lpwstr>
      </vt:variant>
      <vt:variant>
        <vt:lpwstr/>
      </vt:variant>
      <vt:variant>
        <vt:i4>589846</vt:i4>
      </vt:variant>
      <vt:variant>
        <vt:i4>18</vt:i4>
      </vt:variant>
      <vt:variant>
        <vt:i4>0</vt:i4>
      </vt:variant>
      <vt:variant>
        <vt:i4>5</vt:i4>
      </vt:variant>
      <vt:variant>
        <vt:lpwstr>https://webmail.hhs.gov/exchweb/bin/redir.asp?URL=http://www.cms.hhs.gov/MedicareAdvtgSpecRateStats/06_Risk_adjustment.asp</vt:lpwstr>
      </vt:variant>
      <vt:variant>
        <vt:lpwstr/>
      </vt:variant>
      <vt:variant>
        <vt:i4>5177411</vt:i4>
      </vt:variant>
      <vt:variant>
        <vt:i4>15</vt:i4>
      </vt:variant>
      <vt:variant>
        <vt:i4>0</vt:i4>
      </vt:variant>
      <vt:variant>
        <vt:i4>5</vt:i4>
      </vt:variant>
      <vt:variant>
        <vt:lpwstr>http://www.cms.hhs.gov/MedicareAdvtgSpecRateStats/Downloads/Announcement2006.pdf</vt:lpwstr>
      </vt:variant>
      <vt:variant>
        <vt:lpwstr/>
      </vt:variant>
      <vt:variant>
        <vt:i4>6946939</vt:i4>
      </vt:variant>
      <vt:variant>
        <vt:i4>12</vt:i4>
      </vt:variant>
      <vt:variant>
        <vt:i4>0</vt:i4>
      </vt:variant>
      <vt:variant>
        <vt:i4>5</vt:i4>
      </vt:variant>
      <vt:variant>
        <vt:lpwstr>http://www.cms.hhs.gov/MedicareAdvtgSpecRateStats/Downloads/Advance2006.pdf</vt:lpwstr>
      </vt:variant>
      <vt:variant>
        <vt:lpwstr/>
      </vt:variant>
      <vt:variant>
        <vt:i4>6946936</vt:i4>
      </vt:variant>
      <vt:variant>
        <vt:i4>9</vt:i4>
      </vt:variant>
      <vt:variant>
        <vt:i4>0</vt:i4>
      </vt:variant>
      <vt:variant>
        <vt:i4>5</vt:i4>
      </vt:variant>
      <vt:variant>
        <vt:lpwstr>http://www.cms.hhs.gov/MedicareAdvtgSpecRateStats/Downloads/Advance2005.pdf</vt:lpwstr>
      </vt:variant>
      <vt:variant>
        <vt:lpwstr/>
      </vt:variant>
      <vt:variant>
        <vt:i4>1114139</vt:i4>
      </vt:variant>
      <vt:variant>
        <vt:i4>6</vt:i4>
      </vt:variant>
      <vt:variant>
        <vt:i4>0</vt:i4>
      </vt:variant>
      <vt:variant>
        <vt:i4>5</vt:i4>
      </vt:variant>
      <vt:variant>
        <vt:lpwstr>http://www.cms.hhs.gov/MedicareAdvtgSpecRateStats/Downloads/Announcement2004b.pdf</vt:lpwstr>
      </vt:variant>
      <vt:variant>
        <vt:lpwstr/>
      </vt:variant>
      <vt:variant>
        <vt:i4>1507413</vt:i4>
      </vt:variant>
      <vt:variant>
        <vt:i4>3</vt:i4>
      </vt:variant>
      <vt:variant>
        <vt:i4>0</vt:i4>
      </vt:variant>
      <vt:variant>
        <vt:i4>5</vt:i4>
      </vt:variant>
      <vt:variant>
        <vt:lpwstr>http://cms.hhs.gov/MedicareAdvtgSpecRateStats/Downloads/Announcements2004.pdf</vt:lpwstr>
      </vt:variant>
      <vt:variant>
        <vt:lpwstr/>
      </vt:variant>
      <vt:variant>
        <vt:i4>6946937</vt:i4>
      </vt:variant>
      <vt:variant>
        <vt:i4>0</vt:i4>
      </vt:variant>
      <vt:variant>
        <vt:i4>0</vt:i4>
      </vt:variant>
      <vt:variant>
        <vt:i4>5</vt:i4>
      </vt:variant>
      <vt:variant>
        <vt:lpwstr>http://www.cms.hhs.gov/MedicareAdvtgSpecRateStats/Downloads/Advance2004.pdf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Sharon Harrison</cp:lastModifiedBy>
  <cp:revision>2</cp:revision>
  <cp:lastPrinted>2011-11-28T17:33:00Z</cp:lastPrinted>
  <dcterms:created xsi:type="dcterms:W3CDTF">2011-12-30T16:38:00Z</dcterms:created>
  <dcterms:modified xsi:type="dcterms:W3CDTF">2011-12-30T16:38:00Z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1015737586</vt:i4>
  </property>
  <property fmtid="{D5CDD505-2E9C-101B-9397-08002B2CF9AE}" pid="4" name="_EmailSubject">
    <vt:lpwstr>URGENT -- ICRAS/ROCIS Changes for 0938-New (CMS-10340)</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1015737586</vt:i4>
  </property>
  <property fmtid="{D5CDD505-2E9C-101B-9397-08002B2CF9AE}" pid="8" name="_ReviewingToolsShownOnce">
    <vt:lpwstr/>
  </property>
</Properties>
</file>