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14" w:rsidRDefault="00202E52" w:rsidP="00BD6DB6">
      <w:pPr>
        <w:tabs>
          <w:tab w:val="center" w:pos="4680"/>
        </w:tabs>
        <w:jc w:val="center"/>
        <w:outlineLvl w:val="0"/>
        <w:rPr>
          <w:b/>
          <w:bCs/>
          <w:sz w:val="32"/>
          <w:szCs w:val="32"/>
        </w:rPr>
      </w:pPr>
      <w:r>
        <w:rPr>
          <w:b/>
          <w:bCs/>
          <w:sz w:val="32"/>
          <w:szCs w:val="32"/>
        </w:rPr>
        <w:t>Supporting Statement for</w:t>
      </w:r>
    </w:p>
    <w:p w:rsidR="00202E52" w:rsidRDefault="00202E52" w:rsidP="00202E52">
      <w:pPr>
        <w:tabs>
          <w:tab w:val="center" w:pos="4680"/>
        </w:tabs>
        <w:jc w:val="center"/>
        <w:rPr>
          <w:b/>
          <w:bCs/>
          <w:sz w:val="32"/>
          <w:szCs w:val="32"/>
        </w:rPr>
      </w:pPr>
      <w:r>
        <w:rPr>
          <w:b/>
          <w:bCs/>
          <w:sz w:val="32"/>
          <w:szCs w:val="32"/>
        </w:rPr>
        <w:t>The Office of Medicare Hearings and Appeals (OMHA)</w:t>
      </w:r>
    </w:p>
    <w:p w:rsidR="00202E52" w:rsidRPr="00A76C8E" w:rsidRDefault="00202E52" w:rsidP="00BD6DB6">
      <w:pPr>
        <w:tabs>
          <w:tab w:val="center" w:pos="4680"/>
        </w:tabs>
        <w:jc w:val="center"/>
        <w:outlineLvl w:val="0"/>
        <w:rPr>
          <w:b/>
          <w:bCs/>
          <w:sz w:val="32"/>
          <w:szCs w:val="32"/>
        </w:rPr>
      </w:pPr>
      <w:r>
        <w:rPr>
          <w:b/>
          <w:bCs/>
          <w:sz w:val="32"/>
          <w:szCs w:val="32"/>
        </w:rPr>
        <w:t>Appellant Climate Survey</w:t>
      </w:r>
    </w:p>
    <w:p w:rsidR="00A70214" w:rsidRPr="00A76C8E" w:rsidRDefault="00A70214" w:rsidP="00BD6DB6">
      <w:pPr>
        <w:tabs>
          <w:tab w:val="center" w:pos="4680"/>
        </w:tabs>
        <w:jc w:val="center"/>
        <w:outlineLvl w:val="0"/>
        <w:rPr>
          <w:b/>
          <w:bCs/>
          <w:sz w:val="32"/>
          <w:szCs w:val="32"/>
        </w:rPr>
      </w:pPr>
      <w:r w:rsidRPr="00A76C8E">
        <w:rPr>
          <w:b/>
          <w:bCs/>
          <w:sz w:val="32"/>
          <w:szCs w:val="32"/>
        </w:rPr>
        <w:t>a</w:t>
      </w:r>
      <w:r w:rsidR="00DD3D27" w:rsidRPr="00A76C8E">
        <w:rPr>
          <w:b/>
          <w:bCs/>
          <w:sz w:val="32"/>
          <w:szCs w:val="32"/>
        </w:rPr>
        <w:t>nd Supporting</w:t>
      </w:r>
      <w:r w:rsidRPr="00A76C8E">
        <w:rPr>
          <w:b/>
          <w:bCs/>
          <w:sz w:val="32"/>
          <w:szCs w:val="32"/>
        </w:rPr>
        <w:t xml:space="preserve"> R</w:t>
      </w:r>
      <w:r w:rsidR="00DD3D27" w:rsidRPr="00A76C8E">
        <w:rPr>
          <w:b/>
          <w:bCs/>
          <w:sz w:val="32"/>
          <w:szCs w:val="32"/>
        </w:rPr>
        <w:t>egulations Contained in</w:t>
      </w:r>
      <w:r w:rsidRPr="00A76C8E">
        <w:rPr>
          <w:b/>
          <w:bCs/>
          <w:sz w:val="32"/>
          <w:szCs w:val="32"/>
        </w:rPr>
        <w:t xml:space="preserve"> </w:t>
      </w:r>
    </w:p>
    <w:p w:rsidR="00DD3D27" w:rsidRPr="00A76C8E" w:rsidRDefault="00DD3D27" w:rsidP="00BD6DB6">
      <w:pPr>
        <w:tabs>
          <w:tab w:val="center" w:pos="4680"/>
        </w:tabs>
        <w:jc w:val="center"/>
        <w:outlineLvl w:val="0"/>
        <w:rPr>
          <w:b/>
          <w:bCs/>
          <w:sz w:val="32"/>
          <w:szCs w:val="32"/>
        </w:rPr>
      </w:pPr>
      <w:r w:rsidRPr="00A76C8E">
        <w:rPr>
          <w:b/>
          <w:bCs/>
          <w:sz w:val="32"/>
          <w:szCs w:val="32"/>
        </w:rPr>
        <w:t>42 or 45 CFR xxx.xxx</w:t>
      </w:r>
    </w:p>
    <w:p w:rsidR="00DD3D27" w:rsidRPr="00335298" w:rsidRDefault="00DD3D27">
      <w:pPr>
        <w:rPr>
          <w:sz w:val="24"/>
        </w:rPr>
      </w:pPr>
    </w:p>
    <w:p w:rsidR="00DD3D27" w:rsidRPr="00335298" w:rsidRDefault="00DD3D27" w:rsidP="007176CA">
      <w:pPr>
        <w:outlineLvl w:val="0"/>
      </w:pPr>
      <w:r w:rsidRPr="00335298">
        <w:rPr>
          <w:sz w:val="24"/>
        </w:rPr>
        <w:tab/>
      </w:r>
    </w:p>
    <w:p w:rsidR="00A54360" w:rsidRDefault="00A54360" w:rsidP="00344BEB">
      <w:pPr>
        <w:pStyle w:val="Heading1"/>
      </w:pPr>
    </w:p>
    <w:p w:rsidR="000B5276" w:rsidRPr="00335298" w:rsidRDefault="000B5276" w:rsidP="00344BEB">
      <w:pPr>
        <w:pStyle w:val="Heading1"/>
      </w:pPr>
      <w:r w:rsidRPr="00335298">
        <w:t>B</w:t>
      </w:r>
      <w:r w:rsidR="00DD3D27" w:rsidRPr="00335298">
        <w:t>.</w:t>
      </w:r>
      <w:r w:rsidR="00DD3D27" w:rsidRPr="00335298">
        <w:tab/>
        <w:t>Collection of Information Employing Statistical Methods</w:t>
      </w:r>
    </w:p>
    <w:p w:rsidR="00DD3D27" w:rsidRPr="00335298" w:rsidRDefault="00DD3D27" w:rsidP="00E32072">
      <w:pPr>
        <w:pStyle w:val="Heading1"/>
        <w:ind w:left="720"/>
      </w:pPr>
    </w:p>
    <w:p w:rsidR="000B5276" w:rsidRPr="00335298" w:rsidRDefault="000B5276" w:rsidP="00BD6DB6">
      <w:pPr>
        <w:ind w:left="720"/>
        <w:outlineLvl w:val="0"/>
        <w:rPr>
          <w:b/>
          <w:bCs/>
          <w:sz w:val="24"/>
        </w:rPr>
      </w:pPr>
      <w:r w:rsidRPr="00335298">
        <w:rPr>
          <w:b/>
          <w:bCs/>
          <w:sz w:val="24"/>
        </w:rPr>
        <w:t>1. Respondent Universe and Sampling Methods</w:t>
      </w:r>
    </w:p>
    <w:p w:rsidR="00CF1BB3" w:rsidRDefault="00CF1BB3" w:rsidP="00271F36">
      <w:pPr>
        <w:ind w:left="720"/>
        <w:rPr>
          <w:sz w:val="24"/>
        </w:rPr>
      </w:pPr>
    </w:p>
    <w:p w:rsidR="00CF1BB3" w:rsidRDefault="00CF1BB3" w:rsidP="00271F36">
      <w:pPr>
        <w:ind w:left="720"/>
        <w:rPr>
          <w:sz w:val="24"/>
        </w:rPr>
      </w:pPr>
      <w:r>
        <w:rPr>
          <w:sz w:val="24"/>
        </w:rPr>
        <w:t xml:space="preserve">The respondent universe for this survey project </w:t>
      </w:r>
      <w:r w:rsidR="009B2B3A">
        <w:rPr>
          <w:sz w:val="24"/>
        </w:rPr>
        <w:t>is</w:t>
      </w:r>
      <w:r>
        <w:rPr>
          <w:sz w:val="24"/>
        </w:rPr>
        <w:t xml:space="preserve"> all appeals that have been “Closed” during a six month period.  </w:t>
      </w:r>
      <w:r w:rsidR="008D1443">
        <w:rPr>
          <w:sz w:val="24"/>
        </w:rPr>
        <w:t xml:space="preserve">OMHA </w:t>
      </w:r>
      <w:r w:rsidR="009B2B3A">
        <w:rPr>
          <w:sz w:val="24"/>
        </w:rPr>
        <w:t>is</w:t>
      </w:r>
      <w:r w:rsidR="008D1443">
        <w:rPr>
          <w:sz w:val="24"/>
        </w:rPr>
        <w:t xml:space="preserve"> focus</w:t>
      </w:r>
      <w:r w:rsidR="009B2B3A">
        <w:rPr>
          <w:sz w:val="24"/>
        </w:rPr>
        <w:t>ing</w:t>
      </w:r>
      <w:r w:rsidR="008D1443">
        <w:rPr>
          <w:sz w:val="24"/>
        </w:rPr>
        <w:t xml:space="preserve"> on a non-redundant appellant universe so as not to bias this study towards large entities that make up the vast majority of appeals, i.e. providers or suppliers </w:t>
      </w:r>
      <w:r w:rsidR="00AF2736">
        <w:rPr>
          <w:sz w:val="24"/>
        </w:rPr>
        <w:t xml:space="preserve">file </w:t>
      </w:r>
      <w:r w:rsidR="008D1443">
        <w:rPr>
          <w:sz w:val="24"/>
        </w:rPr>
        <w:t>approximately 82% of the appeals</w:t>
      </w:r>
      <w:r w:rsidR="00AF2736">
        <w:rPr>
          <w:sz w:val="24"/>
        </w:rPr>
        <w:t xml:space="preserve"> and typically a single provider or supplier files multiple appeals throughout the year</w:t>
      </w:r>
      <w:r w:rsidR="008D1443">
        <w:rPr>
          <w:sz w:val="24"/>
        </w:rPr>
        <w:t xml:space="preserve">. </w:t>
      </w:r>
      <w:r w:rsidR="00AF2736">
        <w:rPr>
          <w:sz w:val="24"/>
        </w:rPr>
        <w:t xml:space="preserve"> </w:t>
      </w:r>
      <w:r w:rsidR="008D1443">
        <w:rPr>
          <w:sz w:val="24"/>
        </w:rPr>
        <w:t xml:space="preserve">Further, the survey takes into account the multiple hearings for a non-redundant appellant. </w:t>
      </w:r>
      <w:r>
        <w:rPr>
          <w:sz w:val="24"/>
        </w:rPr>
        <w:t xml:space="preserve">Based on initial </w:t>
      </w:r>
      <w:r w:rsidR="008D1443">
        <w:rPr>
          <w:sz w:val="24"/>
        </w:rPr>
        <w:t>analysis of the population</w:t>
      </w:r>
      <w:r>
        <w:rPr>
          <w:sz w:val="24"/>
        </w:rPr>
        <w:t xml:space="preserve">, there </w:t>
      </w:r>
      <w:r w:rsidR="009B2B3A">
        <w:rPr>
          <w:sz w:val="24"/>
        </w:rPr>
        <w:t>are</w:t>
      </w:r>
      <w:r>
        <w:rPr>
          <w:sz w:val="24"/>
        </w:rPr>
        <w:t xml:space="preserve"> roughly 3500 non-redundant appellants whose case</w:t>
      </w:r>
      <w:r w:rsidR="006664C0">
        <w:rPr>
          <w:sz w:val="24"/>
        </w:rPr>
        <w:t>s have</w:t>
      </w:r>
      <w:r>
        <w:rPr>
          <w:sz w:val="24"/>
        </w:rPr>
        <w:t xml:space="preserve"> been closed in the previous six months.  Roughly 70% of these appellants – or 2500 – are individual beneficiaries.  The remaining 1000 are providers or suppliers.  The focus of this study is on appellant satisfaction with the existing process, and therefore it is important to treat each appellant – regardless of type – as an individual entity.</w:t>
      </w:r>
    </w:p>
    <w:p w:rsidR="00CF1BB3" w:rsidRDefault="00CF1BB3" w:rsidP="00271F36">
      <w:pPr>
        <w:ind w:left="720"/>
        <w:rPr>
          <w:sz w:val="24"/>
        </w:rPr>
      </w:pPr>
    </w:p>
    <w:p w:rsidR="00CF1BB3" w:rsidRDefault="00CF1BB3" w:rsidP="00271F36">
      <w:pPr>
        <w:ind w:left="720"/>
        <w:rPr>
          <w:sz w:val="24"/>
        </w:rPr>
      </w:pPr>
      <w:r>
        <w:rPr>
          <w:sz w:val="24"/>
        </w:rPr>
        <w:t xml:space="preserve">With a total population of 3500, a sample of roughly 400 </w:t>
      </w:r>
      <w:r w:rsidR="009B2B3A">
        <w:rPr>
          <w:sz w:val="24"/>
        </w:rPr>
        <w:t>is</w:t>
      </w:r>
      <w:r>
        <w:rPr>
          <w:sz w:val="24"/>
        </w:rPr>
        <w:t xml:space="preserve"> needed to achieve a level of 95% statistical significance.  In order to ensure that the sample is representative of the larger population, OMHA </w:t>
      </w:r>
      <w:r w:rsidR="009B2B3A">
        <w:rPr>
          <w:sz w:val="24"/>
        </w:rPr>
        <w:t>randomly stratifies</w:t>
      </w:r>
      <w:r>
        <w:rPr>
          <w:sz w:val="24"/>
        </w:rPr>
        <w:t xml:space="preserve"> the sample by two factors: Hearing Format and </w:t>
      </w:r>
      <w:r w:rsidR="005777C6">
        <w:rPr>
          <w:sz w:val="24"/>
        </w:rPr>
        <w:t xml:space="preserve">Medicare </w:t>
      </w:r>
      <w:r w:rsidR="00EF4800">
        <w:rPr>
          <w:sz w:val="24"/>
        </w:rPr>
        <w:t>Part</w:t>
      </w:r>
      <w:r>
        <w:rPr>
          <w:sz w:val="24"/>
        </w:rPr>
        <w:t xml:space="preserve">.  </w:t>
      </w:r>
    </w:p>
    <w:p w:rsidR="0035133D" w:rsidRDefault="0035133D" w:rsidP="00271F36">
      <w:pPr>
        <w:ind w:left="720"/>
        <w:rPr>
          <w:sz w:val="24"/>
        </w:rPr>
      </w:pPr>
    </w:p>
    <w:p w:rsidR="0035133D" w:rsidRDefault="0035133D" w:rsidP="00271F36">
      <w:pPr>
        <w:ind w:left="720"/>
        <w:rPr>
          <w:sz w:val="24"/>
        </w:rPr>
      </w:pPr>
      <w:r>
        <w:rPr>
          <w:sz w:val="24"/>
        </w:rPr>
        <w:t>There are three types of Hearing Formats:</w:t>
      </w:r>
    </w:p>
    <w:p w:rsidR="0035133D" w:rsidRDefault="0035133D" w:rsidP="0035133D">
      <w:pPr>
        <w:numPr>
          <w:ilvl w:val="0"/>
          <w:numId w:val="4"/>
        </w:numPr>
        <w:rPr>
          <w:sz w:val="24"/>
        </w:rPr>
      </w:pPr>
      <w:r>
        <w:rPr>
          <w:sz w:val="24"/>
        </w:rPr>
        <w:t>In-Person Hearings</w:t>
      </w:r>
    </w:p>
    <w:p w:rsidR="0035133D" w:rsidRDefault="0035133D" w:rsidP="0035133D">
      <w:pPr>
        <w:numPr>
          <w:ilvl w:val="0"/>
          <w:numId w:val="4"/>
        </w:numPr>
        <w:rPr>
          <w:sz w:val="24"/>
        </w:rPr>
      </w:pPr>
      <w:r>
        <w:rPr>
          <w:sz w:val="24"/>
        </w:rPr>
        <w:t>Telephone Hearings</w:t>
      </w:r>
    </w:p>
    <w:p w:rsidR="0035133D" w:rsidRDefault="0035133D" w:rsidP="0035133D">
      <w:pPr>
        <w:numPr>
          <w:ilvl w:val="0"/>
          <w:numId w:val="4"/>
        </w:numPr>
        <w:rPr>
          <w:sz w:val="24"/>
        </w:rPr>
      </w:pPr>
      <w:r>
        <w:rPr>
          <w:sz w:val="24"/>
        </w:rPr>
        <w:t>Video Teleconference (VTC) Hearings</w:t>
      </w:r>
    </w:p>
    <w:p w:rsidR="0035133D" w:rsidRDefault="0035133D" w:rsidP="0035133D">
      <w:pPr>
        <w:rPr>
          <w:sz w:val="24"/>
        </w:rPr>
      </w:pPr>
    </w:p>
    <w:p w:rsidR="0035133D" w:rsidRDefault="00351DB0" w:rsidP="00DD0356">
      <w:pPr>
        <w:ind w:firstLine="720"/>
        <w:rPr>
          <w:sz w:val="24"/>
        </w:rPr>
      </w:pPr>
      <w:r>
        <w:rPr>
          <w:sz w:val="24"/>
        </w:rPr>
        <w:t>Additionally, there are five</w:t>
      </w:r>
      <w:r w:rsidR="0035133D">
        <w:rPr>
          <w:sz w:val="24"/>
        </w:rPr>
        <w:t xml:space="preserve"> types of Medicare </w:t>
      </w:r>
      <w:r w:rsidR="00EF4800">
        <w:rPr>
          <w:sz w:val="24"/>
        </w:rPr>
        <w:t>Parts</w:t>
      </w:r>
      <w:r w:rsidR="0035133D">
        <w:rPr>
          <w:sz w:val="24"/>
        </w:rPr>
        <w:t>:</w:t>
      </w:r>
    </w:p>
    <w:p w:rsidR="0035133D" w:rsidRDefault="0035133D" w:rsidP="0035133D">
      <w:pPr>
        <w:numPr>
          <w:ilvl w:val="0"/>
          <w:numId w:val="5"/>
        </w:numPr>
        <w:rPr>
          <w:sz w:val="24"/>
        </w:rPr>
      </w:pPr>
      <w:r>
        <w:rPr>
          <w:sz w:val="24"/>
        </w:rPr>
        <w:t xml:space="preserve">Part A </w:t>
      </w:r>
    </w:p>
    <w:p w:rsidR="0035133D" w:rsidRDefault="0035133D" w:rsidP="00351DB0">
      <w:pPr>
        <w:numPr>
          <w:ilvl w:val="0"/>
          <w:numId w:val="5"/>
        </w:numPr>
        <w:rPr>
          <w:sz w:val="24"/>
        </w:rPr>
      </w:pPr>
      <w:r>
        <w:rPr>
          <w:sz w:val="24"/>
        </w:rPr>
        <w:t xml:space="preserve">Part B </w:t>
      </w:r>
    </w:p>
    <w:p w:rsidR="0035133D" w:rsidRDefault="0035133D" w:rsidP="0035133D">
      <w:pPr>
        <w:numPr>
          <w:ilvl w:val="0"/>
          <w:numId w:val="5"/>
        </w:numPr>
        <w:rPr>
          <w:sz w:val="24"/>
        </w:rPr>
      </w:pPr>
      <w:r>
        <w:rPr>
          <w:sz w:val="24"/>
        </w:rPr>
        <w:t xml:space="preserve">Part C </w:t>
      </w:r>
    </w:p>
    <w:p w:rsidR="0035133D" w:rsidRDefault="0035133D" w:rsidP="0035133D">
      <w:pPr>
        <w:numPr>
          <w:ilvl w:val="0"/>
          <w:numId w:val="5"/>
        </w:numPr>
        <w:rPr>
          <w:sz w:val="24"/>
        </w:rPr>
      </w:pPr>
      <w:r>
        <w:rPr>
          <w:sz w:val="24"/>
        </w:rPr>
        <w:t xml:space="preserve">Part D </w:t>
      </w:r>
    </w:p>
    <w:p w:rsidR="0035133D" w:rsidRDefault="0035133D" w:rsidP="0035133D">
      <w:pPr>
        <w:numPr>
          <w:ilvl w:val="0"/>
          <w:numId w:val="5"/>
        </w:numPr>
        <w:rPr>
          <w:sz w:val="24"/>
        </w:rPr>
      </w:pPr>
      <w:r>
        <w:rPr>
          <w:sz w:val="24"/>
        </w:rPr>
        <w:t>Other – a combination of “IRMAA” and “Entitlement” Hearings</w:t>
      </w:r>
    </w:p>
    <w:p w:rsidR="0035133D" w:rsidRDefault="0035133D" w:rsidP="0035133D">
      <w:pPr>
        <w:rPr>
          <w:sz w:val="24"/>
        </w:rPr>
      </w:pPr>
    </w:p>
    <w:p w:rsidR="00DD0356" w:rsidRDefault="00DD0356" w:rsidP="0035133D">
      <w:pPr>
        <w:rPr>
          <w:sz w:val="24"/>
        </w:rPr>
      </w:pPr>
    </w:p>
    <w:p w:rsidR="0035133D" w:rsidRDefault="0035133D" w:rsidP="0035133D">
      <w:pPr>
        <w:ind w:left="720"/>
        <w:rPr>
          <w:sz w:val="24"/>
        </w:rPr>
      </w:pPr>
      <w:r>
        <w:rPr>
          <w:sz w:val="24"/>
        </w:rPr>
        <w:t>Given the percentage distribution of the entire population by these two factors, a</w:t>
      </w:r>
      <w:r w:rsidR="009B2B3A">
        <w:rPr>
          <w:sz w:val="24"/>
        </w:rPr>
        <w:t xml:space="preserve"> final stratified random sample </w:t>
      </w:r>
      <w:r>
        <w:rPr>
          <w:sz w:val="24"/>
        </w:rPr>
        <w:t>include</w:t>
      </w:r>
      <w:r w:rsidR="009B2B3A">
        <w:rPr>
          <w:sz w:val="24"/>
        </w:rPr>
        <w:t>s</w:t>
      </w:r>
      <w:r>
        <w:rPr>
          <w:sz w:val="24"/>
        </w:rPr>
        <w:t xml:space="preserve"> the number of completed surveys</w:t>
      </w:r>
      <w:r w:rsidR="00B653C2">
        <w:rPr>
          <w:sz w:val="24"/>
        </w:rPr>
        <w:t xml:space="preserve"> listed </w:t>
      </w:r>
      <w:r w:rsidR="00451102">
        <w:rPr>
          <w:sz w:val="24"/>
        </w:rPr>
        <w:t>below</w:t>
      </w:r>
      <w:r w:rsidR="00B653C2">
        <w:rPr>
          <w:sz w:val="24"/>
        </w:rPr>
        <w:t>.</w:t>
      </w:r>
    </w:p>
    <w:p w:rsidR="0035133D" w:rsidRDefault="0035133D" w:rsidP="0035133D">
      <w:pPr>
        <w:ind w:left="720"/>
        <w:rPr>
          <w:sz w:val="24"/>
        </w:rPr>
      </w:pPr>
    </w:p>
    <w:p w:rsidR="00F06A01" w:rsidRPr="00F06A01" w:rsidRDefault="00F06A01" w:rsidP="00BD6DB6">
      <w:pPr>
        <w:ind w:left="720"/>
        <w:jc w:val="center"/>
        <w:outlineLvl w:val="0"/>
        <w:rPr>
          <w:b/>
          <w:sz w:val="24"/>
          <w:u w:val="single"/>
        </w:rPr>
      </w:pPr>
      <w:r>
        <w:rPr>
          <w:b/>
          <w:sz w:val="24"/>
          <w:u w:val="single"/>
        </w:rPr>
        <w:t xml:space="preserve">Random, Stratified Sample per Year </w:t>
      </w:r>
    </w:p>
    <w:p w:rsidR="00F06A01" w:rsidRDefault="00F06A01" w:rsidP="0035133D">
      <w:pPr>
        <w:ind w:left="720"/>
        <w:jc w:val="center"/>
      </w:pPr>
    </w:p>
    <w:p w:rsidR="0035133D" w:rsidRPr="001B3E01" w:rsidRDefault="00722FEA" w:rsidP="001B3E01">
      <w:pPr>
        <w:ind w:left="720"/>
        <w:jc w:val="center"/>
      </w:pPr>
      <w:r>
        <w:rPr>
          <w:noProof/>
        </w:rPr>
        <w:lastRenderedPageBreak/>
        <w:drawing>
          <wp:inline distT="0" distB="0" distL="0" distR="0">
            <wp:extent cx="36683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68395" cy="1541780"/>
                    </a:xfrm>
                    <a:prstGeom prst="rect">
                      <a:avLst/>
                    </a:prstGeom>
                    <a:noFill/>
                    <a:ln w="9525">
                      <a:noFill/>
                      <a:miter lim="800000"/>
                      <a:headEnd/>
                      <a:tailEnd/>
                    </a:ln>
                  </pic:spPr>
                </pic:pic>
              </a:graphicData>
            </a:graphic>
          </wp:inline>
        </w:drawing>
      </w:r>
    </w:p>
    <w:p w:rsidR="00CF1BB3" w:rsidRDefault="00CF1BB3" w:rsidP="00271F36">
      <w:pPr>
        <w:ind w:left="720"/>
        <w:rPr>
          <w:sz w:val="24"/>
        </w:rPr>
      </w:pPr>
    </w:p>
    <w:p w:rsidR="0035133D" w:rsidRDefault="007176CA" w:rsidP="00271F36">
      <w:pPr>
        <w:ind w:left="720"/>
        <w:rPr>
          <w:sz w:val="24"/>
        </w:rPr>
      </w:pPr>
      <w:r>
        <w:rPr>
          <w:sz w:val="24"/>
        </w:rPr>
        <w:t>Given the obtained</w:t>
      </w:r>
      <w:r w:rsidR="00F06A01">
        <w:rPr>
          <w:sz w:val="24"/>
        </w:rPr>
        <w:t xml:space="preserve"> response</w:t>
      </w:r>
      <w:r>
        <w:rPr>
          <w:sz w:val="24"/>
        </w:rPr>
        <w:t xml:space="preserve"> rate of 80.2</w:t>
      </w:r>
      <w:r w:rsidR="00F06A01">
        <w:rPr>
          <w:sz w:val="24"/>
        </w:rPr>
        <w:t xml:space="preserve">%, the following </w:t>
      </w:r>
      <w:r w:rsidR="00DD0356">
        <w:rPr>
          <w:sz w:val="24"/>
        </w:rPr>
        <w:t>number of appellants is</w:t>
      </w:r>
      <w:r w:rsidR="00F06A01">
        <w:rPr>
          <w:sz w:val="24"/>
        </w:rPr>
        <w:t xml:space="preserve"> contacted each year:</w:t>
      </w:r>
    </w:p>
    <w:p w:rsidR="00F06A01" w:rsidRDefault="00F06A01" w:rsidP="00271F36">
      <w:pPr>
        <w:ind w:left="720"/>
        <w:rPr>
          <w:sz w:val="24"/>
        </w:rPr>
      </w:pPr>
    </w:p>
    <w:p w:rsidR="00F06A01" w:rsidRPr="00F06A01" w:rsidRDefault="00F06A01" w:rsidP="00BD6DB6">
      <w:pPr>
        <w:ind w:left="720"/>
        <w:jc w:val="center"/>
        <w:outlineLvl w:val="0"/>
        <w:rPr>
          <w:b/>
          <w:sz w:val="24"/>
          <w:u w:val="single"/>
        </w:rPr>
      </w:pPr>
      <w:r>
        <w:rPr>
          <w:b/>
          <w:sz w:val="24"/>
          <w:u w:val="single"/>
        </w:rPr>
        <w:t>Total Number of Appella</w:t>
      </w:r>
      <w:r w:rsidR="007176CA">
        <w:rPr>
          <w:b/>
          <w:sz w:val="24"/>
          <w:u w:val="single"/>
        </w:rPr>
        <w:t xml:space="preserve">nts OMHA will Contact, Given </w:t>
      </w:r>
      <w:r w:rsidR="00D32B4F">
        <w:rPr>
          <w:b/>
          <w:sz w:val="24"/>
          <w:u w:val="single"/>
        </w:rPr>
        <w:t>an</w:t>
      </w:r>
      <w:r w:rsidR="007176CA">
        <w:rPr>
          <w:b/>
          <w:sz w:val="24"/>
          <w:u w:val="single"/>
        </w:rPr>
        <w:t xml:space="preserve"> 80</w:t>
      </w:r>
      <w:r>
        <w:rPr>
          <w:b/>
          <w:sz w:val="24"/>
          <w:u w:val="single"/>
        </w:rPr>
        <w:t>% Response Rate</w:t>
      </w:r>
    </w:p>
    <w:p w:rsidR="00F06A01" w:rsidRDefault="00F06A01" w:rsidP="00F06A01">
      <w:pPr>
        <w:ind w:left="720"/>
        <w:jc w:val="center"/>
      </w:pPr>
    </w:p>
    <w:p w:rsidR="00F06A01" w:rsidRPr="001B3E01" w:rsidRDefault="00722FEA" w:rsidP="00F06A01">
      <w:pPr>
        <w:ind w:left="720"/>
        <w:jc w:val="center"/>
      </w:pPr>
      <w:r>
        <w:rPr>
          <w:noProof/>
        </w:rPr>
        <w:drawing>
          <wp:inline distT="0" distB="0" distL="0" distR="0">
            <wp:extent cx="3668395" cy="1541780"/>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668395" cy="1541780"/>
                    </a:xfrm>
                    <a:prstGeom prst="rect">
                      <a:avLst/>
                    </a:prstGeom>
                    <a:noFill/>
                    <a:ln w="9525">
                      <a:noFill/>
                      <a:miter lim="800000"/>
                      <a:headEnd/>
                      <a:tailEnd/>
                    </a:ln>
                  </pic:spPr>
                </pic:pic>
              </a:graphicData>
            </a:graphic>
          </wp:inline>
        </w:drawing>
      </w:r>
    </w:p>
    <w:p w:rsidR="0035133D" w:rsidRPr="00344BEB" w:rsidRDefault="0035133D" w:rsidP="00151838">
      <w:pPr>
        <w:ind w:left="720"/>
        <w:jc w:val="center"/>
      </w:pPr>
    </w:p>
    <w:p w:rsidR="000B5276" w:rsidRPr="00335298" w:rsidRDefault="00662BA8" w:rsidP="00662BA8">
      <w:pPr>
        <w:ind w:left="720"/>
        <w:rPr>
          <w:b/>
          <w:bCs/>
          <w:sz w:val="24"/>
        </w:rPr>
      </w:pPr>
      <w:r>
        <w:rPr>
          <w:sz w:val="24"/>
        </w:rPr>
        <w:br w:type="page"/>
      </w:r>
      <w:r w:rsidR="000B5276" w:rsidRPr="00335298">
        <w:rPr>
          <w:b/>
          <w:bCs/>
          <w:sz w:val="24"/>
        </w:rPr>
        <w:lastRenderedPageBreak/>
        <w:t>2. Procedures for the Collection of Information</w:t>
      </w:r>
    </w:p>
    <w:p w:rsidR="00E51556" w:rsidRDefault="00E51556" w:rsidP="00A34D14">
      <w:pPr>
        <w:ind w:left="720"/>
        <w:rPr>
          <w:sz w:val="24"/>
        </w:rPr>
      </w:pPr>
    </w:p>
    <w:p w:rsidR="00E51556" w:rsidRDefault="00E51556" w:rsidP="00A34D14">
      <w:pPr>
        <w:ind w:left="720"/>
        <w:rPr>
          <w:sz w:val="24"/>
        </w:rPr>
      </w:pPr>
      <w:r>
        <w:rPr>
          <w:sz w:val="24"/>
        </w:rPr>
        <w:t>OMHA derived its total sample based on three factors:</w:t>
      </w:r>
    </w:p>
    <w:p w:rsidR="00E51556" w:rsidRDefault="00E51556" w:rsidP="00E51556">
      <w:pPr>
        <w:numPr>
          <w:ilvl w:val="0"/>
          <w:numId w:val="6"/>
        </w:numPr>
        <w:rPr>
          <w:sz w:val="24"/>
        </w:rPr>
      </w:pPr>
      <w:r>
        <w:rPr>
          <w:sz w:val="24"/>
        </w:rPr>
        <w:t>The number of unique (non-redundant) appellants who have had an appeal closed in the previous six months;</w:t>
      </w:r>
    </w:p>
    <w:p w:rsidR="00E51556" w:rsidRDefault="00E51556" w:rsidP="00E51556">
      <w:pPr>
        <w:numPr>
          <w:ilvl w:val="0"/>
          <w:numId w:val="6"/>
        </w:numPr>
        <w:rPr>
          <w:sz w:val="24"/>
        </w:rPr>
      </w:pPr>
      <w:r>
        <w:rPr>
          <w:sz w:val="24"/>
        </w:rPr>
        <w:t>A 95% confidence level</w:t>
      </w:r>
    </w:p>
    <w:p w:rsidR="00E51556" w:rsidRDefault="00E51556" w:rsidP="00E51556">
      <w:pPr>
        <w:numPr>
          <w:ilvl w:val="0"/>
          <w:numId w:val="6"/>
        </w:numPr>
        <w:rPr>
          <w:sz w:val="24"/>
        </w:rPr>
      </w:pPr>
      <w:r>
        <w:rPr>
          <w:sz w:val="24"/>
        </w:rPr>
        <w:t>A margin of error of +/- 5%.</w:t>
      </w:r>
    </w:p>
    <w:p w:rsidR="00E51556" w:rsidRDefault="00E51556" w:rsidP="00E51556">
      <w:pPr>
        <w:rPr>
          <w:sz w:val="24"/>
        </w:rPr>
      </w:pPr>
    </w:p>
    <w:p w:rsidR="00E51556" w:rsidRDefault="00E51556" w:rsidP="00E51556">
      <w:pPr>
        <w:ind w:left="720"/>
        <w:rPr>
          <w:sz w:val="24"/>
        </w:rPr>
      </w:pPr>
      <w:r>
        <w:rPr>
          <w:sz w:val="24"/>
        </w:rPr>
        <w:t xml:space="preserve">Given the total respondent population (n=3500), an annual sample of 400 responses is needed.  </w:t>
      </w:r>
    </w:p>
    <w:p w:rsidR="00E51556" w:rsidRDefault="00E51556" w:rsidP="00E51556">
      <w:pPr>
        <w:ind w:left="720"/>
        <w:rPr>
          <w:sz w:val="24"/>
        </w:rPr>
      </w:pPr>
    </w:p>
    <w:p w:rsidR="00E51556" w:rsidRDefault="00E51556" w:rsidP="00E51556">
      <w:pPr>
        <w:ind w:left="720"/>
        <w:rPr>
          <w:sz w:val="24"/>
        </w:rPr>
      </w:pPr>
      <w:r>
        <w:rPr>
          <w:sz w:val="24"/>
        </w:rPr>
        <w:t xml:space="preserve">In each </w:t>
      </w:r>
      <w:r w:rsidR="009B2B3A">
        <w:rPr>
          <w:sz w:val="24"/>
        </w:rPr>
        <w:t>survey cycle</w:t>
      </w:r>
      <w:r>
        <w:rPr>
          <w:sz w:val="24"/>
        </w:rPr>
        <w:t xml:space="preserve"> a new sample </w:t>
      </w:r>
      <w:r w:rsidR="009D2425">
        <w:rPr>
          <w:sz w:val="24"/>
        </w:rPr>
        <w:t>is</w:t>
      </w:r>
      <w:r>
        <w:rPr>
          <w:sz w:val="24"/>
        </w:rPr>
        <w:t xml:space="preserve"> used, but OMHA will sample without replacement, so as to ensure that no appellants are surveyed any more than once per year.  A stratified random sample based on the two factors identified above – Hearing</w:t>
      </w:r>
      <w:r w:rsidR="00F2107D">
        <w:rPr>
          <w:sz w:val="24"/>
        </w:rPr>
        <w:t xml:space="preserve"> Format and Medicare P</w:t>
      </w:r>
      <w:r w:rsidR="005A56D7">
        <w:rPr>
          <w:sz w:val="24"/>
        </w:rPr>
        <w:t>art</w:t>
      </w:r>
      <w:r w:rsidR="00F2107D">
        <w:rPr>
          <w:sz w:val="24"/>
        </w:rPr>
        <w:t xml:space="preserve"> – </w:t>
      </w:r>
      <w:r w:rsidR="009D2425">
        <w:rPr>
          <w:sz w:val="24"/>
        </w:rPr>
        <w:t>is</w:t>
      </w:r>
      <w:r w:rsidR="00F2107D">
        <w:rPr>
          <w:sz w:val="24"/>
        </w:rPr>
        <w:t xml:space="preserve"> used to obtain the most representative data possible.</w:t>
      </w:r>
    </w:p>
    <w:p w:rsidR="00F2107D" w:rsidRDefault="00F2107D" w:rsidP="00E51556">
      <w:pPr>
        <w:ind w:left="720"/>
        <w:rPr>
          <w:sz w:val="24"/>
        </w:rPr>
      </w:pPr>
    </w:p>
    <w:p w:rsidR="00F2107D" w:rsidRDefault="00F2107D" w:rsidP="00E51556">
      <w:pPr>
        <w:ind w:left="720"/>
        <w:rPr>
          <w:sz w:val="24"/>
        </w:rPr>
      </w:pPr>
      <w:r>
        <w:rPr>
          <w:sz w:val="24"/>
        </w:rPr>
        <w:t>The process of collecting data will occur in the following fashion:</w:t>
      </w:r>
    </w:p>
    <w:p w:rsidR="00F2107D" w:rsidRDefault="00F2107D" w:rsidP="00F2107D">
      <w:pPr>
        <w:numPr>
          <w:ilvl w:val="0"/>
          <w:numId w:val="7"/>
        </w:numPr>
        <w:rPr>
          <w:sz w:val="24"/>
        </w:rPr>
      </w:pPr>
      <w:r>
        <w:rPr>
          <w:sz w:val="24"/>
        </w:rPr>
        <w:t xml:space="preserve">At the beginning of each </w:t>
      </w:r>
      <w:r w:rsidR="009B2B3A">
        <w:rPr>
          <w:sz w:val="24"/>
        </w:rPr>
        <w:t>survey cycle</w:t>
      </w:r>
      <w:r>
        <w:rPr>
          <w:sz w:val="24"/>
        </w:rPr>
        <w:t>, OMHA obtain</w:t>
      </w:r>
      <w:r w:rsidR="009D2425">
        <w:rPr>
          <w:sz w:val="24"/>
        </w:rPr>
        <w:t>s</w:t>
      </w:r>
      <w:r>
        <w:rPr>
          <w:sz w:val="24"/>
        </w:rPr>
        <w:t xml:space="preserve"> a list of all unique appellants who have had an appeal closed in the previous </w:t>
      </w:r>
      <w:r w:rsidR="009D2425">
        <w:rPr>
          <w:sz w:val="24"/>
        </w:rPr>
        <w:t>applicable period</w:t>
      </w:r>
      <w:r>
        <w:rPr>
          <w:sz w:val="24"/>
        </w:rPr>
        <w:t xml:space="preserve">.  </w:t>
      </w:r>
    </w:p>
    <w:p w:rsidR="00F2107D" w:rsidRDefault="009D2425" w:rsidP="00F2107D">
      <w:pPr>
        <w:numPr>
          <w:ilvl w:val="0"/>
          <w:numId w:val="7"/>
        </w:numPr>
        <w:rPr>
          <w:sz w:val="24"/>
        </w:rPr>
      </w:pPr>
      <w:r>
        <w:rPr>
          <w:sz w:val="24"/>
        </w:rPr>
        <w:t xml:space="preserve">OMHA </w:t>
      </w:r>
      <w:r w:rsidR="002F6FB8">
        <w:rPr>
          <w:sz w:val="24"/>
        </w:rPr>
        <w:t>provide</w:t>
      </w:r>
      <w:r>
        <w:rPr>
          <w:sz w:val="24"/>
        </w:rPr>
        <w:t>s</w:t>
      </w:r>
      <w:r w:rsidR="002F6FB8">
        <w:rPr>
          <w:sz w:val="24"/>
        </w:rPr>
        <w:t xml:space="preserve"> </w:t>
      </w:r>
      <w:r w:rsidR="006664C0">
        <w:rPr>
          <w:sz w:val="24"/>
        </w:rPr>
        <w:t xml:space="preserve">this data </w:t>
      </w:r>
      <w:r w:rsidR="00F2107D">
        <w:rPr>
          <w:sz w:val="24"/>
        </w:rPr>
        <w:t xml:space="preserve">to </w:t>
      </w:r>
      <w:r w:rsidR="002F6FB8">
        <w:rPr>
          <w:sz w:val="24"/>
        </w:rPr>
        <w:t xml:space="preserve">the </w:t>
      </w:r>
      <w:r w:rsidR="00F2107D">
        <w:rPr>
          <w:sz w:val="24"/>
        </w:rPr>
        <w:t>contractor, Coray Gurnitz Consulting (CGC), who use</w:t>
      </w:r>
      <w:r>
        <w:rPr>
          <w:sz w:val="24"/>
        </w:rPr>
        <w:t>s</w:t>
      </w:r>
      <w:r w:rsidR="00F2107D">
        <w:rPr>
          <w:sz w:val="24"/>
        </w:rPr>
        <w:t xml:space="preserve"> the stratified random sampling methodology outlined above to obtain a list of potential survey respondents.</w:t>
      </w:r>
    </w:p>
    <w:p w:rsidR="00503A07" w:rsidRDefault="006664C0" w:rsidP="00F2107D">
      <w:pPr>
        <w:numPr>
          <w:ilvl w:val="0"/>
          <w:numId w:val="7"/>
        </w:numPr>
        <w:rPr>
          <w:sz w:val="24"/>
        </w:rPr>
      </w:pPr>
      <w:r>
        <w:rPr>
          <w:sz w:val="24"/>
        </w:rPr>
        <w:t xml:space="preserve">CGC will </w:t>
      </w:r>
      <w:r w:rsidR="009D2425">
        <w:rPr>
          <w:sz w:val="24"/>
        </w:rPr>
        <w:t xml:space="preserve">continue to successfully use </w:t>
      </w:r>
      <w:r w:rsidR="00503A07">
        <w:rPr>
          <w:sz w:val="24"/>
        </w:rPr>
        <w:t xml:space="preserve">a telephone script </w:t>
      </w:r>
      <w:r>
        <w:rPr>
          <w:sz w:val="24"/>
        </w:rPr>
        <w:t>for telephone respondents</w:t>
      </w:r>
      <w:r w:rsidR="00503A07">
        <w:rPr>
          <w:sz w:val="24"/>
        </w:rPr>
        <w:t xml:space="preserve">.  </w:t>
      </w:r>
    </w:p>
    <w:p w:rsidR="00503A07" w:rsidRDefault="00503A07" w:rsidP="00F2107D">
      <w:pPr>
        <w:numPr>
          <w:ilvl w:val="0"/>
          <w:numId w:val="7"/>
        </w:numPr>
        <w:rPr>
          <w:sz w:val="24"/>
        </w:rPr>
      </w:pPr>
      <w:r>
        <w:rPr>
          <w:sz w:val="24"/>
        </w:rPr>
        <w:t xml:space="preserve">Using Don Dillman’s “Tailored Design Method” for maximizing survey response, OMHA </w:t>
      </w:r>
      <w:r w:rsidR="009D2425">
        <w:rPr>
          <w:sz w:val="24"/>
        </w:rPr>
        <w:t xml:space="preserve">has been successful in obtaining the appropriate level of response by sending out </w:t>
      </w:r>
      <w:r>
        <w:rPr>
          <w:sz w:val="24"/>
        </w:rPr>
        <w:t xml:space="preserve">letters to all potential respondents announcing the survey.  These letters contain official signatures and labels to verify the organization’s intent and professionalism.  </w:t>
      </w:r>
    </w:p>
    <w:p w:rsidR="00503A07" w:rsidRDefault="00503A07" w:rsidP="00F2107D">
      <w:pPr>
        <w:numPr>
          <w:ilvl w:val="0"/>
          <w:numId w:val="7"/>
        </w:numPr>
        <w:rPr>
          <w:sz w:val="24"/>
        </w:rPr>
      </w:pPr>
      <w:r>
        <w:rPr>
          <w:sz w:val="24"/>
        </w:rPr>
        <w:t>At this time the CGC phone interviewers begin to contact potential respondents over the phone to inquire about their availability to complete</w:t>
      </w:r>
      <w:r w:rsidR="009A795F">
        <w:rPr>
          <w:sz w:val="24"/>
        </w:rPr>
        <w:t xml:space="preserve"> the survey</w:t>
      </w:r>
      <w:r>
        <w:rPr>
          <w:sz w:val="24"/>
        </w:rPr>
        <w:t xml:space="preserve">.  If they are interested, a time for completion </w:t>
      </w:r>
      <w:r w:rsidR="009D2425">
        <w:rPr>
          <w:sz w:val="24"/>
        </w:rPr>
        <w:t xml:space="preserve">is </w:t>
      </w:r>
      <w:r>
        <w:rPr>
          <w:sz w:val="24"/>
        </w:rPr>
        <w:t>scheduled.</w:t>
      </w:r>
    </w:p>
    <w:p w:rsidR="00503A07" w:rsidRDefault="00503A07" w:rsidP="00F2107D">
      <w:pPr>
        <w:numPr>
          <w:ilvl w:val="0"/>
          <w:numId w:val="7"/>
        </w:numPr>
        <w:rPr>
          <w:sz w:val="24"/>
        </w:rPr>
      </w:pPr>
      <w:r>
        <w:rPr>
          <w:sz w:val="24"/>
        </w:rPr>
        <w:t xml:space="preserve">Two weeks after the initial telephone calls have been made, reminder </w:t>
      </w:r>
      <w:r w:rsidR="002C6B11">
        <w:rPr>
          <w:sz w:val="24"/>
        </w:rPr>
        <w:t>letters are distributed</w:t>
      </w:r>
      <w:r>
        <w:rPr>
          <w:sz w:val="24"/>
        </w:rPr>
        <w:t xml:space="preserve">.  </w:t>
      </w:r>
    </w:p>
    <w:p w:rsidR="00503A07" w:rsidRDefault="00503A07" w:rsidP="00503A07">
      <w:pPr>
        <w:rPr>
          <w:sz w:val="24"/>
        </w:rPr>
      </w:pPr>
    </w:p>
    <w:p w:rsidR="00F2107D" w:rsidRDefault="00503A07" w:rsidP="00503A07">
      <w:pPr>
        <w:ind w:left="720"/>
        <w:rPr>
          <w:sz w:val="24"/>
        </w:rPr>
      </w:pPr>
      <w:r>
        <w:rPr>
          <w:sz w:val="24"/>
        </w:rPr>
        <w:t>Given the time frame listed above, OMHA draw</w:t>
      </w:r>
      <w:r w:rsidR="006B6525">
        <w:rPr>
          <w:sz w:val="24"/>
        </w:rPr>
        <w:t>s</w:t>
      </w:r>
      <w:r>
        <w:rPr>
          <w:sz w:val="24"/>
        </w:rPr>
        <w:t xml:space="preserve"> the sample and contact</w:t>
      </w:r>
      <w:r w:rsidR="006B6525">
        <w:rPr>
          <w:sz w:val="24"/>
        </w:rPr>
        <w:t>s</w:t>
      </w:r>
      <w:r>
        <w:rPr>
          <w:sz w:val="24"/>
        </w:rPr>
        <w:t xml:space="preserve"> each respondent three times in the first month of a given </w:t>
      </w:r>
      <w:r w:rsidR="006B6525">
        <w:rPr>
          <w:sz w:val="24"/>
        </w:rPr>
        <w:t>survey period</w:t>
      </w:r>
      <w:r>
        <w:rPr>
          <w:sz w:val="24"/>
        </w:rPr>
        <w:t xml:space="preserve">: the first contact </w:t>
      </w:r>
      <w:r w:rsidRPr="00503A07">
        <w:rPr>
          <w:b/>
          <w:i/>
          <w:sz w:val="24"/>
        </w:rPr>
        <w:t>announces</w:t>
      </w:r>
      <w:r>
        <w:rPr>
          <w:sz w:val="24"/>
        </w:rPr>
        <w:t xml:space="preserve"> the survey, the second contact </w:t>
      </w:r>
      <w:r>
        <w:rPr>
          <w:b/>
          <w:i/>
          <w:sz w:val="24"/>
        </w:rPr>
        <w:t xml:space="preserve">invites </w:t>
      </w:r>
      <w:r>
        <w:rPr>
          <w:sz w:val="24"/>
        </w:rPr>
        <w:t>responden</w:t>
      </w:r>
      <w:r w:rsidR="006B6525">
        <w:rPr>
          <w:sz w:val="24"/>
        </w:rPr>
        <w:t xml:space="preserve">ts to participate in the survey, </w:t>
      </w:r>
      <w:r>
        <w:rPr>
          <w:sz w:val="24"/>
        </w:rPr>
        <w:t xml:space="preserve">and the third contact </w:t>
      </w:r>
      <w:r>
        <w:rPr>
          <w:b/>
          <w:i/>
          <w:sz w:val="24"/>
        </w:rPr>
        <w:t xml:space="preserve">reminds </w:t>
      </w:r>
      <w:r>
        <w:rPr>
          <w:sz w:val="24"/>
        </w:rPr>
        <w:t xml:space="preserve">respondents to complete the survey.       </w:t>
      </w:r>
    </w:p>
    <w:p w:rsidR="007A0728" w:rsidRDefault="007A0728" w:rsidP="00503A07">
      <w:pPr>
        <w:ind w:left="720"/>
        <w:rPr>
          <w:sz w:val="24"/>
        </w:rPr>
      </w:pPr>
    </w:p>
    <w:p w:rsidR="007A0728" w:rsidRDefault="006B6525" w:rsidP="00503A07">
      <w:pPr>
        <w:ind w:left="720"/>
        <w:rPr>
          <w:sz w:val="24"/>
        </w:rPr>
      </w:pPr>
      <w:r>
        <w:rPr>
          <w:sz w:val="24"/>
        </w:rPr>
        <w:t xml:space="preserve">Telephone responses are </w:t>
      </w:r>
      <w:r w:rsidR="007A0728">
        <w:rPr>
          <w:sz w:val="24"/>
        </w:rPr>
        <w:t>stored electronically and downloaded into a Mic</w:t>
      </w:r>
      <w:r>
        <w:rPr>
          <w:sz w:val="24"/>
        </w:rPr>
        <w:t>rosoft Excel or SPSS database.</w:t>
      </w:r>
    </w:p>
    <w:p w:rsidR="000B5276" w:rsidRDefault="000B5276" w:rsidP="00A34D14">
      <w:pPr>
        <w:rPr>
          <w:b/>
          <w:bCs/>
          <w:sz w:val="24"/>
        </w:rPr>
      </w:pPr>
    </w:p>
    <w:p w:rsidR="007A0728" w:rsidRPr="00335298" w:rsidRDefault="007A0728" w:rsidP="00A34D14">
      <w:pPr>
        <w:rPr>
          <w:b/>
          <w:bCs/>
          <w:sz w:val="24"/>
        </w:rPr>
      </w:pPr>
    </w:p>
    <w:p w:rsidR="000B5276" w:rsidRPr="00335298" w:rsidRDefault="000B5276" w:rsidP="00BD6DB6">
      <w:pPr>
        <w:ind w:firstLine="720"/>
        <w:outlineLvl w:val="0"/>
        <w:rPr>
          <w:b/>
          <w:bCs/>
          <w:sz w:val="24"/>
        </w:rPr>
      </w:pPr>
      <w:r w:rsidRPr="00335298">
        <w:rPr>
          <w:b/>
          <w:bCs/>
          <w:sz w:val="24"/>
        </w:rPr>
        <w:t>3. Methods to Maximize Response Rates and Deal with Nonresponse</w:t>
      </w:r>
    </w:p>
    <w:p w:rsidR="00CB2551" w:rsidRDefault="00CB2551" w:rsidP="00A34D14">
      <w:pPr>
        <w:ind w:left="720"/>
        <w:rPr>
          <w:sz w:val="24"/>
        </w:rPr>
      </w:pPr>
    </w:p>
    <w:p w:rsidR="004B0C12" w:rsidRDefault="00CB2551" w:rsidP="00A34D14">
      <w:pPr>
        <w:ind w:left="720"/>
        <w:rPr>
          <w:sz w:val="24"/>
        </w:rPr>
      </w:pPr>
      <w:r>
        <w:rPr>
          <w:sz w:val="24"/>
        </w:rPr>
        <w:t xml:space="preserve">Based on OMHA’s </w:t>
      </w:r>
      <w:r w:rsidR="004B0C12">
        <w:rPr>
          <w:sz w:val="24"/>
        </w:rPr>
        <w:t xml:space="preserve">success in obtaining responses to this survey, the method has been </w:t>
      </w:r>
      <w:r w:rsidR="004B0C12" w:rsidRPr="004B0C12">
        <w:rPr>
          <w:sz w:val="24"/>
        </w:rPr>
        <w:t>effective</w:t>
      </w:r>
      <w:r w:rsidR="004B0C12">
        <w:rPr>
          <w:sz w:val="24"/>
        </w:rPr>
        <w:t xml:space="preserve"> in obtaining a response rate of approximately 80%. As such, a non-response bias is not an issue.</w:t>
      </w:r>
    </w:p>
    <w:p w:rsidR="00CB2551" w:rsidRDefault="00CB2551" w:rsidP="001E5041">
      <w:pPr>
        <w:rPr>
          <w:sz w:val="24"/>
        </w:rPr>
      </w:pPr>
    </w:p>
    <w:p w:rsidR="001E5041" w:rsidRDefault="001E5041" w:rsidP="001E5041">
      <w:pPr>
        <w:ind w:left="720"/>
        <w:rPr>
          <w:sz w:val="24"/>
        </w:rPr>
      </w:pPr>
      <w:r>
        <w:rPr>
          <w:sz w:val="24"/>
        </w:rPr>
        <w:t>OMHA uses</w:t>
      </w:r>
      <w:r w:rsidRPr="001E5041">
        <w:rPr>
          <w:sz w:val="24"/>
        </w:rPr>
        <w:t xml:space="preserve"> multiple strategies to maximize response rates and data quality, including</w:t>
      </w:r>
      <w:r>
        <w:rPr>
          <w:sz w:val="24"/>
        </w:rPr>
        <w:t>:</w:t>
      </w:r>
      <w:r w:rsidRPr="001E5041">
        <w:rPr>
          <w:sz w:val="24"/>
        </w:rPr>
        <w:t xml:space="preserve"> </w:t>
      </w:r>
    </w:p>
    <w:p w:rsidR="001E5041" w:rsidRDefault="001E5041" w:rsidP="001E5041">
      <w:pPr>
        <w:numPr>
          <w:ilvl w:val="0"/>
          <w:numId w:val="16"/>
        </w:numPr>
        <w:rPr>
          <w:sz w:val="24"/>
        </w:rPr>
      </w:pPr>
      <w:r w:rsidRPr="001E5041">
        <w:rPr>
          <w:sz w:val="24"/>
        </w:rPr>
        <w:lastRenderedPageBreak/>
        <w:t xml:space="preserve">selecting a representative sample </w:t>
      </w:r>
      <w:r>
        <w:rPr>
          <w:sz w:val="24"/>
        </w:rPr>
        <w:t>stratified to improve its power,</w:t>
      </w:r>
      <w:r w:rsidRPr="001E5041">
        <w:rPr>
          <w:sz w:val="24"/>
        </w:rPr>
        <w:t xml:space="preserve"> </w:t>
      </w:r>
    </w:p>
    <w:p w:rsidR="001E5041" w:rsidRDefault="001E5041" w:rsidP="001E5041">
      <w:pPr>
        <w:numPr>
          <w:ilvl w:val="0"/>
          <w:numId w:val="16"/>
        </w:numPr>
        <w:rPr>
          <w:sz w:val="24"/>
        </w:rPr>
      </w:pPr>
      <w:r w:rsidRPr="001E5041">
        <w:rPr>
          <w:sz w:val="24"/>
        </w:rPr>
        <w:t>providing Spanish-speaking telep</w:t>
      </w:r>
      <w:r>
        <w:rPr>
          <w:sz w:val="24"/>
        </w:rPr>
        <w:t>hone bank operators when needed,</w:t>
      </w:r>
      <w:r w:rsidRPr="001E5041">
        <w:rPr>
          <w:sz w:val="24"/>
        </w:rPr>
        <w:t xml:space="preserve"> </w:t>
      </w:r>
    </w:p>
    <w:p w:rsidR="001E5041" w:rsidRDefault="001E5041" w:rsidP="001E5041">
      <w:pPr>
        <w:numPr>
          <w:ilvl w:val="0"/>
          <w:numId w:val="16"/>
        </w:numPr>
        <w:rPr>
          <w:sz w:val="24"/>
        </w:rPr>
      </w:pPr>
      <w:r w:rsidRPr="001E5041">
        <w:rPr>
          <w:sz w:val="24"/>
        </w:rPr>
        <w:t>using official HHS OMHA letterhead signed by the</w:t>
      </w:r>
      <w:r>
        <w:rPr>
          <w:sz w:val="24"/>
        </w:rPr>
        <w:t xml:space="preserve"> Chief Administrative Law Judge,</w:t>
      </w:r>
      <w:r w:rsidRPr="001E5041">
        <w:rPr>
          <w:sz w:val="24"/>
        </w:rPr>
        <w:t xml:space="preserve"> and </w:t>
      </w:r>
    </w:p>
    <w:p w:rsidR="001E5041" w:rsidRPr="001E5041" w:rsidRDefault="001E5041" w:rsidP="001E5041">
      <w:pPr>
        <w:numPr>
          <w:ilvl w:val="0"/>
          <w:numId w:val="16"/>
        </w:numPr>
        <w:rPr>
          <w:sz w:val="24"/>
        </w:rPr>
      </w:pPr>
      <w:r w:rsidRPr="001E5041">
        <w:rPr>
          <w:sz w:val="24"/>
        </w:rPr>
        <w:t>maximizing cooperation through advance warning of the survey request and reminder letters.</w:t>
      </w:r>
    </w:p>
    <w:p w:rsidR="001E5041" w:rsidRDefault="001E5041" w:rsidP="001E5041">
      <w:pPr>
        <w:ind w:left="720"/>
        <w:rPr>
          <w:iCs/>
          <w:sz w:val="24"/>
        </w:rPr>
      </w:pPr>
    </w:p>
    <w:p w:rsidR="000E7BE6" w:rsidRPr="001E5041" w:rsidRDefault="001E5041" w:rsidP="001E5041">
      <w:pPr>
        <w:ind w:left="720"/>
        <w:rPr>
          <w:sz w:val="24"/>
        </w:rPr>
      </w:pPr>
      <w:r w:rsidRPr="001E5041">
        <w:rPr>
          <w:iCs/>
          <w:sz w:val="24"/>
        </w:rPr>
        <w:t xml:space="preserve">The OMHA ACS telephone survey </w:t>
      </w:r>
      <w:r>
        <w:rPr>
          <w:iCs/>
          <w:sz w:val="24"/>
        </w:rPr>
        <w:t>i</w:t>
      </w:r>
      <w:r w:rsidRPr="001E5041">
        <w:rPr>
          <w:iCs/>
          <w:sz w:val="24"/>
        </w:rPr>
        <w:t>s designed to achieve the highest practical rates of response, commensurate with the importance of survey uses, time constraints, respondent burden and data collection costs.</w:t>
      </w:r>
    </w:p>
    <w:p w:rsidR="007D662C" w:rsidRPr="00335298" w:rsidRDefault="007D662C" w:rsidP="00A34D14">
      <w:pPr>
        <w:rPr>
          <w:b/>
          <w:bCs/>
          <w:sz w:val="24"/>
        </w:rPr>
      </w:pPr>
    </w:p>
    <w:p w:rsidR="000B5276" w:rsidRPr="00335298" w:rsidRDefault="000B5276" w:rsidP="00BD6DB6">
      <w:pPr>
        <w:ind w:firstLine="720"/>
        <w:outlineLvl w:val="0"/>
        <w:rPr>
          <w:b/>
          <w:bCs/>
          <w:sz w:val="24"/>
        </w:rPr>
      </w:pPr>
      <w:r w:rsidRPr="00335298">
        <w:rPr>
          <w:b/>
          <w:bCs/>
          <w:sz w:val="24"/>
        </w:rPr>
        <w:t>4. Tests of Procedures or Methods to be Undertaken</w:t>
      </w:r>
    </w:p>
    <w:p w:rsidR="00730E4A" w:rsidRDefault="00730E4A" w:rsidP="00A34D14">
      <w:pPr>
        <w:ind w:left="720"/>
        <w:rPr>
          <w:sz w:val="24"/>
        </w:rPr>
      </w:pPr>
    </w:p>
    <w:p w:rsidR="00B04D6D" w:rsidRDefault="00B04D6D" w:rsidP="003D63A1">
      <w:pPr>
        <w:ind w:left="720"/>
        <w:rPr>
          <w:sz w:val="24"/>
        </w:rPr>
      </w:pPr>
      <w:r>
        <w:rPr>
          <w:sz w:val="24"/>
        </w:rPr>
        <w:t xml:space="preserve">Prior to the original fielding of the survey, </w:t>
      </w:r>
      <w:r w:rsidR="00186EAA">
        <w:rPr>
          <w:sz w:val="24"/>
        </w:rPr>
        <w:t xml:space="preserve">OMHA </w:t>
      </w:r>
      <w:r>
        <w:rPr>
          <w:sz w:val="24"/>
        </w:rPr>
        <w:t>tested by asking</w:t>
      </w:r>
      <w:r w:rsidR="00186EAA">
        <w:rPr>
          <w:sz w:val="24"/>
        </w:rPr>
        <w:t xml:space="preserve"> a small, random sample of potential respondents (n=9) to comment on the survey and its questions.  </w:t>
      </w:r>
      <w:r w:rsidR="009A795F">
        <w:rPr>
          <w:sz w:val="24"/>
        </w:rPr>
        <w:t xml:space="preserve">The goal with this test </w:t>
      </w:r>
      <w:r>
        <w:rPr>
          <w:sz w:val="24"/>
        </w:rPr>
        <w:t>was</w:t>
      </w:r>
      <w:r w:rsidR="009A795F">
        <w:rPr>
          <w:sz w:val="24"/>
        </w:rPr>
        <w:t xml:space="preserve"> to </w:t>
      </w:r>
      <w:r w:rsidR="00D64662">
        <w:rPr>
          <w:sz w:val="24"/>
        </w:rPr>
        <w:t xml:space="preserve">improve question wording and identify data elements that should be collected and provided to the respondents in advance of their participation. </w:t>
      </w:r>
    </w:p>
    <w:p w:rsidR="00B04D6D" w:rsidRDefault="00B04D6D" w:rsidP="003D63A1">
      <w:pPr>
        <w:ind w:left="720"/>
        <w:rPr>
          <w:sz w:val="24"/>
        </w:rPr>
      </w:pPr>
    </w:p>
    <w:p w:rsidR="00186EAA" w:rsidRDefault="00B04D6D" w:rsidP="003D63A1">
      <w:pPr>
        <w:ind w:left="720"/>
        <w:rPr>
          <w:sz w:val="24"/>
        </w:rPr>
      </w:pPr>
      <w:r>
        <w:rPr>
          <w:sz w:val="24"/>
        </w:rPr>
        <w:t xml:space="preserve">Since that time, the survey is regularly monitored during administration </w:t>
      </w:r>
      <w:r w:rsidR="00AA4649">
        <w:rPr>
          <w:sz w:val="24"/>
        </w:rPr>
        <w:t xml:space="preserve">to track </w:t>
      </w:r>
      <w:r>
        <w:rPr>
          <w:sz w:val="24"/>
        </w:rPr>
        <w:t xml:space="preserve">response rate and methodology, and </w:t>
      </w:r>
      <w:r w:rsidR="00AA4649">
        <w:rPr>
          <w:sz w:val="24"/>
        </w:rPr>
        <w:t xml:space="preserve">make </w:t>
      </w:r>
      <w:r>
        <w:rPr>
          <w:sz w:val="24"/>
        </w:rPr>
        <w:t xml:space="preserve">appropriate process revisions </w:t>
      </w:r>
      <w:r w:rsidR="00AA4649">
        <w:rPr>
          <w:sz w:val="24"/>
        </w:rPr>
        <w:t xml:space="preserve">as necessary. For example, the internet version of the survey was eliminated since so few respondents utilized this form of collection. </w:t>
      </w:r>
    </w:p>
    <w:p w:rsidR="00AA4649" w:rsidRDefault="00AA4649" w:rsidP="003D63A1">
      <w:pPr>
        <w:ind w:left="720"/>
        <w:rPr>
          <w:sz w:val="24"/>
        </w:rPr>
      </w:pPr>
    </w:p>
    <w:p w:rsidR="00AA4649" w:rsidRDefault="00AA4649" w:rsidP="003D63A1">
      <w:pPr>
        <w:ind w:left="720"/>
        <w:rPr>
          <w:sz w:val="24"/>
        </w:rPr>
      </w:pPr>
      <w:r>
        <w:rPr>
          <w:sz w:val="24"/>
        </w:rPr>
        <w:t>The success of this survey and success of the process to administer the survey have led to efficiencies resulting in reductions of the cost to government by one-third of the original cost.</w:t>
      </w:r>
    </w:p>
    <w:p w:rsidR="00D64662" w:rsidRDefault="00D64662" w:rsidP="003D63A1">
      <w:pPr>
        <w:ind w:left="720"/>
        <w:rPr>
          <w:sz w:val="24"/>
        </w:rPr>
      </w:pPr>
    </w:p>
    <w:p w:rsidR="000E7BE6" w:rsidRPr="00335298" w:rsidRDefault="000E7BE6" w:rsidP="00A34D14">
      <w:pPr>
        <w:rPr>
          <w:b/>
          <w:bCs/>
          <w:sz w:val="24"/>
        </w:rPr>
      </w:pPr>
    </w:p>
    <w:p w:rsidR="000E7BE6" w:rsidRPr="00335298" w:rsidRDefault="000E7BE6" w:rsidP="002F6FB8">
      <w:pPr>
        <w:keepNext/>
        <w:keepLines/>
        <w:ind w:firstLine="720"/>
        <w:outlineLvl w:val="0"/>
        <w:rPr>
          <w:b/>
          <w:bCs/>
          <w:sz w:val="24"/>
        </w:rPr>
      </w:pPr>
      <w:r w:rsidRPr="00335298">
        <w:rPr>
          <w:b/>
          <w:bCs/>
          <w:sz w:val="24"/>
        </w:rPr>
        <w:t>5. Individuals Consulted on Statistical Aspects and Individuals Collecting and/or</w:t>
      </w:r>
    </w:p>
    <w:p w:rsidR="000E7BE6" w:rsidRPr="00335298" w:rsidRDefault="000E7BE6" w:rsidP="002F6FB8">
      <w:pPr>
        <w:keepNext/>
        <w:keepLines/>
        <w:ind w:firstLine="720"/>
        <w:outlineLvl w:val="0"/>
        <w:rPr>
          <w:b/>
          <w:bCs/>
          <w:sz w:val="24"/>
        </w:rPr>
      </w:pPr>
      <w:r w:rsidRPr="00335298">
        <w:rPr>
          <w:b/>
          <w:bCs/>
          <w:sz w:val="24"/>
        </w:rPr>
        <w:t>Analyzing Data</w:t>
      </w:r>
    </w:p>
    <w:p w:rsidR="00730E4A" w:rsidRDefault="00730E4A" w:rsidP="002F6FB8">
      <w:pPr>
        <w:keepNext/>
        <w:keepLines/>
        <w:ind w:left="720"/>
        <w:rPr>
          <w:sz w:val="24"/>
        </w:rPr>
      </w:pPr>
    </w:p>
    <w:p w:rsidR="003D63A1" w:rsidRDefault="00DD0356" w:rsidP="002F6FB8">
      <w:pPr>
        <w:keepNext/>
        <w:keepLines/>
        <w:ind w:left="720"/>
        <w:rPr>
          <w:sz w:val="24"/>
        </w:rPr>
      </w:pPr>
      <w:r>
        <w:rPr>
          <w:sz w:val="24"/>
        </w:rPr>
        <w:t>Two</w:t>
      </w:r>
      <w:r w:rsidR="003D63A1">
        <w:rPr>
          <w:sz w:val="24"/>
        </w:rPr>
        <w:t xml:space="preserve"> members of the OMHA staff will play a primary role in this project:</w:t>
      </w:r>
    </w:p>
    <w:p w:rsidR="002F6FB8" w:rsidRPr="00DD0356" w:rsidRDefault="00DD0356" w:rsidP="002F6FB8">
      <w:pPr>
        <w:keepNext/>
        <w:keepLines/>
        <w:numPr>
          <w:ilvl w:val="0"/>
          <w:numId w:val="9"/>
        </w:numPr>
        <w:rPr>
          <w:sz w:val="24"/>
        </w:rPr>
      </w:pPr>
      <w:r w:rsidRPr="00DD0356">
        <w:rPr>
          <w:sz w:val="24"/>
        </w:rPr>
        <w:t>Katheryn</w:t>
      </w:r>
      <w:r w:rsidR="00844B22" w:rsidRPr="00DD0356">
        <w:rPr>
          <w:sz w:val="24"/>
        </w:rPr>
        <w:t xml:space="preserve"> Michael</w:t>
      </w:r>
      <w:r>
        <w:rPr>
          <w:sz w:val="24"/>
        </w:rPr>
        <w:t xml:space="preserve">, MAED, BSN, </w:t>
      </w:r>
      <w:r w:rsidR="00844B22" w:rsidRPr="00DD0356">
        <w:rPr>
          <w:sz w:val="24"/>
        </w:rPr>
        <w:t xml:space="preserve">Training Program Manager, 703-235-0416, </w:t>
      </w:r>
      <w:hyperlink r:id="rId9" w:history="1">
        <w:r w:rsidR="00844B22" w:rsidRPr="00DD0356">
          <w:rPr>
            <w:rStyle w:val="Hyperlink"/>
            <w:sz w:val="24"/>
          </w:rPr>
          <w:t>Katheryn.michael@hhs.gov</w:t>
        </w:r>
      </w:hyperlink>
    </w:p>
    <w:p w:rsidR="002F6FB8" w:rsidRDefault="00DD0356" w:rsidP="002F6FB8">
      <w:pPr>
        <w:keepNext/>
        <w:keepLines/>
        <w:numPr>
          <w:ilvl w:val="0"/>
          <w:numId w:val="9"/>
        </w:numPr>
        <w:rPr>
          <w:sz w:val="24"/>
        </w:rPr>
      </w:pPr>
      <w:r>
        <w:rPr>
          <w:sz w:val="24"/>
        </w:rPr>
        <w:t xml:space="preserve">Wanda Williams, </w:t>
      </w:r>
      <w:r w:rsidR="002F6FB8" w:rsidRPr="00DD0356">
        <w:rPr>
          <w:sz w:val="24"/>
        </w:rPr>
        <w:t>Systems Analyst / Reports Specialist</w:t>
      </w:r>
      <w:r>
        <w:rPr>
          <w:sz w:val="24"/>
        </w:rPr>
        <w:t xml:space="preserve">, 703-235-0673,  </w:t>
      </w:r>
      <w:hyperlink r:id="rId10" w:history="1">
        <w:r w:rsidRPr="00EE1B92">
          <w:rPr>
            <w:rStyle w:val="Hyperlink"/>
            <w:sz w:val="24"/>
          </w:rPr>
          <w:t>wanda.williams@hhs.gov</w:t>
        </w:r>
      </w:hyperlink>
    </w:p>
    <w:p w:rsidR="003D63A1" w:rsidRPr="00DD0356" w:rsidRDefault="003D63A1" w:rsidP="00730E4A">
      <w:pPr>
        <w:ind w:left="720"/>
        <w:rPr>
          <w:sz w:val="24"/>
        </w:rPr>
      </w:pPr>
    </w:p>
    <w:p w:rsidR="00730E4A" w:rsidRPr="00235B11" w:rsidRDefault="00730E4A" w:rsidP="00730E4A">
      <w:pPr>
        <w:ind w:left="720"/>
        <w:rPr>
          <w:sz w:val="24"/>
        </w:rPr>
      </w:pPr>
      <w:r w:rsidRPr="00DD0356">
        <w:rPr>
          <w:sz w:val="24"/>
        </w:rPr>
        <w:t>This submission was prepared in consultation with contractors from Coray Gurnitz</w:t>
      </w:r>
      <w:r w:rsidRPr="00235B11">
        <w:rPr>
          <w:sz w:val="24"/>
        </w:rPr>
        <w:t xml:space="preserve"> </w:t>
      </w:r>
      <w:r w:rsidR="003D63A1">
        <w:rPr>
          <w:sz w:val="24"/>
        </w:rPr>
        <w:t xml:space="preserve">Consulting, specifically </w:t>
      </w:r>
      <w:r w:rsidR="00AA4649">
        <w:rPr>
          <w:sz w:val="24"/>
        </w:rPr>
        <w:t>Ellen Wexler, M.P.A</w:t>
      </w:r>
      <w:r w:rsidRPr="00235B11">
        <w:rPr>
          <w:sz w:val="24"/>
        </w:rPr>
        <w:t>.,</w:t>
      </w:r>
      <w:r w:rsidR="003D63A1">
        <w:rPr>
          <w:sz w:val="24"/>
        </w:rPr>
        <w:t xml:space="preserve"> (</w:t>
      </w:r>
      <w:hyperlink r:id="rId11" w:history="1">
        <w:r w:rsidR="00AA4649" w:rsidRPr="006E2C17">
          <w:rPr>
            <w:rStyle w:val="Hyperlink"/>
            <w:sz w:val="24"/>
          </w:rPr>
          <w:t>ellen.wexler@cgstrategy.com</w:t>
        </w:r>
      </w:hyperlink>
      <w:r w:rsidR="003D63A1">
        <w:rPr>
          <w:sz w:val="24"/>
        </w:rPr>
        <w:t xml:space="preserve">) </w:t>
      </w:r>
      <w:r w:rsidRPr="00235B11">
        <w:rPr>
          <w:sz w:val="24"/>
        </w:rPr>
        <w:t xml:space="preserve">and </w:t>
      </w:r>
      <w:smartTag w:uri="urn:schemas-microsoft-com:office:smarttags" w:element="PersonName">
        <w:r w:rsidRPr="00235B11">
          <w:rPr>
            <w:sz w:val="24"/>
          </w:rPr>
          <w:t>Kevin Coray</w:t>
        </w:r>
      </w:smartTag>
      <w:r w:rsidRPr="00235B11">
        <w:rPr>
          <w:sz w:val="24"/>
        </w:rPr>
        <w:t xml:space="preserve">, Ph.D. </w:t>
      </w:r>
      <w:r w:rsidR="003D63A1">
        <w:rPr>
          <w:sz w:val="24"/>
        </w:rPr>
        <w:t>(</w:t>
      </w:r>
      <w:hyperlink r:id="rId12" w:history="1">
        <w:r w:rsidR="003D63A1" w:rsidRPr="00A81839">
          <w:rPr>
            <w:rStyle w:val="Hyperlink"/>
            <w:sz w:val="24"/>
          </w:rPr>
          <w:t>kevin.coray@cgstrategy.com</w:t>
        </w:r>
      </w:hyperlink>
      <w:r w:rsidR="003D63A1">
        <w:rPr>
          <w:sz w:val="24"/>
        </w:rPr>
        <w:t>).  Dr. Coray can be reached at 703-527-7001</w:t>
      </w:r>
      <w:r w:rsidRPr="00235B11">
        <w:rPr>
          <w:sz w:val="24"/>
        </w:rPr>
        <w:t>.</w:t>
      </w:r>
      <w:r w:rsidR="003D63A1">
        <w:rPr>
          <w:sz w:val="24"/>
        </w:rPr>
        <w:t xml:space="preserve"> </w:t>
      </w:r>
    </w:p>
    <w:p w:rsidR="00730E4A" w:rsidRDefault="00730E4A" w:rsidP="00A34D14">
      <w:pPr>
        <w:ind w:left="720"/>
        <w:rPr>
          <w:sz w:val="24"/>
        </w:rPr>
      </w:pPr>
    </w:p>
    <w:p w:rsidR="0039686A" w:rsidRPr="00335298" w:rsidRDefault="003D63A1" w:rsidP="00A34D14">
      <w:pPr>
        <w:ind w:left="720"/>
        <w:rPr>
          <w:sz w:val="24"/>
        </w:rPr>
      </w:pPr>
      <w:r>
        <w:rPr>
          <w:sz w:val="24"/>
        </w:rPr>
        <w:t>With respect to specific tasks, the following individuals were responsible for:</w:t>
      </w:r>
    </w:p>
    <w:p w:rsidR="000E7BE6" w:rsidRPr="00335298" w:rsidRDefault="003D63A1" w:rsidP="003D63A1">
      <w:pPr>
        <w:numPr>
          <w:ilvl w:val="0"/>
          <w:numId w:val="11"/>
        </w:numPr>
        <w:rPr>
          <w:sz w:val="24"/>
        </w:rPr>
      </w:pPr>
      <w:r>
        <w:rPr>
          <w:sz w:val="24"/>
        </w:rPr>
        <w:t xml:space="preserve">designing the data collection: Ms. </w:t>
      </w:r>
      <w:r w:rsidR="00844B22">
        <w:rPr>
          <w:sz w:val="24"/>
        </w:rPr>
        <w:t>Michael</w:t>
      </w:r>
      <w:r>
        <w:rPr>
          <w:sz w:val="24"/>
        </w:rPr>
        <w:t xml:space="preserve"> and Dr. Coray</w:t>
      </w:r>
      <w:r w:rsidR="00290C1B">
        <w:rPr>
          <w:sz w:val="24"/>
        </w:rPr>
        <w:t>.</w:t>
      </w:r>
    </w:p>
    <w:p w:rsidR="000E7BE6" w:rsidRPr="00335298" w:rsidRDefault="000E7BE6" w:rsidP="003D63A1">
      <w:pPr>
        <w:numPr>
          <w:ilvl w:val="0"/>
          <w:numId w:val="11"/>
        </w:numPr>
        <w:rPr>
          <w:sz w:val="24"/>
        </w:rPr>
      </w:pPr>
      <w:r w:rsidRPr="00335298">
        <w:rPr>
          <w:sz w:val="24"/>
        </w:rPr>
        <w:t>collect</w:t>
      </w:r>
      <w:r w:rsidR="003D63A1">
        <w:rPr>
          <w:sz w:val="24"/>
        </w:rPr>
        <w:t xml:space="preserve">ing the data: </w:t>
      </w:r>
      <w:r w:rsidR="00290C1B">
        <w:rPr>
          <w:sz w:val="24"/>
        </w:rPr>
        <w:t>Coray Gurnitz Consulting staff.</w:t>
      </w:r>
    </w:p>
    <w:p w:rsidR="000E7BE6" w:rsidRPr="00335298" w:rsidRDefault="003D63A1" w:rsidP="003D63A1">
      <w:pPr>
        <w:numPr>
          <w:ilvl w:val="0"/>
          <w:numId w:val="11"/>
        </w:numPr>
        <w:rPr>
          <w:sz w:val="24"/>
        </w:rPr>
      </w:pPr>
      <w:r>
        <w:rPr>
          <w:sz w:val="24"/>
        </w:rPr>
        <w:t>analyzing t</w:t>
      </w:r>
      <w:r w:rsidR="00290C1B">
        <w:rPr>
          <w:sz w:val="24"/>
        </w:rPr>
        <w:t>he data: Coray Gurnitz Consulting staff.</w:t>
      </w:r>
    </w:p>
    <w:p w:rsidR="000E7BE6" w:rsidRDefault="000E7BE6" w:rsidP="00A34D14">
      <w:pPr>
        <w:rPr>
          <w:sz w:val="24"/>
        </w:rPr>
      </w:pPr>
      <w:r w:rsidRPr="00335298">
        <w:rPr>
          <w:sz w:val="24"/>
        </w:rPr>
        <w:t xml:space="preserve"> </w:t>
      </w:r>
    </w:p>
    <w:p w:rsidR="00235B11" w:rsidRPr="00235B11" w:rsidRDefault="00235B11" w:rsidP="00235B11">
      <w:pPr>
        <w:rPr>
          <w:sz w:val="24"/>
        </w:rPr>
      </w:pPr>
    </w:p>
    <w:p w:rsidR="00235B11" w:rsidRPr="00235B11" w:rsidRDefault="00235B11" w:rsidP="00235B11">
      <w:pPr>
        <w:rPr>
          <w:sz w:val="24"/>
        </w:rPr>
      </w:pPr>
    </w:p>
    <w:sectPr w:rsidR="00235B11" w:rsidRPr="00235B11" w:rsidSect="007D662C">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380" w:rsidRDefault="00A42380">
      <w:r>
        <w:separator/>
      </w:r>
    </w:p>
  </w:endnote>
  <w:endnote w:type="continuationSeparator" w:id="0">
    <w:p w:rsidR="00A42380" w:rsidRDefault="00A423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649" w:rsidRDefault="00AA4649">
    <w:pPr>
      <w:spacing w:line="240" w:lineRule="exact"/>
    </w:pPr>
  </w:p>
  <w:p w:rsidR="00AA4649" w:rsidRDefault="00227382">
    <w:pPr>
      <w:framePr w:w="9361" w:wrap="notBeside" w:vAnchor="text" w:hAnchor="text" w:x="1" w:y="1"/>
      <w:jc w:val="center"/>
      <w:rPr>
        <w:sz w:val="24"/>
      </w:rPr>
    </w:pPr>
    <w:r>
      <w:rPr>
        <w:sz w:val="24"/>
      </w:rPr>
      <w:fldChar w:fldCharType="begin"/>
    </w:r>
    <w:r w:rsidR="00AA4649">
      <w:rPr>
        <w:sz w:val="24"/>
      </w:rPr>
      <w:instrText xml:space="preserve">PAGE </w:instrText>
    </w:r>
    <w:r>
      <w:rPr>
        <w:sz w:val="24"/>
      </w:rPr>
      <w:fldChar w:fldCharType="separate"/>
    </w:r>
    <w:r w:rsidR="005C387B">
      <w:rPr>
        <w:noProof/>
        <w:sz w:val="24"/>
      </w:rPr>
      <w:t>1</w:t>
    </w:r>
    <w:r>
      <w:rPr>
        <w:sz w:val="24"/>
      </w:rPr>
      <w:fldChar w:fldCharType="end"/>
    </w:r>
  </w:p>
  <w:p w:rsidR="00AA4649" w:rsidRDefault="00AA4649">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380" w:rsidRDefault="00A42380">
      <w:r>
        <w:separator/>
      </w:r>
    </w:p>
  </w:footnote>
  <w:footnote w:type="continuationSeparator" w:id="0">
    <w:p w:rsidR="00A42380" w:rsidRDefault="00A423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4F06"/>
    <w:multiLevelType w:val="hybridMultilevel"/>
    <w:tmpl w:val="7780D120"/>
    <w:lvl w:ilvl="0" w:tplc="03E4A6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15DF4112"/>
    <w:multiLevelType w:val="hybridMultilevel"/>
    <w:tmpl w:val="3342DFF4"/>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0FF0F9F"/>
    <w:multiLevelType w:val="hybridMultilevel"/>
    <w:tmpl w:val="0572529A"/>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6431FD1"/>
    <w:multiLevelType w:val="hybridMultilevel"/>
    <w:tmpl w:val="930E0A1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nsid w:val="2BD676FC"/>
    <w:multiLevelType w:val="hybridMultilevel"/>
    <w:tmpl w:val="E7263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4924E7"/>
    <w:multiLevelType w:val="hybridMultilevel"/>
    <w:tmpl w:val="E0329254"/>
    <w:lvl w:ilvl="0" w:tplc="6458E4E6">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8E414B"/>
    <w:multiLevelType w:val="hybridMultilevel"/>
    <w:tmpl w:val="330241A0"/>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6771B4"/>
    <w:multiLevelType w:val="hybridMultilevel"/>
    <w:tmpl w:val="C2DCF3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606F3DBC"/>
    <w:multiLevelType w:val="hybridMultilevel"/>
    <w:tmpl w:val="236073DA"/>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5F539FA"/>
    <w:multiLevelType w:val="hybridMultilevel"/>
    <w:tmpl w:val="8F18EE06"/>
    <w:lvl w:ilvl="0" w:tplc="558EC4B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61168E1"/>
    <w:multiLevelType w:val="hybridMultilevel"/>
    <w:tmpl w:val="B9AA5C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6116AB6"/>
    <w:multiLevelType w:val="hybridMultilevel"/>
    <w:tmpl w:val="481A8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A5E70E0"/>
    <w:multiLevelType w:val="hybridMultilevel"/>
    <w:tmpl w:val="21B8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FF4C2E"/>
    <w:multiLevelType w:val="hybridMultilevel"/>
    <w:tmpl w:val="33C8F876"/>
    <w:lvl w:ilvl="0" w:tplc="6458E4E6">
      <w:start w:val="1"/>
      <w:numFmt w:val="decimal"/>
      <w:lvlText w:val="%1."/>
      <w:lvlJc w:val="left"/>
      <w:pPr>
        <w:tabs>
          <w:tab w:val="num" w:pos="1800"/>
        </w:tabs>
        <w:ind w:left="1800" w:hanging="360"/>
      </w:pPr>
      <w:rPr>
        <w:rFonts w:hint="default"/>
        <w:b/>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9"/>
  </w:num>
  <w:num w:numId="3">
    <w:abstractNumId w:val="0"/>
  </w:num>
  <w:num w:numId="4">
    <w:abstractNumId w:val="6"/>
  </w:num>
  <w:num w:numId="5">
    <w:abstractNumId w:val="1"/>
  </w:num>
  <w:num w:numId="6">
    <w:abstractNumId w:val="15"/>
  </w:num>
  <w:num w:numId="7">
    <w:abstractNumId w:val="5"/>
  </w:num>
  <w:num w:numId="8">
    <w:abstractNumId w:val="2"/>
  </w:num>
  <w:num w:numId="9">
    <w:abstractNumId w:val="10"/>
  </w:num>
  <w:num w:numId="10">
    <w:abstractNumId w:val="12"/>
  </w:num>
  <w:num w:numId="11">
    <w:abstractNumId w:val="11"/>
  </w:num>
  <w:num w:numId="12">
    <w:abstractNumId w:val="3"/>
  </w:num>
  <w:num w:numId="13">
    <w:abstractNumId w:val="8"/>
  </w:num>
  <w:num w:numId="14">
    <w:abstractNumId w:val="14"/>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numFmt w:val="decimal"/>
    <w:endnote w:id="-1"/>
    <w:endnote w:id="0"/>
  </w:endnotePr>
  <w:compat/>
  <w:rsids>
    <w:rsidRoot w:val="00DD3D27"/>
    <w:rsid w:val="00000497"/>
    <w:rsid w:val="00010D31"/>
    <w:rsid w:val="00033121"/>
    <w:rsid w:val="00053A64"/>
    <w:rsid w:val="000715FB"/>
    <w:rsid w:val="00095BB8"/>
    <w:rsid w:val="000A28B2"/>
    <w:rsid w:val="000B5276"/>
    <w:rsid w:val="000E4239"/>
    <w:rsid w:val="000E7BE6"/>
    <w:rsid w:val="000F381D"/>
    <w:rsid w:val="000F6BC3"/>
    <w:rsid w:val="00120AE0"/>
    <w:rsid w:val="00140987"/>
    <w:rsid w:val="00151838"/>
    <w:rsid w:val="00155457"/>
    <w:rsid w:val="00164C9A"/>
    <w:rsid w:val="00180862"/>
    <w:rsid w:val="00181525"/>
    <w:rsid w:val="00186EAA"/>
    <w:rsid w:val="00187061"/>
    <w:rsid w:val="00193290"/>
    <w:rsid w:val="001A0E11"/>
    <w:rsid w:val="001A6A60"/>
    <w:rsid w:val="001B3E01"/>
    <w:rsid w:val="001E5041"/>
    <w:rsid w:val="001F329A"/>
    <w:rsid w:val="001F5CB5"/>
    <w:rsid w:val="00201D7B"/>
    <w:rsid w:val="00202E52"/>
    <w:rsid w:val="00203E16"/>
    <w:rsid w:val="00213C5C"/>
    <w:rsid w:val="00224AA3"/>
    <w:rsid w:val="00227382"/>
    <w:rsid w:val="00235B11"/>
    <w:rsid w:val="002519AD"/>
    <w:rsid w:val="00257B20"/>
    <w:rsid w:val="00271F36"/>
    <w:rsid w:val="0028268F"/>
    <w:rsid w:val="00290C1B"/>
    <w:rsid w:val="00291621"/>
    <w:rsid w:val="0029350A"/>
    <w:rsid w:val="002953CF"/>
    <w:rsid w:val="002A069A"/>
    <w:rsid w:val="002A22E1"/>
    <w:rsid w:val="002A29E4"/>
    <w:rsid w:val="002C6B11"/>
    <w:rsid w:val="002E074D"/>
    <w:rsid w:val="002E3299"/>
    <w:rsid w:val="002F2E1A"/>
    <w:rsid w:val="002F6FB8"/>
    <w:rsid w:val="003050F9"/>
    <w:rsid w:val="00334BDC"/>
    <w:rsid w:val="00334EB7"/>
    <w:rsid w:val="00335298"/>
    <w:rsid w:val="00344BEB"/>
    <w:rsid w:val="0035133D"/>
    <w:rsid w:val="00351DB0"/>
    <w:rsid w:val="003532D8"/>
    <w:rsid w:val="00360E45"/>
    <w:rsid w:val="00365438"/>
    <w:rsid w:val="003714AB"/>
    <w:rsid w:val="00387311"/>
    <w:rsid w:val="003948DE"/>
    <w:rsid w:val="0039686A"/>
    <w:rsid w:val="003A469C"/>
    <w:rsid w:val="003A77A0"/>
    <w:rsid w:val="003B24A4"/>
    <w:rsid w:val="003C5653"/>
    <w:rsid w:val="003D63A1"/>
    <w:rsid w:val="004301FB"/>
    <w:rsid w:val="0043056D"/>
    <w:rsid w:val="00441EBB"/>
    <w:rsid w:val="00451102"/>
    <w:rsid w:val="0045663D"/>
    <w:rsid w:val="004719A0"/>
    <w:rsid w:val="00481840"/>
    <w:rsid w:val="00483E86"/>
    <w:rsid w:val="004B0C12"/>
    <w:rsid w:val="004D0C96"/>
    <w:rsid w:val="004E145E"/>
    <w:rsid w:val="004F7021"/>
    <w:rsid w:val="00503A07"/>
    <w:rsid w:val="005121F4"/>
    <w:rsid w:val="005329EA"/>
    <w:rsid w:val="00532C26"/>
    <w:rsid w:val="00541AE9"/>
    <w:rsid w:val="00551124"/>
    <w:rsid w:val="00560B85"/>
    <w:rsid w:val="00574E2E"/>
    <w:rsid w:val="005777C6"/>
    <w:rsid w:val="0058059A"/>
    <w:rsid w:val="005A1CC2"/>
    <w:rsid w:val="005A56D7"/>
    <w:rsid w:val="005B1702"/>
    <w:rsid w:val="005C387B"/>
    <w:rsid w:val="005C5A65"/>
    <w:rsid w:val="005D6DC3"/>
    <w:rsid w:val="005F00CB"/>
    <w:rsid w:val="005F1D4B"/>
    <w:rsid w:val="005F5AF8"/>
    <w:rsid w:val="006103AC"/>
    <w:rsid w:val="00611D6C"/>
    <w:rsid w:val="00615D69"/>
    <w:rsid w:val="0061656E"/>
    <w:rsid w:val="00632577"/>
    <w:rsid w:val="00634974"/>
    <w:rsid w:val="00656AFA"/>
    <w:rsid w:val="00662BA8"/>
    <w:rsid w:val="006664C0"/>
    <w:rsid w:val="00674978"/>
    <w:rsid w:val="00687787"/>
    <w:rsid w:val="00690B7C"/>
    <w:rsid w:val="006A3CC1"/>
    <w:rsid w:val="006A7C24"/>
    <w:rsid w:val="006B6525"/>
    <w:rsid w:val="006C3DB1"/>
    <w:rsid w:val="00713D0A"/>
    <w:rsid w:val="007176CA"/>
    <w:rsid w:val="00722FEA"/>
    <w:rsid w:val="007255CF"/>
    <w:rsid w:val="00730E4A"/>
    <w:rsid w:val="00734C8E"/>
    <w:rsid w:val="00735F94"/>
    <w:rsid w:val="00760EDF"/>
    <w:rsid w:val="00762511"/>
    <w:rsid w:val="00787110"/>
    <w:rsid w:val="00790561"/>
    <w:rsid w:val="00795CCE"/>
    <w:rsid w:val="00795E33"/>
    <w:rsid w:val="007A0728"/>
    <w:rsid w:val="007B0965"/>
    <w:rsid w:val="007D48BA"/>
    <w:rsid w:val="007D662C"/>
    <w:rsid w:val="007F4DF1"/>
    <w:rsid w:val="008113A2"/>
    <w:rsid w:val="00830EAE"/>
    <w:rsid w:val="00841372"/>
    <w:rsid w:val="00844B22"/>
    <w:rsid w:val="008521D4"/>
    <w:rsid w:val="00865C1D"/>
    <w:rsid w:val="008843E1"/>
    <w:rsid w:val="00890503"/>
    <w:rsid w:val="0089439D"/>
    <w:rsid w:val="00894868"/>
    <w:rsid w:val="008C1141"/>
    <w:rsid w:val="008C321B"/>
    <w:rsid w:val="008D1443"/>
    <w:rsid w:val="008D1696"/>
    <w:rsid w:val="008D22E8"/>
    <w:rsid w:val="008F7453"/>
    <w:rsid w:val="009203D9"/>
    <w:rsid w:val="00920CB0"/>
    <w:rsid w:val="00927B3C"/>
    <w:rsid w:val="00937E42"/>
    <w:rsid w:val="00946CCD"/>
    <w:rsid w:val="00956157"/>
    <w:rsid w:val="00993E76"/>
    <w:rsid w:val="009A5CCC"/>
    <w:rsid w:val="009A77B7"/>
    <w:rsid w:val="009A795F"/>
    <w:rsid w:val="009B0557"/>
    <w:rsid w:val="009B2B3A"/>
    <w:rsid w:val="009D2425"/>
    <w:rsid w:val="009D2BD4"/>
    <w:rsid w:val="00A24753"/>
    <w:rsid w:val="00A3279B"/>
    <w:rsid w:val="00A33AC2"/>
    <w:rsid w:val="00A34D14"/>
    <w:rsid w:val="00A35D75"/>
    <w:rsid w:val="00A42380"/>
    <w:rsid w:val="00A54360"/>
    <w:rsid w:val="00A67765"/>
    <w:rsid w:val="00A70214"/>
    <w:rsid w:val="00A753C0"/>
    <w:rsid w:val="00A76C8E"/>
    <w:rsid w:val="00A76CEF"/>
    <w:rsid w:val="00A966BC"/>
    <w:rsid w:val="00AA3F0A"/>
    <w:rsid w:val="00AA4649"/>
    <w:rsid w:val="00AD5C81"/>
    <w:rsid w:val="00AE037F"/>
    <w:rsid w:val="00AE1080"/>
    <w:rsid w:val="00AF04B2"/>
    <w:rsid w:val="00AF2736"/>
    <w:rsid w:val="00B04094"/>
    <w:rsid w:val="00B04D6D"/>
    <w:rsid w:val="00B110AE"/>
    <w:rsid w:val="00B26D4E"/>
    <w:rsid w:val="00B31FB9"/>
    <w:rsid w:val="00B46727"/>
    <w:rsid w:val="00B64115"/>
    <w:rsid w:val="00B653C2"/>
    <w:rsid w:val="00B65919"/>
    <w:rsid w:val="00B74653"/>
    <w:rsid w:val="00B8170A"/>
    <w:rsid w:val="00B979BF"/>
    <w:rsid w:val="00BA3794"/>
    <w:rsid w:val="00BD6DB6"/>
    <w:rsid w:val="00BE2F49"/>
    <w:rsid w:val="00BE7DEA"/>
    <w:rsid w:val="00C02F23"/>
    <w:rsid w:val="00C03034"/>
    <w:rsid w:val="00C25C0B"/>
    <w:rsid w:val="00C354AC"/>
    <w:rsid w:val="00C426B7"/>
    <w:rsid w:val="00C50442"/>
    <w:rsid w:val="00C72FAD"/>
    <w:rsid w:val="00C91D4F"/>
    <w:rsid w:val="00C96CA9"/>
    <w:rsid w:val="00CA7D51"/>
    <w:rsid w:val="00CB2551"/>
    <w:rsid w:val="00CD0532"/>
    <w:rsid w:val="00CD2734"/>
    <w:rsid w:val="00CF1BB3"/>
    <w:rsid w:val="00CF5664"/>
    <w:rsid w:val="00CF64E0"/>
    <w:rsid w:val="00D0044D"/>
    <w:rsid w:val="00D03A4D"/>
    <w:rsid w:val="00D04986"/>
    <w:rsid w:val="00D25C2A"/>
    <w:rsid w:val="00D26D32"/>
    <w:rsid w:val="00D317EC"/>
    <w:rsid w:val="00D32B4F"/>
    <w:rsid w:val="00D35EAF"/>
    <w:rsid w:val="00D46839"/>
    <w:rsid w:val="00D50591"/>
    <w:rsid w:val="00D51EAC"/>
    <w:rsid w:val="00D64662"/>
    <w:rsid w:val="00D71ED3"/>
    <w:rsid w:val="00D77F9C"/>
    <w:rsid w:val="00DA3583"/>
    <w:rsid w:val="00DB32CD"/>
    <w:rsid w:val="00DC6682"/>
    <w:rsid w:val="00DD0356"/>
    <w:rsid w:val="00DD3D27"/>
    <w:rsid w:val="00DE0816"/>
    <w:rsid w:val="00DE320F"/>
    <w:rsid w:val="00DF473D"/>
    <w:rsid w:val="00E303F5"/>
    <w:rsid w:val="00E32072"/>
    <w:rsid w:val="00E51556"/>
    <w:rsid w:val="00E57398"/>
    <w:rsid w:val="00E75932"/>
    <w:rsid w:val="00E86C93"/>
    <w:rsid w:val="00E957C3"/>
    <w:rsid w:val="00EA13D0"/>
    <w:rsid w:val="00EA52BC"/>
    <w:rsid w:val="00EB156C"/>
    <w:rsid w:val="00EF1CE6"/>
    <w:rsid w:val="00EF4800"/>
    <w:rsid w:val="00F06A01"/>
    <w:rsid w:val="00F20558"/>
    <w:rsid w:val="00F2107D"/>
    <w:rsid w:val="00F614C6"/>
    <w:rsid w:val="00F84013"/>
    <w:rsid w:val="00FB36F9"/>
    <w:rsid w:val="00FC0E65"/>
    <w:rsid w:val="00FC62D1"/>
    <w:rsid w:val="00FF1308"/>
    <w:rsid w:val="00FF5827"/>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094"/>
    <w:pPr>
      <w:widowControl w:val="0"/>
      <w:autoSpaceDE w:val="0"/>
      <w:autoSpaceDN w:val="0"/>
      <w:adjustRightInd w:val="0"/>
    </w:pPr>
    <w:rPr>
      <w:szCs w:val="24"/>
    </w:rPr>
  </w:style>
  <w:style w:type="paragraph" w:styleId="Heading1">
    <w:name w:val="heading 1"/>
    <w:basedOn w:val="Normal"/>
    <w:next w:val="Normal"/>
    <w:qFormat/>
    <w:rsid w:val="00227382"/>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27382"/>
  </w:style>
  <w:style w:type="paragraph" w:styleId="BodyTextIndent">
    <w:name w:val="Body Text Indent"/>
    <w:basedOn w:val="Normal"/>
    <w:rsid w:val="00227382"/>
    <w:pPr>
      <w:ind w:left="720"/>
    </w:pPr>
    <w:rPr>
      <w:rFonts w:ascii="Baskerville Old Face" w:hAnsi="Baskerville Old Face"/>
      <w:sz w:val="24"/>
    </w:rPr>
  </w:style>
  <w:style w:type="table" w:styleId="TableGrid">
    <w:name w:val="Table Grid"/>
    <w:basedOn w:val="TableNormal"/>
    <w:rsid w:val="001808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
    <w:name w:val="Char Char Char1 Char Char Char Char"/>
    <w:basedOn w:val="Normal"/>
    <w:semiHidden/>
    <w:rsid w:val="00C03034"/>
    <w:pPr>
      <w:widowControl/>
      <w:autoSpaceDE/>
      <w:autoSpaceDN/>
      <w:adjustRightInd/>
      <w:spacing w:before="80" w:after="80"/>
      <w:ind w:left="4320"/>
      <w:jc w:val="both"/>
    </w:pPr>
    <w:rPr>
      <w:rFonts w:ascii="Arial" w:hAnsi="Arial"/>
    </w:rPr>
  </w:style>
  <w:style w:type="character" w:styleId="Hyperlink">
    <w:name w:val="Hyperlink"/>
    <w:rsid w:val="003D63A1"/>
    <w:rPr>
      <w:color w:val="0000FF"/>
      <w:u w:val="single"/>
    </w:rPr>
  </w:style>
  <w:style w:type="character" w:styleId="CommentReference">
    <w:name w:val="annotation reference"/>
    <w:semiHidden/>
    <w:rsid w:val="002E3299"/>
    <w:rPr>
      <w:sz w:val="16"/>
      <w:szCs w:val="16"/>
    </w:rPr>
  </w:style>
  <w:style w:type="paragraph" w:styleId="CommentText">
    <w:name w:val="annotation text"/>
    <w:basedOn w:val="Normal"/>
    <w:semiHidden/>
    <w:rsid w:val="002E3299"/>
    <w:rPr>
      <w:szCs w:val="20"/>
    </w:rPr>
  </w:style>
  <w:style w:type="paragraph" w:styleId="CommentSubject">
    <w:name w:val="annotation subject"/>
    <w:basedOn w:val="CommentText"/>
    <w:next w:val="CommentText"/>
    <w:semiHidden/>
    <w:rsid w:val="002E3299"/>
    <w:rPr>
      <w:b/>
      <w:bCs/>
    </w:rPr>
  </w:style>
  <w:style w:type="paragraph" w:styleId="BalloonText">
    <w:name w:val="Balloon Text"/>
    <w:basedOn w:val="Normal"/>
    <w:semiHidden/>
    <w:rsid w:val="002E3299"/>
    <w:rPr>
      <w:rFonts w:ascii="Tahoma" w:hAnsi="Tahoma" w:cs="Tahoma"/>
      <w:sz w:val="16"/>
      <w:szCs w:val="16"/>
    </w:rPr>
  </w:style>
  <w:style w:type="paragraph" w:styleId="DocumentMap">
    <w:name w:val="Document Map"/>
    <w:basedOn w:val="Normal"/>
    <w:semiHidden/>
    <w:rsid w:val="005121F4"/>
    <w:pPr>
      <w:shd w:val="clear" w:color="auto" w:fill="000080"/>
    </w:pPr>
    <w:rPr>
      <w:rFonts w:ascii="Tahoma" w:hAnsi="Tahoma" w:cs="Tahoma"/>
      <w:szCs w:val="20"/>
    </w:rPr>
  </w:style>
  <w:style w:type="paragraph" w:styleId="Header">
    <w:name w:val="header"/>
    <w:basedOn w:val="Normal"/>
    <w:rsid w:val="00CF5664"/>
    <w:pPr>
      <w:tabs>
        <w:tab w:val="center" w:pos="4320"/>
        <w:tab w:val="right" w:pos="8640"/>
      </w:tabs>
    </w:pPr>
  </w:style>
  <w:style w:type="paragraph" w:styleId="Footer">
    <w:name w:val="footer"/>
    <w:basedOn w:val="Normal"/>
    <w:rsid w:val="00CF5664"/>
    <w:pPr>
      <w:tabs>
        <w:tab w:val="center" w:pos="4320"/>
        <w:tab w:val="right" w:pos="8640"/>
      </w:tabs>
    </w:pPr>
  </w:style>
  <w:style w:type="paragraph" w:styleId="NormalWeb">
    <w:name w:val="Normal (Web)"/>
    <w:basedOn w:val="Normal"/>
    <w:uiPriority w:val="99"/>
    <w:unhideWhenUsed/>
    <w:rsid w:val="001E5041"/>
    <w:pPr>
      <w:widowControl/>
      <w:autoSpaceDE/>
      <w:autoSpaceDN/>
      <w:adjustRightInd/>
      <w:spacing w:before="100" w:beforeAutospacing="1" w:after="201"/>
    </w:pPr>
    <w:rPr>
      <w:color w:val="000000"/>
      <w:sz w:val="23"/>
      <w:szCs w:val="23"/>
    </w:rPr>
  </w:style>
  <w:style w:type="character" w:styleId="Emphasis">
    <w:name w:val="Emphasis"/>
    <w:uiPriority w:val="20"/>
    <w:qFormat/>
    <w:rsid w:val="001E5041"/>
    <w:rPr>
      <w:i/>
      <w:iCs/>
    </w:rPr>
  </w:style>
</w:styles>
</file>

<file path=word/webSettings.xml><?xml version="1.0" encoding="utf-8"?>
<w:webSettings xmlns:r="http://schemas.openxmlformats.org/officeDocument/2006/relationships" xmlns:w="http://schemas.openxmlformats.org/wordprocessingml/2006/main">
  <w:divs>
    <w:div w:id="77950240">
      <w:bodyDiv w:val="1"/>
      <w:marLeft w:val="0"/>
      <w:marRight w:val="0"/>
      <w:marTop w:val="0"/>
      <w:marBottom w:val="0"/>
      <w:divBdr>
        <w:top w:val="none" w:sz="0" w:space="0" w:color="auto"/>
        <w:left w:val="none" w:sz="0" w:space="0" w:color="auto"/>
        <w:bottom w:val="none" w:sz="0" w:space="0" w:color="auto"/>
        <w:right w:val="none" w:sz="0" w:space="0" w:color="auto"/>
      </w:divBdr>
    </w:div>
    <w:div w:id="553586522">
      <w:bodyDiv w:val="1"/>
      <w:marLeft w:val="0"/>
      <w:marRight w:val="0"/>
      <w:marTop w:val="0"/>
      <w:marBottom w:val="0"/>
      <w:divBdr>
        <w:top w:val="none" w:sz="0" w:space="0" w:color="auto"/>
        <w:left w:val="none" w:sz="0" w:space="0" w:color="auto"/>
        <w:bottom w:val="none" w:sz="0" w:space="0" w:color="auto"/>
        <w:right w:val="none" w:sz="0" w:space="0" w:color="auto"/>
      </w:divBdr>
    </w:div>
    <w:div w:id="121735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kevin.coray@cgstrate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len.wexler@cgstrateg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anda.williams@hhs.gov" TargetMode="External"/><Relationship Id="rId4" Type="http://schemas.openxmlformats.org/officeDocument/2006/relationships/webSettings" Target="webSettings.xml"/><Relationship Id="rId9" Type="http://schemas.openxmlformats.org/officeDocument/2006/relationships/hyperlink" Target="mailto:Katheryn.michael@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1077</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7218</CharactersWithSpaces>
  <SharedDoc>false</SharedDoc>
  <HLinks>
    <vt:vector size="24" baseType="variant">
      <vt:variant>
        <vt:i4>4784171</vt:i4>
      </vt:variant>
      <vt:variant>
        <vt:i4>9</vt:i4>
      </vt:variant>
      <vt:variant>
        <vt:i4>0</vt:i4>
      </vt:variant>
      <vt:variant>
        <vt:i4>5</vt:i4>
      </vt:variant>
      <vt:variant>
        <vt:lpwstr>mailto:kevin.coray@cgstrategy.com</vt:lpwstr>
      </vt:variant>
      <vt:variant>
        <vt:lpwstr/>
      </vt:variant>
      <vt:variant>
        <vt:i4>5177382</vt:i4>
      </vt:variant>
      <vt:variant>
        <vt:i4>6</vt:i4>
      </vt:variant>
      <vt:variant>
        <vt:i4>0</vt:i4>
      </vt:variant>
      <vt:variant>
        <vt:i4>5</vt:i4>
      </vt:variant>
      <vt:variant>
        <vt:lpwstr>mailto:ellen.wexler@cgstrategy.com</vt:lpwstr>
      </vt:variant>
      <vt:variant>
        <vt:lpwstr/>
      </vt:variant>
      <vt:variant>
        <vt:i4>7077898</vt:i4>
      </vt:variant>
      <vt:variant>
        <vt:i4>3</vt:i4>
      </vt:variant>
      <vt:variant>
        <vt:i4>0</vt:i4>
      </vt:variant>
      <vt:variant>
        <vt:i4>5</vt:i4>
      </vt:variant>
      <vt:variant>
        <vt:lpwstr>mailto:wanda.williams@hhs.gov</vt:lpwstr>
      </vt:variant>
      <vt:variant>
        <vt:lpwstr/>
      </vt:variant>
      <vt:variant>
        <vt:i4>4325408</vt:i4>
      </vt:variant>
      <vt:variant>
        <vt:i4>0</vt:i4>
      </vt:variant>
      <vt:variant>
        <vt:i4>0</vt:i4>
      </vt:variant>
      <vt:variant>
        <vt:i4>5</vt:i4>
      </vt:variant>
      <vt:variant>
        <vt:lpwstr>mailto:Katheryn.michael@hhs.gov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cp:lastModifiedBy>Department of Health and Human Services</cp:lastModifiedBy>
  <cp:revision>2</cp:revision>
  <cp:lastPrinted>2011-10-06T20:29:00Z</cp:lastPrinted>
  <dcterms:created xsi:type="dcterms:W3CDTF">2011-10-06T20:30:00Z</dcterms:created>
  <dcterms:modified xsi:type="dcterms:W3CDTF">2011-10-06T20:30:00Z</dcterms:modified>
</cp:coreProperties>
</file>